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4404E" w14:textId="0DCB4AC9" w:rsidR="00FC354A" w:rsidRPr="00055111" w:rsidRDefault="00C36493" w:rsidP="00C36493">
      <w:pPr>
        <w:jc w:val="center"/>
        <w:rPr>
          <w:rFonts w:ascii="Garamond" w:hAnsi="Garamond"/>
          <w:b/>
          <w:bCs/>
          <w:sz w:val="28"/>
          <w:szCs w:val="28"/>
        </w:rPr>
      </w:pPr>
      <w:r w:rsidRPr="00055111">
        <w:rPr>
          <w:rFonts w:ascii="Garamond" w:hAnsi="Garamond"/>
          <w:sz w:val="28"/>
          <w:szCs w:val="28"/>
        </w:rPr>
        <w:t>SUPREME COURT OF ARIZONA</w:t>
      </w:r>
    </w:p>
    <w:tbl>
      <w:tblPr>
        <w:tblW w:w="9360" w:type="dxa"/>
        <w:tblInd w:w="120" w:type="dxa"/>
        <w:tblLayout w:type="fixed"/>
        <w:tblCellMar>
          <w:top w:w="260" w:type="dxa"/>
          <w:left w:w="120" w:type="dxa"/>
          <w:right w:w="120" w:type="dxa"/>
        </w:tblCellMar>
        <w:tblLook w:val="0000" w:firstRow="0" w:lastRow="0" w:firstColumn="0" w:lastColumn="0" w:noHBand="0" w:noVBand="0"/>
      </w:tblPr>
      <w:tblGrid>
        <w:gridCol w:w="4590"/>
        <w:gridCol w:w="4770"/>
      </w:tblGrid>
      <w:tr w:rsidR="00FC354A" w:rsidRPr="00055111" w14:paraId="50ACA90A" w14:textId="77777777" w:rsidTr="00627B7A">
        <w:trPr>
          <w:cantSplit/>
        </w:trPr>
        <w:tc>
          <w:tcPr>
            <w:tcW w:w="4590" w:type="dxa"/>
            <w:tcBorders>
              <w:bottom w:val="single" w:sz="6" w:space="0" w:color="auto"/>
              <w:right w:val="single" w:sz="6" w:space="0" w:color="auto"/>
            </w:tcBorders>
          </w:tcPr>
          <w:p w14:paraId="3233D6D7" w14:textId="6716BB86" w:rsidR="00FC354A" w:rsidRPr="00055111" w:rsidRDefault="00FC354A" w:rsidP="00FC354A">
            <w:pPr>
              <w:rPr>
                <w:rFonts w:ascii="Garamond" w:hAnsi="Garamond"/>
                <w:sz w:val="28"/>
                <w:szCs w:val="28"/>
              </w:rPr>
            </w:pPr>
            <w:r w:rsidRPr="00055111">
              <w:rPr>
                <w:rFonts w:ascii="Garamond" w:hAnsi="Garamond"/>
                <w:sz w:val="28"/>
                <w:szCs w:val="28"/>
              </w:rPr>
              <w:t xml:space="preserve">PETITION TO AMEND RULE </w:t>
            </w:r>
            <w:r w:rsidR="00FD0829" w:rsidRPr="00055111">
              <w:rPr>
                <w:rFonts w:ascii="Garamond" w:hAnsi="Garamond"/>
                <w:sz w:val="28"/>
                <w:szCs w:val="28"/>
              </w:rPr>
              <w:t>31.23</w:t>
            </w:r>
            <w:r w:rsidR="00265931" w:rsidRPr="00055111">
              <w:rPr>
                <w:rFonts w:ascii="Garamond" w:hAnsi="Garamond"/>
                <w:sz w:val="28"/>
                <w:szCs w:val="28"/>
              </w:rPr>
              <w:t>,</w:t>
            </w:r>
            <w:r w:rsidRPr="00055111">
              <w:rPr>
                <w:rFonts w:ascii="Garamond" w:hAnsi="Garamond"/>
                <w:sz w:val="28"/>
                <w:szCs w:val="28"/>
              </w:rPr>
              <w:t xml:space="preserve"> ARIZONA RULES OF </w:t>
            </w:r>
            <w:r w:rsidR="00C21DF7" w:rsidRPr="00055111">
              <w:rPr>
                <w:rFonts w:ascii="Garamond" w:hAnsi="Garamond"/>
                <w:sz w:val="28"/>
                <w:szCs w:val="28"/>
              </w:rPr>
              <w:t>CRIMINAL</w:t>
            </w:r>
            <w:r w:rsidRPr="00055111">
              <w:rPr>
                <w:rFonts w:ascii="Garamond" w:hAnsi="Garamond"/>
                <w:sz w:val="28"/>
                <w:szCs w:val="28"/>
              </w:rPr>
              <w:t xml:space="preserve"> PROCEDURE</w:t>
            </w:r>
          </w:p>
        </w:tc>
        <w:tc>
          <w:tcPr>
            <w:tcW w:w="4770" w:type="dxa"/>
            <w:tcBorders>
              <w:left w:val="single" w:sz="6" w:space="0" w:color="auto"/>
            </w:tcBorders>
            <w:tcMar>
              <w:left w:w="173" w:type="dxa"/>
              <w:right w:w="0" w:type="dxa"/>
            </w:tcMar>
          </w:tcPr>
          <w:p w14:paraId="34E7FB24" w14:textId="77777777" w:rsidR="002D5698" w:rsidRPr="00055111" w:rsidRDefault="002D5698" w:rsidP="00FC354A">
            <w:pPr>
              <w:pStyle w:val="Caseinfo"/>
              <w:spacing w:line="240" w:lineRule="auto"/>
              <w:rPr>
                <w:rStyle w:val="FieldAllCaps"/>
                <w:rFonts w:ascii="Garamond" w:hAnsi="Garamond"/>
                <w:caps w:val="0"/>
                <w:smallCaps w:val="0"/>
              </w:rPr>
            </w:pPr>
          </w:p>
          <w:p w14:paraId="01D06ABB" w14:textId="23DDDBB4" w:rsidR="00FC354A" w:rsidRPr="00055111" w:rsidRDefault="00FC354A" w:rsidP="00FC354A">
            <w:pPr>
              <w:pStyle w:val="Caseinfo"/>
              <w:spacing w:line="240" w:lineRule="auto"/>
              <w:rPr>
                <w:rStyle w:val="FieldAllCaps"/>
                <w:rFonts w:ascii="Garamond" w:hAnsi="Garamond"/>
                <w:caps w:val="0"/>
                <w:smallCaps w:val="0"/>
              </w:rPr>
            </w:pPr>
            <w:r w:rsidRPr="00055111">
              <w:rPr>
                <w:rStyle w:val="FieldAllCaps"/>
                <w:rFonts w:ascii="Garamond" w:hAnsi="Garamond"/>
                <w:caps w:val="0"/>
                <w:smallCaps w:val="0"/>
              </w:rPr>
              <w:t>Supreme Court No. R–</w:t>
            </w:r>
            <w:r w:rsidR="00E80295" w:rsidRPr="00055111">
              <w:rPr>
                <w:rStyle w:val="FieldAllCaps"/>
                <w:rFonts w:ascii="Garamond" w:hAnsi="Garamond"/>
                <w:caps w:val="0"/>
                <w:smallCaps w:val="0"/>
              </w:rPr>
              <w:t>25-0016</w:t>
            </w:r>
          </w:p>
          <w:p w14:paraId="02DF6EDC" w14:textId="36352C29" w:rsidR="00FC354A" w:rsidRPr="00055111" w:rsidRDefault="00FC354A" w:rsidP="00FC354A">
            <w:pPr>
              <w:pStyle w:val="Caseinfo"/>
              <w:spacing w:line="240" w:lineRule="auto"/>
              <w:rPr>
                <w:rStyle w:val="FieldAllCaps"/>
                <w:rFonts w:ascii="Garamond" w:hAnsi="Garamond"/>
                <w:bCs w:val="0"/>
                <w:caps w:val="0"/>
                <w:smallCaps w:val="0"/>
              </w:rPr>
            </w:pPr>
          </w:p>
        </w:tc>
      </w:tr>
      <w:tr w:rsidR="00FC354A" w:rsidRPr="00055111" w14:paraId="6A907F92" w14:textId="77777777" w:rsidTr="00627B7A">
        <w:trPr>
          <w:cantSplit/>
          <w:trHeight w:val="282"/>
        </w:trPr>
        <w:tc>
          <w:tcPr>
            <w:tcW w:w="4590" w:type="dxa"/>
            <w:tcBorders>
              <w:top w:val="single" w:sz="6" w:space="0" w:color="auto"/>
            </w:tcBorders>
            <w:tcMar>
              <w:top w:w="0" w:type="dxa"/>
            </w:tcMar>
          </w:tcPr>
          <w:p w14:paraId="0ADDCA8B" w14:textId="77777777" w:rsidR="00FC354A" w:rsidRPr="00055111" w:rsidRDefault="00FC354A" w:rsidP="00627B7A">
            <w:pPr>
              <w:pStyle w:val="Zbasefontbody"/>
              <w:rPr>
                <w:rFonts w:ascii="Garamond" w:hAnsi="Garamond"/>
              </w:rPr>
            </w:pPr>
          </w:p>
        </w:tc>
        <w:tc>
          <w:tcPr>
            <w:tcW w:w="4770" w:type="dxa"/>
            <w:tcMar>
              <w:top w:w="0" w:type="dxa"/>
            </w:tcMar>
          </w:tcPr>
          <w:p w14:paraId="79AFDBCF" w14:textId="77777777" w:rsidR="00FC354A" w:rsidRPr="00055111" w:rsidRDefault="00FC354A" w:rsidP="00627B7A">
            <w:pPr>
              <w:pStyle w:val="Zbasefontbody"/>
              <w:rPr>
                <w:rFonts w:ascii="Garamond" w:hAnsi="Garamond"/>
              </w:rPr>
            </w:pPr>
          </w:p>
        </w:tc>
      </w:tr>
    </w:tbl>
    <w:p w14:paraId="3F1ACE94" w14:textId="09D44B16" w:rsidR="00C473C4" w:rsidRPr="00055111" w:rsidRDefault="00C473C4" w:rsidP="00392B20">
      <w:pPr>
        <w:pBdr>
          <w:bottom w:val="double" w:sz="6" w:space="1" w:color="auto"/>
        </w:pBdr>
        <w:spacing w:after="0" w:line="240" w:lineRule="auto"/>
        <w:rPr>
          <w:rFonts w:ascii="Garamond" w:hAnsi="Garamond"/>
          <w:sz w:val="28"/>
          <w:szCs w:val="28"/>
        </w:rPr>
      </w:pPr>
    </w:p>
    <w:p w14:paraId="55F8911A" w14:textId="77777777" w:rsidR="000771F8" w:rsidRPr="00055111" w:rsidRDefault="000771F8" w:rsidP="00392B20">
      <w:pPr>
        <w:spacing w:after="0" w:line="240" w:lineRule="auto"/>
        <w:jc w:val="center"/>
        <w:rPr>
          <w:rStyle w:val="FieldAllCaps"/>
          <w:rFonts w:ascii="Garamond" w:hAnsi="Garamond"/>
          <w:b/>
          <w:bCs/>
          <w:caps w:val="0"/>
        </w:rPr>
      </w:pPr>
    </w:p>
    <w:p w14:paraId="5CCB99B3" w14:textId="0903C31D" w:rsidR="002D5698" w:rsidRPr="00055111" w:rsidRDefault="002D5698" w:rsidP="00392B20">
      <w:pPr>
        <w:spacing w:after="0" w:line="240" w:lineRule="auto"/>
        <w:jc w:val="center"/>
        <w:rPr>
          <w:rStyle w:val="FieldAllCaps"/>
          <w:rFonts w:ascii="Garamond" w:hAnsi="Garamond"/>
          <w:b/>
          <w:bCs/>
          <w:caps w:val="0"/>
          <w:smallCaps/>
        </w:rPr>
      </w:pPr>
      <w:r w:rsidRPr="00055111">
        <w:rPr>
          <w:rStyle w:val="FieldAllCaps"/>
          <w:rFonts w:ascii="Garamond" w:hAnsi="Garamond"/>
          <w:b/>
          <w:bCs/>
          <w:caps w:val="0"/>
          <w:smallCaps/>
        </w:rPr>
        <w:t>Comment of</w:t>
      </w:r>
      <w:r w:rsidR="000771F8" w:rsidRPr="00055111">
        <w:rPr>
          <w:rStyle w:val="FieldAllCaps"/>
          <w:rFonts w:ascii="Garamond" w:hAnsi="Garamond"/>
          <w:b/>
          <w:bCs/>
          <w:caps w:val="0"/>
          <w:smallCaps/>
        </w:rPr>
        <w:t xml:space="preserve"> the</w:t>
      </w:r>
      <w:r w:rsidRPr="00055111">
        <w:rPr>
          <w:rStyle w:val="FieldAllCaps"/>
          <w:rFonts w:ascii="Garamond" w:hAnsi="Garamond"/>
          <w:b/>
          <w:bCs/>
          <w:caps w:val="0"/>
          <w:smallCaps/>
        </w:rPr>
        <w:t xml:space="preserve"> Arizona Capital Representation Project, Phillips Black, Inc., Arizona Attorneys for Criminal Justice, and the </w:t>
      </w:r>
      <w:r w:rsidRPr="00055111">
        <w:rPr>
          <w:rFonts w:ascii="Garamond" w:hAnsi="Garamond"/>
          <w:b/>
          <w:bCs/>
          <w:smallCaps/>
          <w:sz w:val="28"/>
          <w:szCs w:val="28"/>
        </w:rPr>
        <w:t>Federal Public Defender for the District of Arizona</w:t>
      </w:r>
      <w:r w:rsidRPr="00055111">
        <w:rPr>
          <w:rStyle w:val="FieldAllCaps"/>
          <w:rFonts w:ascii="Garamond" w:hAnsi="Garamond"/>
          <w:b/>
          <w:bCs/>
          <w:caps w:val="0"/>
          <w:smallCaps/>
        </w:rPr>
        <w:t xml:space="preserve"> Regarding Petition to Amend </w:t>
      </w:r>
      <w:r w:rsidR="00392B20" w:rsidRPr="00055111">
        <w:rPr>
          <w:rStyle w:val="FieldAllCaps"/>
          <w:rFonts w:ascii="Garamond" w:hAnsi="Garamond"/>
          <w:b/>
          <w:bCs/>
          <w:caps w:val="0"/>
          <w:smallCaps/>
        </w:rPr>
        <w:t xml:space="preserve">Arizona </w:t>
      </w:r>
      <w:r w:rsidRPr="00055111">
        <w:rPr>
          <w:rStyle w:val="FieldAllCaps"/>
          <w:rFonts w:ascii="Garamond" w:hAnsi="Garamond"/>
          <w:b/>
          <w:bCs/>
          <w:caps w:val="0"/>
          <w:smallCaps/>
        </w:rPr>
        <w:t>Rule</w:t>
      </w:r>
      <w:r w:rsidR="00392B20" w:rsidRPr="00055111">
        <w:rPr>
          <w:rStyle w:val="FieldAllCaps"/>
          <w:rFonts w:ascii="Garamond" w:hAnsi="Garamond"/>
          <w:b/>
          <w:bCs/>
          <w:caps w:val="0"/>
          <w:smallCaps/>
        </w:rPr>
        <w:t xml:space="preserve"> of Criminal Procedure</w:t>
      </w:r>
      <w:r w:rsidRPr="00055111">
        <w:rPr>
          <w:rStyle w:val="FieldAllCaps"/>
          <w:rFonts w:ascii="Garamond" w:hAnsi="Garamond"/>
          <w:b/>
          <w:bCs/>
          <w:caps w:val="0"/>
          <w:smallCaps/>
        </w:rPr>
        <w:t xml:space="preserve"> 31.23</w:t>
      </w:r>
    </w:p>
    <w:p w14:paraId="40E9D3B6" w14:textId="77777777" w:rsidR="00392B20" w:rsidRPr="00055111" w:rsidRDefault="00392B20" w:rsidP="00392B20">
      <w:pPr>
        <w:pBdr>
          <w:bottom w:val="double" w:sz="6" w:space="1" w:color="auto"/>
        </w:pBdr>
        <w:spacing w:after="0" w:line="240" w:lineRule="auto"/>
        <w:rPr>
          <w:rFonts w:ascii="Garamond" w:hAnsi="Garamond"/>
          <w:sz w:val="28"/>
          <w:szCs w:val="28"/>
        </w:rPr>
      </w:pPr>
    </w:p>
    <w:p w14:paraId="0A9C0DF2" w14:textId="77777777" w:rsidR="00452365" w:rsidRPr="00055111" w:rsidRDefault="00452365" w:rsidP="0029482B">
      <w:pPr>
        <w:spacing w:after="0" w:line="480" w:lineRule="auto"/>
        <w:rPr>
          <w:rFonts w:ascii="Garamond" w:hAnsi="Garamond"/>
          <w:sz w:val="28"/>
          <w:szCs w:val="28"/>
        </w:rPr>
      </w:pPr>
    </w:p>
    <w:tbl>
      <w:tblPr>
        <w:tblStyle w:val="TableGrid"/>
        <w:tblW w:w="0" w:type="auto"/>
        <w:tblLook w:val="04A0" w:firstRow="1" w:lastRow="0" w:firstColumn="1" w:lastColumn="0" w:noHBand="0" w:noVBand="1"/>
      </w:tblPr>
      <w:tblGrid>
        <w:gridCol w:w="4675"/>
        <w:gridCol w:w="4675"/>
      </w:tblGrid>
      <w:tr w:rsidR="00452365" w:rsidRPr="00055111" w14:paraId="5B0166CD" w14:textId="77777777" w:rsidTr="000540CD">
        <w:tc>
          <w:tcPr>
            <w:tcW w:w="4675" w:type="dxa"/>
            <w:tcBorders>
              <w:top w:val="nil"/>
              <w:left w:val="nil"/>
              <w:bottom w:val="nil"/>
              <w:right w:val="nil"/>
            </w:tcBorders>
          </w:tcPr>
          <w:p w14:paraId="3B5976EF" w14:textId="77777777" w:rsidR="00452365" w:rsidRPr="00055111" w:rsidRDefault="00452365" w:rsidP="00452365">
            <w:pPr>
              <w:rPr>
                <w:rFonts w:ascii="Garamond" w:hAnsi="Garamond"/>
                <w:sz w:val="28"/>
                <w:szCs w:val="28"/>
              </w:rPr>
            </w:pPr>
            <w:r w:rsidRPr="00055111">
              <w:rPr>
                <w:rFonts w:ascii="Garamond" w:hAnsi="Garamond"/>
                <w:sz w:val="28"/>
                <w:szCs w:val="28"/>
              </w:rPr>
              <w:t>Amy Armstrong</w:t>
            </w:r>
          </w:p>
          <w:p w14:paraId="72347C86" w14:textId="77777777" w:rsidR="00452365" w:rsidRPr="00055111" w:rsidRDefault="00452365" w:rsidP="00452365">
            <w:pPr>
              <w:rPr>
                <w:rFonts w:ascii="Garamond" w:hAnsi="Garamond"/>
                <w:sz w:val="28"/>
                <w:szCs w:val="28"/>
              </w:rPr>
            </w:pPr>
            <w:r w:rsidRPr="00055111">
              <w:rPr>
                <w:rFonts w:ascii="Garamond" w:hAnsi="Garamond"/>
                <w:sz w:val="28"/>
                <w:szCs w:val="28"/>
              </w:rPr>
              <w:t>Sam Kooistra</w:t>
            </w:r>
            <w:r w:rsidRPr="00055111">
              <w:rPr>
                <w:rFonts w:ascii="Garamond" w:hAnsi="Garamond"/>
                <w:sz w:val="28"/>
                <w:szCs w:val="28"/>
              </w:rPr>
              <w:tab/>
            </w:r>
          </w:p>
          <w:p w14:paraId="629A0861" w14:textId="77777777" w:rsidR="00452365" w:rsidRPr="00055111" w:rsidRDefault="00452365" w:rsidP="00452365">
            <w:pPr>
              <w:rPr>
                <w:rFonts w:ascii="Garamond" w:hAnsi="Garamond"/>
                <w:b/>
                <w:bCs/>
                <w:sz w:val="28"/>
                <w:szCs w:val="28"/>
              </w:rPr>
            </w:pPr>
            <w:r w:rsidRPr="00055111">
              <w:rPr>
                <w:rFonts w:ascii="Garamond" w:hAnsi="Garamond"/>
                <w:b/>
                <w:bCs/>
                <w:sz w:val="28"/>
                <w:szCs w:val="28"/>
              </w:rPr>
              <w:t>Arizona Capital Representation Project</w:t>
            </w:r>
          </w:p>
          <w:p w14:paraId="4A405A10" w14:textId="77777777" w:rsidR="00452365" w:rsidRPr="00055111" w:rsidRDefault="00452365" w:rsidP="00452365">
            <w:pPr>
              <w:rPr>
                <w:rFonts w:ascii="Garamond" w:hAnsi="Garamond"/>
                <w:sz w:val="28"/>
                <w:szCs w:val="28"/>
              </w:rPr>
            </w:pPr>
            <w:r w:rsidRPr="00055111">
              <w:rPr>
                <w:rFonts w:ascii="Garamond" w:hAnsi="Garamond"/>
                <w:sz w:val="28"/>
                <w:szCs w:val="28"/>
              </w:rPr>
              <w:t xml:space="preserve">25 S. </w:t>
            </w:r>
            <w:proofErr w:type="spellStart"/>
            <w:r w:rsidRPr="00055111">
              <w:rPr>
                <w:rFonts w:ascii="Garamond" w:hAnsi="Garamond"/>
                <w:sz w:val="28"/>
                <w:szCs w:val="28"/>
              </w:rPr>
              <w:t>Grande</w:t>
            </w:r>
            <w:proofErr w:type="spellEnd"/>
            <w:r w:rsidRPr="00055111">
              <w:rPr>
                <w:rFonts w:ascii="Garamond" w:hAnsi="Garamond"/>
                <w:sz w:val="28"/>
                <w:szCs w:val="28"/>
              </w:rPr>
              <w:t xml:space="preserve"> Ave</w:t>
            </w:r>
          </w:p>
          <w:p w14:paraId="21CBF613" w14:textId="77777777" w:rsidR="00452365" w:rsidRPr="00055111" w:rsidRDefault="00452365" w:rsidP="00452365">
            <w:pPr>
              <w:rPr>
                <w:rFonts w:ascii="Garamond" w:hAnsi="Garamond"/>
                <w:sz w:val="28"/>
                <w:szCs w:val="28"/>
              </w:rPr>
            </w:pPr>
            <w:r w:rsidRPr="00055111">
              <w:rPr>
                <w:rFonts w:ascii="Garamond" w:hAnsi="Garamond"/>
                <w:sz w:val="28"/>
                <w:szCs w:val="28"/>
              </w:rPr>
              <w:t>Tucson, Arizona 85745</w:t>
            </w:r>
          </w:p>
          <w:p w14:paraId="28ABFDB6" w14:textId="77777777" w:rsidR="00452365" w:rsidRPr="00055111" w:rsidRDefault="00452365" w:rsidP="00452365">
            <w:pPr>
              <w:rPr>
                <w:rFonts w:ascii="Garamond" w:hAnsi="Garamond"/>
                <w:sz w:val="28"/>
                <w:szCs w:val="28"/>
              </w:rPr>
            </w:pPr>
            <w:r w:rsidRPr="00055111">
              <w:rPr>
                <w:rFonts w:ascii="Garamond" w:hAnsi="Garamond"/>
                <w:sz w:val="28"/>
                <w:szCs w:val="28"/>
              </w:rPr>
              <w:t>Phone (520) 229-8550</w:t>
            </w:r>
          </w:p>
          <w:p w14:paraId="6930FB8B" w14:textId="77777777" w:rsidR="00452365" w:rsidRPr="00055111" w:rsidRDefault="00452365" w:rsidP="00452365">
            <w:pPr>
              <w:rPr>
                <w:rFonts w:ascii="Garamond" w:hAnsi="Garamond"/>
                <w:sz w:val="28"/>
                <w:szCs w:val="28"/>
              </w:rPr>
            </w:pPr>
            <w:r w:rsidRPr="00055111">
              <w:rPr>
                <w:rFonts w:ascii="Garamond" w:hAnsi="Garamond"/>
                <w:sz w:val="28"/>
                <w:szCs w:val="28"/>
              </w:rPr>
              <w:t>amy@azcapitalproject.org</w:t>
            </w:r>
          </w:p>
          <w:p w14:paraId="172EE7D4" w14:textId="77777777" w:rsidR="00452365" w:rsidRPr="00055111" w:rsidRDefault="00452365" w:rsidP="00452365">
            <w:pPr>
              <w:rPr>
                <w:rFonts w:ascii="Garamond" w:hAnsi="Garamond"/>
                <w:sz w:val="28"/>
                <w:szCs w:val="28"/>
              </w:rPr>
            </w:pPr>
            <w:r w:rsidRPr="00055111">
              <w:rPr>
                <w:rFonts w:ascii="Garamond" w:hAnsi="Garamond"/>
                <w:sz w:val="28"/>
                <w:szCs w:val="28"/>
              </w:rPr>
              <w:t>Arizona State Bar No. 022795</w:t>
            </w:r>
          </w:p>
          <w:p w14:paraId="7D806BCE" w14:textId="77777777" w:rsidR="00452365" w:rsidRPr="00055111" w:rsidRDefault="00452365" w:rsidP="00452365">
            <w:pPr>
              <w:rPr>
                <w:rFonts w:ascii="Garamond" w:hAnsi="Garamond"/>
                <w:sz w:val="28"/>
                <w:szCs w:val="28"/>
              </w:rPr>
            </w:pPr>
            <w:r w:rsidRPr="00055111">
              <w:rPr>
                <w:rFonts w:ascii="Garamond" w:hAnsi="Garamond"/>
                <w:sz w:val="28"/>
                <w:szCs w:val="28"/>
              </w:rPr>
              <w:t>sam@azcapitalproject.org</w:t>
            </w:r>
          </w:p>
          <w:p w14:paraId="241C80B8" w14:textId="042F586C" w:rsidR="00452365" w:rsidRPr="00055111" w:rsidRDefault="00452365" w:rsidP="00452365">
            <w:pPr>
              <w:rPr>
                <w:rFonts w:ascii="Garamond" w:hAnsi="Garamond"/>
                <w:sz w:val="28"/>
                <w:szCs w:val="28"/>
              </w:rPr>
            </w:pPr>
            <w:r w:rsidRPr="00055111">
              <w:rPr>
                <w:rFonts w:ascii="Garamond" w:hAnsi="Garamond"/>
                <w:sz w:val="28"/>
                <w:szCs w:val="28"/>
              </w:rPr>
              <w:t>Arizona State Bar No. 032776</w:t>
            </w:r>
          </w:p>
        </w:tc>
        <w:tc>
          <w:tcPr>
            <w:tcW w:w="4675" w:type="dxa"/>
            <w:tcBorders>
              <w:top w:val="nil"/>
              <w:left w:val="nil"/>
              <w:bottom w:val="nil"/>
              <w:right w:val="nil"/>
            </w:tcBorders>
          </w:tcPr>
          <w:p w14:paraId="4E3B82C6" w14:textId="28ED36CD" w:rsidR="00757F35" w:rsidRPr="00055111" w:rsidRDefault="00757F35" w:rsidP="00757F35">
            <w:pPr>
              <w:rPr>
                <w:rFonts w:ascii="Garamond" w:hAnsi="Garamond"/>
                <w:sz w:val="28"/>
                <w:szCs w:val="28"/>
              </w:rPr>
            </w:pPr>
            <w:r w:rsidRPr="00757F35">
              <w:rPr>
                <w:rFonts w:ascii="Garamond" w:hAnsi="Garamond"/>
                <w:sz w:val="28"/>
                <w:szCs w:val="28"/>
              </w:rPr>
              <w:t>Amy Knight</w:t>
            </w:r>
          </w:p>
          <w:p w14:paraId="7ED8BD2E" w14:textId="2960B0CC" w:rsidR="00757F35" w:rsidRPr="00757F35" w:rsidRDefault="00757F35" w:rsidP="00757F35">
            <w:pPr>
              <w:rPr>
                <w:rFonts w:ascii="Garamond" w:hAnsi="Garamond"/>
                <w:sz w:val="28"/>
                <w:szCs w:val="28"/>
              </w:rPr>
            </w:pPr>
            <w:r w:rsidRPr="00055111">
              <w:rPr>
                <w:rFonts w:ascii="Garamond" w:hAnsi="Garamond"/>
                <w:sz w:val="28"/>
                <w:szCs w:val="28"/>
              </w:rPr>
              <w:t>John Mills</w:t>
            </w:r>
          </w:p>
          <w:p w14:paraId="00174F92" w14:textId="77777777" w:rsidR="00757F35" w:rsidRPr="00055111" w:rsidRDefault="00757F35" w:rsidP="00757F35">
            <w:pPr>
              <w:rPr>
                <w:rFonts w:ascii="Garamond" w:hAnsi="Garamond"/>
                <w:sz w:val="28"/>
                <w:szCs w:val="28"/>
              </w:rPr>
            </w:pPr>
            <w:r w:rsidRPr="00757F35">
              <w:rPr>
                <w:rFonts w:ascii="Garamond" w:hAnsi="Garamond"/>
                <w:b/>
                <w:bCs/>
                <w:sz w:val="28"/>
                <w:szCs w:val="28"/>
              </w:rPr>
              <w:t>Phillips Black, Inc</w:t>
            </w:r>
            <w:r w:rsidRPr="00757F35">
              <w:rPr>
                <w:rFonts w:ascii="Garamond" w:hAnsi="Garamond"/>
                <w:sz w:val="28"/>
                <w:szCs w:val="28"/>
              </w:rPr>
              <w:t>.</w:t>
            </w:r>
          </w:p>
          <w:p w14:paraId="23753596" w14:textId="1D0C68A5" w:rsidR="00757F35" w:rsidRPr="00757F35" w:rsidRDefault="00757F35" w:rsidP="00757F35">
            <w:pPr>
              <w:rPr>
                <w:rFonts w:ascii="Garamond" w:hAnsi="Garamond"/>
                <w:sz w:val="28"/>
                <w:szCs w:val="28"/>
              </w:rPr>
            </w:pPr>
            <w:r w:rsidRPr="00757F35">
              <w:rPr>
                <w:rFonts w:ascii="Garamond" w:hAnsi="Garamond"/>
                <w:sz w:val="28"/>
                <w:szCs w:val="28"/>
              </w:rPr>
              <w:t>1721 Broadway, Suite 201</w:t>
            </w:r>
          </w:p>
          <w:p w14:paraId="6295739D" w14:textId="77777777" w:rsidR="00757F35" w:rsidRPr="00757F35" w:rsidRDefault="00757F35" w:rsidP="00757F35">
            <w:pPr>
              <w:rPr>
                <w:rFonts w:ascii="Garamond" w:hAnsi="Garamond"/>
                <w:sz w:val="28"/>
                <w:szCs w:val="28"/>
              </w:rPr>
            </w:pPr>
            <w:r w:rsidRPr="00757F35">
              <w:rPr>
                <w:rFonts w:ascii="Garamond" w:hAnsi="Garamond"/>
                <w:sz w:val="28"/>
                <w:szCs w:val="28"/>
              </w:rPr>
              <w:t>Oakland, CA 94612</w:t>
            </w:r>
          </w:p>
          <w:p w14:paraId="1A8129C0" w14:textId="77777777" w:rsidR="00757F35" w:rsidRPr="00757F35" w:rsidRDefault="00757F35" w:rsidP="00757F35">
            <w:pPr>
              <w:rPr>
                <w:rFonts w:ascii="Garamond" w:hAnsi="Garamond"/>
                <w:sz w:val="28"/>
                <w:szCs w:val="28"/>
              </w:rPr>
            </w:pPr>
            <w:r w:rsidRPr="00757F35">
              <w:rPr>
                <w:rFonts w:ascii="Garamond" w:hAnsi="Garamond"/>
                <w:sz w:val="28"/>
                <w:szCs w:val="28"/>
              </w:rPr>
              <w:t>Tel: (520) 878-8849</w:t>
            </w:r>
          </w:p>
          <w:p w14:paraId="682B6AD0" w14:textId="25C569EC" w:rsidR="00757F35" w:rsidRPr="00757F35" w:rsidRDefault="00AE5A39" w:rsidP="00757F35">
            <w:pPr>
              <w:rPr>
                <w:rFonts w:ascii="Garamond" w:hAnsi="Garamond"/>
                <w:sz w:val="28"/>
                <w:szCs w:val="28"/>
              </w:rPr>
            </w:pPr>
            <w:hyperlink r:id="rId11" w:history="1">
              <w:r w:rsidRPr="00757F35">
                <w:rPr>
                  <w:rStyle w:val="Hyperlink"/>
                  <w:rFonts w:ascii="Garamond" w:hAnsi="Garamond"/>
                  <w:sz w:val="28"/>
                  <w:szCs w:val="28"/>
                </w:rPr>
                <w:t>a.knight@phillipsblack.org</w:t>
              </w:r>
            </w:hyperlink>
          </w:p>
          <w:p w14:paraId="64AD9303" w14:textId="77777777" w:rsidR="00757F35" w:rsidRPr="00055111" w:rsidRDefault="00757F35" w:rsidP="00757F35">
            <w:pPr>
              <w:rPr>
                <w:rFonts w:ascii="Garamond" w:hAnsi="Garamond"/>
                <w:sz w:val="28"/>
                <w:szCs w:val="28"/>
              </w:rPr>
            </w:pPr>
            <w:r w:rsidRPr="00757F35">
              <w:rPr>
                <w:rFonts w:ascii="Garamond" w:hAnsi="Garamond"/>
                <w:sz w:val="28"/>
                <w:szCs w:val="28"/>
              </w:rPr>
              <w:t>State Bar No. 031374</w:t>
            </w:r>
          </w:p>
          <w:p w14:paraId="1FEE1966" w14:textId="5848ADBB" w:rsidR="00A371BB" w:rsidRPr="00055111" w:rsidRDefault="00A371BB" w:rsidP="00757F35">
            <w:pPr>
              <w:rPr>
                <w:rFonts w:ascii="Garamond" w:hAnsi="Garamond"/>
                <w:sz w:val="28"/>
                <w:szCs w:val="28"/>
              </w:rPr>
            </w:pPr>
            <w:hyperlink r:id="rId12" w:history="1">
              <w:r w:rsidRPr="00055111">
                <w:rPr>
                  <w:rStyle w:val="Hyperlink"/>
                  <w:rFonts w:ascii="Garamond" w:hAnsi="Garamond"/>
                  <w:sz w:val="28"/>
                  <w:szCs w:val="28"/>
                </w:rPr>
                <w:t>j.mills@phillipsblack.org</w:t>
              </w:r>
            </w:hyperlink>
          </w:p>
          <w:p w14:paraId="7482DA66" w14:textId="39576F0A" w:rsidR="00452365" w:rsidRPr="00055111" w:rsidRDefault="00A371BB" w:rsidP="00FC5A5D">
            <w:pPr>
              <w:rPr>
                <w:rFonts w:ascii="Garamond" w:hAnsi="Garamond"/>
                <w:sz w:val="28"/>
                <w:szCs w:val="28"/>
              </w:rPr>
            </w:pPr>
            <w:r w:rsidRPr="00055111">
              <w:rPr>
                <w:rFonts w:ascii="Garamond" w:hAnsi="Garamond"/>
                <w:sz w:val="28"/>
                <w:szCs w:val="28"/>
              </w:rPr>
              <w:t xml:space="preserve">State Bar No. </w:t>
            </w:r>
            <w:r w:rsidR="00FC5A5D" w:rsidRPr="00055111">
              <w:rPr>
                <w:rFonts w:ascii="Garamond" w:hAnsi="Garamond"/>
                <w:sz w:val="28"/>
                <w:szCs w:val="28"/>
              </w:rPr>
              <w:t>033217</w:t>
            </w:r>
          </w:p>
        </w:tc>
      </w:tr>
      <w:tr w:rsidR="00452365" w:rsidRPr="00055111" w14:paraId="4D118051" w14:textId="77777777" w:rsidTr="000540CD">
        <w:tc>
          <w:tcPr>
            <w:tcW w:w="4675" w:type="dxa"/>
            <w:tcBorders>
              <w:top w:val="nil"/>
              <w:left w:val="nil"/>
              <w:bottom w:val="nil"/>
              <w:right w:val="nil"/>
            </w:tcBorders>
          </w:tcPr>
          <w:p w14:paraId="5E662153" w14:textId="77777777" w:rsidR="00E90600" w:rsidRPr="00055111" w:rsidRDefault="00E90600" w:rsidP="00E90600">
            <w:pPr>
              <w:rPr>
                <w:rFonts w:ascii="Garamond" w:hAnsi="Garamond"/>
                <w:sz w:val="28"/>
                <w:szCs w:val="28"/>
              </w:rPr>
            </w:pPr>
          </w:p>
          <w:p w14:paraId="4E0F3429" w14:textId="77777777" w:rsidR="00FA6688" w:rsidRPr="00FA6688" w:rsidRDefault="00FA6688" w:rsidP="00FA6688">
            <w:pPr>
              <w:rPr>
                <w:rFonts w:ascii="Garamond" w:hAnsi="Garamond"/>
                <w:b/>
                <w:bCs/>
                <w:sz w:val="28"/>
                <w:szCs w:val="28"/>
              </w:rPr>
            </w:pPr>
            <w:r w:rsidRPr="00FA6688">
              <w:rPr>
                <w:rFonts w:ascii="Garamond" w:hAnsi="Garamond"/>
                <w:b/>
                <w:bCs/>
                <w:sz w:val="28"/>
                <w:szCs w:val="28"/>
              </w:rPr>
              <w:t>Arizona Attorneys for Criminal Justice</w:t>
            </w:r>
          </w:p>
          <w:p w14:paraId="3850D6E5" w14:textId="77777777" w:rsidR="00FA6688" w:rsidRPr="00FA6688" w:rsidRDefault="00FA6688" w:rsidP="00FA6688">
            <w:pPr>
              <w:rPr>
                <w:rFonts w:ascii="Garamond" w:hAnsi="Garamond"/>
                <w:sz w:val="28"/>
                <w:szCs w:val="28"/>
              </w:rPr>
            </w:pPr>
            <w:r w:rsidRPr="00FA6688">
              <w:rPr>
                <w:rFonts w:ascii="Garamond" w:hAnsi="Garamond"/>
                <w:sz w:val="28"/>
                <w:szCs w:val="28"/>
              </w:rPr>
              <w:t xml:space="preserve">Molly P. </w:t>
            </w:r>
            <w:proofErr w:type="spellStart"/>
            <w:r w:rsidRPr="00FA6688">
              <w:rPr>
                <w:rFonts w:ascii="Garamond" w:hAnsi="Garamond"/>
                <w:sz w:val="28"/>
                <w:szCs w:val="28"/>
              </w:rPr>
              <w:t>Brizgys</w:t>
            </w:r>
            <w:proofErr w:type="spellEnd"/>
            <w:r w:rsidRPr="00FA6688">
              <w:rPr>
                <w:rFonts w:ascii="Garamond" w:hAnsi="Garamond"/>
                <w:sz w:val="28"/>
                <w:szCs w:val="28"/>
              </w:rPr>
              <w:t>, AZ Bar No. 029216</w:t>
            </w:r>
          </w:p>
          <w:p w14:paraId="1050EC68" w14:textId="77777777" w:rsidR="00FA6688" w:rsidRPr="00FA6688" w:rsidRDefault="00FA6688" w:rsidP="00FA6688">
            <w:pPr>
              <w:rPr>
                <w:rFonts w:ascii="Garamond" w:hAnsi="Garamond"/>
                <w:sz w:val="28"/>
                <w:szCs w:val="28"/>
              </w:rPr>
            </w:pPr>
            <w:r w:rsidRPr="00FA6688">
              <w:rPr>
                <w:rFonts w:ascii="Garamond" w:hAnsi="Garamond"/>
                <w:sz w:val="28"/>
                <w:szCs w:val="28"/>
              </w:rPr>
              <w:t>MITCHELL | STEIN | CAREY | CHAPMAN, PC</w:t>
            </w:r>
          </w:p>
          <w:p w14:paraId="0B8A03C3" w14:textId="77777777" w:rsidR="00FA6688" w:rsidRPr="00FA6688" w:rsidRDefault="00FA6688" w:rsidP="00FA6688">
            <w:pPr>
              <w:rPr>
                <w:rFonts w:ascii="Garamond" w:hAnsi="Garamond"/>
                <w:sz w:val="28"/>
                <w:szCs w:val="28"/>
              </w:rPr>
            </w:pPr>
            <w:r w:rsidRPr="00FA6688">
              <w:rPr>
                <w:rFonts w:ascii="Garamond" w:hAnsi="Garamond"/>
                <w:sz w:val="28"/>
                <w:szCs w:val="28"/>
              </w:rPr>
              <w:t>2600 N. Central Ave.</w:t>
            </w:r>
          </w:p>
          <w:p w14:paraId="48BF093C" w14:textId="77777777" w:rsidR="00FA6688" w:rsidRPr="00FA6688" w:rsidRDefault="00FA6688" w:rsidP="00FA6688">
            <w:pPr>
              <w:rPr>
                <w:rFonts w:ascii="Garamond" w:hAnsi="Garamond"/>
                <w:sz w:val="28"/>
                <w:szCs w:val="28"/>
              </w:rPr>
            </w:pPr>
            <w:r w:rsidRPr="00FA6688">
              <w:rPr>
                <w:rFonts w:ascii="Garamond" w:hAnsi="Garamond"/>
                <w:sz w:val="28"/>
                <w:szCs w:val="28"/>
              </w:rPr>
              <w:t>Suite 1000</w:t>
            </w:r>
          </w:p>
          <w:p w14:paraId="63D221E1" w14:textId="77777777" w:rsidR="00FA6688" w:rsidRPr="00FA6688" w:rsidRDefault="00FA6688" w:rsidP="00FA6688">
            <w:pPr>
              <w:rPr>
                <w:rFonts w:ascii="Garamond" w:hAnsi="Garamond"/>
                <w:sz w:val="28"/>
                <w:szCs w:val="28"/>
              </w:rPr>
            </w:pPr>
            <w:r w:rsidRPr="00FA6688">
              <w:rPr>
                <w:rFonts w:ascii="Garamond" w:hAnsi="Garamond"/>
                <w:sz w:val="28"/>
                <w:szCs w:val="28"/>
              </w:rPr>
              <w:t>Phoenix, AZ  85004</w:t>
            </w:r>
          </w:p>
          <w:p w14:paraId="0F6AA1D6" w14:textId="77777777" w:rsidR="00FA6688" w:rsidRPr="00FA6688" w:rsidRDefault="00FA6688" w:rsidP="00FA6688">
            <w:pPr>
              <w:rPr>
                <w:rFonts w:ascii="Garamond" w:hAnsi="Garamond"/>
                <w:sz w:val="28"/>
                <w:szCs w:val="28"/>
              </w:rPr>
            </w:pPr>
            <w:hyperlink r:id="rId13" w:tgtFrame="_blank" w:history="1">
              <w:r w:rsidRPr="00FA6688">
                <w:rPr>
                  <w:rStyle w:val="Hyperlink"/>
                  <w:rFonts w:ascii="Garamond" w:hAnsi="Garamond"/>
                  <w:sz w:val="28"/>
                  <w:szCs w:val="28"/>
                </w:rPr>
                <w:t>molly@mscclaw.com</w:t>
              </w:r>
            </w:hyperlink>
          </w:p>
          <w:p w14:paraId="5FD1A81A" w14:textId="217E8796" w:rsidR="00452365" w:rsidRPr="00055111" w:rsidRDefault="00452365" w:rsidP="0029482B">
            <w:pPr>
              <w:spacing w:line="480" w:lineRule="auto"/>
              <w:rPr>
                <w:rFonts w:ascii="Garamond" w:hAnsi="Garamond"/>
                <w:sz w:val="28"/>
                <w:szCs w:val="28"/>
              </w:rPr>
            </w:pPr>
          </w:p>
        </w:tc>
        <w:tc>
          <w:tcPr>
            <w:tcW w:w="4675" w:type="dxa"/>
            <w:tcBorders>
              <w:top w:val="nil"/>
              <w:left w:val="nil"/>
              <w:bottom w:val="nil"/>
              <w:right w:val="nil"/>
            </w:tcBorders>
          </w:tcPr>
          <w:p w14:paraId="599CBABC" w14:textId="77777777" w:rsidR="00E90600" w:rsidRPr="00055111" w:rsidRDefault="00E90600" w:rsidP="004C6A65">
            <w:pPr>
              <w:rPr>
                <w:rFonts w:ascii="Garamond" w:hAnsi="Garamond"/>
                <w:sz w:val="28"/>
                <w:szCs w:val="28"/>
              </w:rPr>
            </w:pPr>
          </w:p>
          <w:p w14:paraId="092AE14A" w14:textId="0F195348" w:rsidR="00452365" w:rsidRPr="00055111" w:rsidRDefault="00452365" w:rsidP="004C6A65">
            <w:pPr>
              <w:rPr>
                <w:rFonts w:ascii="Garamond" w:hAnsi="Garamond"/>
                <w:sz w:val="28"/>
                <w:szCs w:val="28"/>
              </w:rPr>
            </w:pPr>
            <w:r w:rsidRPr="00055111">
              <w:rPr>
                <w:rFonts w:ascii="Garamond" w:hAnsi="Garamond"/>
                <w:sz w:val="28"/>
                <w:szCs w:val="28"/>
              </w:rPr>
              <w:t>Jon M. Sands </w:t>
            </w:r>
            <w:r w:rsidRPr="00055111">
              <w:rPr>
                <w:rFonts w:ascii="Garamond" w:hAnsi="Garamond"/>
                <w:sz w:val="28"/>
                <w:szCs w:val="28"/>
              </w:rPr>
              <w:br/>
            </w:r>
            <w:r w:rsidRPr="00055111">
              <w:rPr>
                <w:rFonts w:ascii="Garamond" w:hAnsi="Garamond"/>
                <w:b/>
                <w:bCs/>
                <w:sz w:val="28"/>
                <w:szCs w:val="28"/>
              </w:rPr>
              <w:t>Federal Public Defender – District of Arizona</w:t>
            </w:r>
            <w:r w:rsidRPr="00055111">
              <w:rPr>
                <w:rFonts w:ascii="Garamond" w:hAnsi="Garamond"/>
                <w:sz w:val="28"/>
                <w:szCs w:val="28"/>
              </w:rPr>
              <w:t> </w:t>
            </w:r>
            <w:r w:rsidRPr="00055111">
              <w:rPr>
                <w:rFonts w:ascii="Garamond" w:hAnsi="Garamond"/>
                <w:sz w:val="28"/>
                <w:szCs w:val="28"/>
              </w:rPr>
              <w:br/>
              <w:t>Jennifer Y. Garcia (Arizona Bar No. 021782) </w:t>
            </w:r>
            <w:r w:rsidRPr="00055111">
              <w:rPr>
                <w:rFonts w:ascii="Garamond" w:hAnsi="Garamond"/>
                <w:sz w:val="28"/>
                <w:szCs w:val="28"/>
              </w:rPr>
              <w:br/>
              <w:t>250 North Seventh Ave., Suite 600</w:t>
            </w:r>
            <w:r w:rsidRPr="00055111">
              <w:rPr>
                <w:rFonts w:ascii="Garamond" w:hAnsi="Garamond"/>
                <w:sz w:val="28"/>
                <w:szCs w:val="28"/>
              </w:rPr>
              <w:br/>
              <w:t>Phoenix, Arizona 85007 </w:t>
            </w:r>
            <w:r w:rsidRPr="00055111">
              <w:rPr>
                <w:rFonts w:ascii="Garamond" w:hAnsi="Garamond"/>
                <w:sz w:val="28"/>
                <w:szCs w:val="28"/>
              </w:rPr>
              <w:br/>
              <w:t>Telephone </w:t>
            </w:r>
            <w:hyperlink r:id="rId14" w:tgtFrame="_blank" w:history="1">
              <w:r w:rsidRPr="00055111">
                <w:rPr>
                  <w:rStyle w:val="Hyperlink"/>
                  <w:rFonts w:ascii="Garamond" w:hAnsi="Garamond"/>
                  <w:sz w:val="28"/>
                  <w:szCs w:val="28"/>
                </w:rPr>
                <w:t>(602) 382-2816</w:t>
              </w:r>
            </w:hyperlink>
            <w:r w:rsidRPr="00055111">
              <w:rPr>
                <w:rFonts w:ascii="Garamond" w:hAnsi="Garamond"/>
                <w:sz w:val="28"/>
                <w:szCs w:val="28"/>
              </w:rPr>
              <w:br/>
              <w:t>Facsimile </w:t>
            </w:r>
            <w:hyperlink r:id="rId15" w:tgtFrame="_blank" w:history="1">
              <w:r w:rsidRPr="00055111">
                <w:rPr>
                  <w:rStyle w:val="Hyperlink"/>
                  <w:rFonts w:ascii="Garamond" w:hAnsi="Garamond"/>
                  <w:sz w:val="28"/>
                  <w:szCs w:val="28"/>
                </w:rPr>
                <w:t>(602) 889-3960</w:t>
              </w:r>
            </w:hyperlink>
            <w:r w:rsidRPr="00055111">
              <w:rPr>
                <w:rFonts w:ascii="Garamond" w:hAnsi="Garamond"/>
                <w:sz w:val="28"/>
                <w:szCs w:val="28"/>
              </w:rPr>
              <w:br/>
            </w:r>
            <w:hyperlink r:id="rId16" w:tgtFrame="_blank" w:history="1">
              <w:r w:rsidRPr="00055111">
                <w:rPr>
                  <w:rStyle w:val="Hyperlink"/>
                  <w:rFonts w:ascii="Garamond" w:hAnsi="Garamond"/>
                  <w:sz w:val="28"/>
                  <w:szCs w:val="28"/>
                </w:rPr>
                <w:t>jennifer_garcia@fd.org</w:t>
              </w:r>
            </w:hyperlink>
          </w:p>
        </w:tc>
      </w:tr>
      <w:tr w:rsidR="000540CD" w:rsidRPr="00055111" w14:paraId="34134D57" w14:textId="77777777" w:rsidTr="000540CD">
        <w:tc>
          <w:tcPr>
            <w:tcW w:w="9350" w:type="dxa"/>
            <w:gridSpan w:val="2"/>
            <w:tcBorders>
              <w:top w:val="nil"/>
              <w:left w:val="nil"/>
              <w:bottom w:val="nil"/>
              <w:right w:val="nil"/>
            </w:tcBorders>
          </w:tcPr>
          <w:p w14:paraId="154FDE64" w14:textId="07821459" w:rsidR="000540CD" w:rsidRPr="00055111" w:rsidRDefault="000540CD" w:rsidP="00E90600">
            <w:pPr>
              <w:jc w:val="center"/>
              <w:rPr>
                <w:rFonts w:ascii="Garamond" w:hAnsi="Garamond"/>
                <w:sz w:val="28"/>
                <w:szCs w:val="28"/>
              </w:rPr>
            </w:pPr>
            <w:r w:rsidRPr="00055111">
              <w:rPr>
                <w:rFonts w:ascii="Garamond" w:hAnsi="Garamond"/>
                <w:sz w:val="28"/>
                <w:szCs w:val="28"/>
              </w:rPr>
              <w:t>Counsel for Commenters</w:t>
            </w:r>
          </w:p>
        </w:tc>
      </w:tr>
    </w:tbl>
    <w:p w14:paraId="27093A11" w14:textId="775F539E" w:rsidR="00FA7344" w:rsidRPr="00055111" w:rsidRDefault="00425B60" w:rsidP="0029482B">
      <w:pPr>
        <w:spacing w:after="0" w:line="480" w:lineRule="auto"/>
        <w:rPr>
          <w:rFonts w:ascii="Garamond" w:hAnsi="Garamond"/>
          <w:sz w:val="28"/>
          <w:szCs w:val="28"/>
        </w:rPr>
      </w:pPr>
      <w:r w:rsidRPr="00055111">
        <w:rPr>
          <w:rFonts w:ascii="Garamond" w:hAnsi="Garamond"/>
          <w:sz w:val="28"/>
          <w:szCs w:val="28"/>
        </w:rPr>
        <w:lastRenderedPageBreak/>
        <w:tab/>
      </w:r>
      <w:r w:rsidR="00E170F6" w:rsidRPr="00055111">
        <w:rPr>
          <w:rFonts w:ascii="Garamond" w:hAnsi="Garamond"/>
          <w:sz w:val="28"/>
          <w:szCs w:val="28"/>
        </w:rPr>
        <w:t>Pursuant to Rule 28</w:t>
      </w:r>
      <w:r w:rsidR="00FA3E49" w:rsidRPr="00055111">
        <w:rPr>
          <w:rFonts w:ascii="Garamond" w:hAnsi="Garamond"/>
          <w:sz w:val="28"/>
          <w:szCs w:val="28"/>
        </w:rPr>
        <w:t>(e)</w:t>
      </w:r>
      <w:r w:rsidR="00E170F6" w:rsidRPr="00055111">
        <w:rPr>
          <w:rFonts w:ascii="Garamond" w:hAnsi="Garamond"/>
          <w:sz w:val="28"/>
          <w:szCs w:val="28"/>
        </w:rPr>
        <w:t xml:space="preserve"> of the Rules of the Arizona Supreme Court</w:t>
      </w:r>
      <w:r w:rsidR="00FA3E49" w:rsidRPr="00055111">
        <w:rPr>
          <w:rFonts w:ascii="Garamond" w:hAnsi="Garamond"/>
          <w:sz w:val="28"/>
          <w:szCs w:val="28"/>
        </w:rPr>
        <w:t xml:space="preserve"> and this </w:t>
      </w:r>
      <w:r w:rsidR="00B12D6F" w:rsidRPr="00055111">
        <w:rPr>
          <w:rFonts w:ascii="Garamond" w:hAnsi="Garamond"/>
          <w:sz w:val="28"/>
          <w:szCs w:val="28"/>
        </w:rPr>
        <w:t xml:space="preserve">Court’s order of </w:t>
      </w:r>
      <w:r w:rsidR="00694B62" w:rsidRPr="00055111">
        <w:rPr>
          <w:rFonts w:ascii="Garamond" w:hAnsi="Garamond"/>
          <w:sz w:val="28"/>
          <w:szCs w:val="28"/>
        </w:rPr>
        <w:t xml:space="preserve">January </w:t>
      </w:r>
      <w:r w:rsidR="00D86CA1" w:rsidRPr="00055111">
        <w:rPr>
          <w:rFonts w:ascii="Garamond" w:hAnsi="Garamond"/>
          <w:sz w:val="28"/>
          <w:szCs w:val="28"/>
        </w:rPr>
        <w:t xml:space="preserve">21, 2025, </w:t>
      </w:r>
      <w:r w:rsidR="000A012A" w:rsidRPr="00055111">
        <w:rPr>
          <w:rFonts w:ascii="Garamond" w:hAnsi="Garamond"/>
          <w:sz w:val="28"/>
          <w:szCs w:val="28"/>
        </w:rPr>
        <w:t>the Arizona Capital Representation Project (“ACRP”)</w:t>
      </w:r>
      <w:r w:rsidR="00240E0D" w:rsidRPr="00055111">
        <w:rPr>
          <w:rFonts w:ascii="Garamond" w:hAnsi="Garamond"/>
          <w:sz w:val="28"/>
          <w:szCs w:val="28"/>
        </w:rPr>
        <w:t xml:space="preserve">, </w:t>
      </w:r>
      <w:r w:rsidR="00BB0FCE" w:rsidRPr="00055111">
        <w:rPr>
          <w:rFonts w:ascii="Garamond" w:hAnsi="Garamond"/>
          <w:sz w:val="28"/>
          <w:szCs w:val="28"/>
        </w:rPr>
        <w:t>Phillips Black, Inc.</w:t>
      </w:r>
      <w:r w:rsidR="001C1CF1" w:rsidRPr="00055111">
        <w:rPr>
          <w:rFonts w:ascii="Garamond" w:hAnsi="Garamond"/>
          <w:sz w:val="28"/>
          <w:szCs w:val="28"/>
        </w:rPr>
        <w:t>,</w:t>
      </w:r>
      <w:r w:rsidR="00BB0FCE" w:rsidRPr="00055111">
        <w:rPr>
          <w:rFonts w:ascii="Garamond" w:hAnsi="Garamond"/>
          <w:sz w:val="28"/>
          <w:szCs w:val="28"/>
        </w:rPr>
        <w:t xml:space="preserve"> </w:t>
      </w:r>
      <w:r w:rsidR="00D531AF" w:rsidRPr="00055111">
        <w:rPr>
          <w:rFonts w:ascii="Garamond" w:hAnsi="Garamond"/>
          <w:sz w:val="28"/>
          <w:szCs w:val="28"/>
        </w:rPr>
        <w:t>Arizona Attorneys for Criminal Justice (“AACJ”)</w:t>
      </w:r>
      <w:r w:rsidR="006A1AF6" w:rsidRPr="00055111">
        <w:rPr>
          <w:rFonts w:ascii="Garamond" w:hAnsi="Garamond"/>
          <w:sz w:val="28"/>
          <w:szCs w:val="28"/>
        </w:rPr>
        <w:t xml:space="preserve">, and the Federal Public Defender for the District of Arizona (“FPD”) </w:t>
      </w:r>
      <w:r w:rsidR="00240E0D" w:rsidRPr="00055111">
        <w:rPr>
          <w:rFonts w:ascii="Garamond" w:hAnsi="Garamond"/>
          <w:sz w:val="28"/>
          <w:szCs w:val="28"/>
        </w:rPr>
        <w:t>(collectively “</w:t>
      </w:r>
      <w:r w:rsidR="00AE2712" w:rsidRPr="00055111">
        <w:rPr>
          <w:rFonts w:ascii="Garamond" w:hAnsi="Garamond"/>
          <w:sz w:val="28"/>
          <w:szCs w:val="28"/>
        </w:rPr>
        <w:t>Commenters</w:t>
      </w:r>
      <w:r w:rsidR="00240E0D" w:rsidRPr="00055111">
        <w:rPr>
          <w:rFonts w:ascii="Garamond" w:hAnsi="Garamond"/>
          <w:sz w:val="28"/>
          <w:szCs w:val="28"/>
        </w:rPr>
        <w:t>”)</w:t>
      </w:r>
      <w:r w:rsidR="000A012A" w:rsidRPr="00055111">
        <w:rPr>
          <w:rFonts w:ascii="Garamond" w:hAnsi="Garamond"/>
          <w:sz w:val="28"/>
          <w:szCs w:val="28"/>
        </w:rPr>
        <w:t xml:space="preserve"> submit</w:t>
      </w:r>
      <w:r w:rsidR="001C1CF1" w:rsidRPr="00055111">
        <w:rPr>
          <w:rFonts w:ascii="Garamond" w:hAnsi="Garamond"/>
          <w:sz w:val="28"/>
          <w:szCs w:val="28"/>
        </w:rPr>
        <w:t xml:space="preserve"> </w:t>
      </w:r>
      <w:r w:rsidR="00D86CA1" w:rsidRPr="00055111">
        <w:rPr>
          <w:rFonts w:ascii="Garamond" w:hAnsi="Garamond"/>
          <w:sz w:val="28"/>
          <w:szCs w:val="28"/>
        </w:rPr>
        <w:t xml:space="preserve">the following </w:t>
      </w:r>
      <w:r w:rsidR="001752B2" w:rsidRPr="00055111">
        <w:rPr>
          <w:rFonts w:ascii="Garamond" w:hAnsi="Garamond"/>
          <w:sz w:val="28"/>
          <w:szCs w:val="28"/>
        </w:rPr>
        <w:t xml:space="preserve">comment </w:t>
      </w:r>
      <w:r w:rsidR="00C828DD" w:rsidRPr="00055111">
        <w:rPr>
          <w:rFonts w:ascii="Garamond" w:hAnsi="Garamond"/>
          <w:sz w:val="28"/>
          <w:szCs w:val="28"/>
        </w:rPr>
        <w:t>opposing</w:t>
      </w:r>
      <w:r w:rsidR="001752B2" w:rsidRPr="00055111">
        <w:rPr>
          <w:rFonts w:ascii="Garamond" w:hAnsi="Garamond"/>
          <w:sz w:val="28"/>
          <w:szCs w:val="28"/>
        </w:rPr>
        <w:t xml:space="preserve"> the above referenced petition (“</w:t>
      </w:r>
      <w:r w:rsidR="00320585" w:rsidRPr="00055111">
        <w:rPr>
          <w:rFonts w:ascii="Garamond" w:hAnsi="Garamond"/>
          <w:sz w:val="28"/>
          <w:szCs w:val="28"/>
        </w:rPr>
        <w:t>P</w:t>
      </w:r>
      <w:r w:rsidR="001752B2" w:rsidRPr="00055111">
        <w:rPr>
          <w:rFonts w:ascii="Garamond" w:hAnsi="Garamond"/>
          <w:sz w:val="28"/>
          <w:szCs w:val="28"/>
        </w:rPr>
        <w:t xml:space="preserve">etition”) </w:t>
      </w:r>
      <w:r w:rsidR="00320585" w:rsidRPr="00055111">
        <w:rPr>
          <w:rFonts w:ascii="Garamond" w:hAnsi="Garamond"/>
          <w:sz w:val="28"/>
          <w:szCs w:val="28"/>
        </w:rPr>
        <w:t>submitted by</w:t>
      </w:r>
      <w:r w:rsidR="00A40533" w:rsidRPr="00055111">
        <w:rPr>
          <w:rFonts w:ascii="Garamond" w:hAnsi="Garamond"/>
          <w:sz w:val="28"/>
          <w:szCs w:val="28"/>
        </w:rPr>
        <w:t xml:space="preserve"> Jason Lewis, Section Chief of the Capital Litigation Unit of the Attorney General’s Office</w:t>
      </w:r>
      <w:r w:rsidR="00567D9F" w:rsidRPr="00055111">
        <w:rPr>
          <w:rFonts w:ascii="Garamond" w:hAnsi="Garamond"/>
          <w:sz w:val="28"/>
          <w:szCs w:val="28"/>
        </w:rPr>
        <w:t xml:space="preserve"> (“Petitioner”)</w:t>
      </w:r>
      <w:r w:rsidR="00A40533" w:rsidRPr="00055111">
        <w:rPr>
          <w:rFonts w:ascii="Garamond" w:hAnsi="Garamond"/>
          <w:sz w:val="28"/>
          <w:szCs w:val="28"/>
        </w:rPr>
        <w:t>.</w:t>
      </w:r>
    </w:p>
    <w:p w14:paraId="5E2817D5" w14:textId="14B4BE93" w:rsidR="000A012A" w:rsidRPr="00055111" w:rsidRDefault="00425B60" w:rsidP="0029482B">
      <w:pPr>
        <w:spacing w:after="0" w:line="480" w:lineRule="auto"/>
        <w:rPr>
          <w:rFonts w:ascii="Garamond" w:hAnsi="Garamond"/>
          <w:sz w:val="28"/>
          <w:szCs w:val="28"/>
        </w:rPr>
      </w:pPr>
      <w:r w:rsidRPr="00055111">
        <w:rPr>
          <w:rFonts w:ascii="Garamond" w:hAnsi="Garamond"/>
          <w:sz w:val="28"/>
          <w:szCs w:val="28"/>
        </w:rPr>
        <w:tab/>
      </w:r>
      <w:r w:rsidR="000A012A" w:rsidRPr="00055111">
        <w:rPr>
          <w:rFonts w:ascii="Garamond" w:hAnsi="Garamond"/>
          <w:sz w:val="28"/>
          <w:szCs w:val="28"/>
        </w:rPr>
        <w:t xml:space="preserve">ACRP is a non-profit </w:t>
      </w:r>
      <w:r w:rsidR="00016363" w:rsidRPr="00055111">
        <w:rPr>
          <w:rFonts w:ascii="Garamond" w:hAnsi="Garamond"/>
          <w:sz w:val="28"/>
          <w:szCs w:val="28"/>
        </w:rPr>
        <w:t xml:space="preserve">legal services </w:t>
      </w:r>
      <w:r w:rsidR="000A012A" w:rsidRPr="00055111">
        <w:rPr>
          <w:rFonts w:ascii="Garamond" w:hAnsi="Garamond"/>
          <w:sz w:val="28"/>
          <w:szCs w:val="28"/>
        </w:rPr>
        <w:t>organization that represents capital defendants and provides training and consultation to teams defending capital clients throughout the State of Arizona. ACRP’s mission is to improve the quality of representation afforded to capital defendants in Arizona.</w:t>
      </w:r>
      <w:r w:rsidR="00CB31B3" w:rsidRPr="00055111">
        <w:rPr>
          <w:rFonts w:ascii="Garamond" w:hAnsi="Garamond"/>
          <w:sz w:val="28"/>
          <w:szCs w:val="28"/>
        </w:rPr>
        <w:t xml:space="preserve"> As is relevant to the current Petition, ACRP attorneys have served as counsel or advisory </w:t>
      </w:r>
      <w:proofErr w:type="spellStart"/>
      <w:r w:rsidR="00CB31B3" w:rsidRPr="00055111">
        <w:rPr>
          <w:rFonts w:ascii="Garamond" w:hAnsi="Garamond"/>
          <w:sz w:val="28"/>
          <w:szCs w:val="28"/>
        </w:rPr>
        <w:t>counsel</w:t>
      </w:r>
      <w:proofErr w:type="spellEnd"/>
      <w:r w:rsidR="00CB31B3" w:rsidRPr="00055111">
        <w:rPr>
          <w:rFonts w:ascii="Garamond" w:hAnsi="Garamond"/>
          <w:sz w:val="28"/>
          <w:szCs w:val="28"/>
        </w:rPr>
        <w:t xml:space="preserve"> for defendants in two of the four executions conducted by the State since 2022.</w:t>
      </w:r>
    </w:p>
    <w:p w14:paraId="2BFF20CA" w14:textId="569A9361" w:rsidR="00193E99" w:rsidRPr="00055111" w:rsidRDefault="00193E99" w:rsidP="00AA2A58">
      <w:pPr>
        <w:spacing w:after="0" w:line="480" w:lineRule="auto"/>
        <w:rPr>
          <w:rFonts w:ascii="Garamond" w:hAnsi="Garamond"/>
          <w:sz w:val="28"/>
          <w:szCs w:val="28"/>
        </w:rPr>
      </w:pPr>
      <w:r w:rsidRPr="00055111">
        <w:rPr>
          <w:rFonts w:ascii="Garamond" w:hAnsi="Garamond"/>
          <w:sz w:val="28"/>
          <w:szCs w:val="28"/>
        </w:rPr>
        <w:tab/>
        <w:t>Phillips Black, Inc. is a national nonprofit law practice dedicated to providing the highest quality of legal representation to prisoners in the United States sentenced to the severest penalties under the law. Its attorneys have extensive experience litigating cases facing imminent execution nationwide, including in Arizona, where they represent 17 of the 111 persons currently sentenced to be executed.</w:t>
      </w:r>
    </w:p>
    <w:p w14:paraId="56F53275" w14:textId="0DF8E8E1" w:rsidR="00DC03ED" w:rsidRPr="00055111" w:rsidRDefault="00B80622" w:rsidP="00AA2A58">
      <w:pPr>
        <w:spacing w:after="0" w:line="480" w:lineRule="auto"/>
        <w:rPr>
          <w:rFonts w:ascii="Garamond" w:hAnsi="Garamond"/>
          <w:sz w:val="28"/>
          <w:szCs w:val="28"/>
        </w:rPr>
      </w:pPr>
      <w:r w:rsidRPr="00055111">
        <w:rPr>
          <w:rFonts w:ascii="Garamond" w:hAnsi="Garamond"/>
          <w:sz w:val="28"/>
          <w:szCs w:val="28"/>
        </w:rPr>
        <w:tab/>
      </w:r>
      <w:r w:rsidR="00D531AF" w:rsidRPr="00055111">
        <w:rPr>
          <w:rFonts w:ascii="Garamond" w:hAnsi="Garamond"/>
          <w:sz w:val="28"/>
          <w:szCs w:val="28"/>
        </w:rPr>
        <w:t>AACJ, the Arizona state affiliate of the National Association of Criminal Defense Lawyers, was founded in 1986 to give a voice to the rights of the criminally accused and to those attorneys who defend them.</w:t>
      </w:r>
      <w:r w:rsidR="00D531AF" w:rsidRPr="00055111">
        <w:rPr>
          <w:rFonts w:ascii="Garamond" w:hAnsi="Garamond" w:cs="TimesNewRomanPS-BoldMT"/>
          <w:b/>
          <w:bCs/>
          <w:sz w:val="28"/>
          <w:szCs w:val="28"/>
        </w:rPr>
        <w:t xml:space="preserve"> </w:t>
      </w:r>
      <w:r w:rsidR="00D531AF" w:rsidRPr="00055111">
        <w:rPr>
          <w:rFonts w:ascii="Garamond" w:hAnsi="Garamond" w:cs="TimesNewRomanPS-BoldMT"/>
          <w:sz w:val="28"/>
          <w:szCs w:val="28"/>
        </w:rPr>
        <w:t xml:space="preserve">One of </w:t>
      </w:r>
      <w:r w:rsidR="00D531AF" w:rsidRPr="00055111">
        <w:rPr>
          <w:rFonts w:ascii="Garamond" w:hAnsi="Garamond"/>
          <w:sz w:val="28"/>
          <w:szCs w:val="28"/>
        </w:rPr>
        <w:t xml:space="preserve">AACJ’s specific purposes is </w:t>
      </w:r>
      <w:r w:rsidR="00D531AF" w:rsidRPr="00055111">
        <w:rPr>
          <w:rFonts w:ascii="Garamond" w:hAnsi="Garamond"/>
          <w:sz w:val="28"/>
          <w:szCs w:val="28"/>
        </w:rPr>
        <w:lastRenderedPageBreak/>
        <w:t xml:space="preserve">to protect and </w:t>
      </w:r>
      <w:r w:rsidR="006A0675" w:rsidRPr="00055111">
        <w:rPr>
          <w:rFonts w:ascii="Garamond" w:hAnsi="Garamond"/>
          <w:sz w:val="28"/>
          <w:szCs w:val="28"/>
        </w:rPr>
        <w:t>e</w:t>
      </w:r>
      <w:r w:rsidR="00D531AF" w:rsidRPr="00055111">
        <w:rPr>
          <w:rFonts w:ascii="Garamond" w:hAnsi="Garamond"/>
          <w:sz w:val="28"/>
          <w:szCs w:val="28"/>
        </w:rPr>
        <w:t>nsure by rule of law those individual rights guaranteed to all people, rich and poor alike, by the Arizona and Federal Constitutions, and to resist all efforts made to curtail such rights.</w:t>
      </w:r>
    </w:p>
    <w:p w14:paraId="25AB2413" w14:textId="5B5BC53C" w:rsidR="002B490C" w:rsidRPr="00055111" w:rsidRDefault="002B490C" w:rsidP="00AA2A58">
      <w:pPr>
        <w:spacing w:after="0" w:line="480" w:lineRule="auto"/>
        <w:rPr>
          <w:rFonts w:ascii="Garamond" w:hAnsi="Garamond"/>
          <w:sz w:val="28"/>
          <w:szCs w:val="28"/>
        </w:rPr>
      </w:pPr>
      <w:r w:rsidRPr="00055111">
        <w:rPr>
          <w:rFonts w:ascii="Garamond" w:hAnsi="Garamond"/>
          <w:sz w:val="28"/>
          <w:szCs w:val="28"/>
        </w:rPr>
        <w:tab/>
      </w:r>
      <w:r w:rsidR="00AA2A58" w:rsidRPr="00055111">
        <w:rPr>
          <w:rFonts w:ascii="Garamond" w:hAnsi="Garamond"/>
          <w:sz w:val="28"/>
          <w:szCs w:val="28"/>
        </w:rPr>
        <w:t xml:space="preserve">The FPD represents condemned Arizona prisoners in federal habeas proceedings and collateral litigation, including before this Court related to execution warrants. The FPD’s mission is to protect the rights of its clients and ensure that their sentences are carried out in compliance with the United States and Arizona Constitutions. As counsel for most of the Arizona prisoners presently subject to </w:t>
      </w:r>
      <w:r w:rsidR="00D54D34" w:rsidRPr="00055111">
        <w:rPr>
          <w:rFonts w:ascii="Garamond" w:hAnsi="Garamond"/>
          <w:sz w:val="28"/>
          <w:szCs w:val="28"/>
        </w:rPr>
        <w:t xml:space="preserve">death </w:t>
      </w:r>
      <w:r w:rsidR="00AA2A58" w:rsidRPr="00055111">
        <w:rPr>
          <w:rFonts w:ascii="Garamond" w:hAnsi="Garamond"/>
          <w:sz w:val="28"/>
          <w:szCs w:val="28"/>
        </w:rPr>
        <w:t>sentences, the FPD has a strong interest in the outcome of this rule change petition</w:t>
      </w:r>
    </w:p>
    <w:p w14:paraId="33DE7454" w14:textId="6B4250C9" w:rsidR="00C1488D" w:rsidRPr="00055111" w:rsidRDefault="00C1488D" w:rsidP="00C1488D">
      <w:pPr>
        <w:pStyle w:val="Heading1"/>
      </w:pPr>
      <w:r w:rsidRPr="00055111">
        <w:t>I.</w:t>
      </w:r>
      <w:r w:rsidRPr="00055111">
        <w:tab/>
        <w:t>Introduction</w:t>
      </w:r>
    </w:p>
    <w:p w14:paraId="5ED9FC2B" w14:textId="77777777" w:rsidR="00C1488D" w:rsidRPr="00055111" w:rsidRDefault="00C1488D" w:rsidP="00C1488D">
      <w:pPr>
        <w:spacing w:after="0" w:line="240" w:lineRule="auto"/>
        <w:rPr>
          <w:rFonts w:ascii="Garamond" w:hAnsi="Garamond"/>
          <w:sz w:val="28"/>
          <w:szCs w:val="28"/>
        </w:rPr>
      </w:pPr>
    </w:p>
    <w:p w14:paraId="3CA7F8F9" w14:textId="1F14F027" w:rsidR="00C828AC" w:rsidRPr="00055111" w:rsidRDefault="00425B60" w:rsidP="0029482B">
      <w:pPr>
        <w:spacing w:after="0" w:line="480" w:lineRule="auto"/>
        <w:rPr>
          <w:rFonts w:ascii="Garamond" w:hAnsi="Garamond"/>
          <w:sz w:val="28"/>
          <w:szCs w:val="28"/>
        </w:rPr>
      </w:pPr>
      <w:r w:rsidRPr="00055111">
        <w:rPr>
          <w:rFonts w:ascii="Garamond" w:hAnsi="Garamond"/>
          <w:sz w:val="28"/>
          <w:szCs w:val="28"/>
        </w:rPr>
        <w:tab/>
      </w:r>
      <w:r w:rsidR="00E238FC" w:rsidRPr="00055111">
        <w:rPr>
          <w:rFonts w:ascii="Garamond" w:hAnsi="Garamond"/>
          <w:sz w:val="28"/>
          <w:szCs w:val="28"/>
        </w:rPr>
        <w:t xml:space="preserve">Petitioner, who leads the Attorney General’s </w:t>
      </w:r>
      <w:r w:rsidR="00087AD5" w:rsidRPr="00055111">
        <w:rPr>
          <w:rFonts w:ascii="Garamond" w:hAnsi="Garamond"/>
          <w:sz w:val="28"/>
          <w:szCs w:val="28"/>
        </w:rPr>
        <w:t xml:space="preserve">Office unit that represents the State in </w:t>
      </w:r>
      <w:r w:rsidR="00D4242C" w:rsidRPr="00055111">
        <w:rPr>
          <w:rFonts w:ascii="Garamond" w:hAnsi="Garamond"/>
          <w:sz w:val="28"/>
          <w:szCs w:val="28"/>
        </w:rPr>
        <w:t xml:space="preserve">all capital post-trial actions through and including warrant proceedings, </w:t>
      </w:r>
      <w:r w:rsidR="00426366" w:rsidRPr="00055111">
        <w:rPr>
          <w:rFonts w:ascii="Garamond" w:hAnsi="Garamond"/>
          <w:sz w:val="28"/>
          <w:szCs w:val="28"/>
        </w:rPr>
        <w:t xml:space="preserve">forthrightly explains </w:t>
      </w:r>
      <w:r w:rsidR="00BC1E29" w:rsidRPr="00055111">
        <w:rPr>
          <w:rFonts w:ascii="Garamond" w:hAnsi="Garamond"/>
          <w:sz w:val="28"/>
          <w:szCs w:val="28"/>
        </w:rPr>
        <w:t xml:space="preserve">the reasons </w:t>
      </w:r>
      <w:r w:rsidR="002B2DA5" w:rsidRPr="00055111">
        <w:rPr>
          <w:rFonts w:ascii="Garamond" w:hAnsi="Garamond"/>
          <w:sz w:val="28"/>
          <w:szCs w:val="28"/>
        </w:rPr>
        <w:t>for the Petition’s</w:t>
      </w:r>
      <w:r w:rsidR="00BC1E29" w:rsidRPr="00055111">
        <w:rPr>
          <w:rFonts w:ascii="Garamond" w:hAnsi="Garamond"/>
          <w:sz w:val="28"/>
          <w:szCs w:val="28"/>
        </w:rPr>
        <w:t xml:space="preserve"> </w:t>
      </w:r>
      <w:r w:rsidR="00FC1E75" w:rsidRPr="00055111">
        <w:rPr>
          <w:rFonts w:ascii="Garamond" w:hAnsi="Garamond"/>
          <w:sz w:val="28"/>
          <w:szCs w:val="28"/>
        </w:rPr>
        <w:t>propose</w:t>
      </w:r>
      <w:r w:rsidR="002B2DA5" w:rsidRPr="00055111">
        <w:rPr>
          <w:rFonts w:ascii="Garamond" w:hAnsi="Garamond"/>
          <w:sz w:val="28"/>
          <w:szCs w:val="28"/>
        </w:rPr>
        <w:t>d</w:t>
      </w:r>
      <w:r w:rsidR="00BC1E29" w:rsidRPr="00055111">
        <w:rPr>
          <w:rFonts w:ascii="Garamond" w:hAnsi="Garamond"/>
          <w:sz w:val="28"/>
          <w:szCs w:val="28"/>
        </w:rPr>
        <w:t xml:space="preserve"> amendment.</w:t>
      </w:r>
      <w:r w:rsidR="007C1AF8" w:rsidRPr="00055111">
        <w:rPr>
          <w:rFonts w:ascii="Garamond" w:hAnsi="Garamond"/>
          <w:sz w:val="28"/>
          <w:szCs w:val="28"/>
        </w:rPr>
        <w:t xml:space="preserve"> Petition at </w:t>
      </w:r>
      <w:r w:rsidR="0002586E" w:rsidRPr="00055111">
        <w:rPr>
          <w:rFonts w:ascii="Garamond" w:hAnsi="Garamond"/>
          <w:sz w:val="28"/>
          <w:szCs w:val="28"/>
        </w:rPr>
        <w:t>3-5.</w:t>
      </w:r>
      <w:r w:rsidR="00BC1E29" w:rsidRPr="00055111">
        <w:rPr>
          <w:rFonts w:ascii="Garamond" w:hAnsi="Garamond"/>
          <w:sz w:val="28"/>
          <w:szCs w:val="28"/>
        </w:rPr>
        <w:t xml:space="preserve"> </w:t>
      </w:r>
      <w:r w:rsidR="00EB4679" w:rsidRPr="00055111">
        <w:rPr>
          <w:rFonts w:ascii="Garamond" w:hAnsi="Garamond"/>
          <w:sz w:val="28"/>
          <w:szCs w:val="28"/>
        </w:rPr>
        <w:t>At present, t</w:t>
      </w:r>
      <w:r w:rsidR="007C0C42" w:rsidRPr="00055111">
        <w:rPr>
          <w:rFonts w:ascii="Garamond" w:hAnsi="Garamond"/>
          <w:sz w:val="28"/>
          <w:szCs w:val="28"/>
        </w:rPr>
        <w:t>he Arizona Department of Corrections, Rehabilitation, and Reentry</w:t>
      </w:r>
      <w:r w:rsidR="00526D99" w:rsidRPr="00055111">
        <w:rPr>
          <w:rFonts w:ascii="Garamond" w:hAnsi="Garamond"/>
          <w:sz w:val="28"/>
          <w:szCs w:val="28"/>
        </w:rPr>
        <w:t xml:space="preserve"> (“ADCRR”)</w:t>
      </w:r>
      <w:r w:rsidR="00193E99" w:rsidRPr="00055111">
        <w:rPr>
          <w:rFonts w:ascii="Garamond" w:hAnsi="Garamond"/>
          <w:sz w:val="28"/>
          <w:szCs w:val="28"/>
        </w:rPr>
        <w:t>, the executive branch agency responsible for carrying out executions,</w:t>
      </w:r>
      <w:r w:rsidR="007333EF" w:rsidRPr="00055111">
        <w:rPr>
          <w:rFonts w:ascii="Garamond" w:hAnsi="Garamond"/>
          <w:sz w:val="28"/>
          <w:szCs w:val="28"/>
        </w:rPr>
        <w:t xml:space="preserve"> </w:t>
      </w:r>
      <w:r w:rsidR="009729DA" w:rsidRPr="00055111">
        <w:rPr>
          <w:rFonts w:ascii="Garamond" w:hAnsi="Garamond"/>
          <w:sz w:val="28"/>
          <w:szCs w:val="28"/>
        </w:rPr>
        <w:t>has chosen to use</w:t>
      </w:r>
      <w:r w:rsidR="00F928F4" w:rsidRPr="00055111">
        <w:rPr>
          <w:rFonts w:ascii="Garamond" w:hAnsi="Garamond"/>
          <w:sz w:val="28"/>
          <w:szCs w:val="28"/>
        </w:rPr>
        <w:t xml:space="preserve"> </w:t>
      </w:r>
      <w:r w:rsidR="00526D99" w:rsidRPr="00055111">
        <w:rPr>
          <w:rFonts w:ascii="Garamond" w:hAnsi="Garamond"/>
          <w:sz w:val="28"/>
          <w:szCs w:val="28"/>
        </w:rPr>
        <w:t xml:space="preserve">compounded pentobarbital to </w:t>
      </w:r>
      <w:r w:rsidR="00333BC2" w:rsidRPr="00055111">
        <w:rPr>
          <w:rFonts w:ascii="Garamond" w:hAnsi="Garamond"/>
          <w:sz w:val="28"/>
          <w:szCs w:val="28"/>
        </w:rPr>
        <w:t xml:space="preserve">perform lethal injection </w:t>
      </w:r>
      <w:r w:rsidR="003864B6" w:rsidRPr="00055111">
        <w:rPr>
          <w:rFonts w:ascii="Garamond" w:hAnsi="Garamond"/>
          <w:sz w:val="28"/>
          <w:szCs w:val="28"/>
        </w:rPr>
        <w:t xml:space="preserve">executions. </w:t>
      </w:r>
      <w:r w:rsidR="007333EF" w:rsidRPr="00055111">
        <w:rPr>
          <w:rFonts w:ascii="Garamond" w:hAnsi="Garamond"/>
          <w:sz w:val="28"/>
          <w:szCs w:val="28"/>
        </w:rPr>
        <w:t>D</w:t>
      </w:r>
      <w:r w:rsidR="007F755E" w:rsidRPr="00055111">
        <w:rPr>
          <w:rFonts w:ascii="Garamond" w:hAnsi="Garamond"/>
          <w:sz w:val="28"/>
          <w:szCs w:val="28"/>
        </w:rPr>
        <w:t>isclosure o</w:t>
      </w:r>
      <w:r w:rsidR="00D427EE" w:rsidRPr="00055111">
        <w:rPr>
          <w:rFonts w:ascii="Garamond" w:hAnsi="Garamond"/>
          <w:sz w:val="28"/>
          <w:szCs w:val="28"/>
        </w:rPr>
        <w:t xml:space="preserve">bligations imposed </w:t>
      </w:r>
      <w:r w:rsidR="008755F8" w:rsidRPr="00055111">
        <w:rPr>
          <w:rFonts w:ascii="Garamond" w:hAnsi="Garamond"/>
          <w:sz w:val="28"/>
          <w:szCs w:val="28"/>
        </w:rPr>
        <w:t>pursuant to</w:t>
      </w:r>
      <w:r w:rsidR="00D427EE" w:rsidRPr="00055111">
        <w:rPr>
          <w:rFonts w:ascii="Garamond" w:hAnsi="Garamond"/>
          <w:sz w:val="28"/>
          <w:szCs w:val="28"/>
        </w:rPr>
        <w:t xml:space="preserve"> a civil settlement </w:t>
      </w:r>
      <w:r w:rsidR="00416644" w:rsidRPr="00055111">
        <w:rPr>
          <w:rFonts w:ascii="Garamond" w:hAnsi="Garamond"/>
          <w:sz w:val="28"/>
          <w:szCs w:val="28"/>
        </w:rPr>
        <w:t>(</w:t>
      </w:r>
      <w:r w:rsidR="00193E99" w:rsidRPr="00055111">
        <w:rPr>
          <w:rFonts w:ascii="Garamond" w:hAnsi="Garamond"/>
          <w:sz w:val="28"/>
          <w:szCs w:val="28"/>
        </w:rPr>
        <w:t>entered into by the Attorney General’s Office on behalf of the State</w:t>
      </w:r>
      <w:r w:rsidR="00416644" w:rsidRPr="00055111">
        <w:rPr>
          <w:rFonts w:ascii="Garamond" w:hAnsi="Garamond"/>
          <w:sz w:val="28"/>
          <w:szCs w:val="28"/>
        </w:rPr>
        <w:t>)</w:t>
      </w:r>
      <w:r w:rsidR="00193E99" w:rsidRPr="00055111">
        <w:rPr>
          <w:rFonts w:ascii="Garamond" w:hAnsi="Garamond"/>
          <w:sz w:val="28"/>
          <w:szCs w:val="28"/>
        </w:rPr>
        <w:t xml:space="preserve"> </w:t>
      </w:r>
      <w:r w:rsidR="00D427EE" w:rsidRPr="00055111">
        <w:rPr>
          <w:rFonts w:ascii="Garamond" w:hAnsi="Garamond"/>
          <w:sz w:val="28"/>
          <w:szCs w:val="28"/>
        </w:rPr>
        <w:t xml:space="preserve">and ADCRR’s execution protocol require </w:t>
      </w:r>
      <w:r w:rsidR="00A06DEB" w:rsidRPr="00055111">
        <w:rPr>
          <w:rFonts w:ascii="Garamond" w:hAnsi="Garamond"/>
          <w:sz w:val="28"/>
          <w:szCs w:val="28"/>
        </w:rPr>
        <w:t xml:space="preserve">ADCRR to compound the </w:t>
      </w:r>
      <w:r w:rsidR="00CA73BB" w:rsidRPr="00055111">
        <w:rPr>
          <w:rFonts w:ascii="Garamond" w:hAnsi="Garamond"/>
          <w:sz w:val="28"/>
          <w:szCs w:val="28"/>
        </w:rPr>
        <w:t xml:space="preserve">pentobarbital to be used in an execution shortly after </w:t>
      </w:r>
      <w:r w:rsidR="0001291F" w:rsidRPr="00055111">
        <w:rPr>
          <w:rFonts w:ascii="Garamond" w:hAnsi="Garamond"/>
          <w:sz w:val="28"/>
          <w:szCs w:val="28"/>
        </w:rPr>
        <w:t xml:space="preserve">the Attorney General files </w:t>
      </w:r>
      <w:r w:rsidR="00416644" w:rsidRPr="00055111">
        <w:rPr>
          <w:rFonts w:ascii="Garamond" w:hAnsi="Garamond"/>
          <w:sz w:val="28"/>
          <w:szCs w:val="28"/>
        </w:rPr>
        <w:t>the State’s</w:t>
      </w:r>
      <w:r w:rsidR="0001291F" w:rsidRPr="00055111">
        <w:rPr>
          <w:rFonts w:ascii="Garamond" w:hAnsi="Garamond"/>
          <w:sz w:val="28"/>
          <w:szCs w:val="28"/>
        </w:rPr>
        <w:t xml:space="preserve"> motion for warrant of execution. Once compounded, the </w:t>
      </w:r>
      <w:r w:rsidR="00032722" w:rsidRPr="00055111">
        <w:rPr>
          <w:rFonts w:ascii="Garamond" w:hAnsi="Garamond"/>
          <w:sz w:val="28"/>
          <w:szCs w:val="28"/>
        </w:rPr>
        <w:t xml:space="preserve">pentobarbital must be used </w:t>
      </w:r>
      <w:r w:rsidR="00722C5D" w:rsidRPr="00055111">
        <w:rPr>
          <w:rFonts w:ascii="Garamond" w:hAnsi="Garamond"/>
          <w:sz w:val="28"/>
          <w:szCs w:val="28"/>
        </w:rPr>
        <w:t>within</w:t>
      </w:r>
      <w:r w:rsidR="002B015A" w:rsidRPr="00055111">
        <w:rPr>
          <w:rFonts w:ascii="Garamond" w:hAnsi="Garamond"/>
          <w:sz w:val="28"/>
          <w:szCs w:val="28"/>
        </w:rPr>
        <w:t xml:space="preserve"> its beyond</w:t>
      </w:r>
      <w:r w:rsidR="004629C7" w:rsidRPr="00055111">
        <w:rPr>
          <w:rFonts w:ascii="Garamond" w:hAnsi="Garamond"/>
          <w:sz w:val="28"/>
          <w:szCs w:val="28"/>
        </w:rPr>
        <w:t>-</w:t>
      </w:r>
      <w:r w:rsidR="002B015A" w:rsidRPr="00055111">
        <w:rPr>
          <w:rFonts w:ascii="Garamond" w:hAnsi="Garamond"/>
          <w:sz w:val="28"/>
          <w:szCs w:val="28"/>
        </w:rPr>
        <w:t>use date (“BUD”)</w:t>
      </w:r>
      <w:r w:rsidR="007F38D8" w:rsidRPr="00055111">
        <w:rPr>
          <w:rFonts w:ascii="Garamond" w:hAnsi="Garamond"/>
          <w:sz w:val="28"/>
          <w:szCs w:val="28"/>
        </w:rPr>
        <w:t>.</w:t>
      </w:r>
      <w:r w:rsidR="00CB2C6C" w:rsidRPr="00055111">
        <w:rPr>
          <w:rFonts w:ascii="Garamond" w:hAnsi="Garamond"/>
          <w:sz w:val="28"/>
          <w:szCs w:val="28"/>
        </w:rPr>
        <w:t xml:space="preserve"> </w:t>
      </w:r>
      <w:r w:rsidR="00CB2C6C" w:rsidRPr="00055111">
        <w:rPr>
          <w:rFonts w:ascii="Garamond" w:hAnsi="Garamond"/>
          <w:sz w:val="28"/>
          <w:szCs w:val="28"/>
        </w:rPr>
        <w:lastRenderedPageBreak/>
        <w:t>ADCRR claims</w:t>
      </w:r>
      <w:r w:rsidR="000F1CBD" w:rsidRPr="00055111">
        <w:rPr>
          <w:rFonts w:ascii="Garamond" w:hAnsi="Garamond"/>
          <w:sz w:val="28"/>
          <w:szCs w:val="28"/>
        </w:rPr>
        <w:t xml:space="preserve"> to have testing demonstrating that</w:t>
      </w:r>
      <w:r w:rsidR="00CB2C6C" w:rsidRPr="00055111">
        <w:rPr>
          <w:rFonts w:ascii="Garamond" w:hAnsi="Garamond"/>
          <w:sz w:val="28"/>
          <w:szCs w:val="28"/>
        </w:rPr>
        <w:t xml:space="preserve"> its supply of pentobarbital has a </w:t>
      </w:r>
      <w:r w:rsidR="00CE5CC2" w:rsidRPr="00055111">
        <w:rPr>
          <w:rFonts w:ascii="Garamond" w:hAnsi="Garamond"/>
          <w:sz w:val="28"/>
          <w:szCs w:val="28"/>
        </w:rPr>
        <w:t xml:space="preserve">90-day </w:t>
      </w:r>
      <w:r w:rsidR="00CB2C6C" w:rsidRPr="00055111">
        <w:rPr>
          <w:rFonts w:ascii="Garamond" w:hAnsi="Garamond"/>
          <w:sz w:val="28"/>
          <w:szCs w:val="28"/>
        </w:rPr>
        <w:t>BUD</w:t>
      </w:r>
      <w:r w:rsidR="002B015A" w:rsidRPr="00055111">
        <w:rPr>
          <w:rFonts w:ascii="Garamond" w:hAnsi="Garamond"/>
          <w:sz w:val="28"/>
          <w:szCs w:val="28"/>
        </w:rPr>
        <w:t>.</w:t>
      </w:r>
      <w:r w:rsidR="00183175" w:rsidRPr="00055111">
        <w:rPr>
          <w:rFonts w:ascii="Garamond" w:hAnsi="Garamond"/>
          <w:sz w:val="28"/>
          <w:szCs w:val="28"/>
        </w:rPr>
        <w:t xml:space="preserve"> </w:t>
      </w:r>
      <w:r w:rsidR="00592742" w:rsidRPr="00055111">
        <w:rPr>
          <w:rFonts w:ascii="Garamond" w:hAnsi="Garamond"/>
          <w:sz w:val="28"/>
          <w:szCs w:val="28"/>
        </w:rPr>
        <w:t>Petitioner</w:t>
      </w:r>
      <w:r w:rsidR="00FB6A3C" w:rsidRPr="00055111">
        <w:rPr>
          <w:rFonts w:ascii="Garamond" w:hAnsi="Garamond"/>
          <w:sz w:val="28"/>
          <w:szCs w:val="28"/>
        </w:rPr>
        <w:t>’s</w:t>
      </w:r>
      <w:r w:rsidR="00183175" w:rsidRPr="00055111">
        <w:rPr>
          <w:rFonts w:ascii="Garamond" w:hAnsi="Garamond"/>
          <w:sz w:val="28"/>
          <w:szCs w:val="28"/>
        </w:rPr>
        <w:t xml:space="preserve"> </w:t>
      </w:r>
      <w:r w:rsidR="00374FE8" w:rsidRPr="00055111">
        <w:rPr>
          <w:rFonts w:ascii="Garamond" w:hAnsi="Garamond"/>
          <w:sz w:val="28"/>
          <w:szCs w:val="28"/>
        </w:rPr>
        <w:t>proposal</w:t>
      </w:r>
      <w:r w:rsidR="00BF2E69" w:rsidRPr="00055111">
        <w:rPr>
          <w:rFonts w:ascii="Garamond" w:hAnsi="Garamond"/>
          <w:sz w:val="28"/>
          <w:szCs w:val="28"/>
        </w:rPr>
        <w:t xml:space="preserve"> </w:t>
      </w:r>
      <w:r w:rsidR="00FB6A3C" w:rsidRPr="00055111">
        <w:rPr>
          <w:rFonts w:ascii="Garamond" w:hAnsi="Garamond"/>
          <w:sz w:val="28"/>
          <w:szCs w:val="28"/>
        </w:rPr>
        <w:t>would</w:t>
      </w:r>
      <w:r w:rsidR="00BF2E69" w:rsidRPr="00055111">
        <w:rPr>
          <w:rFonts w:ascii="Garamond" w:hAnsi="Garamond"/>
          <w:sz w:val="28"/>
          <w:szCs w:val="28"/>
        </w:rPr>
        <w:t xml:space="preserve"> establish a</w:t>
      </w:r>
      <w:r w:rsidR="00183175" w:rsidRPr="00055111">
        <w:rPr>
          <w:rFonts w:ascii="Garamond" w:hAnsi="Garamond"/>
          <w:sz w:val="28"/>
          <w:szCs w:val="28"/>
        </w:rPr>
        <w:t xml:space="preserve"> fixed</w:t>
      </w:r>
      <w:r w:rsidR="00CE5CC2" w:rsidRPr="00055111">
        <w:rPr>
          <w:rFonts w:ascii="Garamond" w:hAnsi="Garamond"/>
          <w:sz w:val="28"/>
          <w:szCs w:val="28"/>
        </w:rPr>
        <w:t xml:space="preserve">, </w:t>
      </w:r>
      <w:r w:rsidR="00183175" w:rsidRPr="00055111">
        <w:rPr>
          <w:rFonts w:ascii="Garamond" w:hAnsi="Garamond"/>
          <w:sz w:val="28"/>
          <w:szCs w:val="28"/>
        </w:rPr>
        <w:t>expedited briefing schedule</w:t>
      </w:r>
      <w:r w:rsidR="0042323B" w:rsidRPr="00055111">
        <w:rPr>
          <w:rFonts w:ascii="Garamond" w:hAnsi="Garamond"/>
          <w:sz w:val="28"/>
          <w:szCs w:val="28"/>
        </w:rPr>
        <w:t xml:space="preserve"> for</w:t>
      </w:r>
      <w:r w:rsidR="00754292" w:rsidRPr="00055111">
        <w:rPr>
          <w:rFonts w:ascii="Garamond" w:hAnsi="Garamond"/>
          <w:sz w:val="28"/>
          <w:szCs w:val="28"/>
        </w:rPr>
        <w:t xml:space="preserve"> </w:t>
      </w:r>
      <w:r w:rsidR="0042323B" w:rsidRPr="00055111">
        <w:rPr>
          <w:rFonts w:ascii="Garamond" w:hAnsi="Garamond"/>
          <w:sz w:val="28"/>
          <w:szCs w:val="28"/>
        </w:rPr>
        <w:t>warrant motion</w:t>
      </w:r>
      <w:r w:rsidR="00754292" w:rsidRPr="00055111">
        <w:rPr>
          <w:rFonts w:ascii="Garamond" w:hAnsi="Garamond"/>
          <w:sz w:val="28"/>
          <w:szCs w:val="28"/>
        </w:rPr>
        <w:t>s</w:t>
      </w:r>
      <w:r w:rsidR="00143D66" w:rsidRPr="00055111">
        <w:rPr>
          <w:rFonts w:ascii="Garamond" w:hAnsi="Garamond"/>
          <w:sz w:val="28"/>
          <w:szCs w:val="28"/>
        </w:rPr>
        <w:t xml:space="preserve">—10 days to respond, </w:t>
      </w:r>
      <w:r w:rsidR="00515B64" w:rsidRPr="00055111">
        <w:rPr>
          <w:rFonts w:ascii="Garamond" w:hAnsi="Garamond"/>
          <w:sz w:val="28"/>
          <w:szCs w:val="28"/>
        </w:rPr>
        <w:t>five</w:t>
      </w:r>
      <w:r w:rsidR="00143D66" w:rsidRPr="00055111">
        <w:rPr>
          <w:rFonts w:ascii="Garamond" w:hAnsi="Garamond"/>
          <w:sz w:val="28"/>
          <w:szCs w:val="28"/>
        </w:rPr>
        <w:t xml:space="preserve"> day</w:t>
      </w:r>
      <w:r w:rsidR="006326F2" w:rsidRPr="00055111">
        <w:rPr>
          <w:rFonts w:ascii="Garamond" w:hAnsi="Garamond"/>
          <w:sz w:val="28"/>
          <w:szCs w:val="28"/>
        </w:rPr>
        <w:t>s</w:t>
      </w:r>
      <w:r w:rsidR="00143D66" w:rsidRPr="00055111">
        <w:rPr>
          <w:rFonts w:ascii="Garamond" w:hAnsi="Garamond"/>
          <w:sz w:val="28"/>
          <w:szCs w:val="28"/>
        </w:rPr>
        <w:t xml:space="preserve"> to reply—</w:t>
      </w:r>
      <w:r w:rsidR="00BC386C" w:rsidRPr="00055111">
        <w:rPr>
          <w:rFonts w:ascii="Garamond" w:hAnsi="Garamond"/>
          <w:sz w:val="28"/>
          <w:szCs w:val="28"/>
        </w:rPr>
        <w:t xml:space="preserve">and require this Court to rule on </w:t>
      </w:r>
      <w:r w:rsidR="00077413" w:rsidRPr="00055111">
        <w:rPr>
          <w:rFonts w:ascii="Garamond" w:hAnsi="Garamond"/>
          <w:sz w:val="28"/>
          <w:szCs w:val="28"/>
        </w:rPr>
        <w:t>such</w:t>
      </w:r>
      <w:r w:rsidR="00374FE8" w:rsidRPr="00055111">
        <w:rPr>
          <w:rFonts w:ascii="Garamond" w:hAnsi="Garamond"/>
          <w:sz w:val="28"/>
          <w:szCs w:val="28"/>
        </w:rPr>
        <w:t xml:space="preserve"> a</w:t>
      </w:r>
      <w:r w:rsidR="00077413" w:rsidRPr="00055111">
        <w:rPr>
          <w:rFonts w:ascii="Garamond" w:hAnsi="Garamond"/>
          <w:sz w:val="28"/>
          <w:szCs w:val="28"/>
        </w:rPr>
        <w:t xml:space="preserve"> motion at its “next practicable conference” </w:t>
      </w:r>
      <w:r w:rsidR="00183175" w:rsidRPr="00055111">
        <w:rPr>
          <w:rFonts w:ascii="Garamond" w:hAnsi="Garamond"/>
          <w:sz w:val="28"/>
          <w:szCs w:val="28"/>
        </w:rPr>
        <w:t xml:space="preserve">to ensure that </w:t>
      </w:r>
      <w:r w:rsidR="00AE061C" w:rsidRPr="00055111">
        <w:rPr>
          <w:rFonts w:ascii="Garamond" w:hAnsi="Garamond"/>
          <w:sz w:val="28"/>
          <w:szCs w:val="28"/>
        </w:rPr>
        <w:t xml:space="preserve">the warrant </w:t>
      </w:r>
      <w:r w:rsidR="0014339F" w:rsidRPr="00055111">
        <w:rPr>
          <w:rFonts w:ascii="Garamond" w:hAnsi="Garamond"/>
          <w:sz w:val="28"/>
          <w:szCs w:val="28"/>
        </w:rPr>
        <w:t>is</w:t>
      </w:r>
      <w:r w:rsidR="00AE061C" w:rsidRPr="00055111">
        <w:rPr>
          <w:rFonts w:ascii="Garamond" w:hAnsi="Garamond"/>
          <w:sz w:val="28"/>
          <w:szCs w:val="28"/>
        </w:rPr>
        <w:t xml:space="preserve"> issue</w:t>
      </w:r>
      <w:r w:rsidR="0014339F" w:rsidRPr="00055111">
        <w:rPr>
          <w:rFonts w:ascii="Garamond" w:hAnsi="Garamond"/>
          <w:sz w:val="28"/>
          <w:szCs w:val="28"/>
        </w:rPr>
        <w:t>d</w:t>
      </w:r>
      <w:r w:rsidR="00AE061C" w:rsidRPr="00055111">
        <w:rPr>
          <w:rFonts w:ascii="Garamond" w:hAnsi="Garamond"/>
          <w:sz w:val="28"/>
          <w:szCs w:val="28"/>
        </w:rPr>
        <w:t xml:space="preserve"> </w:t>
      </w:r>
      <w:r w:rsidR="00183175" w:rsidRPr="00055111">
        <w:rPr>
          <w:rFonts w:ascii="Garamond" w:hAnsi="Garamond"/>
          <w:sz w:val="28"/>
          <w:szCs w:val="28"/>
        </w:rPr>
        <w:t>and</w:t>
      </w:r>
      <w:r w:rsidR="00754292" w:rsidRPr="00055111">
        <w:rPr>
          <w:rFonts w:ascii="Garamond" w:hAnsi="Garamond"/>
          <w:sz w:val="28"/>
          <w:szCs w:val="28"/>
        </w:rPr>
        <w:t xml:space="preserve"> </w:t>
      </w:r>
      <w:r w:rsidR="0014339F" w:rsidRPr="00055111">
        <w:rPr>
          <w:rFonts w:ascii="Garamond" w:hAnsi="Garamond"/>
          <w:sz w:val="28"/>
          <w:szCs w:val="28"/>
        </w:rPr>
        <w:t>defendant executed</w:t>
      </w:r>
      <w:r w:rsidR="00700DB8" w:rsidRPr="00055111">
        <w:rPr>
          <w:rFonts w:ascii="Garamond" w:hAnsi="Garamond"/>
          <w:sz w:val="28"/>
          <w:szCs w:val="28"/>
        </w:rPr>
        <w:t xml:space="preserve"> within that 90-day window.</w:t>
      </w:r>
      <w:r w:rsidR="006326F2" w:rsidRPr="00055111">
        <w:rPr>
          <w:rFonts w:ascii="Garamond" w:hAnsi="Garamond"/>
          <w:sz w:val="28"/>
          <w:szCs w:val="28"/>
        </w:rPr>
        <w:t xml:space="preserve"> Essentially, the propose</w:t>
      </w:r>
      <w:r w:rsidR="005D522D" w:rsidRPr="00055111">
        <w:rPr>
          <w:rFonts w:ascii="Garamond" w:hAnsi="Garamond"/>
          <w:sz w:val="28"/>
          <w:szCs w:val="28"/>
        </w:rPr>
        <w:t>d amendment would codify</w:t>
      </w:r>
      <w:r w:rsidR="00281C8E" w:rsidRPr="00055111">
        <w:rPr>
          <w:rFonts w:ascii="Garamond" w:hAnsi="Garamond"/>
          <w:sz w:val="28"/>
          <w:szCs w:val="28"/>
        </w:rPr>
        <w:t xml:space="preserve"> </w:t>
      </w:r>
      <w:r w:rsidR="00671C30" w:rsidRPr="00055111">
        <w:rPr>
          <w:rFonts w:ascii="Garamond" w:hAnsi="Garamond"/>
          <w:sz w:val="28"/>
          <w:szCs w:val="28"/>
        </w:rPr>
        <w:t>a version</w:t>
      </w:r>
      <w:r w:rsidR="00281C8E" w:rsidRPr="00055111">
        <w:rPr>
          <w:rFonts w:ascii="Garamond" w:hAnsi="Garamond"/>
          <w:sz w:val="28"/>
          <w:szCs w:val="28"/>
        </w:rPr>
        <w:t xml:space="preserve"> of</w:t>
      </w:r>
      <w:r w:rsidR="005D522D" w:rsidRPr="00055111">
        <w:rPr>
          <w:rFonts w:ascii="Garamond" w:hAnsi="Garamond"/>
          <w:sz w:val="28"/>
          <w:szCs w:val="28"/>
        </w:rPr>
        <w:t xml:space="preserve"> the</w:t>
      </w:r>
      <w:r w:rsidR="00B2703F" w:rsidRPr="00055111">
        <w:rPr>
          <w:rFonts w:ascii="Garamond" w:hAnsi="Garamond"/>
          <w:sz w:val="28"/>
          <w:szCs w:val="28"/>
        </w:rPr>
        <w:t xml:space="preserve"> informal </w:t>
      </w:r>
      <w:r w:rsidR="00281C8E" w:rsidRPr="00055111">
        <w:rPr>
          <w:rFonts w:ascii="Garamond" w:hAnsi="Garamond"/>
          <w:sz w:val="28"/>
          <w:szCs w:val="28"/>
        </w:rPr>
        <w:t xml:space="preserve">practice the Attorney General has </w:t>
      </w:r>
      <w:r w:rsidR="00BD39FB" w:rsidRPr="00055111">
        <w:rPr>
          <w:rFonts w:ascii="Garamond" w:hAnsi="Garamond"/>
          <w:sz w:val="28"/>
          <w:szCs w:val="28"/>
        </w:rPr>
        <w:t>employed</w:t>
      </w:r>
      <w:r w:rsidR="00281C8E" w:rsidRPr="00055111">
        <w:rPr>
          <w:rFonts w:ascii="Garamond" w:hAnsi="Garamond"/>
          <w:sz w:val="28"/>
          <w:szCs w:val="28"/>
        </w:rPr>
        <w:t xml:space="preserve"> </w:t>
      </w:r>
      <w:r w:rsidR="00E92F0D" w:rsidRPr="00055111">
        <w:rPr>
          <w:rFonts w:ascii="Garamond" w:hAnsi="Garamond"/>
          <w:sz w:val="28"/>
          <w:szCs w:val="28"/>
        </w:rPr>
        <w:t xml:space="preserve">to </w:t>
      </w:r>
      <w:r w:rsidR="00BD39FB" w:rsidRPr="00055111">
        <w:rPr>
          <w:rFonts w:ascii="Garamond" w:hAnsi="Garamond"/>
          <w:sz w:val="28"/>
          <w:szCs w:val="28"/>
        </w:rPr>
        <w:t xml:space="preserve">cope with logistics of compounded pentobarbital executions </w:t>
      </w:r>
      <w:r w:rsidR="00281C8E" w:rsidRPr="00055111">
        <w:rPr>
          <w:rFonts w:ascii="Garamond" w:hAnsi="Garamond"/>
          <w:sz w:val="28"/>
          <w:szCs w:val="28"/>
        </w:rPr>
        <w:t>over the last three years</w:t>
      </w:r>
      <w:r w:rsidR="00AB69E6" w:rsidRPr="00055111">
        <w:rPr>
          <w:rFonts w:ascii="Garamond" w:hAnsi="Garamond"/>
          <w:sz w:val="28"/>
          <w:szCs w:val="28"/>
        </w:rPr>
        <w:t xml:space="preserve">. </w:t>
      </w:r>
      <w:r w:rsidR="00AB69E6" w:rsidRPr="00055111">
        <w:rPr>
          <w:rFonts w:ascii="Garamond" w:hAnsi="Garamond"/>
          <w:i/>
          <w:iCs/>
          <w:sz w:val="28"/>
          <w:szCs w:val="28"/>
        </w:rPr>
        <w:t>Id</w:t>
      </w:r>
      <w:r w:rsidR="00AB69E6" w:rsidRPr="00055111">
        <w:rPr>
          <w:rFonts w:ascii="Garamond" w:hAnsi="Garamond"/>
          <w:sz w:val="28"/>
          <w:szCs w:val="28"/>
        </w:rPr>
        <w:t>. at 5.</w:t>
      </w:r>
    </w:p>
    <w:p w14:paraId="30DBFF79" w14:textId="7268FA3D" w:rsidR="0022525E" w:rsidRPr="00055111" w:rsidRDefault="0022525E" w:rsidP="0029482B">
      <w:pPr>
        <w:spacing w:after="0" w:line="480" w:lineRule="auto"/>
        <w:rPr>
          <w:rFonts w:ascii="Garamond" w:hAnsi="Garamond"/>
          <w:sz w:val="28"/>
          <w:szCs w:val="28"/>
        </w:rPr>
      </w:pPr>
      <w:r w:rsidRPr="00055111">
        <w:rPr>
          <w:rFonts w:ascii="Garamond" w:hAnsi="Garamond"/>
          <w:sz w:val="28"/>
          <w:szCs w:val="28"/>
        </w:rPr>
        <w:tab/>
      </w:r>
      <w:r w:rsidR="0075452F" w:rsidRPr="00055111">
        <w:rPr>
          <w:rFonts w:ascii="Garamond" w:hAnsi="Garamond"/>
          <w:sz w:val="28"/>
          <w:szCs w:val="28"/>
        </w:rPr>
        <w:t xml:space="preserve">Because the proposed amendment would prejudice defendants </w:t>
      </w:r>
      <w:r w:rsidR="00CE1B0E" w:rsidRPr="00055111">
        <w:rPr>
          <w:rFonts w:ascii="Garamond" w:hAnsi="Garamond"/>
          <w:sz w:val="28"/>
          <w:szCs w:val="28"/>
        </w:rPr>
        <w:t>and fail to provide a reliable</w:t>
      </w:r>
      <w:r w:rsidR="004E4B9E" w:rsidRPr="00055111">
        <w:rPr>
          <w:rFonts w:ascii="Garamond" w:hAnsi="Garamond"/>
          <w:sz w:val="28"/>
          <w:szCs w:val="28"/>
        </w:rPr>
        <w:t xml:space="preserve"> or universal</w:t>
      </w:r>
      <w:r w:rsidR="00CE1B0E" w:rsidRPr="00055111">
        <w:rPr>
          <w:rFonts w:ascii="Garamond" w:hAnsi="Garamond"/>
          <w:sz w:val="28"/>
          <w:szCs w:val="28"/>
        </w:rPr>
        <w:t xml:space="preserve"> solution to the problem it purports to address, </w:t>
      </w:r>
      <w:r w:rsidR="00AE2712" w:rsidRPr="00055111">
        <w:rPr>
          <w:rFonts w:ascii="Garamond" w:hAnsi="Garamond"/>
          <w:sz w:val="28"/>
          <w:szCs w:val="28"/>
        </w:rPr>
        <w:t>Commenters</w:t>
      </w:r>
      <w:r w:rsidR="00715C85" w:rsidRPr="00055111">
        <w:rPr>
          <w:rFonts w:ascii="Garamond" w:hAnsi="Garamond"/>
          <w:sz w:val="28"/>
          <w:szCs w:val="28"/>
        </w:rPr>
        <w:t xml:space="preserve"> </w:t>
      </w:r>
      <w:r w:rsidR="006365EC" w:rsidRPr="00055111">
        <w:rPr>
          <w:rFonts w:ascii="Garamond" w:hAnsi="Garamond"/>
          <w:sz w:val="28"/>
          <w:szCs w:val="28"/>
        </w:rPr>
        <w:t>oppose</w:t>
      </w:r>
      <w:r w:rsidR="0057366C" w:rsidRPr="00055111">
        <w:rPr>
          <w:rFonts w:ascii="Garamond" w:hAnsi="Garamond"/>
          <w:sz w:val="28"/>
          <w:szCs w:val="28"/>
        </w:rPr>
        <w:t xml:space="preserve"> the </w:t>
      </w:r>
      <w:r w:rsidR="00715C85" w:rsidRPr="00055111">
        <w:rPr>
          <w:rFonts w:ascii="Garamond" w:hAnsi="Garamond"/>
          <w:sz w:val="28"/>
          <w:szCs w:val="28"/>
        </w:rPr>
        <w:t>P</w:t>
      </w:r>
      <w:r w:rsidR="0057366C" w:rsidRPr="00055111">
        <w:rPr>
          <w:rFonts w:ascii="Garamond" w:hAnsi="Garamond"/>
          <w:sz w:val="28"/>
          <w:szCs w:val="28"/>
        </w:rPr>
        <w:t>etition</w:t>
      </w:r>
      <w:r w:rsidR="00617BDB" w:rsidRPr="00055111">
        <w:rPr>
          <w:rFonts w:ascii="Garamond" w:hAnsi="Garamond"/>
          <w:sz w:val="28"/>
          <w:szCs w:val="28"/>
        </w:rPr>
        <w:t xml:space="preserve">. </w:t>
      </w:r>
      <w:r w:rsidR="00160009" w:rsidRPr="00055111">
        <w:rPr>
          <w:rFonts w:ascii="Garamond" w:hAnsi="Garamond"/>
          <w:sz w:val="28"/>
          <w:szCs w:val="28"/>
        </w:rPr>
        <w:t xml:space="preserve">The </w:t>
      </w:r>
      <w:r w:rsidR="007A5834" w:rsidRPr="00055111">
        <w:rPr>
          <w:rFonts w:ascii="Garamond" w:hAnsi="Garamond"/>
          <w:sz w:val="28"/>
          <w:szCs w:val="28"/>
        </w:rPr>
        <w:t xml:space="preserve">proposal </w:t>
      </w:r>
      <w:r w:rsidR="00160009" w:rsidRPr="00055111">
        <w:rPr>
          <w:rFonts w:ascii="Garamond" w:hAnsi="Garamond"/>
          <w:sz w:val="28"/>
          <w:szCs w:val="28"/>
        </w:rPr>
        <w:t xml:space="preserve">would restrict this Court’s discretion at a time when discretion is </w:t>
      </w:r>
      <w:r w:rsidR="00D531AF" w:rsidRPr="00055111">
        <w:rPr>
          <w:rFonts w:ascii="Garamond" w:hAnsi="Garamond"/>
          <w:sz w:val="28"/>
          <w:szCs w:val="28"/>
        </w:rPr>
        <w:t>needed most</w:t>
      </w:r>
      <w:r w:rsidR="002F4051" w:rsidRPr="00055111">
        <w:rPr>
          <w:rFonts w:ascii="Garamond" w:hAnsi="Garamond"/>
          <w:sz w:val="28"/>
          <w:szCs w:val="28"/>
        </w:rPr>
        <w:t xml:space="preserve">, </w:t>
      </w:r>
      <w:r w:rsidR="00CF02CA" w:rsidRPr="00055111">
        <w:rPr>
          <w:rFonts w:ascii="Garamond" w:hAnsi="Garamond"/>
          <w:sz w:val="28"/>
          <w:szCs w:val="28"/>
        </w:rPr>
        <w:t xml:space="preserve">prejudice </w:t>
      </w:r>
      <w:r w:rsidR="00581BCE" w:rsidRPr="00055111">
        <w:rPr>
          <w:rFonts w:ascii="Garamond" w:hAnsi="Garamond"/>
          <w:sz w:val="28"/>
          <w:szCs w:val="28"/>
        </w:rPr>
        <w:t>capital defendants</w:t>
      </w:r>
      <w:r w:rsidR="00C77162" w:rsidRPr="00055111">
        <w:rPr>
          <w:rFonts w:ascii="Garamond" w:hAnsi="Garamond"/>
          <w:sz w:val="28"/>
          <w:szCs w:val="28"/>
        </w:rPr>
        <w:t xml:space="preserve"> by imposing </w:t>
      </w:r>
      <w:r w:rsidR="00692D7B" w:rsidRPr="00055111">
        <w:rPr>
          <w:rFonts w:ascii="Garamond" w:hAnsi="Garamond"/>
          <w:sz w:val="28"/>
          <w:szCs w:val="28"/>
        </w:rPr>
        <w:t xml:space="preserve">unprecedently accelerated briefing timelines that impair defense counsel’s ability to oppose the warrant and prepare </w:t>
      </w:r>
      <w:r w:rsidR="00F92EA2" w:rsidRPr="00055111">
        <w:rPr>
          <w:rFonts w:ascii="Garamond" w:hAnsi="Garamond"/>
          <w:sz w:val="28"/>
          <w:szCs w:val="28"/>
        </w:rPr>
        <w:t>other collateral challenges to the execution</w:t>
      </w:r>
      <w:r w:rsidR="00594354" w:rsidRPr="00055111">
        <w:rPr>
          <w:rFonts w:ascii="Garamond" w:hAnsi="Garamond"/>
          <w:sz w:val="28"/>
          <w:szCs w:val="28"/>
        </w:rPr>
        <w:t xml:space="preserve">, and create </w:t>
      </w:r>
      <w:r w:rsidR="00995521" w:rsidRPr="00055111">
        <w:rPr>
          <w:rFonts w:ascii="Garamond" w:hAnsi="Garamond"/>
          <w:sz w:val="28"/>
          <w:szCs w:val="28"/>
        </w:rPr>
        <w:t>delay</w:t>
      </w:r>
      <w:r w:rsidR="00594354" w:rsidRPr="00055111">
        <w:rPr>
          <w:rFonts w:ascii="Garamond" w:hAnsi="Garamond"/>
          <w:sz w:val="28"/>
          <w:szCs w:val="28"/>
        </w:rPr>
        <w:t xml:space="preserve"> throughout the </w:t>
      </w:r>
      <w:r w:rsidR="009A7B99" w:rsidRPr="00055111">
        <w:rPr>
          <w:rFonts w:ascii="Garamond" w:hAnsi="Garamond"/>
          <w:sz w:val="28"/>
          <w:szCs w:val="28"/>
        </w:rPr>
        <w:t>criminal legal system</w:t>
      </w:r>
      <w:r w:rsidR="00581BCE" w:rsidRPr="00055111">
        <w:rPr>
          <w:rFonts w:ascii="Garamond" w:hAnsi="Garamond"/>
          <w:sz w:val="28"/>
          <w:szCs w:val="28"/>
        </w:rPr>
        <w:t>.</w:t>
      </w:r>
      <w:r w:rsidR="009A7B99" w:rsidRPr="00055111">
        <w:rPr>
          <w:rFonts w:ascii="Garamond" w:hAnsi="Garamond"/>
          <w:sz w:val="28"/>
          <w:szCs w:val="28"/>
        </w:rPr>
        <w:t xml:space="preserve"> </w:t>
      </w:r>
      <w:r w:rsidR="00DD27CE" w:rsidRPr="00055111">
        <w:rPr>
          <w:rFonts w:ascii="Garamond" w:hAnsi="Garamond"/>
          <w:sz w:val="28"/>
          <w:szCs w:val="28"/>
        </w:rPr>
        <w:t xml:space="preserve">It would work this mischief </w:t>
      </w:r>
      <w:r w:rsidR="00ED5690" w:rsidRPr="00055111">
        <w:rPr>
          <w:rFonts w:ascii="Garamond" w:hAnsi="Garamond"/>
          <w:sz w:val="28"/>
          <w:szCs w:val="28"/>
        </w:rPr>
        <w:t>with minimal, if any, benefits gained in the bargain.</w:t>
      </w:r>
      <w:r w:rsidR="00581BCE" w:rsidRPr="00055111">
        <w:rPr>
          <w:rFonts w:ascii="Garamond" w:hAnsi="Garamond"/>
          <w:sz w:val="28"/>
          <w:szCs w:val="28"/>
        </w:rPr>
        <w:t xml:space="preserve"> </w:t>
      </w:r>
      <w:r w:rsidR="00703C7B" w:rsidRPr="00055111">
        <w:rPr>
          <w:rFonts w:ascii="Garamond" w:hAnsi="Garamond"/>
          <w:sz w:val="28"/>
          <w:szCs w:val="28"/>
        </w:rPr>
        <w:t>More</w:t>
      </w:r>
      <w:r w:rsidR="00526837" w:rsidRPr="00055111">
        <w:rPr>
          <w:rFonts w:ascii="Garamond" w:hAnsi="Garamond"/>
          <w:sz w:val="28"/>
          <w:szCs w:val="28"/>
        </w:rPr>
        <w:t xml:space="preserve"> generally, </w:t>
      </w:r>
      <w:r w:rsidR="00221B01" w:rsidRPr="00055111">
        <w:rPr>
          <w:rFonts w:ascii="Garamond" w:hAnsi="Garamond"/>
          <w:sz w:val="28"/>
          <w:szCs w:val="28"/>
        </w:rPr>
        <w:t>amending</w:t>
      </w:r>
      <w:r w:rsidR="00D417E4" w:rsidRPr="00055111">
        <w:rPr>
          <w:rFonts w:ascii="Garamond" w:hAnsi="Garamond"/>
          <w:sz w:val="28"/>
          <w:szCs w:val="28"/>
        </w:rPr>
        <w:t xml:space="preserve"> the rules is the </w:t>
      </w:r>
      <w:r w:rsidR="00221B01" w:rsidRPr="00055111">
        <w:rPr>
          <w:rFonts w:ascii="Garamond" w:hAnsi="Garamond"/>
          <w:sz w:val="28"/>
          <w:szCs w:val="28"/>
        </w:rPr>
        <w:t>wrong</w:t>
      </w:r>
      <w:r w:rsidR="00A16641" w:rsidRPr="00055111">
        <w:rPr>
          <w:rFonts w:ascii="Garamond" w:hAnsi="Garamond"/>
          <w:sz w:val="28"/>
          <w:szCs w:val="28"/>
        </w:rPr>
        <w:t xml:space="preserve"> remedy </w:t>
      </w:r>
      <w:r w:rsidR="00C62D00" w:rsidRPr="00055111">
        <w:rPr>
          <w:rFonts w:ascii="Garamond" w:hAnsi="Garamond"/>
          <w:sz w:val="28"/>
          <w:szCs w:val="28"/>
        </w:rPr>
        <w:t>to address</w:t>
      </w:r>
      <w:r w:rsidR="00A16641" w:rsidRPr="00055111">
        <w:rPr>
          <w:rFonts w:ascii="Garamond" w:hAnsi="Garamond"/>
          <w:sz w:val="28"/>
          <w:szCs w:val="28"/>
        </w:rPr>
        <w:t xml:space="preserve"> the </w:t>
      </w:r>
      <w:r w:rsidR="00097458" w:rsidRPr="00055111">
        <w:rPr>
          <w:rFonts w:ascii="Garamond" w:hAnsi="Garamond"/>
          <w:sz w:val="28"/>
          <w:szCs w:val="28"/>
        </w:rPr>
        <w:t>idiosyncrasies</w:t>
      </w:r>
      <w:r w:rsidR="00A16641" w:rsidRPr="00055111">
        <w:rPr>
          <w:rFonts w:ascii="Garamond" w:hAnsi="Garamond"/>
          <w:sz w:val="28"/>
          <w:szCs w:val="28"/>
        </w:rPr>
        <w:t xml:space="preserve"> of the </w:t>
      </w:r>
      <w:r w:rsidR="007602DC" w:rsidRPr="00055111">
        <w:rPr>
          <w:rFonts w:ascii="Garamond" w:hAnsi="Garamond"/>
          <w:sz w:val="28"/>
          <w:szCs w:val="28"/>
        </w:rPr>
        <w:t xml:space="preserve">State’s </w:t>
      </w:r>
      <w:r w:rsidR="0016493B" w:rsidRPr="00055111">
        <w:rPr>
          <w:rFonts w:ascii="Garamond" w:hAnsi="Garamond"/>
          <w:sz w:val="28"/>
          <w:szCs w:val="28"/>
        </w:rPr>
        <w:t>current choice of</w:t>
      </w:r>
      <w:r w:rsidR="007602DC" w:rsidRPr="00055111">
        <w:rPr>
          <w:rFonts w:ascii="Garamond" w:hAnsi="Garamond"/>
          <w:sz w:val="28"/>
          <w:szCs w:val="28"/>
        </w:rPr>
        <w:t xml:space="preserve"> lethal injection drug, a factual predicate that is neither </w:t>
      </w:r>
      <w:r w:rsidR="0016493B" w:rsidRPr="00055111">
        <w:rPr>
          <w:rFonts w:ascii="Garamond" w:hAnsi="Garamond"/>
          <w:sz w:val="28"/>
          <w:szCs w:val="28"/>
        </w:rPr>
        <w:t xml:space="preserve">universally applicable nor immune to change. </w:t>
      </w:r>
      <w:r w:rsidR="003F2452" w:rsidRPr="00055111">
        <w:rPr>
          <w:rFonts w:ascii="Garamond" w:hAnsi="Garamond"/>
          <w:sz w:val="28"/>
          <w:szCs w:val="28"/>
        </w:rPr>
        <w:t>For the reasons explained below, undersigned ask that the Petition be denied.</w:t>
      </w:r>
    </w:p>
    <w:p w14:paraId="23BE458D" w14:textId="77777777" w:rsidR="00D7289F" w:rsidRPr="00055111" w:rsidRDefault="00D7289F">
      <w:pPr>
        <w:rPr>
          <w:rFonts w:ascii="Garamond" w:hAnsi="Garamond"/>
          <w:b/>
          <w:bCs/>
          <w:sz w:val="28"/>
          <w:szCs w:val="28"/>
        </w:rPr>
      </w:pPr>
      <w:r w:rsidRPr="00055111">
        <w:rPr>
          <w:rFonts w:ascii="Garamond" w:hAnsi="Garamond"/>
          <w:sz w:val="28"/>
          <w:szCs w:val="28"/>
        </w:rPr>
        <w:br w:type="page"/>
      </w:r>
    </w:p>
    <w:p w14:paraId="016ECDB3" w14:textId="1B0180FE" w:rsidR="00785B91" w:rsidRPr="00055111" w:rsidRDefault="00C1488D" w:rsidP="001F3C14">
      <w:pPr>
        <w:pStyle w:val="Heading1"/>
      </w:pPr>
      <w:r w:rsidRPr="00055111">
        <w:t>II.</w:t>
      </w:r>
      <w:r w:rsidRPr="00055111">
        <w:tab/>
        <w:t>Reasons the Petition Should Be Denied</w:t>
      </w:r>
      <w:r w:rsidR="001F3C14" w:rsidRPr="00055111">
        <w:t xml:space="preserve"> </w:t>
      </w:r>
    </w:p>
    <w:p w14:paraId="4FE406A6" w14:textId="77777777" w:rsidR="00C1488D" w:rsidRPr="00055111" w:rsidRDefault="00C1488D" w:rsidP="00C1488D">
      <w:pPr>
        <w:spacing w:after="0" w:line="240" w:lineRule="auto"/>
        <w:rPr>
          <w:rFonts w:ascii="Garamond" w:hAnsi="Garamond"/>
          <w:sz w:val="28"/>
          <w:szCs w:val="28"/>
        </w:rPr>
      </w:pPr>
    </w:p>
    <w:p w14:paraId="4F56F0D1" w14:textId="58A835DB" w:rsidR="008C7DBC" w:rsidRPr="00055111" w:rsidRDefault="00910FDA" w:rsidP="00C1488D">
      <w:pPr>
        <w:pStyle w:val="Heading2"/>
      </w:pPr>
      <w:r w:rsidRPr="00055111">
        <w:lastRenderedPageBreak/>
        <w:t>A.</w:t>
      </w:r>
      <w:r w:rsidRPr="00055111">
        <w:tab/>
      </w:r>
      <w:r w:rsidR="00570D6B" w:rsidRPr="00055111">
        <w:t>T</w:t>
      </w:r>
      <w:r w:rsidRPr="00055111">
        <w:t>he proposed amendment prejudices capital defendants</w:t>
      </w:r>
      <w:r w:rsidR="00856F20" w:rsidRPr="00055111">
        <w:t xml:space="preserve">, </w:t>
      </w:r>
      <w:r w:rsidRPr="00055111">
        <w:t>limits the discretion of this Court</w:t>
      </w:r>
      <w:r w:rsidR="00856F20" w:rsidRPr="00055111">
        <w:t>, and burdens the criminal legal system.</w:t>
      </w:r>
    </w:p>
    <w:p w14:paraId="08CA0D3E" w14:textId="77777777" w:rsidR="000D4368" w:rsidRPr="00055111" w:rsidRDefault="000D4368" w:rsidP="000D4368">
      <w:pPr>
        <w:spacing w:after="0" w:line="240" w:lineRule="auto"/>
        <w:rPr>
          <w:rFonts w:ascii="Garamond" w:hAnsi="Garamond"/>
          <w:sz w:val="28"/>
          <w:szCs w:val="28"/>
        </w:rPr>
      </w:pPr>
    </w:p>
    <w:p w14:paraId="51E783AF" w14:textId="1CDDFE43" w:rsidR="004C27DE" w:rsidRPr="00055111" w:rsidRDefault="00BF6965" w:rsidP="00CF2589">
      <w:pPr>
        <w:spacing w:after="0" w:line="480" w:lineRule="auto"/>
        <w:rPr>
          <w:rFonts w:ascii="Garamond" w:hAnsi="Garamond"/>
          <w:sz w:val="28"/>
          <w:szCs w:val="28"/>
        </w:rPr>
      </w:pPr>
      <w:r w:rsidRPr="00055111">
        <w:rPr>
          <w:rFonts w:ascii="Garamond" w:hAnsi="Garamond"/>
          <w:sz w:val="28"/>
          <w:szCs w:val="28"/>
        </w:rPr>
        <w:tab/>
      </w:r>
      <w:r w:rsidR="00303C27" w:rsidRPr="00055111">
        <w:rPr>
          <w:rFonts w:ascii="Garamond" w:hAnsi="Garamond"/>
          <w:sz w:val="28"/>
          <w:szCs w:val="28"/>
        </w:rPr>
        <w:t>In recent years, t</w:t>
      </w:r>
      <w:r w:rsidR="00C50FED" w:rsidRPr="00055111">
        <w:rPr>
          <w:rFonts w:ascii="Garamond" w:hAnsi="Garamond"/>
          <w:sz w:val="28"/>
          <w:szCs w:val="28"/>
        </w:rPr>
        <w:t>he State</w:t>
      </w:r>
      <w:r w:rsidRPr="00055111">
        <w:rPr>
          <w:rFonts w:ascii="Garamond" w:hAnsi="Garamond"/>
          <w:sz w:val="28"/>
          <w:szCs w:val="28"/>
        </w:rPr>
        <w:t xml:space="preserve"> has selected a drug for lethal injection executions, compounded pentobarbital, </w:t>
      </w:r>
      <w:r w:rsidR="00F83155" w:rsidRPr="00055111">
        <w:rPr>
          <w:rFonts w:ascii="Garamond" w:hAnsi="Garamond"/>
          <w:sz w:val="28"/>
          <w:szCs w:val="28"/>
        </w:rPr>
        <w:t xml:space="preserve">that </w:t>
      </w:r>
      <w:r w:rsidR="008F6726" w:rsidRPr="00055111">
        <w:rPr>
          <w:rFonts w:ascii="Garamond" w:hAnsi="Garamond"/>
          <w:sz w:val="28"/>
          <w:szCs w:val="28"/>
        </w:rPr>
        <w:t>possess</w:t>
      </w:r>
      <w:r w:rsidR="00F83155" w:rsidRPr="00055111">
        <w:rPr>
          <w:rFonts w:ascii="Garamond" w:hAnsi="Garamond"/>
          <w:sz w:val="28"/>
          <w:szCs w:val="28"/>
        </w:rPr>
        <w:t>es</w:t>
      </w:r>
      <w:r w:rsidR="0099032A" w:rsidRPr="00055111">
        <w:rPr>
          <w:rFonts w:ascii="Garamond" w:hAnsi="Garamond"/>
          <w:sz w:val="28"/>
          <w:szCs w:val="28"/>
        </w:rPr>
        <w:t xml:space="preserve"> properties incompatible with this Court’s historic warrant motion</w:t>
      </w:r>
      <w:r w:rsidR="00F0591D" w:rsidRPr="00055111">
        <w:rPr>
          <w:rFonts w:ascii="Garamond" w:hAnsi="Garamond"/>
          <w:sz w:val="28"/>
          <w:szCs w:val="28"/>
        </w:rPr>
        <w:t xml:space="preserve">. </w:t>
      </w:r>
      <w:r w:rsidR="00025860" w:rsidRPr="00055111">
        <w:rPr>
          <w:rFonts w:ascii="Garamond" w:hAnsi="Garamond"/>
          <w:sz w:val="28"/>
          <w:szCs w:val="28"/>
        </w:rPr>
        <w:t xml:space="preserve">Whether or not the drug’s impracticalities were apparent at the time </w:t>
      </w:r>
      <w:r w:rsidR="00AA68E6" w:rsidRPr="00055111">
        <w:rPr>
          <w:rFonts w:ascii="Garamond" w:hAnsi="Garamond"/>
          <w:sz w:val="28"/>
          <w:szCs w:val="28"/>
        </w:rPr>
        <w:t>ADCRR chose it for executions</w:t>
      </w:r>
      <w:r w:rsidR="00025860" w:rsidRPr="00055111">
        <w:rPr>
          <w:rFonts w:ascii="Garamond" w:hAnsi="Garamond"/>
          <w:sz w:val="28"/>
          <w:szCs w:val="28"/>
        </w:rPr>
        <w:t xml:space="preserve">, they are </w:t>
      </w:r>
      <w:r w:rsidR="008D4332" w:rsidRPr="00055111">
        <w:rPr>
          <w:rFonts w:ascii="Garamond" w:hAnsi="Garamond"/>
          <w:sz w:val="28"/>
          <w:szCs w:val="28"/>
        </w:rPr>
        <w:t>well</w:t>
      </w:r>
      <w:r w:rsidR="00103484" w:rsidRPr="00055111">
        <w:rPr>
          <w:rFonts w:ascii="Garamond" w:hAnsi="Garamond"/>
          <w:sz w:val="28"/>
          <w:szCs w:val="28"/>
        </w:rPr>
        <w:t xml:space="preserve"> </w:t>
      </w:r>
      <w:r w:rsidR="008D4332" w:rsidRPr="00055111">
        <w:rPr>
          <w:rFonts w:ascii="Garamond" w:hAnsi="Garamond"/>
          <w:sz w:val="28"/>
          <w:szCs w:val="28"/>
        </w:rPr>
        <w:t xml:space="preserve">known now. Rather than </w:t>
      </w:r>
      <w:r w:rsidR="00F00078" w:rsidRPr="00055111">
        <w:rPr>
          <w:rFonts w:ascii="Garamond" w:hAnsi="Garamond"/>
          <w:sz w:val="28"/>
          <w:szCs w:val="28"/>
        </w:rPr>
        <w:t>finding an alternative drug</w:t>
      </w:r>
      <w:r w:rsidR="00B81014" w:rsidRPr="00055111">
        <w:rPr>
          <w:rFonts w:ascii="Garamond" w:hAnsi="Garamond"/>
          <w:sz w:val="28"/>
          <w:szCs w:val="28"/>
        </w:rPr>
        <w:t xml:space="preserve"> without these limitations</w:t>
      </w:r>
      <w:r w:rsidR="00F00078" w:rsidRPr="00055111">
        <w:rPr>
          <w:rFonts w:ascii="Garamond" w:hAnsi="Garamond"/>
          <w:sz w:val="28"/>
          <w:szCs w:val="28"/>
        </w:rPr>
        <w:t xml:space="preserve">, </w:t>
      </w:r>
      <w:r w:rsidR="00B81014" w:rsidRPr="00055111">
        <w:rPr>
          <w:rFonts w:ascii="Garamond" w:hAnsi="Garamond"/>
          <w:sz w:val="28"/>
          <w:szCs w:val="28"/>
        </w:rPr>
        <w:t xml:space="preserve">the Petition </w:t>
      </w:r>
      <w:r w:rsidR="00550587" w:rsidRPr="00055111">
        <w:rPr>
          <w:rFonts w:ascii="Garamond" w:hAnsi="Garamond"/>
          <w:sz w:val="28"/>
          <w:szCs w:val="28"/>
        </w:rPr>
        <w:t xml:space="preserve">would </w:t>
      </w:r>
      <w:r w:rsidR="00D64F1D" w:rsidRPr="00055111">
        <w:rPr>
          <w:rFonts w:ascii="Garamond" w:hAnsi="Garamond"/>
          <w:sz w:val="28"/>
          <w:szCs w:val="28"/>
        </w:rPr>
        <w:t xml:space="preserve">have this Court </w:t>
      </w:r>
      <w:r w:rsidR="00F83155" w:rsidRPr="00055111">
        <w:rPr>
          <w:rFonts w:ascii="Garamond" w:hAnsi="Garamond"/>
          <w:sz w:val="28"/>
          <w:szCs w:val="28"/>
        </w:rPr>
        <w:t xml:space="preserve">contort its Criminal Rules to permanently </w:t>
      </w:r>
      <w:r w:rsidR="00413F4E" w:rsidRPr="00055111">
        <w:rPr>
          <w:rFonts w:ascii="Garamond" w:hAnsi="Garamond"/>
          <w:sz w:val="28"/>
          <w:szCs w:val="28"/>
        </w:rPr>
        <w:t>enshrine</w:t>
      </w:r>
      <w:r w:rsidR="00D64F1D" w:rsidRPr="00055111">
        <w:rPr>
          <w:rFonts w:ascii="Garamond" w:hAnsi="Garamond"/>
          <w:sz w:val="28"/>
          <w:szCs w:val="28"/>
        </w:rPr>
        <w:t xml:space="preserve"> those shortcomings </w:t>
      </w:r>
      <w:r w:rsidR="00F83155" w:rsidRPr="00055111">
        <w:rPr>
          <w:rFonts w:ascii="Garamond" w:hAnsi="Garamond"/>
          <w:sz w:val="28"/>
          <w:szCs w:val="28"/>
        </w:rPr>
        <w:t>into perpetuity</w:t>
      </w:r>
      <w:r w:rsidR="00D64F1D" w:rsidRPr="00055111">
        <w:rPr>
          <w:rFonts w:ascii="Garamond" w:hAnsi="Garamond"/>
          <w:sz w:val="28"/>
          <w:szCs w:val="28"/>
        </w:rPr>
        <w:t>.</w:t>
      </w:r>
      <w:r w:rsidR="00413F4E" w:rsidRPr="00055111">
        <w:rPr>
          <w:rFonts w:ascii="Garamond" w:hAnsi="Garamond"/>
          <w:sz w:val="28"/>
          <w:szCs w:val="28"/>
        </w:rPr>
        <w:t xml:space="preserve"> But this </w:t>
      </w:r>
      <w:r w:rsidR="00B30D96" w:rsidRPr="00055111">
        <w:rPr>
          <w:rFonts w:ascii="Garamond" w:hAnsi="Garamond"/>
          <w:sz w:val="28"/>
          <w:szCs w:val="28"/>
        </w:rPr>
        <w:t>answer</w:t>
      </w:r>
      <w:r w:rsidR="0070275E" w:rsidRPr="00055111">
        <w:rPr>
          <w:rFonts w:ascii="Garamond" w:hAnsi="Garamond"/>
          <w:sz w:val="28"/>
          <w:szCs w:val="28"/>
        </w:rPr>
        <w:t xml:space="preserve"> </w:t>
      </w:r>
      <w:r w:rsidR="00B30D96" w:rsidRPr="00055111">
        <w:rPr>
          <w:rFonts w:ascii="Garamond" w:hAnsi="Garamond"/>
          <w:sz w:val="28"/>
          <w:szCs w:val="28"/>
        </w:rPr>
        <w:t xml:space="preserve">to </w:t>
      </w:r>
      <w:r w:rsidR="0070275E" w:rsidRPr="00055111">
        <w:rPr>
          <w:rFonts w:ascii="Garamond" w:hAnsi="Garamond"/>
          <w:sz w:val="28"/>
          <w:szCs w:val="28"/>
        </w:rPr>
        <w:t>compounded pentobarbital’s manifest impracticality</w:t>
      </w:r>
      <w:r w:rsidR="00B30D96" w:rsidRPr="00055111">
        <w:rPr>
          <w:rFonts w:ascii="Garamond" w:hAnsi="Garamond"/>
          <w:sz w:val="28"/>
          <w:szCs w:val="28"/>
        </w:rPr>
        <w:t xml:space="preserve"> </w:t>
      </w:r>
      <w:r w:rsidR="00CA12F9" w:rsidRPr="00055111">
        <w:rPr>
          <w:rFonts w:ascii="Garamond" w:hAnsi="Garamond"/>
          <w:sz w:val="28"/>
          <w:szCs w:val="28"/>
        </w:rPr>
        <w:t>is no solution at all</w:t>
      </w:r>
      <w:r w:rsidR="006C7D32" w:rsidRPr="00055111">
        <w:rPr>
          <w:rFonts w:ascii="Garamond" w:hAnsi="Garamond"/>
          <w:sz w:val="28"/>
          <w:szCs w:val="28"/>
        </w:rPr>
        <w:t>.</w:t>
      </w:r>
      <w:r w:rsidR="00CA12F9" w:rsidRPr="00055111">
        <w:rPr>
          <w:rFonts w:ascii="Garamond" w:hAnsi="Garamond"/>
          <w:sz w:val="28"/>
          <w:szCs w:val="28"/>
        </w:rPr>
        <w:t xml:space="preserve"> </w:t>
      </w:r>
      <w:r w:rsidR="006C7D32" w:rsidRPr="00055111">
        <w:rPr>
          <w:rFonts w:ascii="Garamond" w:hAnsi="Garamond"/>
          <w:sz w:val="28"/>
          <w:szCs w:val="28"/>
        </w:rPr>
        <w:t>The Petition’s proposal</w:t>
      </w:r>
      <w:r w:rsidR="00413F4E" w:rsidRPr="00055111">
        <w:rPr>
          <w:rFonts w:ascii="Garamond" w:hAnsi="Garamond"/>
          <w:sz w:val="28"/>
          <w:szCs w:val="28"/>
        </w:rPr>
        <w:t xml:space="preserve"> would </w:t>
      </w:r>
      <w:r w:rsidR="004224DE" w:rsidRPr="00055111">
        <w:rPr>
          <w:rFonts w:ascii="Garamond" w:hAnsi="Garamond"/>
          <w:sz w:val="28"/>
          <w:szCs w:val="28"/>
        </w:rPr>
        <w:t xml:space="preserve">prejudice defendants, impinge on this Court’s </w:t>
      </w:r>
      <w:r w:rsidR="00CA12F9" w:rsidRPr="00055111">
        <w:rPr>
          <w:rFonts w:ascii="Garamond" w:hAnsi="Garamond"/>
          <w:sz w:val="28"/>
          <w:szCs w:val="28"/>
        </w:rPr>
        <w:t xml:space="preserve">ability to </w:t>
      </w:r>
      <w:r w:rsidR="00F53D85" w:rsidRPr="00055111">
        <w:rPr>
          <w:rFonts w:ascii="Garamond" w:hAnsi="Garamond"/>
          <w:sz w:val="28"/>
          <w:szCs w:val="28"/>
        </w:rPr>
        <w:t xml:space="preserve">manage its own docket, and </w:t>
      </w:r>
      <w:r w:rsidR="004C74DC" w:rsidRPr="00055111">
        <w:rPr>
          <w:rFonts w:ascii="Garamond" w:hAnsi="Garamond"/>
          <w:sz w:val="28"/>
          <w:szCs w:val="28"/>
        </w:rPr>
        <w:t>impose additional burden</w:t>
      </w:r>
      <w:r w:rsidR="003C669A" w:rsidRPr="00055111">
        <w:rPr>
          <w:rFonts w:ascii="Garamond" w:hAnsi="Garamond"/>
          <w:sz w:val="28"/>
          <w:szCs w:val="28"/>
        </w:rPr>
        <w:t>s</w:t>
      </w:r>
      <w:r w:rsidR="004C74DC" w:rsidRPr="00055111">
        <w:rPr>
          <w:rFonts w:ascii="Garamond" w:hAnsi="Garamond"/>
          <w:sz w:val="28"/>
          <w:szCs w:val="28"/>
        </w:rPr>
        <w:t xml:space="preserve"> </w:t>
      </w:r>
      <w:r w:rsidR="00AB403D" w:rsidRPr="00055111">
        <w:rPr>
          <w:rFonts w:ascii="Garamond" w:hAnsi="Garamond"/>
          <w:sz w:val="28"/>
          <w:szCs w:val="28"/>
        </w:rPr>
        <w:t>that would be felt throughout the State’s judicial system</w:t>
      </w:r>
      <w:r w:rsidR="00746C62" w:rsidRPr="00055111">
        <w:rPr>
          <w:rFonts w:ascii="Garamond" w:hAnsi="Garamond"/>
          <w:sz w:val="28"/>
          <w:szCs w:val="28"/>
        </w:rPr>
        <w:t>, a</w:t>
      </w:r>
      <w:r w:rsidR="00AB403D" w:rsidRPr="00055111">
        <w:rPr>
          <w:rFonts w:ascii="Garamond" w:hAnsi="Garamond"/>
          <w:sz w:val="28"/>
          <w:szCs w:val="28"/>
        </w:rPr>
        <w:t xml:space="preserve">ll just to </w:t>
      </w:r>
      <w:r w:rsidR="002E6EC3" w:rsidRPr="00055111">
        <w:rPr>
          <w:rFonts w:ascii="Garamond" w:hAnsi="Garamond"/>
          <w:sz w:val="28"/>
          <w:szCs w:val="28"/>
        </w:rPr>
        <w:t>accommodate</w:t>
      </w:r>
      <w:r w:rsidR="00746C62" w:rsidRPr="00055111">
        <w:rPr>
          <w:rFonts w:ascii="Garamond" w:hAnsi="Garamond"/>
          <w:sz w:val="28"/>
          <w:szCs w:val="28"/>
        </w:rPr>
        <w:t xml:space="preserve"> ADCRR’s discretionary selection </w:t>
      </w:r>
      <w:r w:rsidR="00EA3941" w:rsidRPr="00055111">
        <w:rPr>
          <w:rFonts w:ascii="Garamond" w:hAnsi="Garamond"/>
          <w:sz w:val="28"/>
          <w:szCs w:val="28"/>
        </w:rPr>
        <w:t>of a drug</w:t>
      </w:r>
      <w:r w:rsidR="00F83155" w:rsidRPr="00055111">
        <w:rPr>
          <w:rFonts w:ascii="Garamond" w:hAnsi="Garamond"/>
          <w:sz w:val="28"/>
          <w:szCs w:val="28"/>
        </w:rPr>
        <w:t xml:space="preserve"> whose </w:t>
      </w:r>
      <w:r w:rsidR="00EA3941" w:rsidRPr="00055111">
        <w:rPr>
          <w:rFonts w:ascii="Garamond" w:hAnsi="Garamond"/>
          <w:sz w:val="28"/>
          <w:szCs w:val="28"/>
        </w:rPr>
        <w:t>logistical unfitness has been known for years.</w:t>
      </w:r>
    </w:p>
    <w:p w14:paraId="2009A115" w14:textId="7C410CEB" w:rsidR="004F7BA9" w:rsidRPr="00055111" w:rsidRDefault="00CF2589" w:rsidP="00CF2589">
      <w:pPr>
        <w:spacing w:after="0" w:line="480" w:lineRule="auto"/>
        <w:rPr>
          <w:rFonts w:ascii="Garamond" w:hAnsi="Garamond"/>
          <w:sz w:val="28"/>
          <w:szCs w:val="28"/>
        </w:rPr>
      </w:pPr>
      <w:r w:rsidRPr="00055111">
        <w:rPr>
          <w:rFonts w:ascii="Garamond" w:hAnsi="Garamond"/>
          <w:sz w:val="28"/>
          <w:szCs w:val="28"/>
        </w:rPr>
        <w:tab/>
        <w:t xml:space="preserve">Since 2022, Arizona has executed four men: Clarence Dixon, Frank Atwood, Murray Hooper, and Aaron Gunches. In each case, the Attorney General filed a motion for a briefing schedule </w:t>
      </w:r>
      <w:r w:rsidR="004F7BA9" w:rsidRPr="00055111">
        <w:rPr>
          <w:rFonts w:ascii="Garamond" w:hAnsi="Garamond"/>
          <w:sz w:val="28"/>
          <w:szCs w:val="28"/>
        </w:rPr>
        <w:t xml:space="preserve">asking this Court to set dates to file the warrant motion, response, and reply. </w:t>
      </w:r>
      <w:r w:rsidRPr="00055111">
        <w:rPr>
          <w:rFonts w:ascii="Garamond" w:hAnsi="Garamond"/>
          <w:i/>
          <w:sz w:val="28"/>
          <w:szCs w:val="28"/>
        </w:rPr>
        <w:t>State v. Dixon</w:t>
      </w:r>
      <w:r w:rsidRPr="00055111">
        <w:rPr>
          <w:rFonts w:ascii="Garamond" w:hAnsi="Garamond"/>
          <w:sz w:val="28"/>
          <w:szCs w:val="28"/>
        </w:rPr>
        <w:t xml:space="preserve">, No. CR-08-0025-AP, Motion to Set Briefing Schedule for Motion for Warrant of Execution (Jan. 5, 2022); </w:t>
      </w:r>
      <w:r w:rsidRPr="00055111">
        <w:rPr>
          <w:rFonts w:ascii="Garamond" w:hAnsi="Garamond"/>
          <w:i/>
          <w:sz w:val="28"/>
          <w:szCs w:val="28"/>
        </w:rPr>
        <w:t>State v. Atwood</w:t>
      </w:r>
      <w:r w:rsidRPr="00055111">
        <w:rPr>
          <w:rFonts w:ascii="Garamond" w:hAnsi="Garamond"/>
          <w:sz w:val="28"/>
          <w:szCs w:val="28"/>
        </w:rPr>
        <w:t xml:space="preserve">, No. CR-87-0135-AP, Motion to Set Briefing Schedule for Motion for Warrant of Execution (Jan. 5, 2022); </w:t>
      </w:r>
      <w:r w:rsidRPr="00055111">
        <w:rPr>
          <w:rFonts w:ascii="Garamond" w:hAnsi="Garamond"/>
          <w:i/>
          <w:sz w:val="28"/>
          <w:szCs w:val="28"/>
        </w:rPr>
        <w:t>State v. Hooper</w:t>
      </w:r>
      <w:r w:rsidRPr="00055111">
        <w:rPr>
          <w:rFonts w:ascii="Garamond" w:hAnsi="Garamond"/>
          <w:sz w:val="28"/>
          <w:szCs w:val="28"/>
        </w:rPr>
        <w:t xml:space="preserve">, No. CR-83-0044-AP, Motion to Set Briefing </w:t>
      </w:r>
      <w:r w:rsidRPr="00055111">
        <w:rPr>
          <w:rFonts w:ascii="Garamond" w:hAnsi="Garamond"/>
          <w:sz w:val="28"/>
          <w:szCs w:val="28"/>
        </w:rPr>
        <w:lastRenderedPageBreak/>
        <w:t xml:space="preserve">Schedule for Motion for Warrant of Execution (July 19, 2022); </w:t>
      </w:r>
      <w:r w:rsidRPr="00055111">
        <w:rPr>
          <w:rFonts w:ascii="Garamond" w:hAnsi="Garamond"/>
          <w:i/>
          <w:sz w:val="28"/>
          <w:szCs w:val="28"/>
        </w:rPr>
        <w:t>State v. Gunches</w:t>
      </w:r>
      <w:r w:rsidRPr="00055111">
        <w:rPr>
          <w:rFonts w:ascii="Garamond" w:hAnsi="Garamond"/>
          <w:sz w:val="28"/>
          <w:szCs w:val="28"/>
        </w:rPr>
        <w:t xml:space="preserve">, No. CR-13-0282-AP, Motion to Set Briefing Schedule for Motion for Warrant of Execution (Dec. 6, 2024). Critically, in each case, the scheduling motion </w:t>
      </w:r>
      <w:r w:rsidR="00D50F12" w:rsidRPr="00055111">
        <w:rPr>
          <w:rFonts w:ascii="Garamond" w:hAnsi="Garamond"/>
          <w:sz w:val="28"/>
          <w:szCs w:val="28"/>
        </w:rPr>
        <w:t xml:space="preserve">disclosed </w:t>
      </w:r>
      <w:r w:rsidRPr="00055111">
        <w:rPr>
          <w:rFonts w:ascii="Garamond" w:hAnsi="Garamond"/>
          <w:sz w:val="28"/>
          <w:szCs w:val="28"/>
        </w:rPr>
        <w:t>the warrant motion that would later be filed if expedited scheduling was granted.</w:t>
      </w:r>
    </w:p>
    <w:p w14:paraId="2AD5CBDF" w14:textId="63F1D0E8" w:rsidR="00BD6FCC" w:rsidRPr="00055111" w:rsidRDefault="004F7BA9" w:rsidP="00CF2589">
      <w:pPr>
        <w:spacing w:after="0" w:line="480" w:lineRule="auto"/>
        <w:rPr>
          <w:rFonts w:ascii="Garamond" w:hAnsi="Garamond"/>
          <w:sz w:val="28"/>
          <w:szCs w:val="28"/>
        </w:rPr>
      </w:pPr>
      <w:r w:rsidRPr="00055111">
        <w:rPr>
          <w:rFonts w:ascii="Garamond" w:hAnsi="Garamond"/>
          <w:sz w:val="28"/>
          <w:szCs w:val="28"/>
        </w:rPr>
        <w:tab/>
      </w:r>
      <w:r w:rsidR="00CF2589" w:rsidRPr="00055111">
        <w:rPr>
          <w:rFonts w:ascii="Garamond" w:hAnsi="Garamond"/>
          <w:sz w:val="28"/>
          <w:szCs w:val="28"/>
        </w:rPr>
        <w:t xml:space="preserve">Thus, by the time the warrant motion was filed, the defendant in each case had already had time to review </w:t>
      </w:r>
      <w:r w:rsidR="00497471" w:rsidRPr="00055111">
        <w:rPr>
          <w:rFonts w:ascii="Garamond" w:hAnsi="Garamond"/>
          <w:sz w:val="28"/>
          <w:szCs w:val="28"/>
        </w:rPr>
        <w:t xml:space="preserve">it </w:t>
      </w:r>
      <w:r w:rsidR="00CF2589" w:rsidRPr="00055111">
        <w:rPr>
          <w:rFonts w:ascii="Garamond" w:hAnsi="Garamond"/>
          <w:sz w:val="28"/>
          <w:szCs w:val="28"/>
        </w:rPr>
        <w:t xml:space="preserve">and prepare a response. In Mr. Dixon’s case, 50 days elapsed between the warrant motion’s initial disclosure and the date it was filed; </w:t>
      </w:r>
      <w:r w:rsidR="00770EE8" w:rsidRPr="00055111">
        <w:rPr>
          <w:rFonts w:ascii="Garamond" w:hAnsi="Garamond"/>
          <w:sz w:val="28"/>
          <w:szCs w:val="28"/>
        </w:rPr>
        <w:t>for</w:t>
      </w:r>
      <w:r w:rsidR="00CF2589" w:rsidRPr="00055111">
        <w:rPr>
          <w:rFonts w:ascii="Garamond" w:hAnsi="Garamond"/>
          <w:sz w:val="28"/>
          <w:szCs w:val="28"/>
        </w:rPr>
        <w:t xml:space="preserve"> Mr. Atwood, 92 days; </w:t>
      </w:r>
      <w:r w:rsidR="00770EE8" w:rsidRPr="00055111">
        <w:rPr>
          <w:rFonts w:ascii="Garamond" w:hAnsi="Garamond"/>
          <w:sz w:val="28"/>
          <w:szCs w:val="28"/>
        </w:rPr>
        <w:t>for</w:t>
      </w:r>
      <w:r w:rsidR="00CF2589" w:rsidRPr="00055111">
        <w:rPr>
          <w:rFonts w:ascii="Garamond" w:hAnsi="Garamond"/>
          <w:sz w:val="28"/>
          <w:szCs w:val="28"/>
        </w:rPr>
        <w:t xml:space="preserve"> Mr. Hooper, 17 days; and </w:t>
      </w:r>
      <w:r w:rsidR="00770EE8" w:rsidRPr="00055111">
        <w:rPr>
          <w:rFonts w:ascii="Garamond" w:hAnsi="Garamond"/>
          <w:sz w:val="28"/>
          <w:szCs w:val="28"/>
        </w:rPr>
        <w:t>for</w:t>
      </w:r>
      <w:r w:rsidR="00CF2589" w:rsidRPr="00055111">
        <w:rPr>
          <w:rFonts w:ascii="Garamond" w:hAnsi="Garamond"/>
          <w:sz w:val="28"/>
          <w:szCs w:val="28"/>
        </w:rPr>
        <w:t xml:space="preserve"> Mr. Gunches, 35 days.</w:t>
      </w:r>
      <w:r w:rsidR="00D8044A" w:rsidRPr="00055111">
        <w:rPr>
          <w:rFonts w:ascii="Garamond" w:hAnsi="Garamond"/>
          <w:sz w:val="28"/>
          <w:szCs w:val="28"/>
        </w:rPr>
        <w:t xml:space="preserve"> </w:t>
      </w:r>
      <w:r w:rsidR="009B6D42" w:rsidRPr="00055111">
        <w:rPr>
          <w:rFonts w:ascii="Garamond" w:hAnsi="Garamond"/>
          <w:sz w:val="28"/>
          <w:szCs w:val="28"/>
        </w:rPr>
        <w:t>R</w:t>
      </w:r>
      <w:r w:rsidR="00D8044A" w:rsidRPr="00055111">
        <w:rPr>
          <w:rFonts w:ascii="Garamond" w:hAnsi="Garamond"/>
          <w:sz w:val="28"/>
          <w:szCs w:val="28"/>
        </w:rPr>
        <w:t>espon</w:t>
      </w:r>
      <w:r w:rsidR="00A76CBC" w:rsidRPr="00055111">
        <w:rPr>
          <w:rFonts w:ascii="Garamond" w:hAnsi="Garamond"/>
          <w:sz w:val="28"/>
          <w:szCs w:val="28"/>
        </w:rPr>
        <w:t>ding</w:t>
      </w:r>
      <w:r w:rsidR="00D8044A" w:rsidRPr="00055111">
        <w:rPr>
          <w:rFonts w:ascii="Garamond" w:hAnsi="Garamond"/>
          <w:sz w:val="28"/>
          <w:szCs w:val="28"/>
        </w:rPr>
        <w:t xml:space="preserve"> to such a motion is </w:t>
      </w:r>
      <w:proofErr w:type="spellStart"/>
      <w:r w:rsidR="00D8044A" w:rsidRPr="00055111">
        <w:rPr>
          <w:rFonts w:ascii="Garamond" w:hAnsi="Garamond"/>
          <w:sz w:val="28"/>
          <w:szCs w:val="28"/>
        </w:rPr>
        <w:t>no</w:t>
      </w:r>
      <w:proofErr w:type="spellEnd"/>
      <w:r w:rsidR="00D8044A" w:rsidRPr="00055111">
        <w:rPr>
          <w:rFonts w:ascii="Garamond" w:hAnsi="Garamond"/>
          <w:sz w:val="28"/>
          <w:szCs w:val="28"/>
        </w:rPr>
        <w:t xml:space="preserve"> </w:t>
      </w:r>
      <w:r w:rsidR="00C85CB8" w:rsidRPr="00055111">
        <w:rPr>
          <w:rFonts w:ascii="Garamond" w:hAnsi="Garamond"/>
          <w:sz w:val="28"/>
          <w:szCs w:val="28"/>
        </w:rPr>
        <w:t>small</w:t>
      </w:r>
      <w:r w:rsidR="00D8044A" w:rsidRPr="00055111">
        <w:rPr>
          <w:rFonts w:ascii="Garamond" w:hAnsi="Garamond"/>
          <w:sz w:val="28"/>
          <w:szCs w:val="28"/>
        </w:rPr>
        <w:t xml:space="preserve"> </w:t>
      </w:r>
      <w:r w:rsidR="00666860" w:rsidRPr="00055111">
        <w:rPr>
          <w:rFonts w:ascii="Garamond" w:hAnsi="Garamond"/>
          <w:sz w:val="28"/>
          <w:szCs w:val="28"/>
        </w:rPr>
        <w:t>t</w:t>
      </w:r>
      <w:r w:rsidR="00D8044A" w:rsidRPr="00055111">
        <w:rPr>
          <w:rFonts w:ascii="Garamond" w:hAnsi="Garamond"/>
          <w:sz w:val="28"/>
          <w:szCs w:val="28"/>
        </w:rPr>
        <w:t xml:space="preserve">ask. </w:t>
      </w:r>
      <w:r w:rsidR="00C85CB8" w:rsidRPr="00055111">
        <w:rPr>
          <w:rFonts w:ascii="Garamond" w:hAnsi="Garamond"/>
          <w:sz w:val="28"/>
          <w:szCs w:val="28"/>
        </w:rPr>
        <w:t>F</w:t>
      </w:r>
      <w:r w:rsidR="00D8044A" w:rsidRPr="00055111">
        <w:rPr>
          <w:rFonts w:ascii="Garamond" w:hAnsi="Garamond"/>
          <w:sz w:val="28"/>
          <w:szCs w:val="28"/>
        </w:rPr>
        <w:t xml:space="preserve">or example, </w:t>
      </w:r>
      <w:r w:rsidR="00C85CB8" w:rsidRPr="00055111">
        <w:rPr>
          <w:rFonts w:ascii="Garamond" w:hAnsi="Garamond"/>
          <w:sz w:val="28"/>
          <w:szCs w:val="28"/>
        </w:rPr>
        <w:t>Mr. Atwood’s</w:t>
      </w:r>
      <w:r w:rsidR="00D8044A" w:rsidRPr="00055111">
        <w:rPr>
          <w:rFonts w:ascii="Garamond" w:hAnsi="Garamond"/>
          <w:sz w:val="28"/>
          <w:szCs w:val="28"/>
        </w:rPr>
        <w:t xml:space="preserve"> </w:t>
      </w:r>
      <w:r w:rsidR="0007214D" w:rsidRPr="00055111">
        <w:rPr>
          <w:rFonts w:ascii="Garamond" w:hAnsi="Garamond"/>
          <w:sz w:val="28"/>
          <w:szCs w:val="28"/>
        </w:rPr>
        <w:t>opposition to the warrant motion and supporting exhibits, largely consisting of expert declarations, totaled 88 pages.</w:t>
      </w:r>
      <w:r w:rsidR="00666860" w:rsidRPr="00055111">
        <w:rPr>
          <w:rFonts w:ascii="Garamond" w:hAnsi="Garamond"/>
          <w:sz w:val="28"/>
          <w:szCs w:val="28"/>
        </w:rPr>
        <w:t xml:space="preserve"> </w:t>
      </w:r>
      <w:r w:rsidR="00666860" w:rsidRPr="00055111">
        <w:rPr>
          <w:rFonts w:ascii="Garamond" w:hAnsi="Garamond"/>
          <w:i/>
          <w:sz w:val="28"/>
          <w:szCs w:val="28"/>
        </w:rPr>
        <w:t>Atwood</w:t>
      </w:r>
      <w:r w:rsidR="00666860" w:rsidRPr="00055111">
        <w:rPr>
          <w:rFonts w:ascii="Garamond" w:hAnsi="Garamond"/>
          <w:sz w:val="28"/>
          <w:szCs w:val="28"/>
        </w:rPr>
        <w:t xml:space="preserve">, </w:t>
      </w:r>
      <w:r w:rsidR="004D1283" w:rsidRPr="00055111">
        <w:rPr>
          <w:rFonts w:ascii="Garamond" w:hAnsi="Garamond"/>
          <w:i/>
          <w:iCs/>
          <w:sz w:val="28"/>
          <w:szCs w:val="28"/>
        </w:rPr>
        <w:t>supra</w:t>
      </w:r>
      <w:r w:rsidR="00666860" w:rsidRPr="00055111">
        <w:rPr>
          <w:rFonts w:ascii="Garamond" w:hAnsi="Garamond"/>
          <w:sz w:val="28"/>
          <w:szCs w:val="28"/>
        </w:rPr>
        <w:t xml:space="preserve">, </w:t>
      </w:r>
      <w:r w:rsidR="00EB115D" w:rsidRPr="00055111">
        <w:rPr>
          <w:rFonts w:ascii="Garamond" w:hAnsi="Garamond"/>
          <w:i/>
          <w:iCs/>
          <w:sz w:val="28"/>
          <w:szCs w:val="28"/>
        </w:rPr>
        <w:t>Opposition to Motion for Warrant of Execution</w:t>
      </w:r>
      <w:r w:rsidR="00EB115D" w:rsidRPr="00055111">
        <w:rPr>
          <w:rFonts w:ascii="Garamond" w:hAnsi="Garamond"/>
          <w:sz w:val="28"/>
          <w:szCs w:val="28"/>
        </w:rPr>
        <w:t xml:space="preserve"> (</w:t>
      </w:r>
      <w:r w:rsidR="00064961" w:rsidRPr="00055111">
        <w:rPr>
          <w:rFonts w:ascii="Garamond" w:hAnsi="Garamond"/>
          <w:sz w:val="28"/>
          <w:szCs w:val="28"/>
        </w:rPr>
        <w:t>4/20/2022).</w:t>
      </w:r>
      <w:r w:rsidR="00D31A26" w:rsidRPr="00055111">
        <w:rPr>
          <w:rFonts w:ascii="Garamond" w:hAnsi="Garamond"/>
          <w:sz w:val="28"/>
          <w:szCs w:val="28"/>
        </w:rPr>
        <w:t xml:space="preserve"> Preparing a pleading of that scale</w:t>
      </w:r>
      <w:r w:rsidR="00533236" w:rsidRPr="00055111">
        <w:rPr>
          <w:rFonts w:ascii="Garamond" w:hAnsi="Garamond"/>
          <w:sz w:val="28"/>
          <w:szCs w:val="28"/>
        </w:rPr>
        <w:t>—</w:t>
      </w:r>
      <w:r w:rsidR="00C15A19" w:rsidRPr="00055111">
        <w:rPr>
          <w:rFonts w:ascii="Garamond" w:hAnsi="Garamond"/>
          <w:sz w:val="28"/>
          <w:szCs w:val="28"/>
        </w:rPr>
        <w:t>reviewing</w:t>
      </w:r>
      <w:r w:rsidR="00533236" w:rsidRPr="00055111">
        <w:rPr>
          <w:rFonts w:ascii="Garamond" w:hAnsi="Garamond"/>
          <w:sz w:val="28"/>
          <w:szCs w:val="28"/>
        </w:rPr>
        <w:t xml:space="preserve"> relevant records, engaging expert</w:t>
      </w:r>
      <w:r w:rsidR="00BC7B26" w:rsidRPr="00055111">
        <w:rPr>
          <w:rFonts w:ascii="Garamond" w:hAnsi="Garamond"/>
          <w:sz w:val="28"/>
          <w:szCs w:val="28"/>
        </w:rPr>
        <w:t>s, legal research, drafting—</w:t>
      </w:r>
      <w:r w:rsidR="00DD4196" w:rsidRPr="00055111">
        <w:rPr>
          <w:rFonts w:ascii="Garamond" w:hAnsi="Garamond"/>
          <w:sz w:val="28"/>
          <w:szCs w:val="28"/>
        </w:rPr>
        <w:t>w</w:t>
      </w:r>
      <w:r w:rsidR="00421F42" w:rsidRPr="00055111">
        <w:rPr>
          <w:rFonts w:ascii="Garamond" w:hAnsi="Garamond"/>
          <w:sz w:val="28"/>
          <w:szCs w:val="28"/>
        </w:rPr>
        <w:t>as</w:t>
      </w:r>
      <w:r w:rsidR="00DD4196" w:rsidRPr="00055111">
        <w:rPr>
          <w:rFonts w:ascii="Garamond" w:hAnsi="Garamond"/>
          <w:sz w:val="28"/>
          <w:szCs w:val="28"/>
        </w:rPr>
        <w:t xml:space="preserve"> feasible under this Court’s historic, </w:t>
      </w:r>
      <w:r w:rsidR="00464282" w:rsidRPr="00055111">
        <w:rPr>
          <w:rFonts w:ascii="Garamond" w:hAnsi="Garamond"/>
          <w:sz w:val="28"/>
          <w:szCs w:val="28"/>
        </w:rPr>
        <w:t>flexible</w:t>
      </w:r>
      <w:r w:rsidR="00DD4196" w:rsidRPr="00055111">
        <w:rPr>
          <w:rFonts w:ascii="Garamond" w:hAnsi="Garamond"/>
          <w:sz w:val="28"/>
          <w:szCs w:val="28"/>
        </w:rPr>
        <w:t xml:space="preserve"> warrant</w:t>
      </w:r>
      <w:r w:rsidR="00464282" w:rsidRPr="00055111">
        <w:rPr>
          <w:rFonts w:ascii="Garamond" w:hAnsi="Garamond"/>
          <w:sz w:val="28"/>
          <w:szCs w:val="28"/>
        </w:rPr>
        <w:t xml:space="preserve"> motion</w:t>
      </w:r>
      <w:r w:rsidR="00DD4196" w:rsidRPr="00055111">
        <w:rPr>
          <w:rFonts w:ascii="Garamond" w:hAnsi="Garamond"/>
          <w:sz w:val="28"/>
          <w:szCs w:val="28"/>
        </w:rPr>
        <w:t xml:space="preserve"> practice</w:t>
      </w:r>
      <w:r w:rsidR="00C85CB8" w:rsidRPr="00055111">
        <w:rPr>
          <w:rFonts w:ascii="Garamond" w:hAnsi="Garamond"/>
          <w:sz w:val="28"/>
          <w:szCs w:val="28"/>
        </w:rPr>
        <w:t>.</w:t>
      </w:r>
      <w:r w:rsidR="00DD4196" w:rsidRPr="00055111">
        <w:rPr>
          <w:rFonts w:ascii="Garamond" w:hAnsi="Garamond"/>
          <w:sz w:val="28"/>
          <w:szCs w:val="28"/>
        </w:rPr>
        <w:t xml:space="preserve"> </w:t>
      </w:r>
      <w:r w:rsidR="00C85CB8" w:rsidRPr="00055111">
        <w:rPr>
          <w:rFonts w:ascii="Garamond" w:hAnsi="Garamond"/>
          <w:sz w:val="28"/>
          <w:szCs w:val="28"/>
        </w:rPr>
        <w:t>It</w:t>
      </w:r>
      <w:r w:rsidR="00DD4196" w:rsidRPr="00055111">
        <w:rPr>
          <w:rFonts w:ascii="Garamond" w:hAnsi="Garamond"/>
          <w:sz w:val="28"/>
          <w:szCs w:val="28"/>
        </w:rPr>
        <w:t xml:space="preserve"> was possible in </w:t>
      </w:r>
      <w:r w:rsidR="00DD4196" w:rsidRPr="00055111">
        <w:rPr>
          <w:rFonts w:ascii="Garamond" w:hAnsi="Garamond"/>
          <w:i/>
          <w:iCs/>
          <w:sz w:val="28"/>
          <w:szCs w:val="28"/>
        </w:rPr>
        <w:t>Atwood</w:t>
      </w:r>
      <w:r w:rsidR="00DD4196" w:rsidRPr="00055111">
        <w:rPr>
          <w:rFonts w:ascii="Garamond" w:hAnsi="Garamond"/>
          <w:sz w:val="28"/>
          <w:szCs w:val="28"/>
        </w:rPr>
        <w:t xml:space="preserve"> because of the early disclosure of the warrant motion</w:t>
      </w:r>
      <w:r w:rsidR="00714EC2" w:rsidRPr="00055111">
        <w:rPr>
          <w:rFonts w:ascii="Garamond" w:hAnsi="Garamond"/>
          <w:sz w:val="28"/>
          <w:szCs w:val="28"/>
        </w:rPr>
        <w:t>.</w:t>
      </w:r>
      <w:r w:rsidR="00FC7C2D" w:rsidRPr="00055111">
        <w:rPr>
          <w:rFonts w:ascii="Garamond" w:hAnsi="Garamond"/>
          <w:sz w:val="28"/>
          <w:szCs w:val="28"/>
        </w:rPr>
        <w:t xml:space="preserve"> Under the proposed rule’s </w:t>
      </w:r>
      <w:r w:rsidR="00976655" w:rsidRPr="00055111">
        <w:rPr>
          <w:rFonts w:ascii="Garamond" w:hAnsi="Garamond"/>
          <w:sz w:val="28"/>
          <w:szCs w:val="28"/>
        </w:rPr>
        <w:t xml:space="preserve">mandatory </w:t>
      </w:r>
      <w:r w:rsidR="00FC7C2D" w:rsidRPr="00055111">
        <w:rPr>
          <w:rFonts w:ascii="Garamond" w:hAnsi="Garamond"/>
          <w:sz w:val="28"/>
          <w:szCs w:val="28"/>
        </w:rPr>
        <w:t xml:space="preserve">timeline, </w:t>
      </w:r>
      <w:r w:rsidR="00C85CB8" w:rsidRPr="00055111">
        <w:rPr>
          <w:rFonts w:ascii="Garamond" w:hAnsi="Garamond"/>
          <w:sz w:val="28"/>
          <w:szCs w:val="28"/>
        </w:rPr>
        <w:t>where</w:t>
      </w:r>
      <w:r w:rsidR="00FC7C2D" w:rsidRPr="00055111">
        <w:rPr>
          <w:rFonts w:ascii="Garamond" w:hAnsi="Garamond"/>
          <w:sz w:val="28"/>
          <w:szCs w:val="28"/>
        </w:rPr>
        <w:t xml:space="preserve"> first notice of the warrant motion comes </w:t>
      </w:r>
      <w:r w:rsidR="00D71DF2" w:rsidRPr="00055111">
        <w:rPr>
          <w:rFonts w:ascii="Garamond" w:hAnsi="Garamond"/>
          <w:sz w:val="28"/>
          <w:szCs w:val="28"/>
        </w:rPr>
        <w:t>with</w:t>
      </w:r>
      <w:r w:rsidR="00FC7C2D" w:rsidRPr="00055111">
        <w:rPr>
          <w:rFonts w:ascii="Garamond" w:hAnsi="Garamond"/>
          <w:sz w:val="28"/>
          <w:szCs w:val="28"/>
        </w:rPr>
        <w:t xml:space="preserve"> its filing, </w:t>
      </w:r>
      <w:r w:rsidR="00976655" w:rsidRPr="00055111">
        <w:rPr>
          <w:rFonts w:ascii="Garamond" w:hAnsi="Garamond"/>
          <w:sz w:val="28"/>
          <w:szCs w:val="28"/>
        </w:rPr>
        <w:t>it</w:t>
      </w:r>
      <w:r w:rsidR="00FC7C2D" w:rsidRPr="00055111">
        <w:rPr>
          <w:rFonts w:ascii="Garamond" w:hAnsi="Garamond"/>
          <w:sz w:val="28"/>
          <w:szCs w:val="28"/>
        </w:rPr>
        <w:t xml:space="preserve"> would be impossible.</w:t>
      </w:r>
    </w:p>
    <w:p w14:paraId="3691C1D2" w14:textId="63F6DA0A" w:rsidR="003417C3" w:rsidRPr="00055111" w:rsidRDefault="00BD6FCC" w:rsidP="00CF2589">
      <w:pPr>
        <w:spacing w:after="0" w:line="480" w:lineRule="auto"/>
        <w:rPr>
          <w:rFonts w:ascii="Garamond" w:hAnsi="Garamond"/>
          <w:sz w:val="28"/>
          <w:szCs w:val="28"/>
        </w:rPr>
      </w:pPr>
      <w:r w:rsidRPr="00055111">
        <w:rPr>
          <w:rFonts w:ascii="Garamond" w:hAnsi="Garamond"/>
          <w:sz w:val="28"/>
          <w:szCs w:val="28"/>
        </w:rPr>
        <w:tab/>
      </w:r>
      <w:r w:rsidR="004C198E" w:rsidRPr="00055111">
        <w:rPr>
          <w:rFonts w:ascii="Garamond" w:hAnsi="Garamond"/>
          <w:sz w:val="28"/>
          <w:szCs w:val="28"/>
        </w:rPr>
        <w:t>Responding to the</w:t>
      </w:r>
      <w:r w:rsidR="001F57AD" w:rsidRPr="00055111">
        <w:rPr>
          <w:rFonts w:ascii="Garamond" w:hAnsi="Garamond"/>
          <w:sz w:val="28"/>
          <w:szCs w:val="28"/>
        </w:rPr>
        <w:t xml:space="preserve"> motion</w:t>
      </w:r>
      <w:r w:rsidR="004C198E" w:rsidRPr="00055111">
        <w:rPr>
          <w:rFonts w:ascii="Garamond" w:hAnsi="Garamond"/>
          <w:sz w:val="28"/>
          <w:szCs w:val="28"/>
        </w:rPr>
        <w:t xml:space="preserve"> itself is </w:t>
      </w:r>
      <w:r w:rsidR="0010487E" w:rsidRPr="00055111">
        <w:rPr>
          <w:rFonts w:ascii="Garamond" w:hAnsi="Garamond"/>
          <w:sz w:val="28"/>
          <w:szCs w:val="28"/>
        </w:rPr>
        <w:t>hardly</w:t>
      </w:r>
      <w:r w:rsidR="004C198E" w:rsidRPr="00055111">
        <w:rPr>
          <w:rFonts w:ascii="Garamond" w:hAnsi="Garamond"/>
          <w:sz w:val="28"/>
          <w:szCs w:val="28"/>
        </w:rPr>
        <w:t xml:space="preserve"> defense counsel’s </w:t>
      </w:r>
      <w:r w:rsidR="0010487E" w:rsidRPr="00055111">
        <w:rPr>
          <w:rFonts w:ascii="Garamond" w:hAnsi="Garamond"/>
          <w:sz w:val="28"/>
          <w:szCs w:val="28"/>
        </w:rPr>
        <w:t>only task</w:t>
      </w:r>
      <w:r w:rsidR="004C198E" w:rsidRPr="00055111">
        <w:rPr>
          <w:rFonts w:ascii="Garamond" w:hAnsi="Garamond"/>
          <w:sz w:val="28"/>
          <w:szCs w:val="28"/>
        </w:rPr>
        <w:t xml:space="preserve"> when </w:t>
      </w:r>
      <w:r w:rsidR="00096843" w:rsidRPr="00055111">
        <w:rPr>
          <w:rFonts w:ascii="Garamond" w:hAnsi="Garamond"/>
          <w:sz w:val="28"/>
          <w:szCs w:val="28"/>
        </w:rPr>
        <w:t>a warrant motion is filed</w:t>
      </w:r>
      <w:r w:rsidR="00B91FA6" w:rsidRPr="00055111">
        <w:rPr>
          <w:rFonts w:ascii="Garamond" w:hAnsi="Garamond"/>
          <w:sz w:val="28"/>
          <w:szCs w:val="28"/>
        </w:rPr>
        <w:t>.</w:t>
      </w:r>
      <w:r w:rsidR="00193472" w:rsidRPr="00055111">
        <w:rPr>
          <w:rFonts w:ascii="Garamond" w:hAnsi="Garamond"/>
          <w:sz w:val="28"/>
          <w:szCs w:val="28"/>
        </w:rPr>
        <w:t xml:space="preserve"> </w:t>
      </w:r>
      <w:r w:rsidR="00B91FA6" w:rsidRPr="00055111">
        <w:rPr>
          <w:rFonts w:ascii="Garamond" w:hAnsi="Garamond"/>
          <w:sz w:val="28"/>
          <w:szCs w:val="28"/>
        </w:rPr>
        <w:t>When a warrant is sought,</w:t>
      </w:r>
      <w:r w:rsidR="00193472" w:rsidRPr="00055111">
        <w:rPr>
          <w:rFonts w:ascii="Garamond" w:hAnsi="Garamond"/>
          <w:sz w:val="28"/>
          <w:szCs w:val="28"/>
        </w:rPr>
        <w:t xml:space="preserve"> counsel must immediately begin preparing</w:t>
      </w:r>
      <w:r w:rsidR="00CE13BE" w:rsidRPr="00055111">
        <w:rPr>
          <w:rFonts w:ascii="Garamond" w:hAnsi="Garamond"/>
          <w:sz w:val="28"/>
          <w:szCs w:val="28"/>
        </w:rPr>
        <w:t xml:space="preserve"> </w:t>
      </w:r>
      <w:r w:rsidR="004D5168" w:rsidRPr="00055111">
        <w:rPr>
          <w:rFonts w:ascii="Garamond" w:hAnsi="Garamond"/>
          <w:sz w:val="28"/>
          <w:szCs w:val="28"/>
        </w:rPr>
        <w:t>appropriate collateral challenges to the looming execution</w:t>
      </w:r>
      <w:r w:rsidR="002849E9" w:rsidRPr="00055111">
        <w:rPr>
          <w:rFonts w:ascii="Garamond" w:hAnsi="Garamond"/>
          <w:sz w:val="28"/>
          <w:szCs w:val="28"/>
        </w:rPr>
        <w:t>, such as competenc</w:t>
      </w:r>
      <w:r w:rsidR="004F5C23" w:rsidRPr="00055111">
        <w:rPr>
          <w:rFonts w:ascii="Garamond" w:hAnsi="Garamond"/>
          <w:sz w:val="28"/>
          <w:szCs w:val="28"/>
        </w:rPr>
        <w:t>y</w:t>
      </w:r>
      <w:r w:rsidR="00583DB2" w:rsidRPr="00055111">
        <w:rPr>
          <w:rFonts w:ascii="Garamond" w:hAnsi="Garamond"/>
          <w:sz w:val="28"/>
          <w:szCs w:val="28"/>
        </w:rPr>
        <w:t xml:space="preserve"> claims</w:t>
      </w:r>
      <w:r w:rsidR="004F5C23" w:rsidRPr="00055111">
        <w:rPr>
          <w:rFonts w:ascii="Garamond" w:hAnsi="Garamond"/>
          <w:sz w:val="28"/>
          <w:szCs w:val="28"/>
        </w:rPr>
        <w:t>,</w:t>
      </w:r>
      <w:r w:rsidR="005F5C80" w:rsidRPr="00055111">
        <w:rPr>
          <w:rFonts w:ascii="Garamond" w:hAnsi="Garamond"/>
          <w:sz w:val="28"/>
          <w:szCs w:val="28"/>
        </w:rPr>
        <w:t xml:space="preserve"> method</w:t>
      </w:r>
      <w:r w:rsidR="00C20468" w:rsidRPr="00055111">
        <w:rPr>
          <w:rFonts w:ascii="Garamond" w:hAnsi="Garamond"/>
          <w:sz w:val="28"/>
          <w:szCs w:val="28"/>
        </w:rPr>
        <w:t>s</w:t>
      </w:r>
      <w:r w:rsidR="005F5C80" w:rsidRPr="00055111">
        <w:rPr>
          <w:rFonts w:ascii="Garamond" w:hAnsi="Garamond"/>
          <w:sz w:val="28"/>
          <w:szCs w:val="28"/>
        </w:rPr>
        <w:t xml:space="preserve"> </w:t>
      </w:r>
      <w:r w:rsidR="00583DB2" w:rsidRPr="00055111">
        <w:rPr>
          <w:rFonts w:ascii="Garamond" w:hAnsi="Garamond"/>
          <w:sz w:val="28"/>
          <w:szCs w:val="28"/>
        </w:rPr>
        <w:t xml:space="preserve">challenges, and clemency </w:t>
      </w:r>
      <w:r w:rsidR="00C20468" w:rsidRPr="00055111">
        <w:rPr>
          <w:rFonts w:ascii="Garamond" w:hAnsi="Garamond"/>
          <w:sz w:val="28"/>
          <w:szCs w:val="28"/>
        </w:rPr>
        <w:t>applications</w:t>
      </w:r>
      <w:r w:rsidR="004D5168" w:rsidRPr="00055111">
        <w:rPr>
          <w:rFonts w:ascii="Garamond" w:hAnsi="Garamond"/>
          <w:sz w:val="28"/>
          <w:szCs w:val="28"/>
        </w:rPr>
        <w:t>.</w:t>
      </w:r>
      <w:r w:rsidR="00096843" w:rsidRPr="00055111">
        <w:rPr>
          <w:rFonts w:ascii="Garamond" w:hAnsi="Garamond"/>
          <w:sz w:val="28"/>
          <w:szCs w:val="28"/>
        </w:rPr>
        <w:t xml:space="preserve"> American Bar Association, </w:t>
      </w:r>
      <w:r w:rsidR="00096843" w:rsidRPr="00055111">
        <w:rPr>
          <w:rFonts w:ascii="Garamond" w:hAnsi="Garamond"/>
          <w:i/>
          <w:iCs/>
          <w:sz w:val="28"/>
          <w:szCs w:val="28"/>
        </w:rPr>
        <w:t xml:space="preserve">Guidelines for the Appointment and Performance of Defense Counsel in Death </w:t>
      </w:r>
      <w:r w:rsidR="00096843" w:rsidRPr="00055111">
        <w:rPr>
          <w:rFonts w:ascii="Garamond" w:hAnsi="Garamond"/>
          <w:i/>
          <w:iCs/>
          <w:sz w:val="28"/>
          <w:szCs w:val="28"/>
        </w:rPr>
        <w:lastRenderedPageBreak/>
        <w:t>Penalty Cases</w:t>
      </w:r>
      <w:r w:rsidR="00096843" w:rsidRPr="00055111">
        <w:rPr>
          <w:rFonts w:ascii="Garamond" w:hAnsi="Garamond"/>
          <w:sz w:val="28"/>
          <w:szCs w:val="28"/>
        </w:rPr>
        <w:t>, 31 Hofstra L. Rev. 913, 1081 n.335 (2003) (citation omitted)</w:t>
      </w:r>
      <w:r w:rsidR="009E50DA" w:rsidRPr="00055111">
        <w:rPr>
          <w:rFonts w:ascii="Garamond" w:hAnsi="Garamond"/>
          <w:sz w:val="28"/>
          <w:szCs w:val="28"/>
        </w:rPr>
        <w:t xml:space="preserve"> (“ABA Death Penalty Guidelines”)</w:t>
      </w:r>
      <w:r w:rsidR="00096843" w:rsidRPr="00055111">
        <w:rPr>
          <w:rFonts w:ascii="Garamond" w:hAnsi="Garamond"/>
          <w:sz w:val="28"/>
          <w:szCs w:val="28"/>
        </w:rPr>
        <w:t xml:space="preserve"> (during warrant phase, “time commitments for counsel increase, ‘due in large part to the necessary duplication of effort in the preparation of several petitions which might have to be filed simultaneously in different courts.’”). </w:t>
      </w:r>
      <w:r w:rsidR="003417C3" w:rsidRPr="00055111">
        <w:rPr>
          <w:rFonts w:ascii="Garamond" w:hAnsi="Garamond"/>
          <w:sz w:val="28"/>
          <w:szCs w:val="28"/>
        </w:rPr>
        <w:t>As the State has acknowledged elsewhere, scores of motions are filed in various venues during this timeframe. Many of these motions are not ripe until an execution date</w:t>
      </w:r>
      <w:r w:rsidR="00CE2F2A" w:rsidRPr="00055111">
        <w:rPr>
          <w:rFonts w:ascii="Garamond" w:hAnsi="Garamond"/>
          <w:sz w:val="28"/>
          <w:szCs w:val="28"/>
        </w:rPr>
        <w:t xml:space="preserve"> is set</w:t>
      </w:r>
      <w:r w:rsidR="003417C3" w:rsidRPr="00055111">
        <w:rPr>
          <w:rFonts w:ascii="Garamond" w:hAnsi="Garamond"/>
          <w:sz w:val="28"/>
          <w:szCs w:val="28"/>
        </w:rPr>
        <w:t xml:space="preserve">. </w:t>
      </w:r>
      <w:r w:rsidR="003417C3" w:rsidRPr="00055111">
        <w:rPr>
          <w:rFonts w:ascii="Garamond" w:hAnsi="Garamond"/>
          <w:i/>
          <w:sz w:val="28"/>
          <w:szCs w:val="28"/>
        </w:rPr>
        <w:t xml:space="preserve">See </w:t>
      </w:r>
      <w:r w:rsidR="00FD7CA7" w:rsidRPr="00055111">
        <w:rPr>
          <w:rFonts w:ascii="Garamond" w:hAnsi="Garamond"/>
          <w:i/>
          <w:sz w:val="28"/>
          <w:szCs w:val="28"/>
        </w:rPr>
        <w:t>Panetti v. Quarterman</w:t>
      </w:r>
      <w:r w:rsidR="00FD7CA7" w:rsidRPr="00055111">
        <w:rPr>
          <w:rFonts w:ascii="Garamond" w:hAnsi="Garamond"/>
          <w:iCs/>
          <w:sz w:val="28"/>
          <w:szCs w:val="28"/>
        </w:rPr>
        <w:t xml:space="preserve">, 551 U.S. 930 (2007). </w:t>
      </w:r>
      <w:r w:rsidR="003417C3" w:rsidRPr="00055111">
        <w:rPr>
          <w:rFonts w:ascii="Garamond" w:hAnsi="Garamond"/>
          <w:iCs/>
          <w:sz w:val="28"/>
          <w:szCs w:val="28"/>
        </w:rPr>
        <w:t>In</w:t>
      </w:r>
      <w:r w:rsidR="003417C3" w:rsidRPr="00055111">
        <w:rPr>
          <w:rFonts w:ascii="Garamond" w:hAnsi="Garamond"/>
          <w:sz w:val="28"/>
          <w:szCs w:val="28"/>
        </w:rPr>
        <w:t xml:space="preserve"> </w:t>
      </w:r>
      <w:r w:rsidR="0081580A" w:rsidRPr="00055111">
        <w:rPr>
          <w:rFonts w:ascii="Garamond" w:hAnsi="Garamond"/>
          <w:sz w:val="28"/>
          <w:szCs w:val="28"/>
        </w:rPr>
        <w:t>Mr. Atwood’s case</w:t>
      </w:r>
      <w:r w:rsidR="003417C3" w:rsidRPr="00055111">
        <w:rPr>
          <w:rFonts w:ascii="Garamond" w:hAnsi="Garamond"/>
          <w:sz w:val="28"/>
          <w:szCs w:val="28"/>
        </w:rPr>
        <w:t xml:space="preserve">, the State noted that </w:t>
      </w:r>
      <w:r w:rsidR="00CF3821" w:rsidRPr="00055111">
        <w:rPr>
          <w:rFonts w:ascii="Garamond" w:hAnsi="Garamond"/>
          <w:sz w:val="28"/>
          <w:szCs w:val="28"/>
        </w:rPr>
        <w:t xml:space="preserve">over </w:t>
      </w:r>
      <w:r w:rsidR="003417C3" w:rsidRPr="00055111">
        <w:rPr>
          <w:rFonts w:ascii="Garamond" w:hAnsi="Garamond"/>
          <w:sz w:val="28"/>
          <w:szCs w:val="28"/>
        </w:rPr>
        <w:t>140 motions</w:t>
      </w:r>
      <w:r w:rsidR="000E50E2" w:rsidRPr="00055111">
        <w:rPr>
          <w:rFonts w:ascii="Garamond" w:hAnsi="Garamond"/>
          <w:sz w:val="28"/>
          <w:szCs w:val="28"/>
        </w:rPr>
        <w:t xml:space="preserve"> were filed</w:t>
      </w:r>
      <w:r w:rsidR="003417C3" w:rsidRPr="00055111">
        <w:rPr>
          <w:rFonts w:ascii="Garamond" w:hAnsi="Garamond"/>
          <w:sz w:val="28"/>
          <w:szCs w:val="28"/>
        </w:rPr>
        <w:t xml:space="preserve"> in 14 distinct</w:t>
      </w:r>
      <w:r w:rsidR="000E50E2" w:rsidRPr="00055111">
        <w:rPr>
          <w:rFonts w:ascii="Garamond" w:hAnsi="Garamond"/>
          <w:sz w:val="28"/>
          <w:szCs w:val="28"/>
        </w:rPr>
        <w:t xml:space="preserve"> warrant-related</w:t>
      </w:r>
      <w:r w:rsidR="003417C3" w:rsidRPr="00055111">
        <w:rPr>
          <w:rFonts w:ascii="Garamond" w:hAnsi="Garamond"/>
          <w:sz w:val="28"/>
          <w:szCs w:val="28"/>
        </w:rPr>
        <w:t xml:space="preserve"> </w:t>
      </w:r>
      <w:r w:rsidR="00C3377C" w:rsidRPr="00055111">
        <w:rPr>
          <w:rFonts w:ascii="Garamond" w:hAnsi="Garamond"/>
          <w:sz w:val="28"/>
          <w:szCs w:val="28"/>
        </w:rPr>
        <w:t>actions</w:t>
      </w:r>
      <w:r w:rsidR="003417C3" w:rsidRPr="00055111">
        <w:rPr>
          <w:rFonts w:ascii="Garamond" w:hAnsi="Garamond"/>
          <w:sz w:val="28"/>
          <w:szCs w:val="28"/>
        </w:rPr>
        <w:t xml:space="preserve">. </w:t>
      </w:r>
      <w:r w:rsidR="0037772D" w:rsidRPr="00055111">
        <w:rPr>
          <w:rFonts w:ascii="Garamond" w:hAnsi="Garamond"/>
          <w:i/>
          <w:iCs/>
          <w:sz w:val="28"/>
          <w:szCs w:val="28"/>
        </w:rPr>
        <w:t>Mayes v. Mitchell</w:t>
      </w:r>
      <w:r w:rsidR="0037772D" w:rsidRPr="00055111">
        <w:rPr>
          <w:rFonts w:ascii="Garamond" w:hAnsi="Garamond"/>
          <w:sz w:val="28"/>
          <w:szCs w:val="28"/>
        </w:rPr>
        <w:t xml:space="preserve">, No. CV-24-0127-SA, </w:t>
      </w:r>
      <w:r w:rsidR="003417C3" w:rsidRPr="00055111">
        <w:rPr>
          <w:rFonts w:ascii="Garamond" w:hAnsi="Garamond"/>
          <w:i/>
          <w:iCs/>
          <w:sz w:val="28"/>
          <w:szCs w:val="28"/>
        </w:rPr>
        <w:t xml:space="preserve">Attorney General’s Supp. Br. Re: Her Exclusive </w:t>
      </w:r>
      <w:proofErr w:type="spellStart"/>
      <w:r w:rsidR="003417C3" w:rsidRPr="00055111">
        <w:rPr>
          <w:rFonts w:ascii="Garamond" w:hAnsi="Garamond"/>
          <w:i/>
          <w:iCs/>
          <w:sz w:val="28"/>
          <w:szCs w:val="28"/>
        </w:rPr>
        <w:t>Auth’y</w:t>
      </w:r>
      <w:proofErr w:type="spellEnd"/>
      <w:r w:rsidR="003417C3" w:rsidRPr="00055111">
        <w:rPr>
          <w:rFonts w:ascii="Garamond" w:hAnsi="Garamond"/>
          <w:i/>
          <w:iCs/>
          <w:sz w:val="28"/>
          <w:szCs w:val="28"/>
        </w:rPr>
        <w:t xml:space="preserve"> to Request a Warrant of </w:t>
      </w:r>
      <w:proofErr w:type="spellStart"/>
      <w:r w:rsidR="003417C3" w:rsidRPr="00055111">
        <w:rPr>
          <w:rFonts w:ascii="Garamond" w:hAnsi="Garamond"/>
          <w:i/>
          <w:iCs/>
          <w:sz w:val="28"/>
          <w:szCs w:val="28"/>
        </w:rPr>
        <w:t>Exec’n</w:t>
      </w:r>
      <w:proofErr w:type="spellEnd"/>
      <w:r w:rsidR="003417C3" w:rsidRPr="00055111">
        <w:rPr>
          <w:rFonts w:ascii="Garamond" w:hAnsi="Garamond"/>
          <w:sz w:val="28"/>
          <w:szCs w:val="28"/>
        </w:rPr>
        <w:t>, at 26 (Ariz. July 22, 2024).</w:t>
      </w:r>
      <w:r w:rsidR="003417C3" w:rsidRPr="00055111">
        <w:rPr>
          <w:rFonts w:ascii="Garamond" w:hAnsi="Garamond"/>
          <w:i/>
          <w:iCs/>
          <w:sz w:val="28"/>
          <w:szCs w:val="28"/>
        </w:rPr>
        <w:t xml:space="preserve"> </w:t>
      </w:r>
      <w:r w:rsidR="005F5C80" w:rsidRPr="00055111">
        <w:rPr>
          <w:rFonts w:ascii="Garamond" w:hAnsi="Garamond"/>
          <w:sz w:val="28"/>
          <w:szCs w:val="28"/>
        </w:rPr>
        <w:t>By f</w:t>
      </w:r>
      <w:r w:rsidR="003417C3" w:rsidRPr="00055111">
        <w:rPr>
          <w:rFonts w:ascii="Garamond" w:hAnsi="Garamond"/>
          <w:sz w:val="28"/>
          <w:szCs w:val="28"/>
        </w:rPr>
        <w:t xml:space="preserve">urther compressing the period </w:t>
      </w:r>
      <w:r w:rsidR="005E7A5D" w:rsidRPr="00055111">
        <w:rPr>
          <w:rFonts w:ascii="Garamond" w:hAnsi="Garamond"/>
          <w:sz w:val="28"/>
          <w:szCs w:val="28"/>
        </w:rPr>
        <w:t>for</w:t>
      </w:r>
      <w:r w:rsidR="003417C3" w:rsidRPr="00055111">
        <w:rPr>
          <w:rFonts w:ascii="Garamond" w:hAnsi="Garamond"/>
          <w:sz w:val="28"/>
          <w:szCs w:val="28"/>
        </w:rPr>
        <w:t xml:space="preserve"> this litigation</w:t>
      </w:r>
      <w:r w:rsidR="005F5C80" w:rsidRPr="00055111">
        <w:rPr>
          <w:rFonts w:ascii="Garamond" w:hAnsi="Garamond"/>
          <w:sz w:val="28"/>
          <w:szCs w:val="28"/>
        </w:rPr>
        <w:t>, the proposed rule would</w:t>
      </w:r>
      <w:r w:rsidR="003417C3" w:rsidRPr="00055111">
        <w:rPr>
          <w:rFonts w:ascii="Garamond" w:hAnsi="Garamond"/>
          <w:sz w:val="28"/>
          <w:szCs w:val="28"/>
        </w:rPr>
        <w:t xml:space="preserve"> limit </w:t>
      </w:r>
      <w:r w:rsidR="005E7A5D" w:rsidRPr="00055111">
        <w:rPr>
          <w:rFonts w:ascii="Garamond" w:hAnsi="Garamond"/>
          <w:sz w:val="28"/>
          <w:szCs w:val="28"/>
        </w:rPr>
        <w:t>an</w:t>
      </w:r>
      <w:r w:rsidR="003417C3" w:rsidRPr="00055111">
        <w:rPr>
          <w:rFonts w:ascii="Garamond" w:hAnsi="Garamond"/>
          <w:sz w:val="28"/>
          <w:szCs w:val="28"/>
        </w:rPr>
        <w:t xml:space="preserve"> inmate’s ability to bring legal challenges to the execution and courts’ ability to carefully adjudicate them.</w:t>
      </w:r>
    </w:p>
    <w:p w14:paraId="2978321E" w14:textId="185F8E90" w:rsidR="00CF2589" w:rsidRPr="00055111" w:rsidRDefault="00955FB8" w:rsidP="00955FB8">
      <w:pPr>
        <w:spacing w:after="0" w:line="480" w:lineRule="auto"/>
        <w:rPr>
          <w:rFonts w:ascii="Garamond" w:hAnsi="Garamond"/>
          <w:sz w:val="28"/>
          <w:szCs w:val="28"/>
        </w:rPr>
      </w:pPr>
      <w:r w:rsidRPr="00055111">
        <w:rPr>
          <w:rFonts w:ascii="Garamond" w:hAnsi="Garamond"/>
          <w:sz w:val="28"/>
          <w:szCs w:val="28"/>
        </w:rPr>
        <w:tab/>
      </w:r>
      <w:r w:rsidR="00DA2F3D" w:rsidRPr="00055111">
        <w:rPr>
          <w:rFonts w:ascii="Garamond" w:hAnsi="Garamond"/>
          <w:sz w:val="28"/>
          <w:szCs w:val="28"/>
        </w:rPr>
        <w:t>S</w:t>
      </w:r>
      <w:r w:rsidR="00CF2589" w:rsidRPr="00055111">
        <w:rPr>
          <w:rFonts w:ascii="Garamond" w:hAnsi="Garamond"/>
          <w:sz w:val="28"/>
          <w:szCs w:val="28"/>
        </w:rPr>
        <w:t xml:space="preserve">etting aside </w:t>
      </w:r>
      <w:r w:rsidR="000B7E50" w:rsidRPr="00055111">
        <w:rPr>
          <w:rFonts w:ascii="Garamond" w:hAnsi="Garamond"/>
          <w:sz w:val="28"/>
          <w:szCs w:val="28"/>
        </w:rPr>
        <w:t xml:space="preserve">the unusual </w:t>
      </w:r>
      <w:r w:rsidR="00EE645D" w:rsidRPr="00055111">
        <w:rPr>
          <w:rFonts w:ascii="Garamond" w:hAnsi="Garamond"/>
          <w:sz w:val="28"/>
          <w:szCs w:val="28"/>
        </w:rPr>
        <w:t>case</w:t>
      </w:r>
      <w:r w:rsidR="000B7E50" w:rsidRPr="00055111">
        <w:rPr>
          <w:rFonts w:ascii="Garamond" w:hAnsi="Garamond"/>
          <w:sz w:val="28"/>
          <w:szCs w:val="28"/>
        </w:rPr>
        <w:t xml:space="preserve"> in Atwood</w:t>
      </w:r>
      <w:r w:rsidR="00CF2589" w:rsidRPr="00055111">
        <w:rPr>
          <w:rFonts w:ascii="Garamond" w:hAnsi="Garamond"/>
          <w:sz w:val="28"/>
          <w:szCs w:val="28"/>
        </w:rPr>
        <w:t xml:space="preserve"> where </w:t>
      </w:r>
      <w:r w:rsidR="00DA2F3D" w:rsidRPr="00055111">
        <w:rPr>
          <w:rFonts w:ascii="Garamond" w:hAnsi="Garamond"/>
          <w:sz w:val="28"/>
          <w:szCs w:val="28"/>
        </w:rPr>
        <w:t>some</w:t>
      </w:r>
      <w:r w:rsidR="00CF2589" w:rsidRPr="00055111">
        <w:rPr>
          <w:rFonts w:ascii="Garamond" w:hAnsi="Garamond"/>
          <w:sz w:val="28"/>
          <w:szCs w:val="28"/>
        </w:rPr>
        <w:t xml:space="preserve"> delay was attributable to the death of defense counsel during </w:t>
      </w:r>
      <w:r w:rsidR="0059244B" w:rsidRPr="00055111">
        <w:rPr>
          <w:rFonts w:ascii="Garamond" w:hAnsi="Garamond"/>
          <w:sz w:val="28"/>
          <w:szCs w:val="28"/>
        </w:rPr>
        <w:t>the</w:t>
      </w:r>
      <w:r w:rsidR="00CF2589" w:rsidRPr="00055111">
        <w:rPr>
          <w:rFonts w:ascii="Garamond" w:hAnsi="Garamond"/>
          <w:sz w:val="28"/>
          <w:szCs w:val="28"/>
        </w:rPr>
        <w:t xml:space="preserve"> scheduling motion</w:t>
      </w:r>
      <w:r w:rsidR="0059244B" w:rsidRPr="00055111">
        <w:rPr>
          <w:rFonts w:ascii="Garamond" w:hAnsi="Garamond"/>
          <w:sz w:val="28"/>
          <w:szCs w:val="28"/>
        </w:rPr>
        <w:t>’s pendency</w:t>
      </w:r>
      <w:r w:rsidR="00CF2589" w:rsidRPr="00055111">
        <w:rPr>
          <w:rFonts w:ascii="Garamond" w:hAnsi="Garamond"/>
          <w:sz w:val="28"/>
          <w:szCs w:val="28"/>
        </w:rPr>
        <w:t>, the</w:t>
      </w:r>
      <w:r w:rsidR="00DA2F3D" w:rsidRPr="00055111">
        <w:rPr>
          <w:rFonts w:ascii="Garamond" w:hAnsi="Garamond"/>
          <w:sz w:val="28"/>
          <w:szCs w:val="28"/>
        </w:rPr>
        <w:t xml:space="preserve"> remaining</w:t>
      </w:r>
      <w:r w:rsidR="00CF2589" w:rsidRPr="00055111">
        <w:rPr>
          <w:rFonts w:ascii="Garamond" w:hAnsi="Garamond"/>
          <w:sz w:val="28"/>
          <w:szCs w:val="28"/>
        </w:rPr>
        <w:t xml:space="preserve"> defendants </w:t>
      </w:r>
      <w:r w:rsidR="00D824A7" w:rsidRPr="00055111">
        <w:rPr>
          <w:rFonts w:ascii="Garamond" w:hAnsi="Garamond"/>
          <w:sz w:val="28"/>
          <w:szCs w:val="28"/>
        </w:rPr>
        <w:t xml:space="preserve">had </w:t>
      </w:r>
      <w:r w:rsidR="00CF2589" w:rsidRPr="00055111">
        <w:rPr>
          <w:rFonts w:ascii="Garamond" w:hAnsi="Garamond"/>
          <w:sz w:val="28"/>
          <w:szCs w:val="28"/>
        </w:rPr>
        <w:t xml:space="preserve">on average an additional 34 days to prepare </w:t>
      </w:r>
      <w:r w:rsidR="00A95DBF" w:rsidRPr="00055111">
        <w:rPr>
          <w:rFonts w:ascii="Garamond" w:hAnsi="Garamond"/>
          <w:sz w:val="28"/>
          <w:szCs w:val="28"/>
        </w:rPr>
        <w:t>a</w:t>
      </w:r>
      <w:r w:rsidR="00CF2589" w:rsidRPr="00055111">
        <w:rPr>
          <w:rFonts w:ascii="Garamond" w:hAnsi="Garamond"/>
          <w:sz w:val="28"/>
          <w:szCs w:val="28"/>
        </w:rPr>
        <w:t xml:space="preserve"> response to the warrant motion</w:t>
      </w:r>
      <w:r w:rsidR="004E2E2C" w:rsidRPr="00055111">
        <w:rPr>
          <w:rFonts w:ascii="Garamond" w:hAnsi="Garamond"/>
          <w:sz w:val="28"/>
          <w:szCs w:val="28"/>
        </w:rPr>
        <w:t xml:space="preserve"> (along with other warrant-related litigation)</w:t>
      </w:r>
      <w:r w:rsidR="00CF2589" w:rsidRPr="00055111">
        <w:rPr>
          <w:rFonts w:ascii="Garamond" w:hAnsi="Garamond"/>
          <w:sz w:val="28"/>
          <w:szCs w:val="28"/>
        </w:rPr>
        <w:t xml:space="preserve"> on top of the </w:t>
      </w:r>
      <w:r w:rsidR="008C1145" w:rsidRPr="00055111">
        <w:rPr>
          <w:rFonts w:ascii="Garamond" w:hAnsi="Garamond"/>
          <w:sz w:val="28"/>
          <w:szCs w:val="28"/>
        </w:rPr>
        <w:t>time contemplated</w:t>
      </w:r>
      <w:r w:rsidR="00D5066E" w:rsidRPr="00055111">
        <w:rPr>
          <w:rFonts w:ascii="Garamond" w:hAnsi="Garamond"/>
          <w:sz w:val="28"/>
          <w:szCs w:val="28"/>
        </w:rPr>
        <w:t xml:space="preserve"> in</w:t>
      </w:r>
      <w:r w:rsidR="00CF2589" w:rsidRPr="00055111">
        <w:rPr>
          <w:rFonts w:ascii="Garamond" w:hAnsi="Garamond"/>
          <w:sz w:val="28"/>
          <w:szCs w:val="28"/>
        </w:rPr>
        <w:t xml:space="preserve"> the scheduling motion itself.</w:t>
      </w:r>
      <w:r w:rsidR="00D5066E" w:rsidRPr="00055111">
        <w:rPr>
          <w:rStyle w:val="FootnoteReference"/>
          <w:rFonts w:ascii="Garamond" w:hAnsi="Garamond"/>
          <w:sz w:val="28"/>
          <w:szCs w:val="28"/>
        </w:rPr>
        <w:footnoteReference w:id="2"/>
      </w:r>
      <w:r w:rsidR="00424D14" w:rsidRPr="00055111">
        <w:rPr>
          <w:rFonts w:ascii="Garamond" w:hAnsi="Garamond"/>
          <w:sz w:val="28"/>
          <w:szCs w:val="28"/>
        </w:rPr>
        <w:t xml:space="preserve"> Historically, </w:t>
      </w:r>
      <w:r w:rsidR="008E5792" w:rsidRPr="00055111">
        <w:rPr>
          <w:rFonts w:ascii="Garamond" w:hAnsi="Garamond"/>
          <w:sz w:val="28"/>
          <w:szCs w:val="28"/>
        </w:rPr>
        <w:t>pre-warrant</w:t>
      </w:r>
      <w:r w:rsidR="00424D14" w:rsidRPr="00055111">
        <w:rPr>
          <w:rFonts w:ascii="Garamond" w:hAnsi="Garamond"/>
          <w:sz w:val="28"/>
          <w:szCs w:val="28"/>
        </w:rPr>
        <w:t xml:space="preserve"> briefing peri</w:t>
      </w:r>
      <w:r w:rsidR="00B91B4D" w:rsidRPr="00055111">
        <w:rPr>
          <w:rFonts w:ascii="Garamond" w:hAnsi="Garamond"/>
          <w:sz w:val="28"/>
          <w:szCs w:val="28"/>
        </w:rPr>
        <w:t>od</w:t>
      </w:r>
      <w:r w:rsidR="008E5792" w:rsidRPr="00055111">
        <w:rPr>
          <w:rFonts w:ascii="Garamond" w:hAnsi="Garamond"/>
          <w:sz w:val="28"/>
          <w:szCs w:val="28"/>
        </w:rPr>
        <w:t>s</w:t>
      </w:r>
      <w:r w:rsidR="00B91B4D" w:rsidRPr="00055111">
        <w:rPr>
          <w:rFonts w:ascii="Garamond" w:hAnsi="Garamond"/>
          <w:sz w:val="28"/>
          <w:szCs w:val="28"/>
        </w:rPr>
        <w:t xml:space="preserve"> of </w:t>
      </w:r>
      <w:r w:rsidR="008E5792" w:rsidRPr="00055111">
        <w:rPr>
          <w:rFonts w:ascii="Garamond" w:hAnsi="Garamond"/>
          <w:sz w:val="28"/>
          <w:szCs w:val="28"/>
        </w:rPr>
        <w:t>such duration are</w:t>
      </w:r>
      <w:r w:rsidR="00B91B4D" w:rsidRPr="00055111">
        <w:rPr>
          <w:rFonts w:ascii="Garamond" w:hAnsi="Garamond"/>
          <w:sz w:val="28"/>
          <w:szCs w:val="28"/>
        </w:rPr>
        <w:t xml:space="preserve"> unremarkable</w:t>
      </w:r>
      <w:r w:rsidR="00702FC6" w:rsidRPr="00055111">
        <w:rPr>
          <w:rFonts w:ascii="Garamond" w:hAnsi="Garamond"/>
          <w:sz w:val="28"/>
          <w:szCs w:val="28"/>
        </w:rPr>
        <w:t xml:space="preserve">, as the Attorney General has acknowledged. </w:t>
      </w:r>
      <w:r w:rsidR="00702FC6" w:rsidRPr="00055111">
        <w:rPr>
          <w:rFonts w:ascii="Garamond" w:hAnsi="Garamond"/>
          <w:i/>
          <w:iCs/>
          <w:sz w:val="28"/>
          <w:szCs w:val="28"/>
        </w:rPr>
        <w:t>See Atwood</w:t>
      </w:r>
      <w:r w:rsidR="00702FC6" w:rsidRPr="00055111">
        <w:rPr>
          <w:rFonts w:ascii="Garamond" w:hAnsi="Garamond"/>
          <w:sz w:val="28"/>
          <w:szCs w:val="28"/>
        </w:rPr>
        <w:t xml:space="preserve">, </w:t>
      </w:r>
      <w:r w:rsidR="00702FC6" w:rsidRPr="00055111">
        <w:rPr>
          <w:rFonts w:ascii="Garamond" w:hAnsi="Garamond"/>
          <w:i/>
          <w:iCs/>
          <w:sz w:val="28"/>
          <w:szCs w:val="28"/>
        </w:rPr>
        <w:lastRenderedPageBreak/>
        <w:t>supra</w:t>
      </w:r>
      <w:r w:rsidR="00702FC6" w:rsidRPr="00055111">
        <w:rPr>
          <w:rFonts w:ascii="Garamond" w:hAnsi="Garamond"/>
          <w:sz w:val="28"/>
          <w:szCs w:val="28"/>
        </w:rPr>
        <w:t xml:space="preserve">, Motion to Set Briefing Schedule for Motion for Warrant of Execution, at </w:t>
      </w:r>
      <w:r w:rsidR="00AF0D93" w:rsidRPr="00055111">
        <w:rPr>
          <w:rFonts w:ascii="Garamond" w:hAnsi="Garamond"/>
          <w:sz w:val="28"/>
          <w:szCs w:val="28"/>
        </w:rPr>
        <w:t>3-4 (noting “when extended filing periods are granted, as is virtually inevitable in capital cases, the pre-warrant briefing process</w:t>
      </w:r>
      <w:r w:rsidR="00322466" w:rsidRPr="00055111">
        <w:rPr>
          <w:rFonts w:ascii="Garamond" w:hAnsi="Garamond"/>
          <w:color w:val="000000"/>
          <w:sz w:val="28"/>
          <w:szCs w:val="28"/>
        </w:rPr>
        <w:t xml:space="preserve"> </w:t>
      </w:r>
      <w:r w:rsidR="00322466" w:rsidRPr="00055111">
        <w:rPr>
          <w:rFonts w:ascii="Garamond" w:hAnsi="Garamond"/>
          <w:sz w:val="28"/>
          <w:szCs w:val="28"/>
        </w:rPr>
        <w:t>alone</w:t>
      </w:r>
      <w:r w:rsidR="005866D7" w:rsidRPr="00055111">
        <w:rPr>
          <w:rFonts w:ascii="Garamond" w:hAnsi="Garamond"/>
          <w:sz w:val="28"/>
          <w:szCs w:val="28"/>
        </w:rPr>
        <w:t>…</w:t>
      </w:r>
      <w:r w:rsidR="00322466" w:rsidRPr="00055111">
        <w:rPr>
          <w:rFonts w:ascii="Garamond" w:hAnsi="Garamond"/>
          <w:sz w:val="28"/>
          <w:szCs w:val="28"/>
        </w:rPr>
        <w:t xml:space="preserve"> can last for months”).</w:t>
      </w:r>
    </w:p>
    <w:p w14:paraId="0327794D" w14:textId="382C6CDB" w:rsidR="00CF2589" w:rsidRPr="00055111" w:rsidRDefault="00CF2589" w:rsidP="00CF2589">
      <w:pPr>
        <w:spacing w:after="0" w:line="480" w:lineRule="auto"/>
        <w:rPr>
          <w:rFonts w:ascii="Garamond" w:hAnsi="Garamond"/>
          <w:sz w:val="28"/>
          <w:szCs w:val="28"/>
        </w:rPr>
      </w:pPr>
      <w:r w:rsidRPr="00055111">
        <w:rPr>
          <w:rFonts w:ascii="Garamond" w:hAnsi="Garamond"/>
          <w:sz w:val="28"/>
          <w:szCs w:val="28"/>
        </w:rPr>
        <w:tab/>
      </w:r>
      <w:r w:rsidR="000B07C5" w:rsidRPr="00055111">
        <w:rPr>
          <w:rFonts w:ascii="Garamond" w:hAnsi="Garamond"/>
          <w:sz w:val="28"/>
          <w:szCs w:val="28"/>
        </w:rPr>
        <w:t>E</w:t>
      </w:r>
      <w:r w:rsidR="00A4567F" w:rsidRPr="00055111">
        <w:rPr>
          <w:rFonts w:ascii="Garamond" w:hAnsi="Garamond"/>
          <w:sz w:val="28"/>
          <w:szCs w:val="28"/>
        </w:rPr>
        <w:t xml:space="preserve">arly disclosure of the warrant motion </w:t>
      </w:r>
      <w:r w:rsidR="00492840" w:rsidRPr="00055111">
        <w:rPr>
          <w:rFonts w:ascii="Garamond" w:hAnsi="Garamond"/>
          <w:sz w:val="28"/>
          <w:szCs w:val="28"/>
        </w:rPr>
        <w:t>and the head start on litigation i</w:t>
      </w:r>
      <w:r w:rsidR="005C5C34" w:rsidRPr="00055111">
        <w:rPr>
          <w:rFonts w:ascii="Garamond" w:hAnsi="Garamond"/>
          <w:sz w:val="28"/>
          <w:szCs w:val="28"/>
        </w:rPr>
        <w:t>t gave defendants</w:t>
      </w:r>
      <w:r w:rsidR="00492840" w:rsidRPr="00055111">
        <w:rPr>
          <w:rFonts w:ascii="Garamond" w:hAnsi="Garamond"/>
          <w:sz w:val="28"/>
          <w:szCs w:val="28"/>
        </w:rPr>
        <w:t xml:space="preserve"> was not incidental</w:t>
      </w:r>
      <w:r w:rsidRPr="00055111">
        <w:rPr>
          <w:rFonts w:ascii="Garamond" w:hAnsi="Garamond"/>
          <w:sz w:val="28"/>
          <w:szCs w:val="28"/>
        </w:rPr>
        <w:t xml:space="preserve">. </w:t>
      </w:r>
      <w:r w:rsidR="00230585" w:rsidRPr="00055111">
        <w:rPr>
          <w:rFonts w:ascii="Garamond" w:hAnsi="Garamond"/>
          <w:sz w:val="28"/>
          <w:szCs w:val="28"/>
        </w:rPr>
        <w:t>T</w:t>
      </w:r>
      <w:r w:rsidR="00492840" w:rsidRPr="00055111">
        <w:rPr>
          <w:rFonts w:ascii="Garamond" w:hAnsi="Garamond"/>
          <w:sz w:val="28"/>
          <w:szCs w:val="28"/>
        </w:rPr>
        <w:t>o the contrary, t</w:t>
      </w:r>
      <w:r w:rsidRPr="00055111">
        <w:rPr>
          <w:rFonts w:ascii="Garamond" w:hAnsi="Garamond"/>
          <w:sz w:val="28"/>
          <w:szCs w:val="28"/>
        </w:rPr>
        <w:t>he Attorney General</w:t>
      </w:r>
      <w:r w:rsidR="0097549F" w:rsidRPr="00055111">
        <w:rPr>
          <w:rFonts w:ascii="Garamond" w:hAnsi="Garamond"/>
          <w:sz w:val="28"/>
          <w:szCs w:val="28"/>
        </w:rPr>
        <w:t xml:space="preserve"> admitted</w:t>
      </w:r>
      <w:r w:rsidR="00230585" w:rsidRPr="00055111">
        <w:rPr>
          <w:rFonts w:ascii="Garamond" w:hAnsi="Garamond"/>
          <w:sz w:val="28"/>
          <w:szCs w:val="28"/>
        </w:rPr>
        <w:t xml:space="preserve"> that</w:t>
      </w:r>
      <w:r w:rsidR="00201DBD" w:rsidRPr="00055111">
        <w:rPr>
          <w:rFonts w:ascii="Garamond" w:hAnsi="Garamond"/>
          <w:sz w:val="28"/>
          <w:szCs w:val="28"/>
        </w:rPr>
        <w:t xml:space="preserve"> </w:t>
      </w:r>
      <w:r w:rsidR="005C5C34" w:rsidRPr="00055111">
        <w:rPr>
          <w:rFonts w:ascii="Garamond" w:hAnsi="Garamond"/>
          <w:sz w:val="28"/>
          <w:szCs w:val="28"/>
        </w:rPr>
        <w:t xml:space="preserve">early disclosure </w:t>
      </w:r>
      <w:r w:rsidR="0006640D" w:rsidRPr="00055111">
        <w:rPr>
          <w:rFonts w:ascii="Garamond" w:hAnsi="Garamond"/>
          <w:sz w:val="28"/>
          <w:szCs w:val="28"/>
        </w:rPr>
        <w:t>was essential to ensure that the defendant was not prejudiced</w:t>
      </w:r>
      <w:r w:rsidRPr="00055111">
        <w:rPr>
          <w:rFonts w:ascii="Garamond" w:hAnsi="Garamond"/>
          <w:sz w:val="28"/>
          <w:szCs w:val="28"/>
        </w:rPr>
        <w:t>. As the Attorney General explained in Mr. Atwood’s case:</w:t>
      </w:r>
    </w:p>
    <w:p w14:paraId="1C652EA1" w14:textId="77777777" w:rsidR="00CF2589" w:rsidRPr="00055111" w:rsidRDefault="00CF2589" w:rsidP="00CF2589">
      <w:pPr>
        <w:spacing w:after="0" w:line="240" w:lineRule="auto"/>
        <w:ind w:left="720" w:right="720"/>
        <w:rPr>
          <w:rFonts w:ascii="Garamond" w:hAnsi="Garamond"/>
          <w:sz w:val="28"/>
          <w:szCs w:val="28"/>
        </w:rPr>
      </w:pPr>
      <w:r w:rsidRPr="00055111">
        <w:rPr>
          <w:rFonts w:ascii="Garamond" w:hAnsi="Garamond"/>
          <w:sz w:val="28"/>
          <w:szCs w:val="28"/>
        </w:rPr>
        <w:t xml:space="preserve">This [briefing schedule] procedure also will not prejudice Atwood. As discussed, the State has attached to this pleading a copy of its anticipated motion for warrant of execution… </w:t>
      </w:r>
      <w:r w:rsidRPr="00055111">
        <w:rPr>
          <w:rFonts w:ascii="Garamond" w:hAnsi="Garamond"/>
          <w:i/>
          <w:iCs/>
          <w:sz w:val="28"/>
          <w:szCs w:val="28"/>
        </w:rPr>
        <w:t>Atwood therefore has received notice of the State’s motion and can begin to work on his response, as well as any other last-minute litigation he intends to pursue</w:t>
      </w:r>
      <w:r w:rsidRPr="00055111">
        <w:rPr>
          <w:rFonts w:ascii="Garamond" w:hAnsi="Garamond"/>
          <w:sz w:val="28"/>
          <w:szCs w:val="28"/>
        </w:rPr>
        <w:t>, while he awaits this Court’s briefing schedule.</w:t>
      </w:r>
    </w:p>
    <w:p w14:paraId="70BA9E0B" w14:textId="77777777" w:rsidR="00CF2589" w:rsidRPr="00055111" w:rsidRDefault="00CF2589" w:rsidP="00CF2589">
      <w:pPr>
        <w:spacing w:after="0" w:line="240" w:lineRule="auto"/>
        <w:ind w:left="720" w:right="720"/>
        <w:rPr>
          <w:rFonts w:ascii="Garamond" w:hAnsi="Garamond"/>
          <w:sz w:val="28"/>
          <w:szCs w:val="28"/>
        </w:rPr>
      </w:pPr>
    </w:p>
    <w:p w14:paraId="424E0EBF" w14:textId="2935B543" w:rsidR="00CF2589" w:rsidRPr="00055111" w:rsidRDefault="00CF2589" w:rsidP="00CF2589">
      <w:pPr>
        <w:spacing w:after="0" w:line="480" w:lineRule="auto"/>
        <w:rPr>
          <w:rFonts w:ascii="Garamond" w:hAnsi="Garamond"/>
          <w:sz w:val="28"/>
          <w:szCs w:val="28"/>
        </w:rPr>
      </w:pPr>
      <w:r w:rsidRPr="00055111">
        <w:rPr>
          <w:rFonts w:ascii="Garamond" w:hAnsi="Garamond"/>
          <w:sz w:val="28"/>
          <w:szCs w:val="28"/>
        </w:rPr>
        <w:t xml:space="preserve">Atwood, </w:t>
      </w:r>
      <w:r w:rsidRPr="00055111">
        <w:rPr>
          <w:rFonts w:ascii="Garamond" w:hAnsi="Garamond"/>
          <w:i/>
          <w:iCs/>
          <w:sz w:val="28"/>
          <w:szCs w:val="28"/>
        </w:rPr>
        <w:t>supra</w:t>
      </w:r>
      <w:r w:rsidRPr="00055111">
        <w:rPr>
          <w:rFonts w:ascii="Garamond" w:hAnsi="Garamond"/>
          <w:sz w:val="28"/>
          <w:szCs w:val="28"/>
        </w:rPr>
        <w:t>, Motion to Set Briefing Schedule for Motion for Warrant of Execution, at 5</w:t>
      </w:r>
      <w:r w:rsidR="00142601" w:rsidRPr="00055111">
        <w:rPr>
          <w:rFonts w:ascii="Garamond" w:hAnsi="Garamond"/>
          <w:sz w:val="28"/>
          <w:szCs w:val="28"/>
        </w:rPr>
        <w:t xml:space="preserve"> (emphasis supplied)</w:t>
      </w:r>
      <w:r w:rsidRPr="00055111">
        <w:rPr>
          <w:rFonts w:ascii="Garamond" w:hAnsi="Garamond"/>
          <w:sz w:val="28"/>
          <w:szCs w:val="28"/>
        </w:rPr>
        <w:t>.</w:t>
      </w:r>
      <w:r w:rsidRPr="00055111">
        <w:rPr>
          <w:rStyle w:val="FootnoteReference"/>
          <w:rFonts w:ascii="Garamond" w:hAnsi="Garamond"/>
          <w:sz w:val="28"/>
          <w:szCs w:val="28"/>
        </w:rPr>
        <w:footnoteReference w:id="3"/>
      </w:r>
      <w:r w:rsidRPr="00055111">
        <w:rPr>
          <w:rFonts w:ascii="Garamond" w:hAnsi="Garamond"/>
          <w:sz w:val="28"/>
          <w:szCs w:val="28"/>
        </w:rPr>
        <w:t xml:space="preserve"> In other words,</w:t>
      </w:r>
      <w:r w:rsidR="0040645D" w:rsidRPr="00055111">
        <w:rPr>
          <w:rFonts w:ascii="Garamond" w:hAnsi="Garamond"/>
          <w:sz w:val="28"/>
          <w:szCs w:val="28"/>
        </w:rPr>
        <w:t xml:space="preserve"> </w:t>
      </w:r>
      <w:r w:rsidR="00F21DE9" w:rsidRPr="00055111">
        <w:rPr>
          <w:rFonts w:ascii="Garamond" w:hAnsi="Garamond"/>
          <w:sz w:val="28"/>
          <w:szCs w:val="28"/>
        </w:rPr>
        <w:t xml:space="preserve">the Attorney General </w:t>
      </w:r>
      <w:r w:rsidR="004E3CA1" w:rsidRPr="00055111">
        <w:rPr>
          <w:rFonts w:ascii="Garamond" w:hAnsi="Garamond"/>
          <w:sz w:val="28"/>
          <w:szCs w:val="28"/>
        </w:rPr>
        <w:t xml:space="preserve">justified </w:t>
      </w:r>
      <w:r w:rsidR="00EF551D" w:rsidRPr="00055111">
        <w:rPr>
          <w:rFonts w:ascii="Garamond" w:hAnsi="Garamond"/>
          <w:sz w:val="28"/>
          <w:szCs w:val="28"/>
        </w:rPr>
        <w:t>the</w:t>
      </w:r>
      <w:r w:rsidR="004E3CA1" w:rsidRPr="00055111">
        <w:rPr>
          <w:rFonts w:ascii="Garamond" w:hAnsi="Garamond"/>
          <w:sz w:val="28"/>
          <w:szCs w:val="28"/>
        </w:rPr>
        <w:t xml:space="preserve"> proposed accelerated briefing schedule because the defendant </w:t>
      </w:r>
      <w:r w:rsidR="00EF551D" w:rsidRPr="00055111">
        <w:rPr>
          <w:rFonts w:ascii="Garamond" w:hAnsi="Garamond"/>
          <w:sz w:val="28"/>
          <w:szCs w:val="28"/>
        </w:rPr>
        <w:t xml:space="preserve">had </w:t>
      </w:r>
      <w:r w:rsidR="004E3CA1" w:rsidRPr="00055111">
        <w:rPr>
          <w:rFonts w:ascii="Garamond" w:hAnsi="Garamond"/>
          <w:sz w:val="28"/>
          <w:szCs w:val="28"/>
        </w:rPr>
        <w:t>advance notice</w:t>
      </w:r>
      <w:r w:rsidR="00B1476D" w:rsidRPr="00055111">
        <w:rPr>
          <w:rFonts w:ascii="Garamond" w:hAnsi="Garamond"/>
          <w:sz w:val="28"/>
          <w:szCs w:val="28"/>
        </w:rPr>
        <w:t xml:space="preserve"> a warrant was being sought</w:t>
      </w:r>
      <w:r w:rsidR="0047740E" w:rsidRPr="00055111">
        <w:rPr>
          <w:rFonts w:ascii="Garamond" w:hAnsi="Garamond"/>
          <w:sz w:val="28"/>
          <w:szCs w:val="28"/>
        </w:rPr>
        <w:t xml:space="preserve"> and could prepare accordingly.</w:t>
      </w:r>
    </w:p>
    <w:p w14:paraId="2F6791EE" w14:textId="54FBD55A" w:rsidR="006140F1" w:rsidRPr="00055111" w:rsidRDefault="00B46F86" w:rsidP="00CF2589">
      <w:pPr>
        <w:spacing w:after="0" w:line="480" w:lineRule="auto"/>
        <w:rPr>
          <w:rFonts w:ascii="Garamond" w:hAnsi="Garamond"/>
          <w:sz w:val="28"/>
          <w:szCs w:val="28"/>
        </w:rPr>
      </w:pPr>
      <w:r w:rsidRPr="00055111">
        <w:rPr>
          <w:rFonts w:ascii="Garamond" w:hAnsi="Garamond"/>
          <w:sz w:val="28"/>
          <w:szCs w:val="28"/>
        </w:rPr>
        <w:tab/>
        <w:t>Notably,</w:t>
      </w:r>
      <w:r w:rsidR="009E3021" w:rsidRPr="00055111">
        <w:rPr>
          <w:rFonts w:ascii="Garamond" w:hAnsi="Garamond"/>
          <w:sz w:val="28"/>
          <w:szCs w:val="28"/>
        </w:rPr>
        <w:t xml:space="preserve"> even with early disclosure, this Court rejected </w:t>
      </w:r>
      <w:r w:rsidR="00CB336B" w:rsidRPr="00055111">
        <w:rPr>
          <w:rFonts w:ascii="Garamond" w:hAnsi="Garamond"/>
          <w:sz w:val="28"/>
          <w:szCs w:val="28"/>
        </w:rPr>
        <w:t>requests for</w:t>
      </w:r>
      <w:r w:rsidR="009E3021" w:rsidRPr="00055111">
        <w:rPr>
          <w:rFonts w:ascii="Garamond" w:hAnsi="Garamond"/>
          <w:sz w:val="28"/>
          <w:szCs w:val="28"/>
        </w:rPr>
        <w:t xml:space="preserve"> </w:t>
      </w:r>
      <w:r w:rsidR="00CB336B" w:rsidRPr="00055111">
        <w:rPr>
          <w:rFonts w:ascii="Garamond" w:hAnsi="Garamond"/>
          <w:sz w:val="28"/>
          <w:szCs w:val="28"/>
        </w:rPr>
        <w:t>schedules</w:t>
      </w:r>
      <w:r w:rsidR="009E3021" w:rsidRPr="00055111">
        <w:rPr>
          <w:rFonts w:ascii="Garamond" w:hAnsi="Garamond"/>
          <w:sz w:val="28"/>
          <w:szCs w:val="28"/>
        </w:rPr>
        <w:t xml:space="preserve"> </w:t>
      </w:r>
      <w:r w:rsidR="0092237E" w:rsidRPr="00055111">
        <w:rPr>
          <w:rFonts w:ascii="Garamond" w:hAnsi="Garamond"/>
          <w:sz w:val="28"/>
          <w:szCs w:val="28"/>
        </w:rPr>
        <w:t xml:space="preserve">like the </w:t>
      </w:r>
      <w:r w:rsidR="002F492E" w:rsidRPr="00055111">
        <w:rPr>
          <w:rFonts w:ascii="Garamond" w:hAnsi="Garamond"/>
          <w:sz w:val="28"/>
          <w:szCs w:val="28"/>
        </w:rPr>
        <w:t>one in the Petition</w:t>
      </w:r>
      <w:r w:rsidR="009E3021" w:rsidRPr="00055111">
        <w:rPr>
          <w:rFonts w:ascii="Garamond" w:hAnsi="Garamond"/>
          <w:sz w:val="28"/>
          <w:szCs w:val="28"/>
        </w:rPr>
        <w:t>.</w:t>
      </w:r>
      <w:r w:rsidR="007539E2" w:rsidRPr="00055111">
        <w:rPr>
          <w:rFonts w:ascii="Garamond" w:hAnsi="Garamond"/>
          <w:sz w:val="28"/>
          <w:szCs w:val="28"/>
        </w:rPr>
        <w:t xml:space="preserve"> </w:t>
      </w:r>
      <w:r w:rsidR="00773529" w:rsidRPr="00055111">
        <w:rPr>
          <w:rFonts w:ascii="Garamond" w:hAnsi="Garamond"/>
          <w:sz w:val="28"/>
          <w:szCs w:val="28"/>
        </w:rPr>
        <w:t xml:space="preserve">In </w:t>
      </w:r>
      <w:r w:rsidR="00773529" w:rsidRPr="00055111">
        <w:rPr>
          <w:rFonts w:ascii="Garamond" w:hAnsi="Garamond"/>
          <w:i/>
          <w:iCs/>
          <w:sz w:val="28"/>
          <w:szCs w:val="28"/>
        </w:rPr>
        <w:t xml:space="preserve">Dixon </w:t>
      </w:r>
      <w:r w:rsidR="00773529" w:rsidRPr="00055111">
        <w:rPr>
          <w:rFonts w:ascii="Garamond" w:hAnsi="Garamond"/>
          <w:sz w:val="28"/>
          <w:szCs w:val="28"/>
        </w:rPr>
        <w:t xml:space="preserve">and </w:t>
      </w:r>
      <w:r w:rsidR="00773529" w:rsidRPr="00055111">
        <w:rPr>
          <w:rFonts w:ascii="Garamond" w:hAnsi="Garamond"/>
          <w:i/>
          <w:iCs/>
          <w:sz w:val="28"/>
          <w:szCs w:val="28"/>
        </w:rPr>
        <w:t>Atwood</w:t>
      </w:r>
      <w:r w:rsidR="00773529" w:rsidRPr="00055111">
        <w:rPr>
          <w:rFonts w:ascii="Garamond" w:hAnsi="Garamond"/>
          <w:sz w:val="28"/>
          <w:szCs w:val="28"/>
        </w:rPr>
        <w:t>,</w:t>
      </w:r>
      <w:r w:rsidR="00773529" w:rsidRPr="00055111">
        <w:rPr>
          <w:rFonts w:ascii="Garamond" w:hAnsi="Garamond"/>
          <w:i/>
          <w:iCs/>
          <w:sz w:val="28"/>
          <w:szCs w:val="28"/>
        </w:rPr>
        <w:t xml:space="preserve"> </w:t>
      </w:r>
      <w:r w:rsidR="007539E2" w:rsidRPr="00055111">
        <w:rPr>
          <w:rFonts w:ascii="Garamond" w:hAnsi="Garamond"/>
          <w:sz w:val="28"/>
          <w:szCs w:val="28"/>
        </w:rPr>
        <w:t xml:space="preserve">the Attorney General requested </w:t>
      </w:r>
      <w:r w:rsidR="00B6704C" w:rsidRPr="00055111">
        <w:rPr>
          <w:rFonts w:ascii="Garamond" w:hAnsi="Garamond"/>
          <w:sz w:val="28"/>
          <w:szCs w:val="28"/>
        </w:rPr>
        <w:t xml:space="preserve">a </w:t>
      </w:r>
      <w:r w:rsidR="00CB336B" w:rsidRPr="00055111">
        <w:rPr>
          <w:rFonts w:ascii="Garamond" w:hAnsi="Garamond"/>
          <w:sz w:val="28"/>
          <w:szCs w:val="28"/>
        </w:rPr>
        <w:t>timeline</w:t>
      </w:r>
      <w:r w:rsidR="00B6704C" w:rsidRPr="00055111">
        <w:rPr>
          <w:rFonts w:ascii="Garamond" w:hAnsi="Garamond"/>
          <w:sz w:val="28"/>
          <w:szCs w:val="28"/>
        </w:rPr>
        <w:t xml:space="preserve"> </w:t>
      </w:r>
      <w:r w:rsidR="00EE6417" w:rsidRPr="00055111">
        <w:rPr>
          <w:rFonts w:ascii="Garamond" w:hAnsi="Garamond"/>
          <w:sz w:val="28"/>
          <w:szCs w:val="28"/>
        </w:rPr>
        <w:t>consistent with the Petition</w:t>
      </w:r>
      <w:r w:rsidR="00B6704C" w:rsidRPr="00055111">
        <w:rPr>
          <w:rFonts w:ascii="Garamond" w:hAnsi="Garamond"/>
          <w:sz w:val="28"/>
          <w:szCs w:val="28"/>
        </w:rPr>
        <w:t>’s proposal</w:t>
      </w:r>
      <w:r w:rsidR="00EE6417" w:rsidRPr="00055111">
        <w:rPr>
          <w:rFonts w:ascii="Garamond" w:hAnsi="Garamond"/>
          <w:sz w:val="28"/>
          <w:szCs w:val="28"/>
        </w:rPr>
        <w:t>: 10 days to respond, five to reply.</w:t>
      </w:r>
      <w:r w:rsidR="005A1A52" w:rsidRPr="00055111">
        <w:rPr>
          <w:rFonts w:ascii="Garamond" w:hAnsi="Garamond"/>
          <w:sz w:val="28"/>
          <w:szCs w:val="28"/>
        </w:rPr>
        <w:t xml:space="preserve"> </w:t>
      </w:r>
      <w:r w:rsidR="00773529" w:rsidRPr="00055111">
        <w:rPr>
          <w:rFonts w:ascii="Garamond" w:hAnsi="Garamond"/>
          <w:sz w:val="28"/>
          <w:szCs w:val="28"/>
        </w:rPr>
        <w:t xml:space="preserve">In both cases, </w:t>
      </w:r>
      <w:r w:rsidR="005A1A52" w:rsidRPr="00055111">
        <w:rPr>
          <w:rFonts w:ascii="Garamond" w:hAnsi="Garamond"/>
          <w:sz w:val="28"/>
          <w:szCs w:val="28"/>
        </w:rPr>
        <w:t>this Court rejected that request and</w:t>
      </w:r>
      <w:r w:rsidR="00535011" w:rsidRPr="00055111">
        <w:rPr>
          <w:rFonts w:ascii="Garamond" w:hAnsi="Garamond"/>
          <w:sz w:val="28"/>
          <w:szCs w:val="28"/>
        </w:rPr>
        <w:t xml:space="preserve"> issued a </w:t>
      </w:r>
      <w:r w:rsidR="00535011" w:rsidRPr="00055111">
        <w:rPr>
          <w:rFonts w:ascii="Garamond" w:hAnsi="Garamond"/>
          <w:sz w:val="28"/>
          <w:szCs w:val="28"/>
        </w:rPr>
        <w:lastRenderedPageBreak/>
        <w:t>schedule providing 14 days to respond and seven to reply.</w:t>
      </w:r>
      <w:r w:rsidR="0004610C" w:rsidRPr="00055111">
        <w:rPr>
          <w:rFonts w:ascii="Garamond" w:hAnsi="Garamond"/>
          <w:sz w:val="28"/>
          <w:szCs w:val="28"/>
        </w:rPr>
        <w:t xml:space="preserve"> </w:t>
      </w:r>
      <w:r w:rsidR="006140F1" w:rsidRPr="00055111">
        <w:rPr>
          <w:rFonts w:ascii="Garamond" w:hAnsi="Garamond"/>
          <w:i/>
          <w:sz w:val="28"/>
          <w:szCs w:val="28"/>
        </w:rPr>
        <w:t>State v. Dixon</w:t>
      </w:r>
      <w:r w:rsidR="006140F1" w:rsidRPr="00055111">
        <w:rPr>
          <w:rFonts w:ascii="Garamond" w:hAnsi="Garamond"/>
          <w:sz w:val="28"/>
          <w:szCs w:val="28"/>
        </w:rPr>
        <w:t xml:space="preserve">, </w:t>
      </w:r>
      <w:r w:rsidR="00F356AC" w:rsidRPr="00055111">
        <w:rPr>
          <w:rFonts w:ascii="Garamond" w:hAnsi="Garamond"/>
          <w:i/>
          <w:iCs/>
          <w:sz w:val="28"/>
          <w:szCs w:val="28"/>
        </w:rPr>
        <w:t>supra</w:t>
      </w:r>
      <w:r w:rsidR="006140F1" w:rsidRPr="00055111">
        <w:rPr>
          <w:rFonts w:ascii="Garamond" w:hAnsi="Garamond"/>
          <w:sz w:val="28"/>
          <w:szCs w:val="28"/>
        </w:rPr>
        <w:t xml:space="preserve">, Order (2/9/2022); </w:t>
      </w:r>
      <w:r w:rsidR="006140F1" w:rsidRPr="00055111">
        <w:rPr>
          <w:rFonts w:ascii="Garamond" w:hAnsi="Garamond"/>
          <w:i/>
          <w:sz w:val="28"/>
          <w:szCs w:val="28"/>
        </w:rPr>
        <w:t>State v. Atwood</w:t>
      </w:r>
      <w:r w:rsidR="006140F1" w:rsidRPr="00055111">
        <w:rPr>
          <w:rFonts w:ascii="Garamond" w:hAnsi="Garamond"/>
          <w:sz w:val="28"/>
          <w:szCs w:val="28"/>
        </w:rPr>
        <w:t xml:space="preserve">, </w:t>
      </w:r>
      <w:r w:rsidR="00F356AC" w:rsidRPr="00055111">
        <w:rPr>
          <w:rFonts w:ascii="Garamond" w:hAnsi="Garamond"/>
          <w:i/>
          <w:iCs/>
          <w:sz w:val="28"/>
          <w:szCs w:val="28"/>
        </w:rPr>
        <w:t>supra</w:t>
      </w:r>
      <w:r w:rsidR="00930723" w:rsidRPr="00055111">
        <w:rPr>
          <w:rFonts w:ascii="Garamond" w:hAnsi="Garamond"/>
          <w:sz w:val="28"/>
          <w:szCs w:val="28"/>
        </w:rPr>
        <w:t>, Order (4/5/2022)</w:t>
      </w:r>
      <w:r w:rsidR="00F356AC" w:rsidRPr="00055111">
        <w:rPr>
          <w:rFonts w:ascii="Garamond" w:hAnsi="Garamond"/>
          <w:sz w:val="28"/>
          <w:szCs w:val="28"/>
        </w:rPr>
        <w:t>.</w:t>
      </w:r>
      <w:r w:rsidR="00930723" w:rsidRPr="00055111">
        <w:rPr>
          <w:rFonts w:ascii="Garamond" w:hAnsi="Garamond"/>
          <w:sz w:val="28"/>
          <w:szCs w:val="28"/>
        </w:rPr>
        <w:t xml:space="preserve"> </w:t>
      </w:r>
      <w:r w:rsidR="00886338" w:rsidRPr="00055111">
        <w:rPr>
          <w:rFonts w:ascii="Garamond" w:hAnsi="Garamond"/>
          <w:sz w:val="28"/>
          <w:szCs w:val="28"/>
        </w:rPr>
        <w:t>Thus, even with the warrant motion’s early disclosure</w:t>
      </w:r>
      <w:r w:rsidR="009043F3" w:rsidRPr="00055111">
        <w:rPr>
          <w:rFonts w:ascii="Garamond" w:hAnsi="Garamond"/>
          <w:sz w:val="28"/>
          <w:szCs w:val="28"/>
        </w:rPr>
        <w:t xml:space="preserve">, this Court has </w:t>
      </w:r>
      <w:r w:rsidR="00340137" w:rsidRPr="00055111">
        <w:rPr>
          <w:rFonts w:ascii="Garamond" w:hAnsi="Garamond"/>
          <w:sz w:val="28"/>
          <w:szCs w:val="28"/>
        </w:rPr>
        <w:t>refused to grant the expedited briefing schedule the Petition seeks to codify in the Criminal Rules.</w:t>
      </w:r>
      <w:r w:rsidR="00C2349D" w:rsidRPr="00055111">
        <w:rPr>
          <w:rStyle w:val="FootnoteReference"/>
          <w:rFonts w:ascii="Garamond" w:hAnsi="Garamond"/>
          <w:sz w:val="28"/>
          <w:szCs w:val="28"/>
        </w:rPr>
        <w:footnoteReference w:id="4"/>
      </w:r>
    </w:p>
    <w:p w14:paraId="6EB32246" w14:textId="4F2E3731" w:rsidR="00570D6B" w:rsidRPr="00055111" w:rsidRDefault="00CF2589" w:rsidP="0029482B">
      <w:pPr>
        <w:spacing w:after="0" w:line="480" w:lineRule="auto"/>
        <w:rPr>
          <w:rFonts w:ascii="Garamond" w:hAnsi="Garamond"/>
          <w:sz w:val="28"/>
          <w:szCs w:val="28"/>
        </w:rPr>
      </w:pPr>
      <w:r w:rsidRPr="00055111">
        <w:rPr>
          <w:rFonts w:ascii="Garamond" w:hAnsi="Garamond"/>
          <w:sz w:val="28"/>
          <w:szCs w:val="28"/>
        </w:rPr>
        <w:tab/>
      </w:r>
      <w:r w:rsidR="00E6269B" w:rsidRPr="00055111">
        <w:rPr>
          <w:rFonts w:ascii="Garamond" w:hAnsi="Garamond"/>
          <w:sz w:val="28"/>
          <w:szCs w:val="28"/>
        </w:rPr>
        <w:t>Neither feature</w:t>
      </w:r>
      <w:r w:rsidR="00AB5987" w:rsidRPr="00055111">
        <w:rPr>
          <w:rFonts w:ascii="Garamond" w:hAnsi="Garamond"/>
          <w:sz w:val="28"/>
          <w:szCs w:val="28"/>
        </w:rPr>
        <w:t xml:space="preserve"> of the recent </w:t>
      </w:r>
      <w:r w:rsidR="00496D98" w:rsidRPr="00055111">
        <w:rPr>
          <w:rFonts w:ascii="Garamond" w:hAnsi="Garamond"/>
          <w:sz w:val="28"/>
          <w:szCs w:val="28"/>
        </w:rPr>
        <w:t>warrant motion</w:t>
      </w:r>
      <w:r w:rsidR="00AB5987" w:rsidRPr="00055111">
        <w:rPr>
          <w:rFonts w:ascii="Garamond" w:hAnsi="Garamond"/>
          <w:sz w:val="28"/>
          <w:szCs w:val="28"/>
        </w:rPr>
        <w:t xml:space="preserve"> practice</w:t>
      </w:r>
      <w:r w:rsidR="00496D98" w:rsidRPr="00055111">
        <w:rPr>
          <w:rFonts w:ascii="Garamond" w:hAnsi="Garamond"/>
          <w:sz w:val="28"/>
          <w:szCs w:val="28"/>
        </w:rPr>
        <w:t xml:space="preserve"> before this Court</w:t>
      </w:r>
      <w:r w:rsidR="00943CAA" w:rsidRPr="00055111">
        <w:rPr>
          <w:rFonts w:ascii="Garamond" w:hAnsi="Garamond"/>
          <w:sz w:val="28"/>
          <w:szCs w:val="28"/>
        </w:rPr>
        <w:t>—early</w:t>
      </w:r>
      <w:r w:rsidR="00AB5987" w:rsidRPr="00055111">
        <w:rPr>
          <w:rFonts w:ascii="Garamond" w:hAnsi="Garamond"/>
          <w:sz w:val="28"/>
          <w:szCs w:val="28"/>
        </w:rPr>
        <w:t xml:space="preserve"> disclosure of the warrant motion or </w:t>
      </w:r>
      <w:r w:rsidR="00496D98" w:rsidRPr="00055111">
        <w:rPr>
          <w:rFonts w:ascii="Garamond" w:hAnsi="Garamond"/>
          <w:sz w:val="28"/>
          <w:szCs w:val="28"/>
        </w:rPr>
        <w:t xml:space="preserve">this Court’s rejection of </w:t>
      </w:r>
      <w:r w:rsidR="00943CAA" w:rsidRPr="00055111">
        <w:rPr>
          <w:rFonts w:ascii="Garamond" w:hAnsi="Garamond"/>
          <w:sz w:val="28"/>
          <w:szCs w:val="28"/>
        </w:rPr>
        <w:t>a 10-day res</w:t>
      </w:r>
      <w:r w:rsidR="00632762" w:rsidRPr="00055111">
        <w:rPr>
          <w:rFonts w:ascii="Garamond" w:hAnsi="Garamond"/>
          <w:sz w:val="28"/>
          <w:szCs w:val="28"/>
        </w:rPr>
        <w:t>ponse deadline—is</w:t>
      </w:r>
      <w:r w:rsidR="00496D98" w:rsidRPr="00055111">
        <w:rPr>
          <w:rFonts w:ascii="Garamond" w:hAnsi="Garamond"/>
          <w:sz w:val="28"/>
          <w:szCs w:val="28"/>
        </w:rPr>
        <w:t xml:space="preserve"> reflected in the Petition</w:t>
      </w:r>
      <w:r w:rsidR="00DF02EC" w:rsidRPr="00055111">
        <w:rPr>
          <w:rFonts w:ascii="Garamond" w:hAnsi="Garamond"/>
          <w:sz w:val="28"/>
          <w:szCs w:val="28"/>
        </w:rPr>
        <w:t>.</w:t>
      </w:r>
      <w:r w:rsidRPr="00055111">
        <w:rPr>
          <w:rFonts w:ascii="Garamond" w:hAnsi="Garamond"/>
          <w:sz w:val="28"/>
          <w:szCs w:val="28"/>
        </w:rPr>
        <w:t xml:space="preserve"> </w:t>
      </w:r>
      <w:r w:rsidR="00632762" w:rsidRPr="00055111">
        <w:rPr>
          <w:rFonts w:ascii="Garamond" w:hAnsi="Garamond"/>
          <w:sz w:val="28"/>
          <w:szCs w:val="28"/>
        </w:rPr>
        <w:t>It</w:t>
      </w:r>
      <w:r w:rsidR="00AC69D5" w:rsidRPr="00055111">
        <w:rPr>
          <w:rFonts w:ascii="Garamond" w:hAnsi="Garamond"/>
          <w:sz w:val="28"/>
          <w:szCs w:val="28"/>
        </w:rPr>
        <w:t xml:space="preserve"> proposes </w:t>
      </w:r>
      <w:r w:rsidRPr="00055111">
        <w:rPr>
          <w:rFonts w:ascii="Garamond" w:hAnsi="Garamond"/>
          <w:sz w:val="28"/>
          <w:szCs w:val="28"/>
        </w:rPr>
        <w:t xml:space="preserve">the expedited briefing of </w:t>
      </w:r>
      <w:r w:rsidR="007232F4" w:rsidRPr="00055111">
        <w:rPr>
          <w:rFonts w:ascii="Garamond" w:hAnsi="Garamond"/>
          <w:sz w:val="28"/>
          <w:szCs w:val="28"/>
        </w:rPr>
        <w:t>the Attorney General’s most exacting</w:t>
      </w:r>
      <w:r w:rsidRPr="00055111">
        <w:rPr>
          <w:rFonts w:ascii="Garamond" w:hAnsi="Garamond"/>
          <w:sz w:val="28"/>
          <w:szCs w:val="28"/>
        </w:rPr>
        <w:t xml:space="preserve"> </w:t>
      </w:r>
      <w:r w:rsidR="003D5DDA" w:rsidRPr="00055111">
        <w:rPr>
          <w:rFonts w:ascii="Garamond" w:hAnsi="Garamond"/>
          <w:sz w:val="28"/>
          <w:szCs w:val="28"/>
        </w:rPr>
        <w:t>recent</w:t>
      </w:r>
      <w:r w:rsidRPr="00055111">
        <w:rPr>
          <w:rFonts w:ascii="Garamond" w:hAnsi="Garamond"/>
          <w:sz w:val="28"/>
          <w:szCs w:val="28"/>
        </w:rPr>
        <w:t xml:space="preserve"> scheduling </w:t>
      </w:r>
      <w:r w:rsidR="00EE3086" w:rsidRPr="00055111">
        <w:rPr>
          <w:rFonts w:ascii="Garamond" w:hAnsi="Garamond"/>
          <w:sz w:val="28"/>
          <w:szCs w:val="28"/>
        </w:rPr>
        <w:t>requests</w:t>
      </w:r>
      <w:r w:rsidR="00AC69D5" w:rsidRPr="00055111">
        <w:rPr>
          <w:rFonts w:ascii="Garamond" w:hAnsi="Garamond"/>
          <w:sz w:val="28"/>
          <w:szCs w:val="28"/>
        </w:rPr>
        <w:t xml:space="preserve"> (a schedule this Court twice rejected)</w:t>
      </w:r>
      <w:r w:rsidR="00632762" w:rsidRPr="00055111">
        <w:rPr>
          <w:rFonts w:ascii="Garamond" w:hAnsi="Garamond"/>
          <w:sz w:val="28"/>
          <w:szCs w:val="28"/>
        </w:rPr>
        <w:t xml:space="preserve"> </w:t>
      </w:r>
      <w:r w:rsidRPr="00055111">
        <w:rPr>
          <w:rFonts w:ascii="Garamond" w:hAnsi="Garamond"/>
          <w:sz w:val="28"/>
          <w:szCs w:val="28"/>
        </w:rPr>
        <w:t>but omit</w:t>
      </w:r>
      <w:r w:rsidR="00473A74" w:rsidRPr="00055111">
        <w:rPr>
          <w:rFonts w:ascii="Garamond" w:hAnsi="Garamond"/>
          <w:sz w:val="28"/>
          <w:szCs w:val="28"/>
        </w:rPr>
        <w:t>s</w:t>
      </w:r>
      <w:r w:rsidRPr="00055111">
        <w:rPr>
          <w:rFonts w:ascii="Garamond" w:hAnsi="Garamond"/>
          <w:sz w:val="28"/>
          <w:szCs w:val="28"/>
        </w:rPr>
        <w:t xml:space="preserve"> the early disclosure that makes </w:t>
      </w:r>
      <w:r w:rsidR="00632762" w:rsidRPr="00055111">
        <w:rPr>
          <w:rFonts w:ascii="Garamond" w:hAnsi="Garamond"/>
          <w:sz w:val="28"/>
          <w:szCs w:val="28"/>
        </w:rPr>
        <w:t>expedited briefing</w:t>
      </w:r>
      <w:r w:rsidRPr="00055111">
        <w:rPr>
          <w:rFonts w:ascii="Garamond" w:hAnsi="Garamond"/>
          <w:sz w:val="28"/>
          <w:szCs w:val="28"/>
        </w:rPr>
        <w:t xml:space="preserve"> fair and feasible. Imposing accelerated deadlines on capital defendants with no accommodation is constitutionally dubious on any occasion, as the </w:t>
      </w:r>
      <w:r w:rsidRPr="00055111">
        <w:rPr>
          <w:rFonts w:ascii="Garamond" w:hAnsi="Garamond"/>
          <w:iCs/>
          <w:sz w:val="28"/>
          <w:szCs w:val="28"/>
        </w:rPr>
        <w:t>Eighth Amendment requires procedures supplying heightened reliability</w:t>
      </w:r>
      <w:r w:rsidR="00822983" w:rsidRPr="00055111">
        <w:rPr>
          <w:rFonts w:ascii="Garamond" w:hAnsi="Garamond"/>
          <w:iCs/>
          <w:sz w:val="28"/>
          <w:szCs w:val="28"/>
        </w:rPr>
        <w:t xml:space="preserve"> in death cases</w:t>
      </w:r>
      <w:r w:rsidRPr="00055111">
        <w:rPr>
          <w:rFonts w:ascii="Garamond" w:hAnsi="Garamond"/>
          <w:sz w:val="28"/>
          <w:szCs w:val="28"/>
        </w:rPr>
        <w:t xml:space="preserve">. </w:t>
      </w:r>
      <w:r w:rsidRPr="00055111">
        <w:rPr>
          <w:rFonts w:ascii="Garamond" w:hAnsi="Garamond"/>
          <w:i/>
          <w:sz w:val="28"/>
          <w:szCs w:val="28"/>
        </w:rPr>
        <w:t xml:space="preserve">Caldwell v. Mississippi, </w:t>
      </w:r>
      <w:r w:rsidRPr="00055111">
        <w:rPr>
          <w:rFonts w:ascii="Garamond" w:hAnsi="Garamond"/>
          <w:sz w:val="28"/>
          <w:szCs w:val="28"/>
        </w:rPr>
        <w:t xml:space="preserve">472 U.S. 320, 323 (1985); </w:t>
      </w:r>
      <w:r w:rsidRPr="00055111">
        <w:rPr>
          <w:rFonts w:ascii="Garamond" w:hAnsi="Garamond"/>
          <w:i/>
          <w:iCs/>
          <w:sz w:val="28"/>
          <w:szCs w:val="28"/>
        </w:rPr>
        <w:t xml:space="preserve">Woodson v. North Carolina, </w:t>
      </w:r>
      <w:r w:rsidRPr="00055111">
        <w:rPr>
          <w:rFonts w:ascii="Garamond" w:hAnsi="Garamond"/>
          <w:iCs/>
          <w:sz w:val="28"/>
          <w:szCs w:val="28"/>
        </w:rPr>
        <w:t>428 U.S. 280, 305 (1976)</w:t>
      </w:r>
      <w:r w:rsidRPr="00055111">
        <w:rPr>
          <w:rFonts w:ascii="Garamond" w:hAnsi="Garamond"/>
          <w:sz w:val="28"/>
          <w:szCs w:val="28"/>
        </w:rPr>
        <w:t>.</w:t>
      </w:r>
      <w:r w:rsidR="006F0FBB" w:rsidRPr="00055111">
        <w:rPr>
          <w:rStyle w:val="FootnoteReference"/>
          <w:rFonts w:ascii="Garamond" w:hAnsi="Garamond"/>
          <w:sz w:val="28"/>
          <w:szCs w:val="28"/>
        </w:rPr>
        <w:footnoteReference w:id="5"/>
      </w:r>
      <w:r w:rsidRPr="00055111">
        <w:rPr>
          <w:rFonts w:ascii="Garamond" w:hAnsi="Garamond"/>
          <w:sz w:val="28"/>
          <w:szCs w:val="28"/>
        </w:rPr>
        <w:t xml:space="preserve"> They are particularly inappropriate in the warrant context, </w:t>
      </w:r>
      <w:r w:rsidRPr="00055111">
        <w:rPr>
          <w:rFonts w:ascii="Garamond" w:hAnsi="Garamond"/>
          <w:sz w:val="28"/>
          <w:szCs w:val="28"/>
        </w:rPr>
        <w:lastRenderedPageBreak/>
        <w:t xml:space="preserve">when demands on counsel’s time are </w:t>
      </w:r>
      <w:r w:rsidR="00570EC6" w:rsidRPr="00055111">
        <w:rPr>
          <w:rFonts w:ascii="Garamond" w:hAnsi="Garamond"/>
          <w:sz w:val="28"/>
          <w:szCs w:val="28"/>
        </w:rPr>
        <w:t xml:space="preserve">already </w:t>
      </w:r>
      <w:r w:rsidRPr="00055111">
        <w:rPr>
          <w:rFonts w:ascii="Garamond" w:hAnsi="Garamond"/>
          <w:sz w:val="28"/>
          <w:szCs w:val="28"/>
        </w:rPr>
        <w:t>at an extreme</w:t>
      </w:r>
      <w:r w:rsidR="001035B0" w:rsidRPr="00055111">
        <w:rPr>
          <w:rFonts w:ascii="Garamond" w:hAnsi="Garamond"/>
          <w:sz w:val="28"/>
          <w:szCs w:val="28"/>
        </w:rPr>
        <w:t xml:space="preserve"> and an artificially </w:t>
      </w:r>
      <w:r w:rsidR="006E537F" w:rsidRPr="00055111">
        <w:rPr>
          <w:rFonts w:ascii="Garamond" w:hAnsi="Garamond"/>
          <w:sz w:val="28"/>
          <w:szCs w:val="28"/>
        </w:rPr>
        <w:t>compressed</w:t>
      </w:r>
      <w:r w:rsidR="001035B0" w:rsidRPr="00055111">
        <w:rPr>
          <w:rFonts w:ascii="Garamond" w:hAnsi="Garamond"/>
          <w:sz w:val="28"/>
          <w:szCs w:val="28"/>
        </w:rPr>
        <w:t xml:space="preserve"> </w:t>
      </w:r>
      <w:r w:rsidR="006049AD" w:rsidRPr="00055111">
        <w:rPr>
          <w:rFonts w:ascii="Garamond" w:hAnsi="Garamond"/>
          <w:sz w:val="28"/>
          <w:szCs w:val="28"/>
        </w:rPr>
        <w:t xml:space="preserve">timeline </w:t>
      </w:r>
      <w:r w:rsidR="009E360C" w:rsidRPr="00055111">
        <w:rPr>
          <w:rFonts w:ascii="Garamond" w:hAnsi="Garamond"/>
          <w:sz w:val="28"/>
          <w:szCs w:val="28"/>
        </w:rPr>
        <w:t xml:space="preserve">would so overburden counsel as to </w:t>
      </w:r>
      <w:r w:rsidR="00EF496F" w:rsidRPr="00055111">
        <w:rPr>
          <w:rFonts w:ascii="Garamond" w:hAnsi="Garamond"/>
          <w:sz w:val="28"/>
          <w:szCs w:val="28"/>
        </w:rPr>
        <w:t>impair their client’</w:t>
      </w:r>
      <w:r w:rsidR="006049AD" w:rsidRPr="00055111">
        <w:rPr>
          <w:rFonts w:ascii="Garamond" w:hAnsi="Garamond"/>
          <w:sz w:val="28"/>
          <w:szCs w:val="28"/>
        </w:rPr>
        <w:t>s right to the effective assistance of counsel</w:t>
      </w:r>
      <w:r w:rsidRPr="00055111">
        <w:rPr>
          <w:rFonts w:ascii="Garamond" w:hAnsi="Garamond"/>
          <w:sz w:val="28"/>
          <w:szCs w:val="28"/>
        </w:rPr>
        <w:t xml:space="preserve">. </w:t>
      </w:r>
      <w:r w:rsidR="009E50DA" w:rsidRPr="00055111">
        <w:rPr>
          <w:rFonts w:ascii="Garamond" w:hAnsi="Garamond"/>
          <w:sz w:val="28"/>
          <w:szCs w:val="28"/>
        </w:rPr>
        <w:t>ABA Death Penalty Guidelines</w:t>
      </w:r>
      <w:r w:rsidRPr="00055111">
        <w:rPr>
          <w:rFonts w:ascii="Garamond" w:hAnsi="Garamond"/>
          <w:sz w:val="28"/>
          <w:szCs w:val="28"/>
        </w:rPr>
        <w:t xml:space="preserve">, 31 Hofstra L. Rev. </w:t>
      </w:r>
      <w:r w:rsidR="000476B9" w:rsidRPr="00055111">
        <w:rPr>
          <w:rFonts w:ascii="Garamond" w:hAnsi="Garamond"/>
          <w:sz w:val="28"/>
          <w:szCs w:val="28"/>
        </w:rPr>
        <w:t>at</w:t>
      </w:r>
      <w:r w:rsidRPr="00055111">
        <w:rPr>
          <w:rFonts w:ascii="Garamond" w:hAnsi="Garamond"/>
          <w:sz w:val="28"/>
          <w:szCs w:val="28"/>
        </w:rPr>
        <w:t xml:space="preserve"> 1081</w:t>
      </w:r>
      <w:r w:rsidR="00502135" w:rsidRPr="00055111">
        <w:rPr>
          <w:rFonts w:ascii="Garamond" w:hAnsi="Garamond"/>
          <w:sz w:val="28"/>
          <w:szCs w:val="28"/>
        </w:rPr>
        <w:t xml:space="preserve"> n.335</w:t>
      </w:r>
      <w:r w:rsidR="006049AD" w:rsidRPr="00055111">
        <w:rPr>
          <w:rFonts w:ascii="Garamond" w:hAnsi="Garamond"/>
          <w:sz w:val="28"/>
          <w:szCs w:val="28"/>
        </w:rPr>
        <w:t xml:space="preserve">; </w:t>
      </w:r>
      <w:r w:rsidR="00DA7110" w:rsidRPr="00055111">
        <w:rPr>
          <w:rFonts w:ascii="Garamond" w:hAnsi="Garamond"/>
          <w:sz w:val="28"/>
          <w:szCs w:val="28"/>
        </w:rPr>
        <w:t>American Bar Association</w:t>
      </w:r>
      <w:r w:rsidR="00440DB3" w:rsidRPr="00055111">
        <w:rPr>
          <w:rFonts w:ascii="Garamond" w:hAnsi="Garamond"/>
          <w:sz w:val="28"/>
          <w:szCs w:val="28"/>
        </w:rPr>
        <w:t>,</w:t>
      </w:r>
      <w:r w:rsidR="00EF496F" w:rsidRPr="00055111">
        <w:rPr>
          <w:rFonts w:ascii="Garamond" w:hAnsi="Garamond"/>
          <w:sz w:val="28"/>
          <w:szCs w:val="28"/>
        </w:rPr>
        <w:t xml:space="preserve"> Criminal Justice Standards for the Defense Function, Standard </w:t>
      </w:r>
      <w:r w:rsidR="00AE76BE" w:rsidRPr="00055111">
        <w:rPr>
          <w:rFonts w:ascii="Garamond" w:hAnsi="Garamond"/>
          <w:sz w:val="28"/>
          <w:szCs w:val="28"/>
        </w:rPr>
        <w:t>4-1.8(a) (4th Ed. 2017) (</w:t>
      </w:r>
      <w:r w:rsidR="009A2B0C" w:rsidRPr="00055111">
        <w:rPr>
          <w:rFonts w:ascii="Garamond" w:hAnsi="Garamond"/>
          <w:sz w:val="28"/>
          <w:szCs w:val="28"/>
        </w:rPr>
        <w:t xml:space="preserve">defense counsel should not accept workload that </w:t>
      </w:r>
      <w:r w:rsidR="00473A74" w:rsidRPr="00055111">
        <w:rPr>
          <w:rFonts w:ascii="Garamond" w:hAnsi="Garamond"/>
          <w:sz w:val="28"/>
          <w:szCs w:val="28"/>
        </w:rPr>
        <w:t>precludes quality representation</w:t>
      </w:r>
      <w:r w:rsidR="00DC6954" w:rsidRPr="00055111">
        <w:rPr>
          <w:rFonts w:ascii="Garamond" w:hAnsi="Garamond"/>
          <w:sz w:val="28"/>
          <w:szCs w:val="28"/>
        </w:rPr>
        <w:t>);</w:t>
      </w:r>
      <w:r w:rsidR="00DA7110" w:rsidRPr="00055111">
        <w:rPr>
          <w:rFonts w:ascii="Garamond" w:hAnsi="Garamond"/>
          <w:sz w:val="28"/>
          <w:szCs w:val="28"/>
        </w:rPr>
        <w:t xml:space="preserve"> </w:t>
      </w:r>
      <w:r w:rsidR="006A7EB7" w:rsidRPr="00055111">
        <w:rPr>
          <w:rFonts w:ascii="Garamond" w:hAnsi="Garamond"/>
          <w:i/>
          <w:iCs/>
          <w:sz w:val="28"/>
          <w:szCs w:val="28"/>
        </w:rPr>
        <w:t>Strickland v. Washington</w:t>
      </w:r>
      <w:r w:rsidR="006A7EB7" w:rsidRPr="00055111">
        <w:rPr>
          <w:rFonts w:ascii="Garamond" w:hAnsi="Garamond"/>
          <w:sz w:val="28"/>
          <w:szCs w:val="28"/>
        </w:rPr>
        <w:t>, 466 U.S. 668 (1984)</w:t>
      </w:r>
      <w:r w:rsidR="00473A74" w:rsidRPr="00055111">
        <w:rPr>
          <w:rFonts w:ascii="Garamond" w:hAnsi="Garamond"/>
          <w:sz w:val="28"/>
          <w:szCs w:val="28"/>
        </w:rPr>
        <w:t>.</w:t>
      </w:r>
    </w:p>
    <w:p w14:paraId="6ABB43E1" w14:textId="3697383E" w:rsidR="00CF2589" w:rsidRPr="00055111" w:rsidRDefault="00BF638D" w:rsidP="0029482B">
      <w:pPr>
        <w:spacing w:after="0" w:line="480" w:lineRule="auto"/>
        <w:rPr>
          <w:rFonts w:ascii="Garamond" w:hAnsi="Garamond"/>
          <w:sz w:val="28"/>
          <w:szCs w:val="28"/>
        </w:rPr>
      </w:pPr>
      <w:r w:rsidRPr="00055111">
        <w:rPr>
          <w:rFonts w:ascii="Garamond" w:hAnsi="Garamond"/>
          <w:sz w:val="28"/>
          <w:szCs w:val="28"/>
        </w:rPr>
        <w:tab/>
      </w:r>
      <w:r w:rsidR="00FF6D88" w:rsidRPr="00055111">
        <w:rPr>
          <w:rFonts w:ascii="Garamond" w:hAnsi="Garamond"/>
          <w:sz w:val="28"/>
          <w:szCs w:val="28"/>
        </w:rPr>
        <w:t>In addition to prejudicing defendants, th</w:t>
      </w:r>
      <w:r w:rsidR="006B37E1" w:rsidRPr="00055111">
        <w:rPr>
          <w:rFonts w:ascii="Garamond" w:hAnsi="Garamond"/>
          <w:sz w:val="28"/>
          <w:szCs w:val="28"/>
        </w:rPr>
        <w:t xml:space="preserve">e </w:t>
      </w:r>
      <w:r w:rsidR="00C521D9" w:rsidRPr="00055111">
        <w:rPr>
          <w:rFonts w:ascii="Garamond" w:hAnsi="Garamond"/>
          <w:sz w:val="28"/>
          <w:szCs w:val="28"/>
        </w:rPr>
        <w:t xml:space="preserve">proposed amendment would limit this Court’s discretion, </w:t>
      </w:r>
      <w:r w:rsidR="00B97576" w:rsidRPr="00055111">
        <w:rPr>
          <w:rFonts w:ascii="Garamond" w:hAnsi="Garamond"/>
          <w:sz w:val="28"/>
          <w:szCs w:val="28"/>
        </w:rPr>
        <w:t xml:space="preserve">preventing it from crafting a more equitable </w:t>
      </w:r>
      <w:r w:rsidR="0054502A" w:rsidRPr="00055111">
        <w:rPr>
          <w:rFonts w:ascii="Garamond" w:hAnsi="Garamond"/>
          <w:sz w:val="28"/>
          <w:szCs w:val="28"/>
        </w:rPr>
        <w:t xml:space="preserve">schedule or addressing exigent circumstances. </w:t>
      </w:r>
      <w:r w:rsidR="00500D78" w:rsidRPr="00055111">
        <w:rPr>
          <w:rFonts w:ascii="Garamond" w:hAnsi="Garamond"/>
          <w:sz w:val="28"/>
          <w:szCs w:val="28"/>
        </w:rPr>
        <w:t xml:space="preserve">On its face, </w:t>
      </w:r>
      <w:r w:rsidR="00A0706B" w:rsidRPr="00055111">
        <w:rPr>
          <w:rFonts w:ascii="Garamond" w:hAnsi="Garamond"/>
          <w:sz w:val="28"/>
          <w:szCs w:val="28"/>
        </w:rPr>
        <w:t>the propos</w:t>
      </w:r>
      <w:r w:rsidR="0008056A" w:rsidRPr="00055111">
        <w:rPr>
          <w:rFonts w:ascii="Garamond" w:hAnsi="Garamond"/>
          <w:sz w:val="28"/>
          <w:szCs w:val="28"/>
        </w:rPr>
        <w:t xml:space="preserve">al </w:t>
      </w:r>
      <w:r w:rsidR="00A0706B" w:rsidRPr="00055111">
        <w:rPr>
          <w:rFonts w:ascii="Garamond" w:hAnsi="Garamond"/>
          <w:sz w:val="28"/>
          <w:szCs w:val="28"/>
        </w:rPr>
        <w:t>contemplates no flexibility in the time limits it imposes</w:t>
      </w:r>
      <w:r w:rsidR="00477A59" w:rsidRPr="00055111">
        <w:rPr>
          <w:rFonts w:ascii="Garamond" w:hAnsi="Garamond"/>
          <w:sz w:val="28"/>
          <w:szCs w:val="28"/>
        </w:rPr>
        <w:t>.</w:t>
      </w:r>
      <w:r w:rsidR="00C17336" w:rsidRPr="00055111">
        <w:rPr>
          <w:rFonts w:ascii="Garamond" w:hAnsi="Garamond"/>
          <w:sz w:val="28"/>
          <w:szCs w:val="28"/>
        </w:rPr>
        <w:t xml:space="preserve"> </w:t>
      </w:r>
      <w:r w:rsidR="001D1161" w:rsidRPr="00055111">
        <w:rPr>
          <w:rFonts w:ascii="Garamond" w:hAnsi="Garamond"/>
          <w:sz w:val="28"/>
          <w:szCs w:val="28"/>
        </w:rPr>
        <w:t xml:space="preserve">The </w:t>
      </w:r>
      <w:r w:rsidR="00C17336" w:rsidRPr="00055111">
        <w:rPr>
          <w:rFonts w:ascii="Garamond" w:hAnsi="Garamond"/>
          <w:sz w:val="28"/>
          <w:szCs w:val="28"/>
        </w:rPr>
        <w:t xml:space="preserve">rule also requires this Court to rule on the motion </w:t>
      </w:r>
      <w:r w:rsidR="00477A59" w:rsidRPr="00055111">
        <w:rPr>
          <w:rFonts w:ascii="Garamond" w:hAnsi="Garamond"/>
          <w:sz w:val="28"/>
          <w:szCs w:val="28"/>
        </w:rPr>
        <w:t xml:space="preserve">at its next </w:t>
      </w:r>
      <w:r w:rsidR="006D6CB0" w:rsidRPr="00055111">
        <w:rPr>
          <w:rFonts w:ascii="Garamond" w:hAnsi="Garamond"/>
          <w:sz w:val="28"/>
          <w:szCs w:val="28"/>
        </w:rPr>
        <w:t xml:space="preserve">“practicable” </w:t>
      </w:r>
      <w:r w:rsidR="00477A59" w:rsidRPr="00055111">
        <w:rPr>
          <w:rFonts w:ascii="Garamond" w:hAnsi="Garamond"/>
          <w:sz w:val="28"/>
          <w:szCs w:val="28"/>
        </w:rPr>
        <w:t>conference date</w:t>
      </w:r>
      <w:r w:rsidR="009E5EF0" w:rsidRPr="00055111">
        <w:rPr>
          <w:rFonts w:ascii="Garamond" w:hAnsi="Garamond"/>
          <w:sz w:val="28"/>
          <w:szCs w:val="28"/>
        </w:rPr>
        <w:t>,</w:t>
      </w:r>
      <w:r w:rsidR="00607D25" w:rsidRPr="00055111">
        <w:rPr>
          <w:rFonts w:ascii="Garamond" w:hAnsi="Garamond"/>
          <w:sz w:val="28"/>
          <w:szCs w:val="28"/>
        </w:rPr>
        <w:t xml:space="preserve"> </w:t>
      </w:r>
      <w:r w:rsidR="00EE5476" w:rsidRPr="00055111">
        <w:rPr>
          <w:rFonts w:ascii="Garamond" w:hAnsi="Garamond"/>
          <w:sz w:val="28"/>
          <w:szCs w:val="28"/>
        </w:rPr>
        <w:t>impairing this Court’s discretion</w:t>
      </w:r>
      <w:r w:rsidR="00607D25" w:rsidRPr="00055111">
        <w:rPr>
          <w:rFonts w:ascii="Garamond" w:hAnsi="Garamond"/>
          <w:sz w:val="28"/>
          <w:szCs w:val="28"/>
        </w:rPr>
        <w:t xml:space="preserve"> to </w:t>
      </w:r>
      <w:r w:rsidR="002B3746" w:rsidRPr="00055111">
        <w:rPr>
          <w:rFonts w:ascii="Garamond" w:hAnsi="Garamond"/>
          <w:sz w:val="28"/>
          <w:szCs w:val="28"/>
        </w:rPr>
        <w:t>set</w:t>
      </w:r>
      <w:r w:rsidR="00BA4831" w:rsidRPr="00055111">
        <w:rPr>
          <w:rFonts w:ascii="Garamond" w:hAnsi="Garamond"/>
          <w:sz w:val="28"/>
          <w:szCs w:val="28"/>
        </w:rPr>
        <w:t xml:space="preserve"> a </w:t>
      </w:r>
      <w:r w:rsidR="002B3746" w:rsidRPr="00055111">
        <w:rPr>
          <w:rFonts w:ascii="Garamond" w:hAnsi="Garamond"/>
          <w:sz w:val="28"/>
          <w:szCs w:val="28"/>
        </w:rPr>
        <w:t xml:space="preserve">briefing </w:t>
      </w:r>
      <w:r w:rsidR="00BA4831" w:rsidRPr="00055111">
        <w:rPr>
          <w:rFonts w:ascii="Garamond" w:hAnsi="Garamond"/>
          <w:sz w:val="28"/>
          <w:szCs w:val="28"/>
        </w:rPr>
        <w:t>schedule that affords adequate process for the defendant</w:t>
      </w:r>
      <w:r w:rsidR="00691C03" w:rsidRPr="00055111">
        <w:rPr>
          <w:rFonts w:ascii="Garamond" w:hAnsi="Garamond"/>
          <w:sz w:val="28"/>
          <w:szCs w:val="28"/>
        </w:rPr>
        <w:t>, contemplates the</w:t>
      </w:r>
      <w:r w:rsidR="00372EE5" w:rsidRPr="00055111">
        <w:rPr>
          <w:rFonts w:ascii="Garamond" w:hAnsi="Garamond"/>
          <w:sz w:val="28"/>
          <w:szCs w:val="28"/>
        </w:rPr>
        <w:t xml:space="preserve"> burden of the Court’s overall docket,</w:t>
      </w:r>
      <w:r w:rsidR="00BA4831" w:rsidRPr="00055111">
        <w:rPr>
          <w:rFonts w:ascii="Garamond" w:hAnsi="Garamond"/>
          <w:sz w:val="28"/>
          <w:szCs w:val="28"/>
        </w:rPr>
        <w:t xml:space="preserve"> or </w:t>
      </w:r>
      <w:r w:rsidR="00AF6ED0" w:rsidRPr="00055111">
        <w:rPr>
          <w:rFonts w:ascii="Garamond" w:hAnsi="Garamond"/>
          <w:sz w:val="28"/>
          <w:szCs w:val="28"/>
        </w:rPr>
        <w:t xml:space="preserve">responds to </w:t>
      </w:r>
      <w:r w:rsidR="00BA4831" w:rsidRPr="00055111">
        <w:rPr>
          <w:rFonts w:ascii="Garamond" w:hAnsi="Garamond"/>
          <w:sz w:val="28"/>
          <w:szCs w:val="28"/>
        </w:rPr>
        <w:t xml:space="preserve">exigent </w:t>
      </w:r>
      <w:r w:rsidR="00BA4831" w:rsidRPr="00055111">
        <w:rPr>
          <w:rFonts w:ascii="Garamond" w:hAnsi="Garamond"/>
          <w:sz w:val="28"/>
          <w:szCs w:val="28"/>
        </w:rPr>
        <w:lastRenderedPageBreak/>
        <w:t>circumstances.</w:t>
      </w:r>
      <w:r w:rsidR="00B63498" w:rsidRPr="00055111">
        <w:rPr>
          <w:rStyle w:val="FootnoteReference"/>
          <w:rFonts w:ascii="Garamond" w:hAnsi="Garamond"/>
          <w:sz w:val="28"/>
          <w:szCs w:val="28"/>
        </w:rPr>
        <w:footnoteReference w:id="6"/>
      </w:r>
      <w:r w:rsidR="00BA4831" w:rsidRPr="00055111">
        <w:rPr>
          <w:rFonts w:ascii="Garamond" w:hAnsi="Garamond"/>
          <w:sz w:val="28"/>
          <w:szCs w:val="28"/>
        </w:rPr>
        <w:t xml:space="preserve"> </w:t>
      </w:r>
      <w:r w:rsidR="00507572" w:rsidRPr="00055111">
        <w:rPr>
          <w:rFonts w:ascii="Garamond" w:hAnsi="Garamond"/>
          <w:sz w:val="28"/>
          <w:szCs w:val="28"/>
        </w:rPr>
        <w:t xml:space="preserve">Mr. Atwood’s case, where lead </w:t>
      </w:r>
      <w:r w:rsidR="0016278F" w:rsidRPr="00055111">
        <w:rPr>
          <w:rFonts w:ascii="Garamond" w:hAnsi="Garamond"/>
          <w:sz w:val="28"/>
          <w:szCs w:val="28"/>
        </w:rPr>
        <w:t xml:space="preserve">defense </w:t>
      </w:r>
      <w:r w:rsidR="00507572" w:rsidRPr="00055111">
        <w:rPr>
          <w:rFonts w:ascii="Garamond" w:hAnsi="Garamond"/>
          <w:sz w:val="28"/>
          <w:szCs w:val="28"/>
        </w:rPr>
        <w:t xml:space="preserve">counsel died </w:t>
      </w:r>
      <w:r w:rsidR="001F4669" w:rsidRPr="00055111">
        <w:rPr>
          <w:rFonts w:ascii="Garamond" w:hAnsi="Garamond"/>
          <w:sz w:val="28"/>
          <w:szCs w:val="28"/>
        </w:rPr>
        <w:t>suddenly</w:t>
      </w:r>
      <w:r w:rsidR="00507572" w:rsidRPr="00055111">
        <w:rPr>
          <w:rFonts w:ascii="Garamond" w:hAnsi="Garamond"/>
          <w:sz w:val="28"/>
          <w:szCs w:val="28"/>
        </w:rPr>
        <w:t xml:space="preserve"> while </w:t>
      </w:r>
      <w:r w:rsidR="0016278F" w:rsidRPr="00055111">
        <w:rPr>
          <w:rFonts w:ascii="Garamond" w:hAnsi="Garamond"/>
          <w:sz w:val="28"/>
          <w:szCs w:val="28"/>
        </w:rPr>
        <w:t>warrant litigation was ongoing</w:t>
      </w:r>
      <w:r w:rsidR="00507572" w:rsidRPr="00055111">
        <w:rPr>
          <w:rFonts w:ascii="Garamond" w:hAnsi="Garamond"/>
          <w:sz w:val="28"/>
          <w:szCs w:val="28"/>
        </w:rPr>
        <w:t xml:space="preserve">, is </w:t>
      </w:r>
      <w:r w:rsidR="001F4669" w:rsidRPr="00055111">
        <w:rPr>
          <w:rFonts w:ascii="Garamond" w:hAnsi="Garamond"/>
          <w:sz w:val="28"/>
          <w:szCs w:val="28"/>
        </w:rPr>
        <w:t>an object lesson in the wisdom of avoid</w:t>
      </w:r>
      <w:r w:rsidR="0016278F" w:rsidRPr="00055111">
        <w:rPr>
          <w:rFonts w:ascii="Garamond" w:hAnsi="Garamond"/>
          <w:sz w:val="28"/>
          <w:szCs w:val="28"/>
        </w:rPr>
        <w:t>ing</w:t>
      </w:r>
      <w:r w:rsidR="001F4669" w:rsidRPr="00055111">
        <w:rPr>
          <w:rFonts w:ascii="Garamond" w:hAnsi="Garamond"/>
          <w:sz w:val="28"/>
          <w:szCs w:val="28"/>
        </w:rPr>
        <w:t xml:space="preserve"> rules that </w:t>
      </w:r>
      <w:r w:rsidR="0086788D" w:rsidRPr="00055111">
        <w:rPr>
          <w:rFonts w:ascii="Garamond" w:hAnsi="Garamond"/>
          <w:sz w:val="28"/>
          <w:szCs w:val="28"/>
        </w:rPr>
        <w:t>inhibit</w:t>
      </w:r>
      <w:r w:rsidR="001F4669" w:rsidRPr="00055111">
        <w:rPr>
          <w:rFonts w:ascii="Garamond" w:hAnsi="Garamond"/>
          <w:sz w:val="28"/>
          <w:szCs w:val="28"/>
        </w:rPr>
        <w:t xml:space="preserve"> this Court </w:t>
      </w:r>
      <w:r w:rsidR="0086788D" w:rsidRPr="00055111">
        <w:rPr>
          <w:rFonts w:ascii="Garamond" w:hAnsi="Garamond"/>
          <w:sz w:val="28"/>
          <w:szCs w:val="28"/>
        </w:rPr>
        <w:t>from</w:t>
      </w:r>
      <w:r w:rsidR="001F4669" w:rsidRPr="00055111">
        <w:rPr>
          <w:rFonts w:ascii="Garamond" w:hAnsi="Garamond"/>
          <w:sz w:val="28"/>
          <w:szCs w:val="28"/>
        </w:rPr>
        <w:t xml:space="preserve"> dealing with the unexpected.</w:t>
      </w:r>
      <w:r w:rsidR="00477A59" w:rsidRPr="00055111">
        <w:rPr>
          <w:rFonts w:ascii="Garamond" w:hAnsi="Garamond"/>
          <w:sz w:val="28"/>
          <w:szCs w:val="28"/>
        </w:rPr>
        <w:t xml:space="preserve"> </w:t>
      </w:r>
      <w:r w:rsidR="006D323D" w:rsidRPr="00055111">
        <w:rPr>
          <w:rFonts w:ascii="Garamond" w:hAnsi="Garamond"/>
          <w:sz w:val="28"/>
          <w:szCs w:val="28"/>
        </w:rPr>
        <w:t xml:space="preserve">But the </w:t>
      </w:r>
      <w:r w:rsidR="004C60A4" w:rsidRPr="00055111">
        <w:rPr>
          <w:rFonts w:ascii="Garamond" w:hAnsi="Garamond"/>
          <w:sz w:val="28"/>
          <w:szCs w:val="28"/>
        </w:rPr>
        <w:t xml:space="preserve">proposed </w:t>
      </w:r>
      <w:r w:rsidR="006D323D" w:rsidRPr="00055111">
        <w:rPr>
          <w:rFonts w:ascii="Garamond" w:hAnsi="Garamond"/>
          <w:sz w:val="28"/>
          <w:szCs w:val="28"/>
        </w:rPr>
        <w:t xml:space="preserve">rule </w:t>
      </w:r>
      <w:r w:rsidR="004C60A4" w:rsidRPr="00055111">
        <w:rPr>
          <w:rFonts w:ascii="Garamond" w:hAnsi="Garamond"/>
          <w:sz w:val="28"/>
          <w:szCs w:val="28"/>
        </w:rPr>
        <w:t xml:space="preserve">eschews </w:t>
      </w:r>
      <w:r w:rsidR="006D323D" w:rsidRPr="00055111">
        <w:rPr>
          <w:rFonts w:ascii="Garamond" w:hAnsi="Garamond"/>
          <w:sz w:val="28"/>
          <w:szCs w:val="28"/>
        </w:rPr>
        <w:t>such flexibility.</w:t>
      </w:r>
    </w:p>
    <w:p w14:paraId="5474D52B" w14:textId="2CF4ABC7" w:rsidR="00FA6DEA" w:rsidRPr="00055111" w:rsidRDefault="00F24F8F" w:rsidP="00D12405">
      <w:pPr>
        <w:spacing w:after="0" w:line="480" w:lineRule="auto"/>
        <w:rPr>
          <w:rFonts w:ascii="Garamond" w:hAnsi="Garamond"/>
          <w:sz w:val="28"/>
          <w:szCs w:val="28"/>
        </w:rPr>
      </w:pPr>
      <w:r w:rsidRPr="00055111">
        <w:rPr>
          <w:rFonts w:ascii="Garamond" w:hAnsi="Garamond"/>
          <w:sz w:val="28"/>
          <w:szCs w:val="28"/>
        </w:rPr>
        <w:tab/>
      </w:r>
      <w:r w:rsidR="00F84C8D" w:rsidRPr="00055111">
        <w:rPr>
          <w:rFonts w:ascii="Garamond" w:hAnsi="Garamond"/>
          <w:sz w:val="28"/>
          <w:szCs w:val="28"/>
        </w:rPr>
        <w:t>Moreover,</w:t>
      </w:r>
      <w:r w:rsidR="00A82DA2" w:rsidRPr="00055111">
        <w:rPr>
          <w:rFonts w:ascii="Garamond" w:hAnsi="Garamond"/>
          <w:sz w:val="28"/>
          <w:szCs w:val="28"/>
        </w:rPr>
        <w:t xml:space="preserve"> </w:t>
      </w:r>
      <w:r w:rsidR="00704669" w:rsidRPr="00055111">
        <w:rPr>
          <w:rFonts w:ascii="Garamond" w:hAnsi="Garamond"/>
          <w:sz w:val="28"/>
          <w:szCs w:val="28"/>
        </w:rPr>
        <w:t xml:space="preserve">in most if not all cases, </w:t>
      </w:r>
      <w:r w:rsidR="00A82DA2" w:rsidRPr="00055111">
        <w:rPr>
          <w:rFonts w:ascii="Garamond" w:hAnsi="Garamond"/>
          <w:sz w:val="28"/>
          <w:szCs w:val="28"/>
        </w:rPr>
        <w:t xml:space="preserve">the expedited briefing </w:t>
      </w:r>
      <w:r w:rsidR="002E6EC3" w:rsidRPr="00055111">
        <w:rPr>
          <w:rFonts w:ascii="Garamond" w:hAnsi="Garamond"/>
          <w:sz w:val="28"/>
          <w:szCs w:val="28"/>
        </w:rPr>
        <w:t xml:space="preserve">contemplated by </w:t>
      </w:r>
      <w:r w:rsidR="00A82DA2" w:rsidRPr="00055111">
        <w:rPr>
          <w:rFonts w:ascii="Garamond" w:hAnsi="Garamond"/>
          <w:sz w:val="28"/>
          <w:szCs w:val="28"/>
        </w:rPr>
        <w:t xml:space="preserve">the Petition would be </w:t>
      </w:r>
      <w:r w:rsidR="002E6EC3" w:rsidRPr="00055111">
        <w:rPr>
          <w:rFonts w:ascii="Garamond" w:hAnsi="Garamond"/>
          <w:sz w:val="28"/>
          <w:szCs w:val="28"/>
        </w:rPr>
        <w:t>unduly burdensome</w:t>
      </w:r>
      <w:r w:rsidR="00F726B1" w:rsidRPr="00055111">
        <w:rPr>
          <w:rFonts w:ascii="Garamond" w:hAnsi="Garamond"/>
          <w:sz w:val="28"/>
          <w:szCs w:val="28"/>
        </w:rPr>
        <w:t xml:space="preserve"> </w:t>
      </w:r>
      <w:r w:rsidR="00704669" w:rsidRPr="00055111">
        <w:rPr>
          <w:rFonts w:ascii="Garamond" w:hAnsi="Garamond"/>
          <w:sz w:val="28"/>
          <w:szCs w:val="28"/>
        </w:rPr>
        <w:t>and highly disruptive even by the standards of warrant litigation</w:t>
      </w:r>
      <w:r w:rsidR="00A82DA2" w:rsidRPr="00055111">
        <w:rPr>
          <w:rFonts w:ascii="Garamond" w:hAnsi="Garamond"/>
          <w:sz w:val="28"/>
          <w:szCs w:val="28"/>
        </w:rPr>
        <w:t>.</w:t>
      </w:r>
      <w:r w:rsidR="00CA4FF7" w:rsidRPr="00055111">
        <w:rPr>
          <w:rFonts w:ascii="Garamond" w:hAnsi="Garamond"/>
          <w:sz w:val="28"/>
          <w:szCs w:val="28"/>
        </w:rPr>
        <w:t xml:space="preserve"> </w:t>
      </w:r>
      <w:r w:rsidR="00493157" w:rsidRPr="00055111">
        <w:rPr>
          <w:rFonts w:ascii="Garamond" w:hAnsi="Garamond"/>
          <w:sz w:val="28"/>
          <w:szCs w:val="28"/>
        </w:rPr>
        <w:t>A motion for warrant of execution signals the beginning of a litigation emergency</w:t>
      </w:r>
      <w:r w:rsidR="00FC60A9" w:rsidRPr="00055111">
        <w:rPr>
          <w:rFonts w:ascii="Garamond" w:hAnsi="Garamond"/>
          <w:sz w:val="28"/>
          <w:szCs w:val="28"/>
        </w:rPr>
        <w:t xml:space="preserve">, including not only responding to the </w:t>
      </w:r>
      <w:r w:rsidR="000F225C" w:rsidRPr="00055111">
        <w:rPr>
          <w:rFonts w:ascii="Garamond" w:hAnsi="Garamond"/>
          <w:sz w:val="28"/>
          <w:szCs w:val="28"/>
        </w:rPr>
        <w:t xml:space="preserve">motion itself but also initiating the myriad collateral challenges </w:t>
      </w:r>
      <w:r w:rsidR="00E04D6A" w:rsidRPr="00055111">
        <w:rPr>
          <w:rFonts w:ascii="Garamond" w:hAnsi="Garamond"/>
          <w:sz w:val="28"/>
          <w:szCs w:val="28"/>
        </w:rPr>
        <w:t>to</w:t>
      </w:r>
      <w:r w:rsidR="007B0706" w:rsidRPr="00055111">
        <w:rPr>
          <w:rFonts w:ascii="Garamond" w:hAnsi="Garamond"/>
          <w:sz w:val="28"/>
          <w:szCs w:val="28"/>
        </w:rPr>
        <w:t xml:space="preserve"> be</w:t>
      </w:r>
      <w:r w:rsidR="00E04D6A" w:rsidRPr="00055111">
        <w:rPr>
          <w:rFonts w:ascii="Garamond" w:hAnsi="Garamond"/>
          <w:sz w:val="28"/>
          <w:szCs w:val="28"/>
        </w:rPr>
        <w:t xml:space="preserve"> pursue</w:t>
      </w:r>
      <w:r w:rsidR="007B0706" w:rsidRPr="00055111">
        <w:rPr>
          <w:rFonts w:ascii="Garamond" w:hAnsi="Garamond"/>
          <w:sz w:val="28"/>
          <w:szCs w:val="28"/>
        </w:rPr>
        <w:t>d</w:t>
      </w:r>
      <w:r w:rsidR="00E04D6A" w:rsidRPr="00055111">
        <w:rPr>
          <w:rFonts w:ascii="Garamond" w:hAnsi="Garamond"/>
          <w:sz w:val="28"/>
          <w:szCs w:val="28"/>
        </w:rPr>
        <w:t xml:space="preserve"> should the warrant issue</w:t>
      </w:r>
      <w:r w:rsidR="007A365F" w:rsidRPr="00055111">
        <w:rPr>
          <w:rFonts w:ascii="Garamond" w:hAnsi="Garamond"/>
          <w:sz w:val="28"/>
          <w:szCs w:val="28"/>
        </w:rPr>
        <w:t xml:space="preserve">. </w:t>
      </w:r>
      <w:r w:rsidR="00E04D6A" w:rsidRPr="00055111">
        <w:rPr>
          <w:rFonts w:ascii="Garamond" w:hAnsi="Garamond"/>
          <w:sz w:val="28"/>
          <w:szCs w:val="28"/>
        </w:rPr>
        <w:t>For d</w:t>
      </w:r>
      <w:r w:rsidR="00242670" w:rsidRPr="00055111">
        <w:rPr>
          <w:rFonts w:ascii="Garamond" w:hAnsi="Garamond"/>
          <w:sz w:val="28"/>
          <w:szCs w:val="28"/>
        </w:rPr>
        <w:t xml:space="preserve">efendants represented by </w:t>
      </w:r>
      <w:r w:rsidR="00BF4080" w:rsidRPr="00055111">
        <w:rPr>
          <w:rFonts w:ascii="Garamond" w:hAnsi="Garamond"/>
          <w:sz w:val="28"/>
          <w:szCs w:val="28"/>
        </w:rPr>
        <w:t>panel attorneys, be the</w:t>
      </w:r>
      <w:r w:rsidR="00D324BF" w:rsidRPr="00055111">
        <w:rPr>
          <w:rFonts w:ascii="Garamond" w:hAnsi="Garamond"/>
          <w:sz w:val="28"/>
          <w:szCs w:val="28"/>
        </w:rPr>
        <w:t>y</w:t>
      </w:r>
      <w:r w:rsidR="00BF4080" w:rsidRPr="00055111">
        <w:rPr>
          <w:rFonts w:ascii="Garamond" w:hAnsi="Garamond"/>
          <w:sz w:val="28"/>
          <w:szCs w:val="28"/>
        </w:rPr>
        <w:t xml:space="preserve"> solo practitioners or small organizations such as ACRP</w:t>
      </w:r>
      <w:r w:rsidR="00597B9B" w:rsidRPr="00055111">
        <w:rPr>
          <w:rFonts w:ascii="Garamond" w:hAnsi="Garamond"/>
          <w:sz w:val="28"/>
          <w:szCs w:val="28"/>
        </w:rPr>
        <w:t xml:space="preserve"> or Phillips Black</w:t>
      </w:r>
      <w:r w:rsidR="00BF4080" w:rsidRPr="00055111">
        <w:rPr>
          <w:rFonts w:ascii="Garamond" w:hAnsi="Garamond"/>
          <w:sz w:val="28"/>
          <w:szCs w:val="28"/>
        </w:rPr>
        <w:t>, the staffing necessary to absorb</w:t>
      </w:r>
      <w:r w:rsidR="00B01CFB" w:rsidRPr="00055111">
        <w:rPr>
          <w:rFonts w:ascii="Garamond" w:hAnsi="Garamond"/>
          <w:sz w:val="28"/>
          <w:szCs w:val="28"/>
        </w:rPr>
        <w:t xml:space="preserve"> </w:t>
      </w:r>
      <w:r w:rsidR="00E04D6A" w:rsidRPr="00055111">
        <w:rPr>
          <w:rFonts w:ascii="Garamond" w:hAnsi="Garamond"/>
          <w:sz w:val="28"/>
          <w:szCs w:val="28"/>
        </w:rPr>
        <w:t>this</w:t>
      </w:r>
      <w:r w:rsidR="00B07E60" w:rsidRPr="00055111">
        <w:rPr>
          <w:rFonts w:ascii="Garamond" w:hAnsi="Garamond"/>
          <w:sz w:val="28"/>
          <w:szCs w:val="28"/>
        </w:rPr>
        <w:t xml:space="preserve"> added</w:t>
      </w:r>
      <w:r w:rsidR="00B01CFB" w:rsidRPr="00055111">
        <w:rPr>
          <w:rFonts w:ascii="Garamond" w:hAnsi="Garamond"/>
          <w:sz w:val="28"/>
          <w:szCs w:val="28"/>
        </w:rPr>
        <w:t xml:space="preserve"> workload over </w:t>
      </w:r>
      <w:r w:rsidR="009E0063" w:rsidRPr="00055111">
        <w:rPr>
          <w:rFonts w:ascii="Garamond" w:hAnsi="Garamond"/>
          <w:sz w:val="28"/>
          <w:szCs w:val="28"/>
        </w:rPr>
        <w:t xml:space="preserve">such a dramatically </w:t>
      </w:r>
      <w:r w:rsidR="00FA6DEA" w:rsidRPr="00055111">
        <w:rPr>
          <w:rFonts w:ascii="Garamond" w:hAnsi="Garamond"/>
          <w:sz w:val="28"/>
          <w:szCs w:val="28"/>
        </w:rPr>
        <w:t>compressed</w:t>
      </w:r>
      <w:r w:rsidR="00B01CFB" w:rsidRPr="00055111">
        <w:rPr>
          <w:rFonts w:ascii="Garamond" w:hAnsi="Garamond"/>
          <w:sz w:val="28"/>
          <w:szCs w:val="28"/>
        </w:rPr>
        <w:t xml:space="preserve"> time period does not exist.</w:t>
      </w:r>
      <w:r w:rsidR="00FA6DEA" w:rsidRPr="00055111">
        <w:rPr>
          <w:rFonts w:ascii="Garamond" w:hAnsi="Garamond"/>
          <w:sz w:val="28"/>
          <w:szCs w:val="28"/>
        </w:rPr>
        <w:t xml:space="preserve"> </w:t>
      </w:r>
      <w:r w:rsidR="00E83C8F" w:rsidRPr="00055111">
        <w:rPr>
          <w:rFonts w:ascii="Garamond" w:hAnsi="Garamond"/>
          <w:sz w:val="28"/>
          <w:szCs w:val="28"/>
        </w:rPr>
        <w:t>Even for larger organizations with correspondingly larger caseload</w:t>
      </w:r>
      <w:r w:rsidR="0021130E" w:rsidRPr="00055111">
        <w:rPr>
          <w:rFonts w:ascii="Garamond" w:hAnsi="Garamond"/>
          <w:sz w:val="28"/>
          <w:szCs w:val="28"/>
        </w:rPr>
        <w:t>s</w:t>
      </w:r>
      <w:r w:rsidR="00C30343" w:rsidRPr="00055111">
        <w:rPr>
          <w:rFonts w:ascii="Garamond" w:hAnsi="Garamond"/>
          <w:sz w:val="28"/>
          <w:szCs w:val="28"/>
        </w:rPr>
        <w:t xml:space="preserve">, the shuffling of </w:t>
      </w:r>
      <w:r w:rsidR="00C1700E" w:rsidRPr="00055111">
        <w:rPr>
          <w:rFonts w:ascii="Garamond" w:hAnsi="Garamond"/>
          <w:sz w:val="28"/>
          <w:szCs w:val="28"/>
        </w:rPr>
        <w:t>personnel</w:t>
      </w:r>
      <w:r w:rsidR="00C30343" w:rsidRPr="00055111">
        <w:rPr>
          <w:rFonts w:ascii="Garamond" w:hAnsi="Garamond"/>
          <w:sz w:val="28"/>
          <w:szCs w:val="28"/>
        </w:rPr>
        <w:t xml:space="preserve"> necessary to </w:t>
      </w:r>
      <w:r w:rsidR="00E76FE2" w:rsidRPr="00055111">
        <w:rPr>
          <w:rFonts w:ascii="Garamond" w:hAnsi="Garamond"/>
          <w:sz w:val="28"/>
          <w:szCs w:val="28"/>
        </w:rPr>
        <w:t xml:space="preserve">respond to the emergency would be chaotic </w:t>
      </w:r>
      <w:r w:rsidR="0061312E" w:rsidRPr="00055111">
        <w:rPr>
          <w:rFonts w:ascii="Garamond" w:hAnsi="Garamond"/>
          <w:sz w:val="28"/>
          <w:szCs w:val="28"/>
        </w:rPr>
        <w:t xml:space="preserve">on the timeline the </w:t>
      </w:r>
      <w:r w:rsidR="002A2424" w:rsidRPr="00055111">
        <w:rPr>
          <w:rFonts w:ascii="Garamond" w:hAnsi="Garamond"/>
          <w:sz w:val="28"/>
          <w:szCs w:val="28"/>
        </w:rPr>
        <w:t>Petition proposes.</w:t>
      </w:r>
      <w:r w:rsidR="006679D1" w:rsidRPr="00055111">
        <w:rPr>
          <w:rFonts w:ascii="Garamond" w:hAnsi="Garamond"/>
          <w:sz w:val="28"/>
          <w:szCs w:val="28"/>
        </w:rPr>
        <w:t xml:space="preserve"> </w:t>
      </w:r>
    </w:p>
    <w:p w14:paraId="5CD66AEB" w14:textId="03D265E1" w:rsidR="009E5EF0" w:rsidRPr="00055111" w:rsidRDefault="00FA6DEA" w:rsidP="00D12405">
      <w:pPr>
        <w:spacing w:after="0" w:line="480" w:lineRule="auto"/>
        <w:rPr>
          <w:rFonts w:ascii="Garamond" w:hAnsi="Garamond"/>
          <w:sz w:val="28"/>
          <w:szCs w:val="28"/>
        </w:rPr>
      </w:pPr>
      <w:r w:rsidRPr="00055111">
        <w:rPr>
          <w:rFonts w:ascii="Garamond" w:hAnsi="Garamond"/>
          <w:sz w:val="28"/>
          <w:szCs w:val="28"/>
        </w:rPr>
        <w:tab/>
      </w:r>
      <w:r w:rsidR="00E76002" w:rsidRPr="00055111">
        <w:rPr>
          <w:rFonts w:ascii="Garamond" w:hAnsi="Garamond"/>
          <w:sz w:val="28"/>
          <w:szCs w:val="28"/>
        </w:rPr>
        <w:t>T</w:t>
      </w:r>
      <w:r w:rsidR="008C6458" w:rsidRPr="00055111">
        <w:rPr>
          <w:rFonts w:ascii="Garamond" w:hAnsi="Garamond"/>
          <w:sz w:val="28"/>
          <w:szCs w:val="28"/>
        </w:rPr>
        <w:t xml:space="preserve">his reality would evaporate the </w:t>
      </w:r>
      <w:r w:rsidR="0040570D" w:rsidRPr="00055111">
        <w:rPr>
          <w:rFonts w:ascii="Garamond" w:hAnsi="Garamond"/>
          <w:sz w:val="28"/>
          <w:szCs w:val="28"/>
        </w:rPr>
        <w:t>judicial economy</w:t>
      </w:r>
      <w:r w:rsidR="00DE3255" w:rsidRPr="00055111">
        <w:rPr>
          <w:rFonts w:ascii="Garamond" w:hAnsi="Garamond"/>
          <w:sz w:val="28"/>
          <w:szCs w:val="28"/>
        </w:rPr>
        <w:t xml:space="preserve"> </w:t>
      </w:r>
      <w:r w:rsidR="00F760B4" w:rsidRPr="00055111">
        <w:rPr>
          <w:rFonts w:ascii="Garamond" w:hAnsi="Garamond"/>
          <w:sz w:val="28"/>
          <w:szCs w:val="28"/>
        </w:rPr>
        <w:t>rationale Petitioner proffers for the rule.</w:t>
      </w:r>
      <w:r w:rsidR="00A301A5" w:rsidRPr="00055111">
        <w:rPr>
          <w:rFonts w:ascii="Garamond" w:hAnsi="Garamond"/>
          <w:sz w:val="28"/>
          <w:szCs w:val="28"/>
        </w:rPr>
        <w:t xml:space="preserve"> </w:t>
      </w:r>
      <w:r w:rsidR="00A301A5" w:rsidRPr="00055111">
        <w:rPr>
          <w:rFonts w:ascii="Garamond" w:hAnsi="Garamond"/>
          <w:i/>
          <w:iCs/>
          <w:sz w:val="28"/>
          <w:szCs w:val="28"/>
        </w:rPr>
        <w:t xml:space="preserve">See </w:t>
      </w:r>
      <w:r w:rsidR="00A301A5" w:rsidRPr="00055111">
        <w:rPr>
          <w:rFonts w:ascii="Garamond" w:hAnsi="Garamond"/>
          <w:sz w:val="28"/>
          <w:szCs w:val="28"/>
        </w:rPr>
        <w:t>Petition at 2.</w:t>
      </w:r>
      <w:r w:rsidR="00F760B4" w:rsidRPr="00055111">
        <w:rPr>
          <w:rFonts w:ascii="Garamond" w:hAnsi="Garamond"/>
          <w:sz w:val="28"/>
          <w:szCs w:val="28"/>
        </w:rPr>
        <w:t xml:space="preserve"> Whatever minor efficiencies the new rule would </w:t>
      </w:r>
      <w:r w:rsidR="00BD3E6F" w:rsidRPr="00055111">
        <w:rPr>
          <w:rFonts w:ascii="Garamond" w:hAnsi="Garamond"/>
          <w:sz w:val="28"/>
          <w:szCs w:val="28"/>
        </w:rPr>
        <w:t>afford</w:t>
      </w:r>
      <w:r w:rsidR="00F760B4" w:rsidRPr="00055111">
        <w:rPr>
          <w:rFonts w:ascii="Garamond" w:hAnsi="Garamond"/>
          <w:sz w:val="28"/>
          <w:szCs w:val="28"/>
        </w:rPr>
        <w:t xml:space="preserve"> this Court, </w:t>
      </w:r>
      <w:r w:rsidR="003D49E6" w:rsidRPr="00055111">
        <w:rPr>
          <w:rFonts w:ascii="Garamond" w:hAnsi="Garamond"/>
          <w:sz w:val="28"/>
          <w:szCs w:val="28"/>
        </w:rPr>
        <w:t>defense counsel</w:t>
      </w:r>
      <w:r w:rsidR="006A0B72" w:rsidRPr="00055111">
        <w:rPr>
          <w:rFonts w:ascii="Garamond" w:hAnsi="Garamond"/>
          <w:sz w:val="28"/>
          <w:szCs w:val="28"/>
        </w:rPr>
        <w:t xml:space="preserve"> </w:t>
      </w:r>
      <w:r w:rsidR="006A0B72" w:rsidRPr="00055111">
        <w:rPr>
          <w:rFonts w:ascii="Garamond" w:hAnsi="Garamond"/>
          <w:sz w:val="28"/>
          <w:szCs w:val="28"/>
        </w:rPr>
        <w:lastRenderedPageBreak/>
        <w:t>represent clients other than the one who is the subject of the warrant</w:t>
      </w:r>
      <w:r w:rsidR="00B114D5" w:rsidRPr="00055111">
        <w:rPr>
          <w:rFonts w:ascii="Garamond" w:hAnsi="Garamond"/>
          <w:sz w:val="28"/>
          <w:szCs w:val="28"/>
        </w:rPr>
        <w:t>.</w:t>
      </w:r>
      <w:r w:rsidR="00554D4D" w:rsidRPr="00055111">
        <w:rPr>
          <w:rFonts w:ascii="Garamond" w:hAnsi="Garamond"/>
          <w:sz w:val="28"/>
          <w:szCs w:val="28"/>
        </w:rPr>
        <w:t xml:space="preserve"> </w:t>
      </w:r>
      <w:r w:rsidR="00B114D5" w:rsidRPr="00055111">
        <w:rPr>
          <w:rFonts w:ascii="Garamond" w:hAnsi="Garamond"/>
          <w:sz w:val="28"/>
          <w:szCs w:val="28"/>
        </w:rPr>
        <w:t>T</w:t>
      </w:r>
      <w:r w:rsidR="00554D4D" w:rsidRPr="00055111">
        <w:rPr>
          <w:rFonts w:ascii="Garamond" w:hAnsi="Garamond"/>
          <w:sz w:val="28"/>
          <w:szCs w:val="28"/>
        </w:rPr>
        <w:t>he crisis that accompanies a</w:t>
      </w:r>
      <w:r w:rsidR="004E4B80" w:rsidRPr="00055111">
        <w:rPr>
          <w:rFonts w:ascii="Garamond" w:hAnsi="Garamond"/>
          <w:sz w:val="28"/>
          <w:szCs w:val="28"/>
        </w:rPr>
        <w:t>n expedited warrant motion will inevitably lead to continuances and other delays in untold other cases.</w:t>
      </w:r>
      <w:r w:rsidR="0038009A" w:rsidRPr="00055111">
        <w:rPr>
          <w:rFonts w:ascii="Garamond" w:hAnsi="Garamond"/>
          <w:sz w:val="28"/>
          <w:szCs w:val="28"/>
        </w:rPr>
        <w:t xml:space="preserve"> </w:t>
      </w:r>
      <w:r w:rsidR="00B26F85" w:rsidRPr="00055111">
        <w:rPr>
          <w:rFonts w:ascii="Garamond" w:hAnsi="Garamond"/>
          <w:sz w:val="28"/>
          <w:szCs w:val="28"/>
        </w:rPr>
        <w:t xml:space="preserve">The </w:t>
      </w:r>
      <w:r w:rsidR="00C968C4" w:rsidRPr="00055111">
        <w:rPr>
          <w:rFonts w:ascii="Garamond" w:hAnsi="Garamond"/>
          <w:sz w:val="28"/>
          <w:szCs w:val="28"/>
        </w:rPr>
        <w:t>proposed rule would disrupt litigation</w:t>
      </w:r>
      <w:r w:rsidR="000E6558" w:rsidRPr="00055111">
        <w:rPr>
          <w:rFonts w:ascii="Garamond" w:hAnsi="Garamond"/>
          <w:sz w:val="28"/>
          <w:szCs w:val="28"/>
        </w:rPr>
        <w:t xml:space="preserve"> in matters throughout Arizona’s judicial system to save this Court the trouble of ruling on a single scheduling motion.</w:t>
      </w:r>
    </w:p>
    <w:p w14:paraId="1F462FC9" w14:textId="65EFB975" w:rsidR="006D323D" w:rsidRPr="00055111" w:rsidRDefault="006D323D" w:rsidP="0029482B">
      <w:pPr>
        <w:spacing w:after="0" w:line="480" w:lineRule="auto"/>
        <w:rPr>
          <w:rFonts w:ascii="Garamond" w:hAnsi="Garamond"/>
          <w:sz w:val="28"/>
          <w:szCs w:val="28"/>
        </w:rPr>
      </w:pPr>
      <w:r w:rsidRPr="00055111">
        <w:rPr>
          <w:rFonts w:ascii="Garamond" w:hAnsi="Garamond"/>
          <w:sz w:val="28"/>
          <w:szCs w:val="28"/>
        </w:rPr>
        <w:tab/>
        <w:t xml:space="preserve">Given the </w:t>
      </w:r>
      <w:r w:rsidR="00C05A4A" w:rsidRPr="00055111">
        <w:rPr>
          <w:rFonts w:ascii="Garamond" w:hAnsi="Garamond"/>
          <w:sz w:val="28"/>
          <w:szCs w:val="28"/>
        </w:rPr>
        <w:t>prejudice it would impose on defendants</w:t>
      </w:r>
      <w:r w:rsidR="008108B7" w:rsidRPr="00055111">
        <w:rPr>
          <w:rFonts w:ascii="Garamond" w:hAnsi="Garamond"/>
          <w:sz w:val="28"/>
          <w:szCs w:val="28"/>
        </w:rPr>
        <w:t xml:space="preserve">, </w:t>
      </w:r>
      <w:r w:rsidR="00C05A4A" w:rsidRPr="00055111">
        <w:rPr>
          <w:rFonts w:ascii="Garamond" w:hAnsi="Garamond"/>
          <w:sz w:val="28"/>
          <w:szCs w:val="28"/>
        </w:rPr>
        <w:t>constraints it would place on this Court</w:t>
      </w:r>
      <w:r w:rsidRPr="00055111">
        <w:rPr>
          <w:rFonts w:ascii="Garamond" w:hAnsi="Garamond"/>
          <w:sz w:val="28"/>
          <w:szCs w:val="28"/>
        </w:rPr>
        <w:t>,</w:t>
      </w:r>
      <w:r w:rsidR="0073131C" w:rsidRPr="00055111">
        <w:rPr>
          <w:rFonts w:ascii="Garamond" w:hAnsi="Garamond"/>
          <w:sz w:val="28"/>
          <w:szCs w:val="28"/>
        </w:rPr>
        <w:t xml:space="preserve"> and burden it would cause in other cases,</w:t>
      </w:r>
      <w:r w:rsidR="00C05A4A" w:rsidRPr="00055111">
        <w:rPr>
          <w:rFonts w:ascii="Garamond" w:hAnsi="Garamond"/>
          <w:sz w:val="28"/>
          <w:szCs w:val="28"/>
        </w:rPr>
        <w:t xml:space="preserve"> the </w:t>
      </w:r>
      <w:r w:rsidR="00EC4DDE" w:rsidRPr="00055111">
        <w:rPr>
          <w:rFonts w:ascii="Garamond" w:hAnsi="Garamond"/>
          <w:sz w:val="28"/>
          <w:szCs w:val="28"/>
        </w:rPr>
        <w:t>benefits of the proposed rule would have to be substantial to justify its adoption.</w:t>
      </w:r>
      <w:r w:rsidRPr="00055111">
        <w:rPr>
          <w:rFonts w:ascii="Garamond" w:hAnsi="Garamond"/>
          <w:sz w:val="28"/>
          <w:szCs w:val="28"/>
        </w:rPr>
        <w:t xml:space="preserve"> </w:t>
      </w:r>
      <w:r w:rsidR="004065EB" w:rsidRPr="00055111">
        <w:rPr>
          <w:rFonts w:ascii="Garamond" w:hAnsi="Garamond"/>
          <w:sz w:val="28"/>
          <w:szCs w:val="28"/>
        </w:rPr>
        <w:t>The Petition does not identify a</w:t>
      </w:r>
      <w:r w:rsidR="00E1217A" w:rsidRPr="00055111">
        <w:rPr>
          <w:rFonts w:ascii="Garamond" w:hAnsi="Garamond"/>
          <w:sz w:val="28"/>
          <w:szCs w:val="28"/>
        </w:rPr>
        <w:t xml:space="preserve"> sufficiently</w:t>
      </w:r>
      <w:r w:rsidR="004065EB" w:rsidRPr="00055111">
        <w:rPr>
          <w:rFonts w:ascii="Garamond" w:hAnsi="Garamond"/>
          <w:sz w:val="28"/>
          <w:szCs w:val="28"/>
        </w:rPr>
        <w:t xml:space="preserve"> </w:t>
      </w:r>
      <w:r w:rsidR="008019C2" w:rsidRPr="00055111">
        <w:rPr>
          <w:rFonts w:ascii="Garamond" w:hAnsi="Garamond"/>
          <w:sz w:val="28"/>
          <w:szCs w:val="28"/>
        </w:rPr>
        <w:t>weighty benefit</w:t>
      </w:r>
      <w:r w:rsidR="00174647" w:rsidRPr="00055111">
        <w:rPr>
          <w:rFonts w:ascii="Garamond" w:hAnsi="Garamond"/>
          <w:sz w:val="28"/>
          <w:szCs w:val="28"/>
        </w:rPr>
        <w:t xml:space="preserve">, and </w:t>
      </w:r>
      <w:r w:rsidR="00E1217A" w:rsidRPr="00055111">
        <w:rPr>
          <w:rFonts w:ascii="Garamond" w:hAnsi="Garamond"/>
          <w:sz w:val="28"/>
          <w:szCs w:val="28"/>
        </w:rPr>
        <w:t>it is doubtful one could exist.</w:t>
      </w:r>
      <w:r w:rsidR="00BF7AF8" w:rsidRPr="00055111">
        <w:rPr>
          <w:rFonts w:ascii="Garamond" w:hAnsi="Garamond"/>
          <w:sz w:val="28"/>
          <w:szCs w:val="28"/>
        </w:rPr>
        <w:t xml:space="preserve"> </w:t>
      </w:r>
      <w:r w:rsidR="00EC0F58" w:rsidRPr="00055111">
        <w:rPr>
          <w:rFonts w:ascii="Garamond" w:hAnsi="Garamond"/>
          <w:sz w:val="28"/>
          <w:szCs w:val="28"/>
        </w:rPr>
        <w:t xml:space="preserve">The Attorney General is free to continue </w:t>
      </w:r>
      <w:r w:rsidR="00A0198F" w:rsidRPr="00055111">
        <w:rPr>
          <w:rFonts w:ascii="Garamond" w:hAnsi="Garamond"/>
          <w:sz w:val="28"/>
          <w:szCs w:val="28"/>
        </w:rPr>
        <w:t xml:space="preserve">requesting whatever briefing schedule is feels is appropriate in a given case. </w:t>
      </w:r>
      <w:r w:rsidR="004231C1" w:rsidRPr="00055111">
        <w:rPr>
          <w:rFonts w:ascii="Garamond" w:hAnsi="Garamond"/>
          <w:sz w:val="28"/>
          <w:szCs w:val="28"/>
        </w:rPr>
        <w:t>Alternatively, ADCRR c</w:t>
      </w:r>
      <w:r w:rsidR="002E6EC3" w:rsidRPr="00055111">
        <w:rPr>
          <w:rFonts w:ascii="Garamond" w:hAnsi="Garamond"/>
          <w:sz w:val="28"/>
          <w:szCs w:val="28"/>
        </w:rPr>
        <w:t>an</w:t>
      </w:r>
      <w:r w:rsidR="004231C1" w:rsidRPr="00055111">
        <w:rPr>
          <w:rFonts w:ascii="Garamond" w:hAnsi="Garamond"/>
          <w:sz w:val="28"/>
          <w:szCs w:val="28"/>
        </w:rPr>
        <w:t xml:space="preserve"> exercise its discretion to select a different lethal injection drug that does not require the extraordinary procedures needed to accommodate compounded pentobarbital.</w:t>
      </w:r>
      <w:r w:rsidR="00501B33" w:rsidRPr="00055111">
        <w:rPr>
          <w:rFonts w:ascii="Garamond" w:hAnsi="Garamond"/>
          <w:sz w:val="28"/>
          <w:szCs w:val="28"/>
        </w:rPr>
        <w:t xml:space="preserve"> Until </w:t>
      </w:r>
      <w:r w:rsidR="00F35C5B" w:rsidRPr="00055111">
        <w:rPr>
          <w:rFonts w:ascii="Garamond" w:hAnsi="Garamond"/>
          <w:sz w:val="28"/>
          <w:szCs w:val="28"/>
        </w:rPr>
        <w:t>then</w:t>
      </w:r>
      <w:r w:rsidR="00501B33" w:rsidRPr="00055111">
        <w:rPr>
          <w:rFonts w:ascii="Garamond" w:hAnsi="Garamond"/>
          <w:sz w:val="28"/>
          <w:szCs w:val="28"/>
        </w:rPr>
        <w:t>, t</w:t>
      </w:r>
      <w:r w:rsidR="00C932F0" w:rsidRPr="00055111">
        <w:rPr>
          <w:rFonts w:ascii="Garamond" w:hAnsi="Garamond"/>
          <w:sz w:val="28"/>
          <w:szCs w:val="28"/>
        </w:rPr>
        <w:t xml:space="preserve">he process and flexibility afforded under the </w:t>
      </w:r>
      <w:r w:rsidR="00C932F0" w:rsidRPr="00055111">
        <w:rPr>
          <w:rFonts w:ascii="Garamond" w:hAnsi="Garamond"/>
          <w:i/>
          <w:iCs/>
          <w:sz w:val="28"/>
          <w:szCs w:val="28"/>
        </w:rPr>
        <w:t>ad hoc</w:t>
      </w:r>
      <w:r w:rsidR="00C932F0" w:rsidRPr="00055111">
        <w:rPr>
          <w:rFonts w:ascii="Garamond" w:hAnsi="Garamond"/>
          <w:sz w:val="28"/>
          <w:szCs w:val="28"/>
        </w:rPr>
        <w:t xml:space="preserve"> briefing </w:t>
      </w:r>
      <w:r w:rsidR="00DE7563" w:rsidRPr="00055111">
        <w:rPr>
          <w:rFonts w:ascii="Garamond" w:hAnsi="Garamond"/>
          <w:sz w:val="28"/>
          <w:szCs w:val="28"/>
        </w:rPr>
        <w:t xml:space="preserve">schedule </w:t>
      </w:r>
      <w:r w:rsidR="000E020F" w:rsidRPr="00055111">
        <w:rPr>
          <w:rFonts w:ascii="Garamond" w:hAnsi="Garamond"/>
          <w:sz w:val="28"/>
          <w:szCs w:val="28"/>
        </w:rPr>
        <w:t>practice</w:t>
      </w:r>
      <w:r w:rsidR="00DE7563" w:rsidRPr="00055111">
        <w:rPr>
          <w:rFonts w:ascii="Garamond" w:hAnsi="Garamond"/>
          <w:sz w:val="28"/>
          <w:szCs w:val="28"/>
        </w:rPr>
        <w:t xml:space="preserve"> the Attorney General has successfully employed four times over the last three years</w:t>
      </w:r>
      <w:r w:rsidR="00501B33" w:rsidRPr="00055111">
        <w:rPr>
          <w:rFonts w:ascii="Garamond" w:hAnsi="Garamond"/>
          <w:sz w:val="28"/>
          <w:szCs w:val="28"/>
        </w:rPr>
        <w:t xml:space="preserve"> </w:t>
      </w:r>
      <w:r w:rsidR="00246FD7" w:rsidRPr="00055111">
        <w:rPr>
          <w:rFonts w:ascii="Garamond" w:hAnsi="Garamond"/>
          <w:sz w:val="28"/>
          <w:szCs w:val="28"/>
        </w:rPr>
        <w:t xml:space="preserve">provides a better solution to the impracticalities </w:t>
      </w:r>
      <w:r w:rsidR="002268B0" w:rsidRPr="00055111">
        <w:rPr>
          <w:rFonts w:ascii="Garamond" w:hAnsi="Garamond"/>
          <w:sz w:val="28"/>
          <w:szCs w:val="28"/>
        </w:rPr>
        <w:t>of</w:t>
      </w:r>
      <w:r w:rsidR="00246FD7" w:rsidRPr="00055111">
        <w:rPr>
          <w:rFonts w:ascii="Garamond" w:hAnsi="Garamond"/>
          <w:sz w:val="28"/>
          <w:szCs w:val="28"/>
        </w:rPr>
        <w:t xml:space="preserve"> ADCRR’s drug selection than the one proffered by</w:t>
      </w:r>
      <w:r w:rsidR="00130AF8" w:rsidRPr="00055111">
        <w:rPr>
          <w:rFonts w:ascii="Garamond" w:hAnsi="Garamond"/>
          <w:sz w:val="28"/>
          <w:szCs w:val="28"/>
        </w:rPr>
        <w:t xml:space="preserve"> the Petition.</w:t>
      </w:r>
    </w:p>
    <w:p w14:paraId="5029A20C" w14:textId="3474B666" w:rsidR="00515D85" w:rsidRPr="00055111" w:rsidRDefault="00570D6B" w:rsidP="00C1488D">
      <w:pPr>
        <w:pStyle w:val="Heading2"/>
      </w:pPr>
      <w:r w:rsidRPr="00055111">
        <w:t>B.</w:t>
      </w:r>
      <w:r w:rsidRPr="00055111">
        <w:tab/>
      </w:r>
      <w:r w:rsidR="00584D9F" w:rsidRPr="00055111">
        <w:t xml:space="preserve">Adopting a rule of criminal procedure </w:t>
      </w:r>
      <w:r w:rsidR="00700A28" w:rsidRPr="00055111">
        <w:t xml:space="preserve">that prejudices capital defendants </w:t>
      </w:r>
      <w:r w:rsidR="00597B9B" w:rsidRPr="00055111">
        <w:t xml:space="preserve">for the convenience of the State </w:t>
      </w:r>
      <w:r w:rsidR="00931021" w:rsidRPr="00055111">
        <w:t>is an inappropriate remedy for circumstances</w:t>
      </w:r>
      <w:r w:rsidR="00A1345E" w:rsidRPr="00055111">
        <w:t xml:space="preserve"> created by </w:t>
      </w:r>
      <w:r w:rsidR="00597B9B" w:rsidRPr="00055111">
        <w:t xml:space="preserve">State </w:t>
      </w:r>
      <w:r w:rsidR="00931021" w:rsidRPr="00055111">
        <w:t>that are neither universal nor fixed</w:t>
      </w:r>
      <w:r w:rsidR="002F1F14" w:rsidRPr="00055111">
        <w:t>.</w:t>
      </w:r>
    </w:p>
    <w:p w14:paraId="315CA17B" w14:textId="77777777" w:rsidR="003E5988" w:rsidRPr="00055111" w:rsidRDefault="003E5988" w:rsidP="00D15459">
      <w:pPr>
        <w:spacing w:after="0" w:line="240" w:lineRule="auto"/>
        <w:rPr>
          <w:rFonts w:ascii="Garamond" w:hAnsi="Garamond"/>
          <w:sz w:val="28"/>
          <w:szCs w:val="28"/>
        </w:rPr>
      </w:pPr>
    </w:p>
    <w:p w14:paraId="30B144AE" w14:textId="2EC7BD42" w:rsidR="00D82BB6" w:rsidRPr="00055111" w:rsidRDefault="00FC4021" w:rsidP="00512121">
      <w:pPr>
        <w:spacing w:after="0" w:line="480" w:lineRule="auto"/>
        <w:rPr>
          <w:rFonts w:ascii="Garamond" w:hAnsi="Garamond"/>
          <w:sz w:val="28"/>
          <w:szCs w:val="28"/>
        </w:rPr>
      </w:pPr>
      <w:r w:rsidRPr="00055111">
        <w:rPr>
          <w:rFonts w:ascii="Garamond" w:hAnsi="Garamond"/>
          <w:sz w:val="28"/>
          <w:szCs w:val="28"/>
        </w:rPr>
        <w:lastRenderedPageBreak/>
        <w:tab/>
      </w:r>
      <w:r w:rsidR="00036F11" w:rsidRPr="00055111">
        <w:rPr>
          <w:rFonts w:ascii="Garamond" w:hAnsi="Garamond"/>
          <w:sz w:val="28"/>
          <w:szCs w:val="28"/>
        </w:rPr>
        <w:t xml:space="preserve">Even if the </w:t>
      </w:r>
      <w:r w:rsidR="002268B0" w:rsidRPr="00055111">
        <w:rPr>
          <w:rFonts w:ascii="Garamond" w:hAnsi="Garamond"/>
          <w:sz w:val="28"/>
          <w:szCs w:val="28"/>
        </w:rPr>
        <w:t>proposal</w:t>
      </w:r>
      <w:r w:rsidR="00036F11" w:rsidRPr="00055111">
        <w:rPr>
          <w:rFonts w:ascii="Garamond" w:hAnsi="Garamond"/>
          <w:sz w:val="28"/>
          <w:szCs w:val="28"/>
        </w:rPr>
        <w:t xml:space="preserve"> did not impose unacceptable </w:t>
      </w:r>
      <w:r w:rsidR="00452AF2" w:rsidRPr="00055111">
        <w:rPr>
          <w:rFonts w:ascii="Garamond" w:hAnsi="Garamond"/>
          <w:sz w:val="28"/>
          <w:szCs w:val="28"/>
        </w:rPr>
        <w:t>burden</w:t>
      </w:r>
      <w:r w:rsidR="00036F11" w:rsidRPr="00055111">
        <w:rPr>
          <w:rFonts w:ascii="Garamond" w:hAnsi="Garamond"/>
          <w:sz w:val="28"/>
          <w:szCs w:val="28"/>
        </w:rPr>
        <w:t xml:space="preserve"> on </w:t>
      </w:r>
      <w:r w:rsidR="003F1574" w:rsidRPr="00055111">
        <w:rPr>
          <w:rFonts w:ascii="Garamond" w:hAnsi="Garamond"/>
          <w:sz w:val="28"/>
          <w:szCs w:val="28"/>
        </w:rPr>
        <w:t xml:space="preserve">defendants </w:t>
      </w:r>
      <w:r w:rsidR="002268B0" w:rsidRPr="00055111">
        <w:rPr>
          <w:rFonts w:ascii="Garamond" w:hAnsi="Garamond"/>
          <w:sz w:val="28"/>
          <w:szCs w:val="28"/>
        </w:rPr>
        <w:t>or</w:t>
      </w:r>
      <w:r w:rsidR="003F1574" w:rsidRPr="00055111">
        <w:rPr>
          <w:rFonts w:ascii="Garamond" w:hAnsi="Garamond"/>
          <w:sz w:val="28"/>
          <w:szCs w:val="28"/>
        </w:rPr>
        <w:t xml:space="preserve"> </w:t>
      </w:r>
      <w:r w:rsidR="00452AF2" w:rsidRPr="00055111">
        <w:rPr>
          <w:rFonts w:ascii="Garamond" w:hAnsi="Garamond"/>
          <w:sz w:val="28"/>
          <w:szCs w:val="28"/>
        </w:rPr>
        <w:t>the</w:t>
      </w:r>
      <w:r w:rsidR="003F1574" w:rsidRPr="00055111">
        <w:rPr>
          <w:rFonts w:ascii="Garamond" w:hAnsi="Garamond"/>
          <w:sz w:val="28"/>
          <w:szCs w:val="28"/>
        </w:rPr>
        <w:t xml:space="preserve"> </w:t>
      </w:r>
      <w:r w:rsidR="00452AF2" w:rsidRPr="00055111">
        <w:rPr>
          <w:rFonts w:ascii="Garamond" w:hAnsi="Garamond"/>
          <w:sz w:val="28"/>
          <w:szCs w:val="28"/>
        </w:rPr>
        <w:t>courts</w:t>
      </w:r>
      <w:r w:rsidR="003F1574" w:rsidRPr="00055111">
        <w:rPr>
          <w:rFonts w:ascii="Garamond" w:hAnsi="Garamond"/>
          <w:sz w:val="28"/>
          <w:szCs w:val="28"/>
        </w:rPr>
        <w:t xml:space="preserve">, it should still be rejected because it seeks </w:t>
      </w:r>
      <w:r w:rsidR="00F77F52" w:rsidRPr="00055111">
        <w:rPr>
          <w:rFonts w:ascii="Garamond" w:hAnsi="Garamond"/>
          <w:sz w:val="28"/>
          <w:szCs w:val="28"/>
        </w:rPr>
        <w:t xml:space="preserve">to address a problem that is not the proper target of a </w:t>
      </w:r>
      <w:r w:rsidR="00680D2C" w:rsidRPr="00055111">
        <w:rPr>
          <w:rFonts w:ascii="Garamond" w:hAnsi="Garamond"/>
          <w:sz w:val="28"/>
          <w:szCs w:val="28"/>
        </w:rPr>
        <w:t>universally</w:t>
      </w:r>
      <w:r w:rsidR="00B933B7" w:rsidRPr="00055111">
        <w:rPr>
          <w:rFonts w:ascii="Garamond" w:hAnsi="Garamond"/>
          <w:sz w:val="28"/>
          <w:szCs w:val="28"/>
        </w:rPr>
        <w:t xml:space="preserve"> applicable rule of </w:t>
      </w:r>
      <w:r w:rsidR="00F77F52" w:rsidRPr="00055111">
        <w:rPr>
          <w:rFonts w:ascii="Garamond" w:hAnsi="Garamond"/>
          <w:sz w:val="28"/>
          <w:szCs w:val="28"/>
        </w:rPr>
        <w:t>procedure.</w:t>
      </w:r>
      <w:r w:rsidR="00680D2C" w:rsidRPr="00055111">
        <w:rPr>
          <w:rFonts w:ascii="Garamond" w:hAnsi="Garamond"/>
          <w:sz w:val="28"/>
          <w:szCs w:val="28"/>
        </w:rPr>
        <w:t xml:space="preserve"> </w:t>
      </w:r>
      <w:r w:rsidR="00886C06" w:rsidRPr="00055111">
        <w:rPr>
          <w:rFonts w:ascii="Garamond" w:hAnsi="Garamond"/>
          <w:sz w:val="28"/>
          <w:szCs w:val="28"/>
        </w:rPr>
        <w:t>Generally,</w:t>
      </w:r>
      <w:r w:rsidR="0005314E" w:rsidRPr="00055111">
        <w:rPr>
          <w:rFonts w:ascii="Garamond" w:hAnsi="Garamond"/>
          <w:sz w:val="28"/>
          <w:szCs w:val="28"/>
        </w:rPr>
        <w:t xml:space="preserve"> </w:t>
      </w:r>
      <w:r w:rsidR="000571EC" w:rsidRPr="00055111">
        <w:rPr>
          <w:rFonts w:ascii="Garamond" w:hAnsi="Garamond"/>
          <w:sz w:val="28"/>
          <w:szCs w:val="28"/>
        </w:rPr>
        <w:t>“arbitrary, one-shoe-fits-all” approaches are “antithetical to the</w:t>
      </w:r>
      <w:r w:rsidR="00E5534C" w:rsidRPr="00055111">
        <w:rPr>
          <w:rFonts w:ascii="Garamond" w:hAnsi="Garamond"/>
          <w:sz w:val="28"/>
          <w:szCs w:val="28"/>
        </w:rPr>
        <w:t xml:space="preserve"> </w:t>
      </w:r>
      <w:r w:rsidR="000571EC" w:rsidRPr="00055111">
        <w:rPr>
          <w:rFonts w:ascii="Garamond" w:hAnsi="Garamond"/>
          <w:sz w:val="28"/>
          <w:szCs w:val="28"/>
        </w:rPr>
        <w:t>purpose</w:t>
      </w:r>
      <w:r w:rsidR="00E5534C" w:rsidRPr="00055111">
        <w:rPr>
          <w:rFonts w:ascii="Garamond" w:hAnsi="Garamond"/>
          <w:sz w:val="28"/>
          <w:szCs w:val="28"/>
        </w:rPr>
        <w:t xml:space="preserve"> </w:t>
      </w:r>
      <w:r w:rsidR="000571EC" w:rsidRPr="00055111">
        <w:rPr>
          <w:rFonts w:ascii="Garamond" w:hAnsi="Garamond"/>
          <w:sz w:val="28"/>
          <w:szCs w:val="28"/>
        </w:rPr>
        <w:t>of</w:t>
      </w:r>
      <w:r w:rsidR="00E5534C" w:rsidRPr="00055111">
        <w:rPr>
          <w:rFonts w:ascii="Garamond" w:hAnsi="Garamond"/>
          <w:sz w:val="28"/>
          <w:szCs w:val="28"/>
        </w:rPr>
        <w:t xml:space="preserve"> </w:t>
      </w:r>
      <w:r w:rsidR="000571EC" w:rsidRPr="00055111">
        <w:rPr>
          <w:rFonts w:ascii="Garamond" w:hAnsi="Garamond"/>
          <w:sz w:val="28"/>
          <w:szCs w:val="28"/>
        </w:rPr>
        <w:t>procedural</w:t>
      </w:r>
      <w:r w:rsidR="00E5534C" w:rsidRPr="00055111">
        <w:rPr>
          <w:rFonts w:ascii="Garamond" w:hAnsi="Garamond"/>
          <w:sz w:val="28"/>
          <w:szCs w:val="28"/>
        </w:rPr>
        <w:t xml:space="preserve"> </w:t>
      </w:r>
      <w:r w:rsidR="000571EC" w:rsidRPr="00055111">
        <w:rPr>
          <w:rFonts w:ascii="Garamond" w:hAnsi="Garamond"/>
          <w:sz w:val="28"/>
          <w:szCs w:val="28"/>
        </w:rPr>
        <w:t>rules,” which are meant to embody “notions of flexibility and discretion[.]”</w:t>
      </w:r>
      <w:r w:rsidR="00B8073B" w:rsidRPr="00055111">
        <w:rPr>
          <w:rFonts w:ascii="Garamond" w:hAnsi="Garamond"/>
          <w:sz w:val="28"/>
          <w:szCs w:val="28"/>
        </w:rPr>
        <w:t xml:space="preserve"> </w:t>
      </w:r>
      <w:r w:rsidR="00886C06" w:rsidRPr="00055111">
        <w:rPr>
          <w:rFonts w:ascii="Garamond" w:hAnsi="Garamond"/>
          <w:i/>
          <w:iCs/>
          <w:sz w:val="28"/>
          <w:szCs w:val="28"/>
        </w:rPr>
        <w:t>Encinas v. Pompa</w:t>
      </w:r>
      <w:r w:rsidR="00886C06" w:rsidRPr="00055111">
        <w:rPr>
          <w:rFonts w:ascii="Garamond" w:hAnsi="Garamond"/>
          <w:sz w:val="28"/>
          <w:szCs w:val="28"/>
        </w:rPr>
        <w:t>, 189 Ariz. 157, 160-61 (App. 1997)</w:t>
      </w:r>
      <w:r w:rsidR="00B8073B" w:rsidRPr="00055111">
        <w:rPr>
          <w:rFonts w:ascii="Garamond" w:hAnsi="Garamond"/>
          <w:sz w:val="28"/>
          <w:szCs w:val="28"/>
        </w:rPr>
        <w:t>.</w:t>
      </w:r>
      <w:r w:rsidR="00564F00" w:rsidRPr="00055111">
        <w:rPr>
          <w:rFonts w:ascii="Garamond" w:hAnsi="Garamond"/>
          <w:sz w:val="28"/>
          <w:szCs w:val="28"/>
        </w:rPr>
        <w:t xml:space="preserve"> Here, the proposed rule </w:t>
      </w:r>
      <w:r w:rsidR="00262475" w:rsidRPr="00055111">
        <w:rPr>
          <w:rFonts w:ascii="Garamond" w:hAnsi="Garamond"/>
          <w:sz w:val="28"/>
          <w:szCs w:val="28"/>
        </w:rPr>
        <w:t>would require all warrant proceedin</w:t>
      </w:r>
      <w:r w:rsidR="00631CE2" w:rsidRPr="00055111">
        <w:rPr>
          <w:rFonts w:ascii="Garamond" w:hAnsi="Garamond"/>
          <w:sz w:val="28"/>
          <w:szCs w:val="28"/>
        </w:rPr>
        <w:t xml:space="preserve">gs to follow special procedures meant to address the peculiarities of ADCRR’s </w:t>
      </w:r>
      <w:r w:rsidR="00F113C3" w:rsidRPr="00055111">
        <w:rPr>
          <w:rFonts w:ascii="Garamond" w:hAnsi="Garamond"/>
          <w:sz w:val="28"/>
          <w:szCs w:val="28"/>
        </w:rPr>
        <w:t xml:space="preserve">current </w:t>
      </w:r>
      <w:r w:rsidR="00631CE2" w:rsidRPr="00055111">
        <w:rPr>
          <w:rFonts w:ascii="Garamond" w:hAnsi="Garamond"/>
          <w:sz w:val="28"/>
          <w:szCs w:val="28"/>
        </w:rPr>
        <w:t xml:space="preserve">compounded </w:t>
      </w:r>
      <w:r w:rsidR="00512121" w:rsidRPr="00055111">
        <w:rPr>
          <w:rFonts w:ascii="Garamond" w:hAnsi="Garamond"/>
          <w:sz w:val="28"/>
          <w:szCs w:val="28"/>
        </w:rPr>
        <w:t>pentobarbital lethal injection protocol. But that protocol is neither universa</w:t>
      </w:r>
      <w:r w:rsidR="003476F4" w:rsidRPr="00055111">
        <w:rPr>
          <w:rFonts w:ascii="Garamond" w:hAnsi="Garamond"/>
          <w:sz w:val="28"/>
          <w:szCs w:val="28"/>
        </w:rPr>
        <w:t>lly applicable nor immutable</w:t>
      </w:r>
      <w:r w:rsidR="00D06562" w:rsidRPr="00055111">
        <w:rPr>
          <w:rFonts w:ascii="Garamond" w:hAnsi="Garamond"/>
          <w:sz w:val="28"/>
          <w:szCs w:val="28"/>
        </w:rPr>
        <w:t>.</w:t>
      </w:r>
    </w:p>
    <w:p w14:paraId="6D197A6D" w14:textId="73FA28F3" w:rsidR="00882462" w:rsidRPr="00055111" w:rsidRDefault="00D82BB6" w:rsidP="0029482B">
      <w:pPr>
        <w:spacing w:after="0" w:line="480" w:lineRule="auto"/>
        <w:rPr>
          <w:rFonts w:ascii="Garamond" w:hAnsi="Garamond"/>
          <w:sz w:val="28"/>
          <w:szCs w:val="28"/>
        </w:rPr>
      </w:pPr>
      <w:r w:rsidRPr="00055111">
        <w:rPr>
          <w:rFonts w:ascii="Garamond" w:hAnsi="Garamond"/>
          <w:sz w:val="28"/>
          <w:szCs w:val="28"/>
        </w:rPr>
        <w:tab/>
      </w:r>
      <w:r w:rsidR="007B6B53" w:rsidRPr="00055111">
        <w:rPr>
          <w:rFonts w:ascii="Garamond" w:hAnsi="Garamond"/>
          <w:sz w:val="28"/>
          <w:szCs w:val="28"/>
        </w:rPr>
        <w:t xml:space="preserve">First, </w:t>
      </w:r>
      <w:r w:rsidR="00A42AF2" w:rsidRPr="00055111">
        <w:rPr>
          <w:rFonts w:ascii="Garamond" w:hAnsi="Garamond"/>
          <w:sz w:val="28"/>
          <w:szCs w:val="28"/>
        </w:rPr>
        <w:t xml:space="preserve">lethal injection is not the mandatory method of execution </w:t>
      </w:r>
      <w:r w:rsidR="00D6646D" w:rsidRPr="00055111">
        <w:rPr>
          <w:rFonts w:ascii="Garamond" w:hAnsi="Garamond"/>
          <w:sz w:val="28"/>
          <w:szCs w:val="28"/>
        </w:rPr>
        <w:t xml:space="preserve">for all </w:t>
      </w:r>
      <w:r w:rsidR="001C2CB9" w:rsidRPr="00055111">
        <w:rPr>
          <w:rFonts w:ascii="Garamond" w:hAnsi="Garamond"/>
          <w:sz w:val="28"/>
          <w:szCs w:val="28"/>
        </w:rPr>
        <w:t xml:space="preserve">condemned Arizona prisoners. </w:t>
      </w:r>
      <w:r w:rsidR="00EC69BF" w:rsidRPr="00055111">
        <w:rPr>
          <w:rFonts w:ascii="Garamond" w:hAnsi="Garamond"/>
          <w:sz w:val="28"/>
          <w:szCs w:val="28"/>
        </w:rPr>
        <w:t xml:space="preserve">Article 22, Sections 22 of the Arizona Constitution </w:t>
      </w:r>
      <w:r w:rsidR="00176331" w:rsidRPr="00055111">
        <w:rPr>
          <w:rFonts w:ascii="Garamond" w:hAnsi="Garamond"/>
          <w:sz w:val="28"/>
          <w:szCs w:val="28"/>
        </w:rPr>
        <w:t xml:space="preserve">mandates lethal injection prospectively but </w:t>
      </w:r>
      <w:r w:rsidR="009D2EBA" w:rsidRPr="00055111">
        <w:rPr>
          <w:rFonts w:ascii="Garamond" w:hAnsi="Garamond"/>
          <w:sz w:val="28"/>
          <w:szCs w:val="28"/>
        </w:rPr>
        <w:t>permits prisoners sentenced to death for crimes</w:t>
      </w:r>
      <w:r w:rsidR="007E3126" w:rsidRPr="00055111">
        <w:rPr>
          <w:rFonts w:ascii="Garamond" w:hAnsi="Garamond"/>
          <w:sz w:val="28"/>
          <w:szCs w:val="28"/>
        </w:rPr>
        <w:t xml:space="preserve"> committed</w:t>
      </w:r>
      <w:r w:rsidR="009D2EBA" w:rsidRPr="00055111">
        <w:rPr>
          <w:rFonts w:ascii="Garamond" w:hAnsi="Garamond"/>
          <w:sz w:val="28"/>
          <w:szCs w:val="28"/>
        </w:rPr>
        <w:t xml:space="preserve"> </w:t>
      </w:r>
      <w:r w:rsidR="0059227F" w:rsidRPr="00055111">
        <w:rPr>
          <w:rFonts w:ascii="Garamond" w:hAnsi="Garamond"/>
          <w:sz w:val="28"/>
          <w:szCs w:val="28"/>
        </w:rPr>
        <w:t xml:space="preserve">before November 23, 1992, to elect between lethal injection and lethal gas. </w:t>
      </w:r>
      <w:r w:rsidR="004B3C17" w:rsidRPr="00055111">
        <w:rPr>
          <w:rFonts w:ascii="Garamond" w:hAnsi="Garamond"/>
          <w:sz w:val="28"/>
          <w:szCs w:val="28"/>
        </w:rPr>
        <w:t xml:space="preserve">According to the </w:t>
      </w:r>
      <w:r w:rsidR="003F554E" w:rsidRPr="00055111">
        <w:rPr>
          <w:rFonts w:ascii="Garamond" w:hAnsi="Garamond"/>
          <w:sz w:val="28"/>
          <w:szCs w:val="28"/>
        </w:rPr>
        <w:t xml:space="preserve">Petition, there are 30 condemned </w:t>
      </w:r>
      <w:r w:rsidR="0070059E" w:rsidRPr="00055111">
        <w:rPr>
          <w:rFonts w:ascii="Garamond" w:hAnsi="Garamond"/>
          <w:sz w:val="28"/>
          <w:szCs w:val="28"/>
        </w:rPr>
        <w:t xml:space="preserve">Arizona </w:t>
      </w:r>
      <w:r w:rsidR="003F554E" w:rsidRPr="00055111">
        <w:rPr>
          <w:rFonts w:ascii="Garamond" w:hAnsi="Garamond"/>
          <w:sz w:val="28"/>
          <w:szCs w:val="28"/>
        </w:rPr>
        <w:t>prisoners</w:t>
      </w:r>
      <w:r w:rsidR="00BB637C" w:rsidRPr="00055111">
        <w:rPr>
          <w:rFonts w:ascii="Garamond" w:hAnsi="Garamond"/>
          <w:sz w:val="28"/>
          <w:szCs w:val="28"/>
        </w:rPr>
        <w:t>—more than a quarter of the current population of death row—</w:t>
      </w:r>
      <w:r w:rsidR="007E3126" w:rsidRPr="00055111">
        <w:rPr>
          <w:rFonts w:ascii="Garamond" w:hAnsi="Garamond"/>
          <w:sz w:val="28"/>
          <w:szCs w:val="28"/>
        </w:rPr>
        <w:t xml:space="preserve">entitled to make that </w:t>
      </w:r>
      <w:r w:rsidR="00E923D7" w:rsidRPr="00055111">
        <w:rPr>
          <w:rFonts w:ascii="Garamond" w:hAnsi="Garamond"/>
          <w:sz w:val="28"/>
          <w:szCs w:val="28"/>
        </w:rPr>
        <w:t>s</w:t>
      </w:r>
      <w:r w:rsidR="007E3126" w:rsidRPr="00055111">
        <w:rPr>
          <w:rFonts w:ascii="Garamond" w:hAnsi="Garamond"/>
          <w:sz w:val="28"/>
          <w:szCs w:val="28"/>
        </w:rPr>
        <w:t>election</w:t>
      </w:r>
      <w:r w:rsidR="00D84DCD" w:rsidRPr="00055111">
        <w:rPr>
          <w:rFonts w:ascii="Garamond" w:hAnsi="Garamond"/>
          <w:sz w:val="28"/>
          <w:szCs w:val="28"/>
        </w:rPr>
        <w:t xml:space="preserve"> should the Attorney General secure a warrant for their execution</w:t>
      </w:r>
      <w:r w:rsidR="007E3126" w:rsidRPr="00055111">
        <w:rPr>
          <w:rFonts w:ascii="Garamond" w:hAnsi="Garamond"/>
          <w:sz w:val="28"/>
          <w:szCs w:val="28"/>
        </w:rPr>
        <w:t>.</w:t>
      </w:r>
      <w:r w:rsidR="00A348FF" w:rsidRPr="00055111">
        <w:rPr>
          <w:rFonts w:ascii="Garamond" w:hAnsi="Garamond"/>
          <w:sz w:val="28"/>
          <w:szCs w:val="28"/>
        </w:rPr>
        <w:t xml:space="preserve"> Petition at </w:t>
      </w:r>
      <w:r w:rsidR="0070059E" w:rsidRPr="00055111">
        <w:rPr>
          <w:rFonts w:ascii="Garamond" w:hAnsi="Garamond"/>
          <w:sz w:val="28"/>
          <w:szCs w:val="28"/>
        </w:rPr>
        <w:t>3 n.2.</w:t>
      </w:r>
      <w:r w:rsidR="00941AC9" w:rsidRPr="00055111">
        <w:rPr>
          <w:rFonts w:ascii="Garamond" w:hAnsi="Garamond"/>
          <w:sz w:val="28"/>
          <w:szCs w:val="28"/>
        </w:rPr>
        <w:t xml:space="preserve"> </w:t>
      </w:r>
      <w:r w:rsidR="00A45372" w:rsidRPr="00055111">
        <w:rPr>
          <w:rFonts w:ascii="Garamond" w:hAnsi="Garamond"/>
          <w:sz w:val="28"/>
          <w:szCs w:val="28"/>
        </w:rPr>
        <w:t>Petitioner gives no</w:t>
      </w:r>
      <w:r w:rsidR="005464F3" w:rsidRPr="00055111">
        <w:rPr>
          <w:rFonts w:ascii="Garamond" w:hAnsi="Garamond"/>
          <w:sz w:val="28"/>
          <w:szCs w:val="28"/>
        </w:rPr>
        <w:t xml:space="preserve"> indication that l</w:t>
      </w:r>
      <w:r w:rsidR="00606903" w:rsidRPr="00055111">
        <w:rPr>
          <w:rFonts w:ascii="Garamond" w:hAnsi="Garamond"/>
          <w:sz w:val="28"/>
          <w:szCs w:val="28"/>
        </w:rPr>
        <w:t xml:space="preserve">ethal gas </w:t>
      </w:r>
      <w:r w:rsidR="005464F3" w:rsidRPr="00055111">
        <w:rPr>
          <w:rFonts w:ascii="Garamond" w:hAnsi="Garamond"/>
          <w:sz w:val="28"/>
          <w:szCs w:val="28"/>
        </w:rPr>
        <w:t>presents</w:t>
      </w:r>
      <w:r w:rsidR="00DC305B" w:rsidRPr="00055111">
        <w:rPr>
          <w:rFonts w:ascii="Garamond" w:hAnsi="Garamond"/>
          <w:sz w:val="28"/>
          <w:szCs w:val="28"/>
        </w:rPr>
        <w:t xml:space="preserve"> the</w:t>
      </w:r>
      <w:r w:rsidR="005464F3" w:rsidRPr="00055111">
        <w:rPr>
          <w:rFonts w:ascii="Garamond" w:hAnsi="Garamond"/>
          <w:sz w:val="28"/>
          <w:szCs w:val="28"/>
        </w:rPr>
        <w:t xml:space="preserve"> same</w:t>
      </w:r>
      <w:r w:rsidR="0095318C" w:rsidRPr="00055111">
        <w:rPr>
          <w:rFonts w:ascii="Garamond" w:hAnsi="Garamond"/>
          <w:sz w:val="28"/>
          <w:szCs w:val="28"/>
        </w:rPr>
        <w:t xml:space="preserve"> time constraints </w:t>
      </w:r>
      <w:r w:rsidR="00DC305B" w:rsidRPr="00055111">
        <w:rPr>
          <w:rFonts w:ascii="Garamond" w:hAnsi="Garamond"/>
          <w:sz w:val="28"/>
          <w:szCs w:val="28"/>
        </w:rPr>
        <w:t>created by</w:t>
      </w:r>
      <w:r w:rsidR="0095318C" w:rsidRPr="00055111">
        <w:rPr>
          <w:rFonts w:ascii="Garamond" w:hAnsi="Garamond"/>
          <w:sz w:val="28"/>
          <w:szCs w:val="28"/>
        </w:rPr>
        <w:t xml:space="preserve"> </w:t>
      </w:r>
      <w:r w:rsidR="00720E64" w:rsidRPr="00055111">
        <w:rPr>
          <w:rFonts w:ascii="Garamond" w:hAnsi="Garamond"/>
          <w:sz w:val="28"/>
          <w:szCs w:val="28"/>
        </w:rPr>
        <w:t>ADCRR’s current lethal injection protocol, yet t</w:t>
      </w:r>
      <w:r w:rsidR="00DB6144" w:rsidRPr="00055111">
        <w:rPr>
          <w:rFonts w:ascii="Garamond" w:hAnsi="Garamond"/>
          <w:sz w:val="28"/>
          <w:szCs w:val="28"/>
        </w:rPr>
        <w:t>he</w:t>
      </w:r>
      <w:r w:rsidR="00172C36" w:rsidRPr="00055111">
        <w:rPr>
          <w:rFonts w:ascii="Garamond" w:hAnsi="Garamond"/>
          <w:sz w:val="28"/>
          <w:szCs w:val="28"/>
        </w:rPr>
        <w:t xml:space="preserve"> proposed rule </w:t>
      </w:r>
      <w:r w:rsidR="0057193D" w:rsidRPr="00055111">
        <w:rPr>
          <w:rFonts w:ascii="Garamond" w:hAnsi="Garamond"/>
          <w:sz w:val="28"/>
          <w:szCs w:val="28"/>
        </w:rPr>
        <w:t>does not contemplate executions carried out using other methods</w:t>
      </w:r>
      <w:r w:rsidR="00720E64" w:rsidRPr="00055111">
        <w:rPr>
          <w:rFonts w:ascii="Garamond" w:hAnsi="Garamond"/>
          <w:sz w:val="28"/>
          <w:szCs w:val="28"/>
        </w:rPr>
        <w:t>.</w:t>
      </w:r>
      <w:r w:rsidR="0057193D" w:rsidRPr="00055111">
        <w:rPr>
          <w:rFonts w:ascii="Garamond" w:hAnsi="Garamond"/>
          <w:sz w:val="28"/>
          <w:szCs w:val="28"/>
        </w:rPr>
        <w:t xml:space="preserve"> </w:t>
      </w:r>
      <w:r w:rsidR="00720E64" w:rsidRPr="00055111">
        <w:rPr>
          <w:rFonts w:ascii="Garamond" w:hAnsi="Garamond"/>
          <w:sz w:val="28"/>
          <w:szCs w:val="28"/>
        </w:rPr>
        <w:t>T</w:t>
      </w:r>
      <w:r w:rsidR="0057193D" w:rsidRPr="00055111">
        <w:rPr>
          <w:rFonts w:ascii="Garamond" w:hAnsi="Garamond"/>
          <w:sz w:val="28"/>
          <w:szCs w:val="28"/>
        </w:rPr>
        <w:t>he</w:t>
      </w:r>
      <w:r w:rsidR="00DB6144" w:rsidRPr="00055111">
        <w:rPr>
          <w:rFonts w:ascii="Garamond" w:hAnsi="Garamond"/>
          <w:sz w:val="28"/>
          <w:szCs w:val="28"/>
        </w:rPr>
        <w:t xml:space="preserve"> Petition identifies no reason why its </w:t>
      </w:r>
      <w:r w:rsidR="00AD092D" w:rsidRPr="00055111">
        <w:rPr>
          <w:rFonts w:ascii="Garamond" w:hAnsi="Garamond"/>
          <w:sz w:val="28"/>
          <w:szCs w:val="28"/>
        </w:rPr>
        <w:t xml:space="preserve">fixed and accelerated briefing schedule would be necessary or </w:t>
      </w:r>
      <w:r w:rsidR="00AD092D" w:rsidRPr="00055111">
        <w:rPr>
          <w:rFonts w:ascii="Garamond" w:hAnsi="Garamond"/>
          <w:sz w:val="28"/>
          <w:szCs w:val="28"/>
        </w:rPr>
        <w:lastRenderedPageBreak/>
        <w:t xml:space="preserve">appropriate for </w:t>
      </w:r>
      <w:r w:rsidR="008707A5" w:rsidRPr="00055111">
        <w:rPr>
          <w:rFonts w:ascii="Garamond" w:hAnsi="Garamond"/>
          <w:sz w:val="28"/>
          <w:szCs w:val="28"/>
        </w:rPr>
        <w:t xml:space="preserve">any method of execution other than </w:t>
      </w:r>
      <w:r w:rsidR="0069223E" w:rsidRPr="00055111">
        <w:rPr>
          <w:rFonts w:ascii="Garamond" w:hAnsi="Garamond"/>
          <w:sz w:val="28"/>
          <w:szCs w:val="28"/>
        </w:rPr>
        <w:t>ADCRR’s current lethal injection protocol</w:t>
      </w:r>
      <w:r w:rsidR="00C4069B" w:rsidRPr="00055111">
        <w:rPr>
          <w:rFonts w:ascii="Garamond" w:hAnsi="Garamond"/>
          <w:sz w:val="28"/>
          <w:szCs w:val="28"/>
        </w:rPr>
        <w:t>, even though another method is already authorized under current law.</w:t>
      </w:r>
      <w:r w:rsidR="00F113C3" w:rsidRPr="00055111">
        <w:rPr>
          <w:rStyle w:val="FootnoteReference"/>
          <w:rFonts w:ascii="Garamond" w:hAnsi="Garamond"/>
          <w:sz w:val="28"/>
          <w:szCs w:val="28"/>
        </w:rPr>
        <w:footnoteReference w:id="7"/>
      </w:r>
    </w:p>
    <w:p w14:paraId="2420A71A" w14:textId="7EF15DCF" w:rsidR="00631AB4" w:rsidRPr="00055111" w:rsidRDefault="00882462" w:rsidP="0029482B">
      <w:pPr>
        <w:numPr>
          <w:ilvl w:val="0"/>
          <w:numId w:val="3"/>
        </w:numPr>
        <w:spacing w:after="0" w:line="480" w:lineRule="auto"/>
        <w:ind w:firstLine="0"/>
        <w:rPr>
          <w:rFonts w:ascii="Garamond" w:hAnsi="Garamond"/>
          <w:sz w:val="28"/>
          <w:szCs w:val="28"/>
        </w:rPr>
      </w:pPr>
      <w:r w:rsidRPr="00055111">
        <w:rPr>
          <w:rFonts w:ascii="Garamond" w:hAnsi="Garamond"/>
          <w:sz w:val="28"/>
          <w:szCs w:val="28"/>
        </w:rPr>
        <w:tab/>
        <w:t xml:space="preserve">Even for prisoners </w:t>
      </w:r>
      <w:r w:rsidR="00B43901" w:rsidRPr="00055111">
        <w:rPr>
          <w:rFonts w:ascii="Garamond" w:hAnsi="Garamond"/>
          <w:sz w:val="28"/>
          <w:szCs w:val="28"/>
        </w:rPr>
        <w:t>facing execution</w:t>
      </w:r>
      <w:r w:rsidRPr="00055111">
        <w:rPr>
          <w:rFonts w:ascii="Garamond" w:hAnsi="Garamond"/>
          <w:sz w:val="28"/>
          <w:szCs w:val="28"/>
        </w:rPr>
        <w:t xml:space="preserve"> </w:t>
      </w:r>
      <w:r w:rsidR="00933ABB" w:rsidRPr="00055111">
        <w:rPr>
          <w:rFonts w:ascii="Garamond" w:hAnsi="Garamond"/>
          <w:sz w:val="28"/>
          <w:szCs w:val="28"/>
        </w:rPr>
        <w:t xml:space="preserve">by lethal injection, the </w:t>
      </w:r>
      <w:r w:rsidR="00BD1AA8" w:rsidRPr="00055111">
        <w:rPr>
          <w:rFonts w:ascii="Garamond" w:hAnsi="Garamond"/>
          <w:sz w:val="28"/>
          <w:szCs w:val="28"/>
        </w:rPr>
        <w:t>time</w:t>
      </w:r>
      <w:r w:rsidR="00A51660" w:rsidRPr="00055111">
        <w:rPr>
          <w:rFonts w:ascii="Garamond" w:hAnsi="Garamond"/>
          <w:sz w:val="28"/>
          <w:szCs w:val="28"/>
        </w:rPr>
        <w:t xml:space="preserve"> constraints </w:t>
      </w:r>
      <w:r w:rsidR="00BD1AA8" w:rsidRPr="00055111">
        <w:rPr>
          <w:rFonts w:ascii="Garamond" w:hAnsi="Garamond"/>
          <w:sz w:val="28"/>
          <w:szCs w:val="28"/>
        </w:rPr>
        <w:t xml:space="preserve">created by </w:t>
      </w:r>
      <w:r w:rsidR="00B74154" w:rsidRPr="00055111">
        <w:rPr>
          <w:rFonts w:ascii="Garamond" w:hAnsi="Garamond"/>
          <w:sz w:val="28"/>
          <w:szCs w:val="28"/>
        </w:rPr>
        <w:t xml:space="preserve">the State’s </w:t>
      </w:r>
      <w:r w:rsidR="00BD1AA8" w:rsidRPr="00055111">
        <w:rPr>
          <w:rFonts w:ascii="Garamond" w:hAnsi="Garamond"/>
          <w:sz w:val="28"/>
          <w:szCs w:val="28"/>
        </w:rPr>
        <w:t xml:space="preserve">choice of drug are hardly </w:t>
      </w:r>
      <w:r w:rsidR="00423576" w:rsidRPr="00055111">
        <w:rPr>
          <w:rFonts w:ascii="Garamond" w:hAnsi="Garamond"/>
          <w:sz w:val="28"/>
          <w:szCs w:val="28"/>
        </w:rPr>
        <w:t>immutable</w:t>
      </w:r>
      <w:r w:rsidR="00BD1AA8" w:rsidRPr="00055111">
        <w:rPr>
          <w:rFonts w:ascii="Garamond" w:hAnsi="Garamond"/>
          <w:sz w:val="28"/>
          <w:szCs w:val="28"/>
        </w:rPr>
        <w:t>.</w:t>
      </w:r>
      <w:r w:rsidR="00D8581A" w:rsidRPr="00055111">
        <w:rPr>
          <w:rFonts w:ascii="Garamond" w:hAnsi="Garamond"/>
          <w:sz w:val="28"/>
          <w:szCs w:val="28"/>
        </w:rPr>
        <w:t xml:space="preserve"> While the constitution mandates lethal injection for </w:t>
      </w:r>
      <w:r w:rsidR="00E5679B" w:rsidRPr="00055111">
        <w:rPr>
          <w:rFonts w:ascii="Garamond" w:hAnsi="Garamond"/>
          <w:sz w:val="28"/>
          <w:szCs w:val="28"/>
        </w:rPr>
        <w:t xml:space="preserve">death sentences imposed for </w:t>
      </w:r>
      <w:r w:rsidR="00D8581A" w:rsidRPr="00055111">
        <w:rPr>
          <w:rFonts w:ascii="Garamond" w:hAnsi="Garamond"/>
          <w:sz w:val="28"/>
          <w:szCs w:val="28"/>
        </w:rPr>
        <w:t xml:space="preserve">all post-1992 offenses, </w:t>
      </w:r>
      <w:r w:rsidR="00B64E3F" w:rsidRPr="00055111">
        <w:rPr>
          <w:rFonts w:ascii="Garamond" w:hAnsi="Garamond"/>
          <w:sz w:val="28"/>
          <w:szCs w:val="28"/>
        </w:rPr>
        <w:t xml:space="preserve">ADCRR retains </w:t>
      </w:r>
      <w:r w:rsidR="00130A6B" w:rsidRPr="00055111">
        <w:rPr>
          <w:rFonts w:ascii="Garamond" w:hAnsi="Garamond"/>
          <w:sz w:val="28"/>
          <w:szCs w:val="28"/>
        </w:rPr>
        <w:t xml:space="preserve">broad </w:t>
      </w:r>
      <w:r w:rsidR="00B64E3F" w:rsidRPr="00055111">
        <w:rPr>
          <w:rFonts w:ascii="Garamond" w:hAnsi="Garamond"/>
          <w:sz w:val="28"/>
          <w:szCs w:val="28"/>
        </w:rPr>
        <w:t xml:space="preserve">discretion </w:t>
      </w:r>
      <w:r w:rsidR="009B73E4" w:rsidRPr="00055111">
        <w:rPr>
          <w:rFonts w:ascii="Garamond" w:hAnsi="Garamond"/>
          <w:sz w:val="28"/>
          <w:szCs w:val="28"/>
        </w:rPr>
        <w:t>to determine</w:t>
      </w:r>
      <w:r w:rsidR="00B64E3F" w:rsidRPr="00055111">
        <w:rPr>
          <w:rFonts w:ascii="Garamond" w:hAnsi="Garamond"/>
          <w:sz w:val="28"/>
          <w:szCs w:val="28"/>
        </w:rPr>
        <w:t xml:space="preserve"> how </w:t>
      </w:r>
      <w:r w:rsidR="00130A6B" w:rsidRPr="00055111">
        <w:rPr>
          <w:rFonts w:ascii="Garamond" w:hAnsi="Garamond"/>
          <w:sz w:val="28"/>
          <w:szCs w:val="28"/>
        </w:rPr>
        <w:t>to conduct such executions</w:t>
      </w:r>
      <w:r w:rsidR="00791328" w:rsidRPr="00055111">
        <w:rPr>
          <w:rFonts w:ascii="Garamond" w:hAnsi="Garamond"/>
          <w:sz w:val="28"/>
          <w:szCs w:val="28"/>
        </w:rPr>
        <w:t>, including drug selection</w:t>
      </w:r>
      <w:r w:rsidR="00D65A20" w:rsidRPr="00055111">
        <w:rPr>
          <w:rFonts w:ascii="Garamond" w:hAnsi="Garamond"/>
          <w:sz w:val="28"/>
          <w:szCs w:val="28"/>
        </w:rPr>
        <w:t>.</w:t>
      </w:r>
      <w:r w:rsidR="005A301E" w:rsidRPr="00055111">
        <w:rPr>
          <w:rFonts w:ascii="Garamond" w:hAnsi="Garamond"/>
          <w:sz w:val="28"/>
          <w:szCs w:val="28"/>
        </w:rPr>
        <w:t xml:space="preserve"> ADCRR is exempt from the rulemaking process governing most other administrative agencies, </w:t>
      </w:r>
      <w:r w:rsidR="008A62D6" w:rsidRPr="00055111">
        <w:rPr>
          <w:rFonts w:ascii="Garamond" w:hAnsi="Garamond"/>
          <w:sz w:val="28"/>
          <w:szCs w:val="28"/>
        </w:rPr>
        <w:t>giving</w:t>
      </w:r>
      <w:r w:rsidR="005A301E" w:rsidRPr="00055111">
        <w:rPr>
          <w:rFonts w:ascii="Garamond" w:hAnsi="Garamond"/>
          <w:sz w:val="28"/>
          <w:szCs w:val="28"/>
        </w:rPr>
        <w:t xml:space="preserve"> considerable discretion and flexibility in adopting a new execution protocol. A.R.S. §41-1005(A)(7).</w:t>
      </w:r>
      <w:r w:rsidR="00D65A20" w:rsidRPr="00055111">
        <w:rPr>
          <w:rFonts w:ascii="Garamond" w:hAnsi="Garamond"/>
          <w:sz w:val="28"/>
          <w:szCs w:val="28"/>
        </w:rPr>
        <w:t xml:space="preserve"> O</w:t>
      </w:r>
      <w:r w:rsidR="00DD48B7" w:rsidRPr="00055111">
        <w:rPr>
          <w:rFonts w:ascii="Garamond" w:hAnsi="Garamond"/>
          <w:sz w:val="28"/>
          <w:szCs w:val="28"/>
        </w:rPr>
        <w:t>ver the years</w:t>
      </w:r>
      <w:r w:rsidR="005A301E" w:rsidRPr="00055111">
        <w:rPr>
          <w:rFonts w:ascii="Garamond" w:hAnsi="Garamond"/>
          <w:sz w:val="28"/>
          <w:szCs w:val="28"/>
        </w:rPr>
        <w:t>,</w:t>
      </w:r>
      <w:r w:rsidR="00DD48B7" w:rsidRPr="00055111">
        <w:rPr>
          <w:rFonts w:ascii="Garamond" w:hAnsi="Garamond"/>
          <w:sz w:val="28"/>
          <w:szCs w:val="28"/>
        </w:rPr>
        <w:t xml:space="preserve"> </w:t>
      </w:r>
      <w:r w:rsidR="00236401" w:rsidRPr="00055111">
        <w:rPr>
          <w:rFonts w:ascii="Garamond" w:hAnsi="Garamond"/>
          <w:sz w:val="28"/>
          <w:szCs w:val="28"/>
        </w:rPr>
        <w:t>it</w:t>
      </w:r>
      <w:r w:rsidR="00DD48B7" w:rsidRPr="00055111">
        <w:rPr>
          <w:rFonts w:ascii="Garamond" w:hAnsi="Garamond"/>
          <w:sz w:val="28"/>
          <w:szCs w:val="28"/>
        </w:rPr>
        <w:t xml:space="preserve"> has</w:t>
      </w:r>
      <w:r w:rsidR="005A301E" w:rsidRPr="00055111">
        <w:rPr>
          <w:rFonts w:ascii="Garamond" w:hAnsi="Garamond"/>
          <w:sz w:val="28"/>
          <w:szCs w:val="28"/>
        </w:rPr>
        <w:t xml:space="preserve"> employed that license to</w:t>
      </w:r>
      <w:r w:rsidR="00DD48B7" w:rsidRPr="00055111">
        <w:rPr>
          <w:rFonts w:ascii="Garamond" w:hAnsi="Garamond"/>
          <w:sz w:val="28"/>
          <w:szCs w:val="28"/>
        </w:rPr>
        <w:t xml:space="preserve"> </w:t>
      </w:r>
      <w:r w:rsidR="005A301E" w:rsidRPr="00055111">
        <w:rPr>
          <w:rFonts w:ascii="Garamond" w:hAnsi="Garamond"/>
          <w:sz w:val="28"/>
          <w:szCs w:val="28"/>
        </w:rPr>
        <w:t>adopt</w:t>
      </w:r>
      <w:r w:rsidR="00DD48B7" w:rsidRPr="00055111">
        <w:rPr>
          <w:rFonts w:ascii="Garamond" w:hAnsi="Garamond"/>
          <w:sz w:val="28"/>
          <w:szCs w:val="28"/>
        </w:rPr>
        <w:t xml:space="preserve"> different drugs </w:t>
      </w:r>
      <w:r w:rsidR="00923E46" w:rsidRPr="00055111">
        <w:rPr>
          <w:rFonts w:ascii="Garamond" w:hAnsi="Garamond"/>
          <w:sz w:val="28"/>
          <w:szCs w:val="28"/>
        </w:rPr>
        <w:t>for killing</w:t>
      </w:r>
      <w:r w:rsidR="009F43B0" w:rsidRPr="00055111">
        <w:rPr>
          <w:rFonts w:ascii="Garamond" w:hAnsi="Garamond"/>
          <w:sz w:val="28"/>
          <w:szCs w:val="28"/>
        </w:rPr>
        <w:t xml:space="preserve"> </w:t>
      </w:r>
      <w:r w:rsidR="00AD39C7" w:rsidRPr="00055111">
        <w:rPr>
          <w:rFonts w:ascii="Garamond" w:hAnsi="Garamond"/>
          <w:sz w:val="28"/>
          <w:szCs w:val="28"/>
        </w:rPr>
        <w:t>Arizona</w:t>
      </w:r>
      <w:r w:rsidR="00B12808" w:rsidRPr="00055111">
        <w:rPr>
          <w:rFonts w:ascii="Garamond" w:hAnsi="Garamond"/>
          <w:sz w:val="28"/>
          <w:szCs w:val="28"/>
        </w:rPr>
        <w:t xml:space="preserve"> prisoners</w:t>
      </w:r>
      <w:r w:rsidR="00D65A20" w:rsidRPr="00055111">
        <w:rPr>
          <w:rFonts w:ascii="Garamond" w:hAnsi="Garamond"/>
          <w:sz w:val="28"/>
          <w:szCs w:val="28"/>
        </w:rPr>
        <w:t>,</w:t>
      </w:r>
      <w:r w:rsidR="005D2E35" w:rsidRPr="00055111">
        <w:rPr>
          <w:rFonts w:ascii="Garamond" w:hAnsi="Garamond"/>
          <w:sz w:val="28"/>
          <w:szCs w:val="28"/>
        </w:rPr>
        <w:t xml:space="preserve"> with the compounded pentobarbital </w:t>
      </w:r>
      <w:r w:rsidR="00403AA2" w:rsidRPr="00055111">
        <w:rPr>
          <w:rFonts w:ascii="Garamond" w:hAnsi="Garamond"/>
          <w:sz w:val="28"/>
          <w:szCs w:val="28"/>
        </w:rPr>
        <w:t xml:space="preserve">protocol in use since 2022 </w:t>
      </w:r>
      <w:r w:rsidR="009F43B0" w:rsidRPr="00055111">
        <w:rPr>
          <w:rFonts w:ascii="Garamond" w:hAnsi="Garamond"/>
          <w:sz w:val="28"/>
          <w:szCs w:val="28"/>
        </w:rPr>
        <w:t>being preceded by at least two other</w:t>
      </w:r>
      <w:r w:rsidR="009942FE" w:rsidRPr="00055111">
        <w:rPr>
          <w:rFonts w:ascii="Garamond" w:hAnsi="Garamond"/>
          <w:sz w:val="28"/>
          <w:szCs w:val="28"/>
        </w:rPr>
        <w:t>s</w:t>
      </w:r>
      <w:r w:rsidR="009F43B0" w:rsidRPr="00055111">
        <w:rPr>
          <w:rFonts w:ascii="Garamond" w:hAnsi="Garamond"/>
          <w:sz w:val="28"/>
          <w:szCs w:val="28"/>
        </w:rPr>
        <w:t xml:space="preserve">. </w:t>
      </w:r>
      <w:r w:rsidR="009F43B0" w:rsidRPr="00055111">
        <w:rPr>
          <w:rFonts w:ascii="Garamond" w:hAnsi="Garamond"/>
          <w:i/>
          <w:iCs/>
          <w:sz w:val="28"/>
          <w:szCs w:val="28"/>
        </w:rPr>
        <w:t xml:space="preserve">See </w:t>
      </w:r>
      <w:r w:rsidR="009F43B0" w:rsidRPr="00055111">
        <w:rPr>
          <w:rFonts w:ascii="Garamond" w:hAnsi="Garamond"/>
          <w:sz w:val="28"/>
          <w:szCs w:val="28"/>
        </w:rPr>
        <w:t xml:space="preserve">Michael </w:t>
      </w:r>
      <w:r w:rsidR="00D36C4A" w:rsidRPr="00055111">
        <w:rPr>
          <w:rFonts w:ascii="Garamond" w:hAnsi="Garamond"/>
          <w:sz w:val="28"/>
          <w:szCs w:val="28"/>
        </w:rPr>
        <w:t>Kiefer,</w:t>
      </w:r>
      <w:r w:rsidR="00D36C4A" w:rsidRPr="00055111">
        <w:rPr>
          <w:rFonts w:ascii="Garamond" w:hAnsi="Garamond"/>
          <w:i/>
          <w:iCs/>
          <w:sz w:val="28"/>
          <w:szCs w:val="28"/>
        </w:rPr>
        <w:t xml:space="preserve"> </w:t>
      </w:r>
      <w:r w:rsidR="00264E02" w:rsidRPr="00055111">
        <w:rPr>
          <w:rFonts w:ascii="Garamond" w:hAnsi="Garamond"/>
          <w:i/>
          <w:iCs/>
          <w:sz w:val="28"/>
          <w:szCs w:val="28"/>
        </w:rPr>
        <w:t>Drug switch underscores Arizona</w:t>
      </w:r>
      <w:r w:rsidR="00E626F9" w:rsidRPr="00055111">
        <w:rPr>
          <w:rFonts w:ascii="Garamond" w:hAnsi="Garamond"/>
          <w:i/>
          <w:iCs/>
          <w:sz w:val="28"/>
          <w:szCs w:val="28"/>
        </w:rPr>
        <w:t>’</w:t>
      </w:r>
      <w:r w:rsidR="00264E02" w:rsidRPr="00055111">
        <w:rPr>
          <w:rFonts w:ascii="Garamond" w:hAnsi="Garamond"/>
          <w:i/>
          <w:iCs/>
          <w:sz w:val="28"/>
          <w:szCs w:val="28"/>
        </w:rPr>
        <w:t>s struggle with execution standards</w:t>
      </w:r>
      <w:r w:rsidR="00264E02" w:rsidRPr="00055111">
        <w:rPr>
          <w:rFonts w:ascii="Garamond" w:hAnsi="Garamond"/>
          <w:sz w:val="28"/>
          <w:szCs w:val="28"/>
        </w:rPr>
        <w:t xml:space="preserve">, </w:t>
      </w:r>
      <w:r w:rsidR="00264E02" w:rsidRPr="00055111">
        <w:rPr>
          <w:rFonts w:ascii="Garamond" w:hAnsi="Garamond"/>
          <w:smallCaps/>
          <w:sz w:val="28"/>
          <w:szCs w:val="28"/>
        </w:rPr>
        <w:t>Ariz. Republic</w:t>
      </w:r>
      <w:r w:rsidR="00264E02" w:rsidRPr="00055111">
        <w:rPr>
          <w:rFonts w:ascii="Garamond" w:hAnsi="Garamond"/>
          <w:sz w:val="28"/>
          <w:szCs w:val="28"/>
        </w:rPr>
        <w:t xml:space="preserve">, </w:t>
      </w:r>
      <w:r w:rsidR="0029482B" w:rsidRPr="00055111">
        <w:rPr>
          <w:rFonts w:ascii="Garamond" w:hAnsi="Garamond"/>
          <w:sz w:val="28"/>
          <w:szCs w:val="28"/>
        </w:rPr>
        <w:t>Mar. 26, 2014</w:t>
      </w:r>
      <w:r w:rsidR="00E626F9" w:rsidRPr="00055111">
        <w:rPr>
          <w:rFonts w:ascii="Garamond" w:hAnsi="Garamond"/>
          <w:sz w:val="28"/>
          <w:szCs w:val="28"/>
        </w:rPr>
        <w:t xml:space="preserve"> (noting Arizona’s transition from </w:t>
      </w:r>
      <w:r w:rsidR="00594614" w:rsidRPr="00055111">
        <w:rPr>
          <w:rFonts w:ascii="Garamond" w:hAnsi="Garamond"/>
          <w:sz w:val="28"/>
          <w:szCs w:val="28"/>
        </w:rPr>
        <w:t xml:space="preserve">a three-drug protocol based on thiopental to a </w:t>
      </w:r>
      <w:r w:rsidR="00C2556A" w:rsidRPr="00055111">
        <w:rPr>
          <w:rFonts w:ascii="Garamond" w:hAnsi="Garamond"/>
          <w:sz w:val="28"/>
          <w:szCs w:val="28"/>
        </w:rPr>
        <w:t>two</w:t>
      </w:r>
      <w:r w:rsidR="00594614" w:rsidRPr="00055111">
        <w:rPr>
          <w:rFonts w:ascii="Garamond" w:hAnsi="Garamond"/>
          <w:sz w:val="28"/>
          <w:szCs w:val="28"/>
        </w:rPr>
        <w:t xml:space="preserve">-drug protocol based on </w:t>
      </w:r>
      <w:r w:rsidR="00C2556A" w:rsidRPr="00055111">
        <w:rPr>
          <w:rFonts w:ascii="Garamond" w:hAnsi="Garamond"/>
          <w:sz w:val="28"/>
          <w:szCs w:val="28"/>
        </w:rPr>
        <w:t>Midazolam)</w:t>
      </w:r>
      <w:r w:rsidR="0029482B" w:rsidRPr="00055111">
        <w:rPr>
          <w:rFonts w:ascii="Garamond" w:hAnsi="Garamond"/>
          <w:sz w:val="28"/>
          <w:szCs w:val="28"/>
        </w:rPr>
        <w:t>.</w:t>
      </w:r>
    </w:p>
    <w:p w14:paraId="284BBA44" w14:textId="7650781A" w:rsidR="009C7BB4" w:rsidRPr="00055111" w:rsidRDefault="00FB245D" w:rsidP="009C40F1">
      <w:pPr>
        <w:numPr>
          <w:ilvl w:val="0"/>
          <w:numId w:val="3"/>
        </w:numPr>
        <w:spacing w:after="0" w:line="480" w:lineRule="auto"/>
        <w:ind w:firstLine="0"/>
        <w:rPr>
          <w:rFonts w:ascii="Garamond" w:hAnsi="Garamond"/>
          <w:sz w:val="28"/>
          <w:szCs w:val="28"/>
        </w:rPr>
      </w:pPr>
      <w:r w:rsidRPr="00055111">
        <w:rPr>
          <w:rFonts w:ascii="Garamond" w:hAnsi="Garamond"/>
          <w:sz w:val="28"/>
          <w:szCs w:val="28"/>
        </w:rPr>
        <w:lastRenderedPageBreak/>
        <w:tab/>
      </w:r>
      <w:r w:rsidR="009C7BB4" w:rsidRPr="00055111">
        <w:rPr>
          <w:rFonts w:ascii="Garamond" w:hAnsi="Garamond"/>
          <w:sz w:val="28"/>
          <w:szCs w:val="28"/>
        </w:rPr>
        <w:t xml:space="preserve">Notably, the Petition does not explain the process by which ADCRR settled on its current protocol or claim that compounded pentobarbital is the only feasible means for conducting lethal injection executions. </w:t>
      </w:r>
      <w:r w:rsidRPr="00055111">
        <w:rPr>
          <w:rFonts w:ascii="Garamond" w:hAnsi="Garamond"/>
          <w:sz w:val="28"/>
          <w:szCs w:val="28"/>
        </w:rPr>
        <w:t>A</w:t>
      </w:r>
      <w:r w:rsidR="009C7BB4" w:rsidRPr="00055111">
        <w:rPr>
          <w:rFonts w:ascii="Garamond" w:hAnsi="Garamond"/>
          <w:sz w:val="28"/>
          <w:szCs w:val="28"/>
        </w:rPr>
        <w:t xml:space="preserve"> survey of lethal injection jurisdictions</w:t>
      </w:r>
      <w:r w:rsidRPr="00055111">
        <w:rPr>
          <w:rFonts w:ascii="Garamond" w:hAnsi="Garamond"/>
          <w:sz w:val="28"/>
          <w:szCs w:val="28"/>
        </w:rPr>
        <w:t>, however,</w:t>
      </w:r>
      <w:r w:rsidR="009C7BB4" w:rsidRPr="00055111">
        <w:rPr>
          <w:rFonts w:ascii="Garamond" w:hAnsi="Garamond"/>
          <w:sz w:val="28"/>
          <w:szCs w:val="28"/>
        </w:rPr>
        <w:t xml:space="preserve"> reveals many using protocols other than Arizona’s one-drug pentobarbital protocol, demonstrating that alternatives are practical and available. Death Penalty Information Center, “State-By-State Execution Protocols,” available at </w:t>
      </w:r>
      <w:hyperlink r:id="rId17" w:history="1">
        <w:r w:rsidR="009C40F1" w:rsidRPr="00055111">
          <w:rPr>
            <w:rStyle w:val="Hyperlink"/>
            <w:rFonts w:ascii="Garamond" w:hAnsi="Garamond"/>
            <w:sz w:val="28"/>
            <w:szCs w:val="28"/>
          </w:rPr>
          <w:t>https://deathpenaltyinfo.org/executions/methods-of-execution/state-by-state-execution-protocols</w:t>
        </w:r>
      </w:hyperlink>
      <w:r w:rsidR="009C40F1" w:rsidRPr="00055111">
        <w:rPr>
          <w:rFonts w:ascii="Garamond" w:hAnsi="Garamond"/>
          <w:sz w:val="28"/>
          <w:szCs w:val="28"/>
        </w:rPr>
        <w:t xml:space="preserve"> </w:t>
      </w:r>
      <w:r w:rsidR="009C7BB4" w:rsidRPr="00055111">
        <w:rPr>
          <w:rFonts w:ascii="Garamond" w:hAnsi="Garamond"/>
          <w:sz w:val="28"/>
          <w:szCs w:val="28"/>
        </w:rPr>
        <w:t>(accessed April 24, 2025). The availability of these alternatives makes ADCRR’s continued reliance on compounded pentobarbital all the stranger and Petitioner’s request that this Court modify the rules to accommodate that choice all the more unreasonable.</w:t>
      </w:r>
    </w:p>
    <w:p w14:paraId="5A2AC233" w14:textId="66B611C6" w:rsidR="003009B1" w:rsidRPr="00055111" w:rsidRDefault="00BB3FCC" w:rsidP="002A2889">
      <w:pPr>
        <w:spacing w:after="0" w:line="480" w:lineRule="auto"/>
        <w:ind w:firstLine="720"/>
        <w:rPr>
          <w:rFonts w:ascii="Garamond" w:hAnsi="Garamond"/>
          <w:sz w:val="28"/>
          <w:szCs w:val="28"/>
        </w:rPr>
      </w:pPr>
      <w:r w:rsidRPr="00055111">
        <w:rPr>
          <w:rFonts w:ascii="Garamond" w:hAnsi="Garamond"/>
          <w:sz w:val="28"/>
          <w:szCs w:val="28"/>
        </w:rPr>
        <w:t xml:space="preserve">At any time, </w:t>
      </w:r>
      <w:r w:rsidR="007766AF" w:rsidRPr="00055111">
        <w:rPr>
          <w:rFonts w:ascii="Garamond" w:hAnsi="Garamond"/>
          <w:sz w:val="28"/>
          <w:szCs w:val="28"/>
        </w:rPr>
        <w:t xml:space="preserve">ADCRR </w:t>
      </w:r>
      <w:r w:rsidR="00AA2020" w:rsidRPr="00055111">
        <w:rPr>
          <w:rFonts w:ascii="Garamond" w:hAnsi="Garamond"/>
          <w:sz w:val="28"/>
          <w:szCs w:val="28"/>
        </w:rPr>
        <w:t xml:space="preserve">could exercise </w:t>
      </w:r>
      <w:r w:rsidR="00A14605" w:rsidRPr="00055111">
        <w:rPr>
          <w:rFonts w:ascii="Garamond" w:hAnsi="Garamond"/>
          <w:sz w:val="28"/>
          <w:szCs w:val="28"/>
        </w:rPr>
        <w:t>its</w:t>
      </w:r>
      <w:r w:rsidR="00AA2020" w:rsidRPr="00055111">
        <w:rPr>
          <w:rFonts w:ascii="Garamond" w:hAnsi="Garamond"/>
          <w:sz w:val="28"/>
          <w:szCs w:val="28"/>
        </w:rPr>
        <w:t xml:space="preserve"> discretion</w:t>
      </w:r>
      <w:r w:rsidR="007766AF" w:rsidRPr="00055111">
        <w:rPr>
          <w:rFonts w:ascii="Garamond" w:hAnsi="Garamond"/>
          <w:sz w:val="28"/>
          <w:szCs w:val="28"/>
        </w:rPr>
        <w:t xml:space="preserve"> to adopt </w:t>
      </w:r>
      <w:r w:rsidR="00C95F6D" w:rsidRPr="00055111">
        <w:rPr>
          <w:rFonts w:ascii="Garamond" w:hAnsi="Garamond"/>
          <w:sz w:val="28"/>
          <w:szCs w:val="28"/>
        </w:rPr>
        <w:t xml:space="preserve">a new protocol </w:t>
      </w:r>
      <w:r w:rsidR="00DF67BE" w:rsidRPr="00055111">
        <w:rPr>
          <w:rFonts w:ascii="Garamond" w:hAnsi="Garamond"/>
          <w:sz w:val="28"/>
          <w:szCs w:val="28"/>
        </w:rPr>
        <w:t>based upon a different drug</w:t>
      </w:r>
      <w:r w:rsidR="000C7754" w:rsidRPr="00055111">
        <w:rPr>
          <w:rFonts w:ascii="Garamond" w:hAnsi="Garamond"/>
          <w:sz w:val="28"/>
          <w:szCs w:val="28"/>
        </w:rPr>
        <w:t xml:space="preserve"> </w:t>
      </w:r>
      <w:r w:rsidR="00AB573D" w:rsidRPr="00055111">
        <w:rPr>
          <w:rFonts w:ascii="Garamond" w:hAnsi="Garamond"/>
          <w:sz w:val="28"/>
          <w:szCs w:val="28"/>
        </w:rPr>
        <w:t>with</w:t>
      </w:r>
      <w:r w:rsidR="000C7754" w:rsidRPr="00055111">
        <w:rPr>
          <w:rFonts w:ascii="Garamond" w:hAnsi="Garamond"/>
          <w:sz w:val="28"/>
          <w:szCs w:val="28"/>
        </w:rPr>
        <w:t xml:space="preserve"> </w:t>
      </w:r>
      <w:r w:rsidR="00C06CD8" w:rsidRPr="00055111">
        <w:rPr>
          <w:rFonts w:ascii="Garamond" w:hAnsi="Garamond"/>
          <w:sz w:val="28"/>
          <w:szCs w:val="28"/>
        </w:rPr>
        <w:t>a different BUD</w:t>
      </w:r>
      <w:r w:rsidR="000C7754" w:rsidRPr="00055111">
        <w:rPr>
          <w:rFonts w:ascii="Garamond" w:hAnsi="Garamond"/>
          <w:sz w:val="28"/>
          <w:szCs w:val="28"/>
        </w:rPr>
        <w:t xml:space="preserve">. Alternately, </w:t>
      </w:r>
      <w:r w:rsidR="00AE2F5C" w:rsidRPr="00055111">
        <w:rPr>
          <w:rFonts w:ascii="Garamond" w:hAnsi="Garamond"/>
          <w:sz w:val="28"/>
          <w:szCs w:val="28"/>
        </w:rPr>
        <w:t>ADCRR could maintain the current protocol but obtain a</w:t>
      </w:r>
      <w:r w:rsidR="00AE1926" w:rsidRPr="00055111">
        <w:rPr>
          <w:rFonts w:ascii="Garamond" w:hAnsi="Garamond"/>
          <w:sz w:val="28"/>
          <w:szCs w:val="28"/>
        </w:rPr>
        <w:t xml:space="preserve"> supply of industrially manufactured pentobarbital, mooting the issues that arise from compounding.</w:t>
      </w:r>
      <w:r w:rsidR="009B3A64" w:rsidRPr="00055111">
        <w:rPr>
          <w:rFonts w:ascii="Garamond" w:hAnsi="Garamond"/>
          <w:sz w:val="28"/>
          <w:szCs w:val="28"/>
        </w:rPr>
        <w:t xml:space="preserve"> </w:t>
      </w:r>
      <w:r w:rsidR="00E728A1" w:rsidRPr="00055111">
        <w:rPr>
          <w:rFonts w:ascii="Garamond" w:hAnsi="Garamond"/>
          <w:sz w:val="28"/>
          <w:szCs w:val="28"/>
        </w:rPr>
        <w:t xml:space="preserve">Of course, </w:t>
      </w:r>
      <w:r w:rsidR="00B53ECA" w:rsidRPr="00055111">
        <w:rPr>
          <w:rFonts w:ascii="Garamond" w:hAnsi="Garamond"/>
          <w:sz w:val="28"/>
          <w:szCs w:val="28"/>
        </w:rPr>
        <w:t>a different protocol could present its own temporal or other problems</w:t>
      </w:r>
      <w:r w:rsidR="001F54E8" w:rsidRPr="00055111">
        <w:rPr>
          <w:rFonts w:ascii="Garamond" w:hAnsi="Garamond"/>
          <w:sz w:val="28"/>
          <w:szCs w:val="28"/>
        </w:rPr>
        <w:t xml:space="preserve"> that would have to be addressed </w:t>
      </w:r>
      <w:r w:rsidR="00B82AFF" w:rsidRPr="00055111">
        <w:rPr>
          <w:rFonts w:ascii="Garamond" w:hAnsi="Garamond"/>
          <w:sz w:val="28"/>
          <w:szCs w:val="28"/>
        </w:rPr>
        <w:t xml:space="preserve">in the warrant process, but that contingency is the point—it </w:t>
      </w:r>
      <w:r w:rsidR="000227F4" w:rsidRPr="00055111">
        <w:rPr>
          <w:rFonts w:ascii="Garamond" w:hAnsi="Garamond"/>
          <w:sz w:val="28"/>
          <w:szCs w:val="28"/>
        </w:rPr>
        <w:t xml:space="preserve">makes little sense to adopt a fixed </w:t>
      </w:r>
      <w:r w:rsidR="002F2046" w:rsidRPr="00055111">
        <w:rPr>
          <w:rFonts w:ascii="Garamond" w:hAnsi="Garamond"/>
          <w:sz w:val="28"/>
          <w:szCs w:val="28"/>
        </w:rPr>
        <w:t xml:space="preserve">and universally applicable </w:t>
      </w:r>
      <w:r w:rsidR="000227F4" w:rsidRPr="00055111">
        <w:rPr>
          <w:rFonts w:ascii="Garamond" w:hAnsi="Garamond"/>
          <w:sz w:val="28"/>
          <w:szCs w:val="28"/>
        </w:rPr>
        <w:t xml:space="preserve">procedural rule catering to the idiosyncrasies of ADCRR’s current lethal injection protocol when </w:t>
      </w:r>
      <w:r w:rsidR="003009B1" w:rsidRPr="00055111">
        <w:rPr>
          <w:rFonts w:ascii="Garamond" w:hAnsi="Garamond"/>
          <w:sz w:val="28"/>
          <w:szCs w:val="28"/>
        </w:rPr>
        <w:t>th</w:t>
      </w:r>
      <w:r w:rsidR="00EB2353" w:rsidRPr="00055111">
        <w:rPr>
          <w:rFonts w:ascii="Garamond" w:hAnsi="Garamond"/>
          <w:sz w:val="28"/>
          <w:szCs w:val="28"/>
        </w:rPr>
        <w:t>e</w:t>
      </w:r>
      <w:r w:rsidR="003009B1" w:rsidRPr="00055111">
        <w:rPr>
          <w:rFonts w:ascii="Garamond" w:hAnsi="Garamond"/>
          <w:sz w:val="28"/>
          <w:szCs w:val="28"/>
        </w:rPr>
        <w:t xml:space="preserve"> </w:t>
      </w:r>
      <w:r w:rsidR="00EB2353" w:rsidRPr="00055111">
        <w:rPr>
          <w:rFonts w:ascii="Garamond" w:hAnsi="Garamond"/>
          <w:sz w:val="28"/>
          <w:szCs w:val="28"/>
        </w:rPr>
        <w:t>protocol is</w:t>
      </w:r>
      <w:r w:rsidR="003009B1" w:rsidRPr="00055111">
        <w:rPr>
          <w:rFonts w:ascii="Garamond" w:hAnsi="Garamond"/>
          <w:sz w:val="28"/>
          <w:szCs w:val="28"/>
        </w:rPr>
        <w:t xml:space="preserve"> </w:t>
      </w:r>
      <w:r w:rsidR="006E3B1C" w:rsidRPr="00055111">
        <w:rPr>
          <w:rFonts w:ascii="Garamond" w:hAnsi="Garamond"/>
          <w:sz w:val="28"/>
          <w:szCs w:val="28"/>
        </w:rPr>
        <w:t xml:space="preserve">so </w:t>
      </w:r>
      <w:r w:rsidR="003009B1" w:rsidRPr="00055111">
        <w:rPr>
          <w:rFonts w:ascii="Garamond" w:hAnsi="Garamond"/>
          <w:sz w:val="28"/>
          <w:szCs w:val="28"/>
        </w:rPr>
        <w:t>readily susceptible to change.</w:t>
      </w:r>
      <w:r w:rsidR="00B74154" w:rsidRPr="00055111">
        <w:rPr>
          <w:rFonts w:ascii="Garamond" w:hAnsi="Garamond"/>
          <w:sz w:val="28"/>
          <w:szCs w:val="28"/>
        </w:rPr>
        <w:t xml:space="preserve"> </w:t>
      </w:r>
    </w:p>
    <w:p w14:paraId="24C7A7CF" w14:textId="59B1FB43" w:rsidR="00040B76" w:rsidRPr="00055111" w:rsidRDefault="00886C06" w:rsidP="00040B76">
      <w:pPr>
        <w:spacing w:after="0" w:line="480" w:lineRule="auto"/>
        <w:rPr>
          <w:rFonts w:ascii="Garamond" w:hAnsi="Garamond"/>
          <w:sz w:val="28"/>
          <w:szCs w:val="28"/>
        </w:rPr>
      </w:pPr>
      <w:r w:rsidRPr="00055111">
        <w:rPr>
          <w:rFonts w:ascii="Garamond" w:hAnsi="Garamond"/>
          <w:sz w:val="28"/>
          <w:szCs w:val="28"/>
        </w:rPr>
        <w:lastRenderedPageBreak/>
        <w:tab/>
      </w:r>
      <w:r w:rsidR="003009B1" w:rsidRPr="00055111">
        <w:rPr>
          <w:rFonts w:ascii="Garamond" w:hAnsi="Garamond"/>
          <w:sz w:val="28"/>
          <w:szCs w:val="28"/>
        </w:rPr>
        <w:t>Underscoring that</w:t>
      </w:r>
      <w:r w:rsidR="001242CA" w:rsidRPr="00055111">
        <w:rPr>
          <w:rFonts w:ascii="Garamond" w:hAnsi="Garamond"/>
          <w:sz w:val="28"/>
          <w:szCs w:val="28"/>
        </w:rPr>
        <w:t xml:space="preserve"> point, there is no guarantee that the proposed rule will remain fit for purpose </w:t>
      </w:r>
      <w:r w:rsidR="0005725D" w:rsidRPr="00055111">
        <w:rPr>
          <w:rFonts w:ascii="Garamond" w:hAnsi="Garamond"/>
          <w:sz w:val="28"/>
          <w:szCs w:val="28"/>
        </w:rPr>
        <w:t xml:space="preserve">even with the current lethal injection protocol and </w:t>
      </w:r>
      <w:r w:rsidR="00A26CF6" w:rsidRPr="00055111">
        <w:rPr>
          <w:rFonts w:ascii="Garamond" w:hAnsi="Garamond"/>
          <w:sz w:val="28"/>
          <w:szCs w:val="28"/>
        </w:rPr>
        <w:t xml:space="preserve">drug supply. </w:t>
      </w:r>
      <w:r w:rsidR="005B0F1B" w:rsidRPr="00055111">
        <w:rPr>
          <w:rFonts w:ascii="Garamond" w:hAnsi="Garamond"/>
          <w:sz w:val="28"/>
          <w:szCs w:val="28"/>
        </w:rPr>
        <w:t>T</w:t>
      </w:r>
      <w:r w:rsidR="001508CF" w:rsidRPr="00055111">
        <w:rPr>
          <w:rFonts w:ascii="Garamond" w:hAnsi="Garamond"/>
          <w:sz w:val="28"/>
          <w:szCs w:val="28"/>
        </w:rPr>
        <w:t xml:space="preserve">he Petition </w:t>
      </w:r>
      <w:r w:rsidR="0039760A" w:rsidRPr="00055111">
        <w:rPr>
          <w:rFonts w:ascii="Garamond" w:hAnsi="Garamond"/>
          <w:sz w:val="28"/>
          <w:szCs w:val="28"/>
        </w:rPr>
        <w:t xml:space="preserve">states that </w:t>
      </w:r>
      <w:r w:rsidR="005F5BCA" w:rsidRPr="00055111">
        <w:rPr>
          <w:rFonts w:ascii="Garamond" w:hAnsi="Garamond"/>
          <w:sz w:val="28"/>
          <w:szCs w:val="28"/>
        </w:rPr>
        <w:t xml:space="preserve">the 90-day BUD </w:t>
      </w:r>
      <w:r w:rsidR="00C20921" w:rsidRPr="00055111">
        <w:rPr>
          <w:rFonts w:ascii="Garamond" w:hAnsi="Garamond"/>
          <w:sz w:val="28"/>
          <w:szCs w:val="28"/>
        </w:rPr>
        <w:t>it relies on</w:t>
      </w:r>
      <w:r w:rsidR="00517330" w:rsidRPr="00055111">
        <w:rPr>
          <w:rFonts w:ascii="Garamond" w:hAnsi="Garamond"/>
          <w:sz w:val="28"/>
          <w:szCs w:val="28"/>
        </w:rPr>
        <w:t xml:space="preserve"> is </w:t>
      </w:r>
      <w:r w:rsidR="003E7619" w:rsidRPr="00055111">
        <w:rPr>
          <w:rFonts w:ascii="Garamond" w:hAnsi="Garamond"/>
          <w:sz w:val="28"/>
          <w:szCs w:val="28"/>
        </w:rPr>
        <w:t>derived from</w:t>
      </w:r>
      <w:r w:rsidR="00517330" w:rsidRPr="00055111">
        <w:rPr>
          <w:rFonts w:ascii="Garamond" w:hAnsi="Garamond"/>
          <w:sz w:val="28"/>
          <w:szCs w:val="28"/>
        </w:rPr>
        <w:t xml:space="preserve"> testing completed in 2022.</w:t>
      </w:r>
      <w:r w:rsidR="00805194" w:rsidRPr="00055111">
        <w:rPr>
          <w:rFonts w:ascii="Garamond" w:hAnsi="Garamond"/>
          <w:sz w:val="28"/>
          <w:szCs w:val="28"/>
        </w:rPr>
        <w:t xml:space="preserve"> </w:t>
      </w:r>
      <w:r w:rsidR="00427D53" w:rsidRPr="00055111">
        <w:rPr>
          <w:rFonts w:ascii="Garamond" w:hAnsi="Garamond"/>
          <w:sz w:val="28"/>
          <w:szCs w:val="28"/>
        </w:rPr>
        <w:t xml:space="preserve">Petition at </w:t>
      </w:r>
      <w:r w:rsidR="007D7C68" w:rsidRPr="00055111">
        <w:rPr>
          <w:rFonts w:ascii="Garamond" w:hAnsi="Garamond"/>
          <w:sz w:val="28"/>
          <w:szCs w:val="28"/>
        </w:rPr>
        <w:t xml:space="preserve">3 n.3. </w:t>
      </w:r>
      <w:r w:rsidR="00805194" w:rsidRPr="00055111">
        <w:rPr>
          <w:rFonts w:ascii="Garamond" w:hAnsi="Garamond"/>
          <w:sz w:val="28"/>
          <w:szCs w:val="28"/>
        </w:rPr>
        <w:t>That testing</w:t>
      </w:r>
      <w:r w:rsidR="00B54256" w:rsidRPr="00055111">
        <w:rPr>
          <w:rFonts w:ascii="Garamond" w:hAnsi="Garamond"/>
          <w:sz w:val="28"/>
          <w:szCs w:val="28"/>
        </w:rPr>
        <w:t xml:space="preserve"> was presumably performed on </w:t>
      </w:r>
      <w:r w:rsidR="003E3E4A" w:rsidRPr="00055111">
        <w:rPr>
          <w:rFonts w:ascii="Garamond" w:hAnsi="Garamond"/>
          <w:sz w:val="28"/>
          <w:szCs w:val="28"/>
        </w:rPr>
        <w:t xml:space="preserve">pentobarbital compounded from </w:t>
      </w:r>
      <w:r w:rsidR="008F02C3" w:rsidRPr="00055111">
        <w:rPr>
          <w:rFonts w:ascii="Garamond" w:hAnsi="Garamond"/>
          <w:sz w:val="28"/>
          <w:szCs w:val="28"/>
        </w:rPr>
        <w:t xml:space="preserve">the </w:t>
      </w:r>
      <w:r w:rsidR="007D3AC6" w:rsidRPr="00055111">
        <w:rPr>
          <w:rFonts w:ascii="Garamond" w:hAnsi="Garamond"/>
          <w:sz w:val="28"/>
          <w:szCs w:val="28"/>
        </w:rPr>
        <w:t>supply</w:t>
      </w:r>
      <w:r w:rsidR="008146F5" w:rsidRPr="00055111">
        <w:rPr>
          <w:rFonts w:ascii="Garamond" w:hAnsi="Garamond"/>
          <w:sz w:val="28"/>
          <w:szCs w:val="28"/>
        </w:rPr>
        <w:t xml:space="preserve"> of pentobarbital active pharmaceutical ingredient (“API”) obtained by ADCRR in 2020</w:t>
      </w:r>
      <w:r w:rsidR="00C94006" w:rsidRPr="00055111">
        <w:rPr>
          <w:rFonts w:ascii="Garamond" w:hAnsi="Garamond"/>
          <w:sz w:val="28"/>
          <w:szCs w:val="28"/>
        </w:rPr>
        <w:t xml:space="preserve">, and that same pentobarbital </w:t>
      </w:r>
      <w:r w:rsidR="002D3309" w:rsidRPr="00055111">
        <w:rPr>
          <w:rFonts w:ascii="Garamond" w:hAnsi="Garamond"/>
          <w:sz w:val="28"/>
          <w:szCs w:val="28"/>
        </w:rPr>
        <w:t xml:space="preserve">API will be used </w:t>
      </w:r>
      <w:r w:rsidR="009473E4" w:rsidRPr="00055111">
        <w:rPr>
          <w:rFonts w:ascii="Garamond" w:hAnsi="Garamond"/>
          <w:sz w:val="28"/>
          <w:szCs w:val="28"/>
        </w:rPr>
        <w:t xml:space="preserve">to compound lethal drugs </w:t>
      </w:r>
      <w:r w:rsidR="002D3309" w:rsidRPr="00055111">
        <w:rPr>
          <w:rFonts w:ascii="Garamond" w:hAnsi="Garamond"/>
          <w:sz w:val="28"/>
          <w:szCs w:val="28"/>
        </w:rPr>
        <w:t>in future executions under the protocol</w:t>
      </w:r>
      <w:r w:rsidR="008146F5" w:rsidRPr="00055111">
        <w:rPr>
          <w:rFonts w:ascii="Garamond" w:hAnsi="Garamond"/>
          <w:sz w:val="28"/>
          <w:szCs w:val="28"/>
        </w:rPr>
        <w:t>.</w:t>
      </w:r>
      <w:r w:rsidR="002D3309" w:rsidRPr="00055111">
        <w:rPr>
          <w:rStyle w:val="FootnoteReference"/>
          <w:rFonts w:ascii="Garamond" w:hAnsi="Garamond"/>
          <w:sz w:val="28"/>
          <w:szCs w:val="28"/>
        </w:rPr>
        <w:footnoteReference w:id="8"/>
      </w:r>
      <w:r w:rsidR="00C530C1" w:rsidRPr="00055111">
        <w:rPr>
          <w:rFonts w:ascii="Garamond" w:hAnsi="Garamond"/>
          <w:sz w:val="28"/>
          <w:szCs w:val="28"/>
        </w:rPr>
        <w:t xml:space="preserve"> </w:t>
      </w:r>
      <w:r w:rsidR="00464EEF" w:rsidRPr="00055111">
        <w:rPr>
          <w:rFonts w:ascii="Garamond" w:hAnsi="Garamond"/>
          <w:sz w:val="28"/>
          <w:szCs w:val="28"/>
        </w:rPr>
        <w:t xml:space="preserve">Ed Pilkington, </w:t>
      </w:r>
      <w:r w:rsidR="00464EEF" w:rsidRPr="00055111">
        <w:rPr>
          <w:rFonts w:ascii="Garamond" w:hAnsi="Garamond"/>
          <w:i/>
          <w:iCs/>
          <w:sz w:val="28"/>
          <w:szCs w:val="28"/>
        </w:rPr>
        <w:t>Revealed: Republican-led states secretly spending huge sums on execution drugs</w:t>
      </w:r>
      <w:r w:rsidR="00464EEF" w:rsidRPr="00055111">
        <w:rPr>
          <w:rFonts w:ascii="Garamond" w:hAnsi="Garamond"/>
          <w:sz w:val="28"/>
          <w:szCs w:val="28"/>
        </w:rPr>
        <w:t xml:space="preserve">, </w:t>
      </w:r>
      <w:r w:rsidR="00464EEF" w:rsidRPr="00055111">
        <w:rPr>
          <w:rFonts w:ascii="Garamond" w:hAnsi="Garamond"/>
          <w:smallCaps/>
          <w:sz w:val="28"/>
          <w:szCs w:val="28"/>
        </w:rPr>
        <w:t>The Guardian</w:t>
      </w:r>
      <w:r w:rsidR="00D151A4" w:rsidRPr="00055111">
        <w:rPr>
          <w:rFonts w:ascii="Garamond" w:hAnsi="Garamond"/>
          <w:sz w:val="28"/>
          <w:szCs w:val="28"/>
        </w:rPr>
        <w:t>, Apr. 9, 2021.</w:t>
      </w:r>
      <w:r w:rsidR="00233BBA" w:rsidRPr="00055111">
        <w:rPr>
          <w:rFonts w:ascii="Garamond" w:hAnsi="Garamond"/>
          <w:sz w:val="28"/>
          <w:szCs w:val="28"/>
        </w:rPr>
        <w:t xml:space="preserve"> Whether the </w:t>
      </w:r>
      <w:r w:rsidR="00A05263" w:rsidRPr="00055111">
        <w:rPr>
          <w:rFonts w:ascii="Garamond" w:hAnsi="Garamond"/>
          <w:sz w:val="28"/>
          <w:szCs w:val="28"/>
        </w:rPr>
        <w:t xml:space="preserve">90-day BUD obtained in 2022 was ever accurate is questionable. Exhibit </w:t>
      </w:r>
      <w:r w:rsidR="003B311C" w:rsidRPr="00055111">
        <w:rPr>
          <w:rFonts w:ascii="Garamond" w:hAnsi="Garamond"/>
          <w:sz w:val="28"/>
          <w:szCs w:val="28"/>
        </w:rPr>
        <w:t>A</w:t>
      </w:r>
      <w:r w:rsidR="00A05263" w:rsidRPr="00055111">
        <w:rPr>
          <w:rFonts w:ascii="Garamond" w:hAnsi="Garamond"/>
          <w:sz w:val="28"/>
          <w:szCs w:val="28"/>
        </w:rPr>
        <w:t xml:space="preserve">, </w:t>
      </w:r>
      <w:r w:rsidR="009427DD" w:rsidRPr="00055111">
        <w:rPr>
          <w:rFonts w:ascii="Garamond" w:hAnsi="Garamond"/>
          <w:i/>
          <w:iCs/>
          <w:sz w:val="28"/>
          <w:szCs w:val="28"/>
        </w:rPr>
        <w:t xml:space="preserve">Dixon v. </w:t>
      </w:r>
      <w:r w:rsidR="00973762" w:rsidRPr="00055111">
        <w:rPr>
          <w:rFonts w:ascii="Garamond" w:hAnsi="Garamond"/>
          <w:i/>
          <w:iCs/>
          <w:sz w:val="28"/>
          <w:szCs w:val="28"/>
        </w:rPr>
        <w:t>ADCRR</w:t>
      </w:r>
      <w:r w:rsidR="009427DD" w:rsidRPr="00055111">
        <w:rPr>
          <w:rFonts w:ascii="Garamond" w:hAnsi="Garamond"/>
          <w:sz w:val="28"/>
          <w:szCs w:val="28"/>
        </w:rPr>
        <w:t xml:space="preserve">, No. </w:t>
      </w:r>
      <w:r w:rsidR="00350FAC" w:rsidRPr="00055111">
        <w:rPr>
          <w:rFonts w:ascii="Garamond" w:hAnsi="Garamond"/>
          <w:sz w:val="28"/>
          <w:szCs w:val="28"/>
        </w:rPr>
        <w:t xml:space="preserve">CV 22–00743–PHX–DJH (D. Ariz.), </w:t>
      </w:r>
      <w:r w:rsidR="00BF136F" w:rsidRPr="00055111">
        <w:rPr>
          <w:rFonts w:ascii="Garamond" w:hAnsi="Garamond"/>
          <w:sz w:val="28"/>
          <w:szCs w:val="28"/>
        </w:rPr>
        <w:t xml:space="preserve">Supplemental Expert Report of Dr. Michaela Almgren (3/31/2022) </w:t>
      </w:r>
      <w:r w:rsidR="00940A34" w:rsidRPr="00055111">
        <w:rPr>
          <w:rFonts w:ascii="Garamond" w:hAnsi="Garamond"/>
          <w:sz w:val="28"/>
          <w:szCs w:val="28"/>
        </w:rPr>
        <w:t xml:space="preserve">(pharmacist opining </w:t>
      </w:r>
      <w:r w:rsidR="00016786" w:rsidRPr="00055111">
        <w:rPr>
          <w:rFonts w:ascii="Garamond" w:hAnsi="Garamond"/>
          <w:sz w:val="28"/>
          <w:szCs w:val="28"/>
        </w:rPr>
        <w:t xml:space="preserve">that </w:t>
      </w:r>
      <w:r w:rsidR="008C76D4" w:rsidRPr="00055111">
        <w:rPr>
          <w:rFonts w:ascii="Garamond" w:hAnsi="Garamond"/>
          <w:sz w:val="28"/>
          <w:szCs w:val="28"/>
        </w:rPr>
        <w:t xml:space="preserve">stability data disclosed by the State </w:t>
      </w:r>
      <w:r w:rsidR="00F65EAA" w:rsidRPr="00055111">
        <w:rPr>
          <w:rFonts w:ascii="Garamond" w:hAnsi="Garamond"/>
          <w:sz w:val="28"/>
          <w:szCs w:val="28"/>
        </w:rPr>
        <w:t>insufficient to establish extended BUD).</w:t>
      </w:r>
      <w:r w:rsidR="00410105" w:rsidRPr="00055111">
        <w:rPr>
          <w:rFonts w:ascii="Garamond" w:hAnsi="Garamond"/>
          <w:sz w:val="28"/>
          <w:szCs w:val="28"/>
        </w:rPr>
        <w:t xml:space="preserve"> </w:t>
      </w:r>
      <w:r w:rsidR="008B029D" w:rsidRPr="00055111">
        <w:rPr>
          <w:rFonts w:ascii="Garamond" w:hAnsi="Garamond"/>
          <w:sz w:val="28"/>
          <w:szCs w:val="28"/>
        </w:rPr>
        <w:t xml:space="preserve">As </w:t>
      </w:r>
      <w:r w:rsidR="00F65EAA" w:rsidRPr="00055111">
        <w:rPr>
          <w:rFonts w:ascii="Garamond" w:hAnsi="Garamond"/>
          <w:sz w:val="28"/>
          <w:szCs w:val="28"/>
        </w:rPr>
        <w:t xml:space="preserve">the State’s </w:t>
      </w:r>
      <w:r w:rsidR="008B029D" w:rsidRPr="00055111">
        <w:rPr>
          <w:rFonts w:ascii="Garamond" w:hAnsi="Garamond"/>
          <w:sz w:val="28"/>
          <w:szCs w:val="28"/>
        </w:rPr>
        <w:t xml:space="preserve">API </w:t>
      </w:r>
      <w:r w:rsidR="00F65EAA" w:rsidRPr="00055111">
        <w:rPr>
          <w:rFonts w:ascii="Garamond" w:hAnsi="Garamond"/>
          <w:sz w:val="28"/>
          <w:szCs w:val="28"/>
        </w:rPr>
        <w:t xml:space="preserve">supply </w:t>
      </w:r>
      <w:r w:rsidR="008B029D" w:rsidRPr="00055111">
        <w:rPr>
          <w:rFonts w:ascii="Garamond" w:hAnsi="Garamond"/>
          <w:sz w:val="28"/>
          <w:szCs w:val="28"/>
        </w:rPr>
        <w:t>ages</w:t>
      </w:r>
      <w:r w:rsidR="00640413" w:rsidRPr="00055111">
        <w:rPr>
          <w:rFonts w:ascii="Garamond" w:hAnsi="Garamond"/>
          <w:sz w:val="28"/>
          <w:szCs w:val="28"/>
        </w:rPr>
        <w:t xml:space="preserve"> and degrades</w:t>
      </w:r>
      <w:r w:rsidR="00CB26A1" w:rsidRPr="00055111">
        <w:rPr>
          <w:rFonts w:ascii="Garamond" w:hAnsi="Garamond"/>
          <w:sz w:val="28"/>
          <w:szCs w:val="28"/>
        </w:rPr>
        <w:t>, it is</w:t>
      </w:r>
      <w:r w:rsidR="0072758D" w:rsidRPr="00055111">
        <w:rPr>
          <w:rFonts w:ascii="Garamond" w:hAnsi="Garamond"/>
          <w:sz w:val="28"/>
          <w:szCs w:val="28"/>
        </w:rPr>
        <w:t xml:space="preserve"> increasingly</w:t>
      </w:r>
      <w:r w:rsidR="00CB26A1" w:rsidRPr="00055111">
        <w:rPr>
          <w:rFonts w:ascii="Garamond" w:hAnsi="Garamond"/>
          <w:sz w:val="28"/>
          <w:szCs w:val="28"/>
        </w:rPr>
        <w:t xml:space="preserve"> doubtful that a</w:t>
      </w:r>
      <w:r w:rsidR="00C379D5" w:rsidRPr="00055111">
        <w:rPr>
          <w:rFonts w:ascii="Garamond" w:hAnsi="Garamond"/>
          <w:sz w:val="28"/>
          <w:szCs w:val="28"/>
        </w:rPr>
        <w:t>n already questionable</w:t>
      </w:r>
      <w:r w:rsidR="00CB26A1" w:rsidRPr="00055111">
        <w:rPr>
          <w:rFonts w:ascii="Garamond" w:hAnsi="Garamond"/>
          <w:sz w:val="28"/>
          <w:szCs w:val="28"/>
        </w:rPr>
        <w:t xml:space="preserve"> </w:t>
      </w:r>
      <w:r w:rsidR="00FE262D" w:rsidRPr="00055111">
        <w:rPr>
          <w:rFonts w:ascii="Garamond" w:hAnsi="Garamond"/>
          <w:sz w:val="28"/>
          <w:szCs w:val="28"/>
        </w:rPr>
        <w:t xml:space="preserve">extended </w:t>
      </w:r>
      <w:r w:rsidR="00CB26A1" w:rsidRPr="00055111">
        <w:rPr>
          <w:rFonts w:ascii="Garamond" w:hAnsi="Garamond"/>
          <w:sz w:val="28"/>
          <w:szCs w:val="28"/>
        </w:rPr>
        <w:t xml:space="preserve">BUD obtained from testing performed years earlier </w:t>
      </w:r>
      <w:r w:rsidR="00C87B37" w:rsidRPr="00055111">
        <w:rPr>
          <w:rFonts w:ascii="Garamond" w:hAnsi="Garamond"/>
          <w:sz w:val="28"/>
          <w:szCs w:val="28"/>
        </w:rPr>
        <w:t xml:space="preserve">on API that is now </w:t>
      </w:r>
      <w:r w:rsidR="00C87B37" w:rsidRPr="00055111">
        <w:rPr>
          <w:rFonts w:ascii="Garamond" w:hAnsi="Garamond"/>
          <w:sz w:val="28"/>
          <w:szCs w:val="28"/>
        </w:rPr>
        <w:lastRenderedPageBreak/>
        <w:t xml:space="preserve">likely expired </w:t>
      </w:r>
      <w:r w:rsidR="00640413" w:rsidRPr="00055111">
        <w:rPr>
          <w:rFonts w:ascii="Garamond" w:hAnsi="Garamond"/>
          <w:sz w:val="28"/>
          <w:szCs w:val="28"/>
        </w:rPr>
        <w:t>will be</w:t>
      </w:r>
      <w:r w:rsidR="00CB26A1" w:rsidRPr="00055111">
        <w:rPr>
          <w:rFonts w:ascii="Garamond" w:hAnsi="Garamond"/>
          <w:sz w:val="28"/>
          <w:szCs w:val="28"/>
        </w:rPr>
        <w:t xml:space="preserve"> reliable</w:t>
      </w:r>
      <w:r w:rsidR="00040B76" w:rsidRPr="00055111">
        <w:rPr>
          <w:rFonts w:ascii="Garamond" w:hAnsi="Garamond"/>
          <w:sz w:val="28"/>
          <w:szCs w:val="28"/>
        </w:rPr>
        <w:t>.</w:t>
      </w:r>
      <w:r w:rsidR="00BD066A" w:rsidRPr="00055111">
        <w:rPr>
          <w:rFonts w:ascii="Garamond" w:hAnsi="Garamond"/>
          <w:sz w:val="28"/>
          <w:szCs w:val="28"/>
        </w:rPr>
        <w:t xml:space="preserve"> </w:t>
      </w:r>
      <w:r w:rsidR="007E5CC0" w:rsidRPr="00055111">
        <w:rPr>
          <w:rFonts w:ascii="Garamond" w:hAnsi="Garamond"/>
          <w:i/>
          <w:iCs/>
          <w:sz w:val="28"/>
          <w:szCs w:val="28"/>
        </w:rPr>
        <w:t xml:space="preserve">See </w:t>
      </w:r>
      <w:r w:rsidR="00EE682A" w:rsidRPr="00055111">
        <w:rPr>
          <w:rFonts w:ascii="Garamond" w:hAnsi="Garamond"/>
          <w:sz w:val="28"/>
          <w:szCs w:val="28"/>
        </w:rPr>
        <w:t xml:space="preserve">Michael Kiefer, </w:t>
      </w:r>
      <w:r w:rsidR="00FC537D" w:rsidRPr="00055111">
        <w:rPr>
          <w:rFonts w:ascii="Garamond" w:hAnsi="Garamond"/>
          <w:i/>
          <w:iCs/>
          <w:sz w:val="28"/>
          <w:szCs w:val="28"/>
        </w:rPr>
        <w:t>Secret jars in a prison fridge hold AZ’s lethal injection drugs, and they may be expired</w:t>
      </w:r>
      <w:r w:rsidR="00EE682A" w:rsidRPr="00055111">
        <w:rPr>
          <w:rFonts w:ascii="Garamond" w:hAnsi="Garamond"/>
          <w:sz w:val="28"/>
          <w:szCs w:val="28"/>
        </w:rPr>
        <w:t xml:space="preserve">, </w:t>
      </w:r>
      <w:r w:rsidR="00EE682A" w:rsidRPr="00055111">
        <w:rPr>
          <w:rFonts w:ascii="Garamond" w:hAnsi="Garamond"/>
          <w:smallCaps/>
          <w:sz w:val="28"/>
          <w:szCs w:val="28"/>
        </w:rPr>
        <w:t xml:space="preserve">Ariz. </w:t>
      </w:r>
      <w:r w:rsidR="00FC537D" w:rsidRPr="00055111">
        <w:rPr>
          <w:rFonts w:ascii="Garamond" w:hAnsi="Garamond"/>
          <w:smallCaps/>
          <w:sz w:val="28"/>
          <w:szCs w:val="28"/>
        </w:rPr>
        <w:t>Mirror</w:t>
      </w:r>
      <w:r w:rsidR="00EE682A" w:rsidRPr="00055111">
        <w:rPr>
          <w:rFonts w:ascii="Garamond" w:hAnsi="Garamond"/>
          <w:sz w:val="28"/>
          <w:szCs w:val="28"/>
        </w:rPr>
        <w:t xml:space="preserve">, </w:t>
      </w:r>
      <w:r w:rsidR="00FC537D" w:rsidRPr="00055111">
        <w:rPr>
          <w:rFonts w:ascii="Garamond" w:hAnsi="Garamond"/>
          <w:sz w:val="28"/>
          <w:szCs w:val="28"/>
        </w:rPr>
        <w:t>Jan</w:t>
      </w:r>
      <w:r w:rsidR="00EE682A" w:rsidRPr="00055111">
        <w:rPr>
          <w:rFonts w:ascii="Garamond" w:hAnsi="Garamond"/>
          <w:sz w:val="28"/>
          <w:szCs w:val="28"/>
        </w:rPr>
        <w:t xml:space="preserve">. </w:t>
      </w:r>
      <w:r w:rsidR="00FC537D" w:rsidRPr="00055111">
        <w:rPr>
          <w:rFonts w:ascii="Garamond" w:hAnsi="Garamond"/>
          <w:sz w:val="28"/>
          <w:szCs w:val="28"/>
        </w:rPr>
        <w:t>17</w:t>
      </w:r>
      <w:r w:rsidR="00EE682A" w:rsidRPr="00055111">
        <w:rPr>
          <w:rFonts w:ascii="Garamond" w:hAnsi="Garamond"/>
          <w:sz w:val="28"/>
          <w:szCs w:val="28"/>
        </w:rPr>
        <w:t>, 20</w:t>
      </w:r>
      <w:r w:rsidR="00FC537D" w:rsidRPr="00055111">
        <w:rPr>
          <w:rFonts w:ascii="Garamond" w:hAnsi="Garamond"/>
          <w:sz w:val="28"/>
          <w:szCs w:val="28"/>
        </w:rPr>
        <w:t>25 (</w:t>
      </w:r>
      <w:r w:rsidR="002B3FC8" w:rsidRPr="00055111">
        <w:rPr>
          <w:rFonts w:ascii="Garamond" w:hAnsi="Garamond"/>
          <w:sz w:val="28"/>
          <w:szCs w:val="28"/>
        </w:rPr>
        <w:t xml:space="preserve">ADCRR </w:t>
      </w:r>
      <w:r w:rsidR="00B04694" w:rsidRPr="00055111">
        <w:rPr>
          <w:rFonts w:ascii="Garamond" w:hAnsi="Garamond"/>
          <w:sz w:val="28"/>
          <w:szCs w:val="28"/>
        </w:rPr>
        <w:t xml:space="preserve">failed to provide commissioner with records </w:t>
      </w:r>
      <w:r w:rsidR="00BE0318" w:rsidRPr="00055111">
        <w:rPr>
          <w:rFonts w:ascii="Garamond" w:hAnsi="Garamond"/>
          <w:sz w:val="28"/>
          <w:szCs w:val="28"/>
        </w:rPr>
        <w:t xml:space="preserve">documenting expiry date for API supply; noting </w:t>
      </w:r>
      <w:r w:rsidR="009246DD" w:rsidRPr="00055111">
        <w:rPr>
          <w:rFonts w:ascii="Garamond" w:hAnsi="Garamond"/>
          <w:sz w:val="28"/>
          <w:szCs w:val="28"/>
        </w:rPr>
        <w:t>pentobarbital API manufacturer listing three</w:t>
      </w:r>
      <w:r w:rsidR="006D133C" w:rsidRPr="00055111">
        <w:rPr>
          <w:rFonts w:ascii="Garamond" w:hAnsi="Garamond"/>
          <w:sz w:val="28"/>
          <w:szCs w:val="28"/>
        </w:rPr>
        <w:t>-</w:t>
      </w:r>
      <w:r w:rsidR="005802AF" w:rsidRPr="00055111">
        <w:rPr>
          <w:rFonts w:ascii="Garamond" w:hAnsi="Garamond"/>
          <w:sz w:val="28"/>
          <w:szCs w:val="28"/>
        </w:rPr>
        <w:t>year shelf life for that product).</w:t>
      </w:r>
      <w:r w:rsidR="00AD3731" w:rsidRPr="00055111">
        <w:rPr>
          <w:rFonts w:ascii="Garamond" w:hAnsi="Garamond"/>
          <w:sz w:val="28"/>
          <w:szCs w:val="28"/>
        </w:rPr>
        <w:t xml:space="preserve"> Indeed, that the State claimed a 90-day BUD in the Dixon and Atwood execution</w:t>
      </w:r>
      <w:r w:rsidR="003B1682" w:rsidRPr="00055111">
        <w:rPr>
          <w:rFonts w:ascii="Garamond" w:hAnsi="Garamond"/>
          <w:sz w:val="28"/>
          <w:szCs w:val="28"/>
        </w:rPr>
        <w:t>s</w:t>
      </w:r>
      <w:r w:rsidR="00AD3731" w:rsidRPr="00055111">
        <w:rPr>
          <w:rFonts w:ascii="Garamond" w:hAnsi="Garamond"/>
          <w:sz w:val="28"/>
          <w:szCs w:val="28"/>
        </w:rPr>
        <w:t>, 180</w:t>
      </w:r>
      <w:r w:rsidR="002512D7" w:rsidRPr="00055111">
        <w:rPr>
          <w:rFonts w:ascii="Garamond" w:hAnsi="Garamond"/>
          <w:sz w:val="28"/>
          <w:szCs w:val="28"/>
        </w:rPr>
        <w:t xml:space="preserve"> days </w:t>
      </w:r>
      <w:r w:rsidR="00005708" w:rsidRPr="00055111">
        <w:rPr>
          <w:rFonts w:ascii="Garamond" w:hAnsi="Garamond"/>
          <w:sz w:val="28"/>
          <w:szCs w:val="28"/>
        </w:rPr>
        <w:t>for</w:t>
      </w:r>
      <w:r w:rsidR="002512D7" w:rsidRPr="00055111">
        <w:rPr>
          <w:rFonts w:ascii="Garamond" w:hAnsi="Garamond"/>
          <w:sz w:val="28"/>
          <w:szCs w:val="28"/>
        </w:rPr>
        <w:t xml:space="preserve"> Hooper, and returned to 90 day</w:t>
      </w:r>
      <w:r w:rsidR="003B1682" w:rsidRPr="00055111">
        <w:rPr>
          <w:rFonts w:ascii="Garamond" w:hAnsi="Garamond"/>
          <w:sz w:val="28"/>
          <w:szCs w:val="28"/>
        </w:rPr>
        <w:t>s</w:t>
      </w:r>
      <w:r w:rsidR="002512D7" w:rsidRPr="00055111">
        <w:rPr>
          <w:rFonts w:ascii="Garamond" w:hAnsi="Garamond"/>
          <w:sz w:val="28"/>
          <w:szCs w:val="28"/>
        </w:rPr>
        <w:t xml:space="preserve"> </w:t>
      </w:r>
      <w:r w:rsidR="00005708" w:rsidRPr="00055111">
        <w:rPr>
          <w:rFonts w:ascii="Garamond" w:hAnsi="Garamond"/>
          <w:sz w:val="28"/>
          <w:szCs w:val="28"/>
        </w:rPr>
        <w:t>for</w:t>
      </w:r>
      <w:r w:rsidR="002512D7" w:rsidRPr="00055111">
        <w:rPr>
          <w:rFonts w:ascii="Garamond" w:hAnsi="Garamond"/>
          <w:sz w:val="28"/>
          <w:szCs w:val="28"/>
        </w:rPr>
        <w:t xml:space="preserve"> Gunches</w:t>
      </w:r>
      <w:r w:rsidR="00D15BE3" w:rsidRPr="00055111">
        <w:rPr>
          <w:rFonts w:ascii="Garamond" w:hAnsi="Garamond"/>
          <w:sz w:val="28"/>
          <w:szCs w:val="28"/>
        </w:rPr>
        <w:t xml:space="preserve">, </w:t>
      </w:r>
      <w:r w:rsidR="00D15BE3" w:rsidRPr="00055111">
        <w:rPr>
          <w:rFonts w:ascii="Garamond" w:hAnsi="Garamond"/>
          <w:i/>
          <w:iCs/>
          <w:sz w:val="28"/>
          <w:szCs w:val="28"/>
        </w:rPr>
        <w:t xml:space="preserve">see </w:t>
      </w:r>
      <w:r w:rsidR="00D15BE3" w:rsidRPr="00055111">
        <w:rPr>
          <w:rFonts w:ascii="Garamond" w:hAnsi="Garamond"/>
          <w:sz w:val="28"/>
          <w:szCs w:val="28"/>
        </w:rPr>
        <w:t xml:space="preserve">n.3, </w:t>
      </w:r>
      <w:r w:rsidR="00D15BE3" w:rsidRPr="00055111">
        <w:rPr>
          <w:rFonts w:ascii="Garamond" w:hAnsi="Garamond"/>
          <w:i/>
          <w:iCs/>
          <w:sz w:val="28"/>
          <w:szCs w:val="28"/>
        </w:rPr>
        <w:t>supra</w:t>
      </w:r>
      <w:r w:rsidR="00D15BE3" w:rsidRPr="00055111">
        <w:rPr>
          <w:rFonts w:ascii="Garamond" w:hAnsi="Garamond"/>
          <w:sz w:val="28"/>
          <w:szCs w:val="28"/>
        </w:rPr>
        <w:t>,</w:t>
      </w:r>
      <w:r w:rsidR="002512D7" w:rsidRPr="00055111">
        <w:rPr>
          <w:rFonts w:ascii="Garamond" w:hAnsi="Garamond"/>
          <w:sz w:val="28"/>
          <w:szCs w:val="28"/>
        </w:rPr>
        <w:t xml:space="preserve"> reflects </w:t>
      </w:r>
      <w:r w:rsidR="00005708" w:rsidRPr="00055111">
        <w:rPr>
          <w:rFonts w:ascii="Garamond" w:hAnsi="Garamond"/>
          <w:sz w:val="28"/>
          <w:szCs w:val="28"/>
        </w:rPr>
        <w:t>a</w:t>
      </w:r>
      <w:r w:rsidR="002512D7" w:rsidRPr="00055111">
        <w:rPr>
          <w:rFonts w:ascii="Garamond" w:hAnsi="Garamond"/>
          <w:sz w:val="28"/>
          <w:szCs w:val="28"/>
        </w:rPr>
        <w:t xml:space="preserve"> BUD </w:t>
      </w:r>
      <w:r w:rsidR="00005708" w:rsidRPr="00055111">
        <w:rPr>
          <w:rFonts w:ascii="Garamond" w:hAnsi="Garamond"/>
          <w:sz w:val="28"/>
          <w:szCs w:val="28"/>
        </w:rPr>
        <w:t xml:space="preserve">that </w:t>
      </w:r>
      <w:r w:rsidR="002512D7" w:rsidRPr="00055111">
        <w:rPr>
          <w:rFonts w:ascii="Garamond" w:hAnsi="Garamond"/>
          <w:sz w:val="28"/>
          <w:szCs w:val="28"/>
        </w:rPr>
        <w:t>is, at best, a moving target</w:t>
      </w:r>
      <w:r w:rsidR="000E6BAD" w:rsidRPr="00055111">
        <w:rPr>
          <w:rFonts w:ascii="Garamond" w:hAnsi="Garamond"/>
          <w:sz w:val="28"/>
          <w:szCs w:val="28"/>
        </w:rPr>
        <w:t xml:space="preserve"> and </w:t>
      </w:r>
      <w:r w:rsidR="003B1682" w:rsidRPr="00055111">
        <w:rPr>
          <w:rFonts w:ascii="Garamond" w:hAnsi="Garamond"/>
          <w:sz w:val="28"/>
          <w:szCs w:val="28"/>
        </w:rPr>
        <w:t>thus</w:t>
      </w:r>
      <w:r w:rsidR="000E6BAD" w:rsidRPr="00055111">
        <w:rPr>
          <w:rFonts w:ascii="Garamond" w:hAnsi="Garamond"/>
          <w:sz w:val="28"/>
          <w:szCs w:val="28"/>
        </w:rPr>
        <w:t xml:space="preserve"> a poor basis for a fixed rule.</w:t>
      </w:r>
    </w:p>
    <w:p w14:paraId="41ACF3CB" w14:textId="5EE4D2FC" w:rsidR="00040B76" w:rsidRPr="00055111" w:rsidRDefault="00040B76" w:rsidP="00040B76">
      <w:pPr>
        <w:spacing w:after="0" w:line="480" w:lineRule="auto"/>
        <w:rPr>
          <w:rFonts w:ascii="Garamond" w:hAnsi="Garamond"/>
          <w:sz w:val="28"/>
          <w:szCs w:val="28"/>
        </w:rPr>
      </w:pPr>
      <w:r w:rsidRPr="00055111">
        <w:rPr>
          <w:rFonts w:ascii="Garamond" w:hAnsi="Garamond"/>
          <w:sz w:val="28"/>
          <w:szCs w:val="28"/>
        </w:rPr>
        <w:tab/>
        <w:t xml:space="preserve">Any changes </w:t>
      </w:r>
      <w:r w:rsidR="006E2FAA" w:rsidRPr="00055111">
        <w:rPr>
          <w:rFonts w:ascii="Garamond" w:hAnsi="Garamond"/>
          <w:sz w:val="28"/>
          <w:szCs w:val="28"/>
        </w:rPr>
        <w:t xml:space="preserve">to the </w:t>
      </w:r>
      <w:r w:rsidR="008A420D" w:rsidRPr="00055111">
        <w:rPr>
          <w:rFonts w:ascii="Garamond" w:hAnsi="Garamond"/>
          <w:sz w:val="28"/>
          <w:szCs w:val="28"/>
        </w:rPr>
        <w:t>BUD would obviate</w:t>
      </w:r>
      <w:r w:rsidRPr="00055111">
        <w:rPr>
          <w:rFonts w:ascii="Garamond" w:hAnsi="Garamond"/>
          <w:sz w:val="28"/>
          <w:szCs w:val="28"/>
        </w:rPr>
        <w:t xml:space="preserve"> </w:t>
      </w:r>
      <w:r w:rsidR="00343ECD" w:rsidRPr="00055111">
        <w:rPr>
          <w:rFonts w:ascii="Garamond" w:hAnsi="Garamond"/>
          <w:sz w:val="28"/>
          <w:szCs w:val="28"/>
        </w:rPr>
        <w:t xml:space="preserve">the </w:t>
      </w:r>
      <w:r w:rsidR="008A420D" w:rsidRPr="00055111">
        <w:rPr>
          <w:rFonts w:ascii="Garamond" w:hAnsi="Garamond"/>
          <w:sz w:val="28"/>
          <w:szCs w:val="28"/>
        </w:rPr>
        <w:t>rationale</w:t>
      </w:r>
      <w:r w:rsidR="00343ECD" w:rsidRPr="00055111">
        <w:rPr>
          <w:rFonts w:ascii="Garamond" w:hAnsi="Garamond"/>
          <w:sz w:val="28"/>
          <w:szCs w:val="28"/>
        </w:rPr>
        <w:t xml:space="preserve"> for </w:t>
      </w:r>
      <w:r w:rsidRPr="00055111">
        <w:rPr>
          <w:rFonts w:ascii="Garamond" w:hAnsi="Garamond"/>
          <w:sz w:val="28"/>
          <w:szCs w:val="28"/>
        </w:rPr>
        <w:t>the proposed amendment.</w:t>
      </w:r>
      <w:r w:rsidR="008A420D" w:rsidRPr="00055111">
        <w:rPr>
          <w:rFonts w:ascii="Garamond" w:hAnsi="Garamond"/>
          <w:sz w:val="28"/>
          <w:szCs w:val="28"/>
        </w:rPr>
        <w:t xml:space="preserve"> </w:t>
      </w:r>
      <w:r w:rsidR="00212198" w:rsidRPr="00055111">
        <w:rPr>
          <w:rFonts w:ascii="Garamond" w:hAnsi="Garamond"/>
          <w:sz w:val="28"/>
          <w:szCs w:val="28"/>
        </w:rPr>
        <w:t>A</w:t>
      </w:r>
      <w:r w:rsidR="007B17DE" w:rsidRPr="00055111">
        <w:rPr>
          <w:rFonts w:ascii="Garamond" w:hAnsi="Garamond"/>
          <w:sz w:val="28"/>
          <w:szCs w:val="28"/>
        </w:rPr>
        <w:t xml:space="preserve"> critical examination of ADCRR’s current API supply could result in a</w:t>
      </w:r>
      <w:r w:rsidRPr="00055111">
        <w:rPr>
          <w:rFonts w:ascii="Garamond" w:hAnsi="Garamond"/>
          <w:sz w:val="28"/>
          <w:szCs w:val="28"/>
        </w:rPr>
        <w:t xml:space="preserve"> BUD that is significantly </w:t>
      </w:r>
      <w:r w:rsidRPr="00055111">
        <w:rPr>
          <w:rFonts w:ascii="Garamond" w:hAnsi="Garamond"/>
          <w:i/>
          <w:iCs/>
          <w:sz w:val="28"/>
          <w:szCs w:val="28"/>
        </w:rPr>
        <w:t>shorter</w:t>
      </w:r>
      <w:r w:rsidR="007B17DE" w:rsidRPr="00055111">
        <w:rPr>
          <w:rFonts w:ascii="Garamond" w:hAnsi="Garamond"/>
          <w:i/>
          <w:iCs/>
          <w:sz w:val="28"/>
          <w:szCs w:val="28"/>
        </w:rPr>
        <w:t xml:space="preserve"> </w:t>
      </w:r>
      <w:r w:rsidR="007B17DE" w:rsidRPr="00055111">
        <w:rPr>
          <w:rFonts w:ascii="Garamond" w:hAnsi="Garamond"/>
          <w:sz w:val="28"/>
          <w:szCs w:val="28"/>
        </w:rPr>
        <w:t>than 90 days</w:t>
      </w:r>
      <w:r w:rsidRPr="00055111">
        <w:rPr>
          <w:rFonts w:ascii="Garamond" w:hAnsi="Garamond"/>
          <w:sz w:val="28"/>
          <w:szCs w:val="28"/>
        </w:rPr>
        <w:t xml:space="preserve">, making the </w:t>
      </w:r>
      <w:r w:rsidR="007B17DE" w:rsidRPr="00055111">
        <w:rPr>
          <w:rFonts w:ascii="Garamond" w:hAnsi="Garamond"/>
          <w:sz w:val="28"/>
          <w:szCs w:val="28"/>
        </w:rPr>
        <w:t xml:space="preserve">proposed </w:t>
      </w:r>
      <w:r w:rsidRPr="00055111">
        <w:rPr>
          <w:rFonts w:ascii="Garamond" w:hAnsi="Garamond"/>
          <w:sz w:val="28"/>
          <w:szCs w:val="28"/>
        </w:rPr>
        <w:t>rule impractical.</w:t>
      </w:r>
      <w:r w:rsidRPr="00055111">
        <w:rPr>
          <w:rStyle w:val="FootnoteReference"/>
          <w:rFonts w:ascii="Garamond" w:hAnsi="Garamond"/>
          <w:sz w:val="28"/>
          <w:szCs w:val="28"/>
        </w:rPr>
        <w:footnoteReference w:id="9"/>
      </w:r>
      <w:r w:rsidR="00DE5C32" w:rsidRPr="00055111">
        <w:rPr>
          <w:rFonts w:ascii="Garamond" w:hAnsi="Garamond"/>
          <w:sz w:val="28"/>
          <w:szCs w:val="28"/>
        </w:rPr>
        <w:t xml:space="preserve"> </w:t>
      </w:r>
      <w:r w:rsidR="00307C9E" w:rsidRPr="00055111">
        <w:rPr>
          <w:rFonts w:ascii="Garamond" w:hAnsi="Garamond"/>
          <w:sz w:val="28"/>
          <w:szCs w:val="28"/>
        </w:rPr>
        <w:t>Any</w:t>
      </w:r>
      <w:r w:rsidR="006629D0" w:rsidRPr="00055111">
        <w:rPr>
          <w:rFonts w:ascii="Garamond" w:hAnsi="Garamond"/>
          <w:sz w:val="28"/>
          <w:szCs w:val="28"/>
        </w:rPr>
        <w:t xml:space="preserve"> change to the BUD would render the proposed rule</w:t>
      </w:r>
      <w:r w:rsidR="00B418AD" w:rsidRPr="00055111">
        <w:rPr>
          <w:rFonts w:ascii="Garamond" w:hAnsi="Garamond"/>
          <w:sz w:val="28"/>
          <w:szCs w:val="28"/>
        </w:rPr>
        <w:t xml:space="preserve"> an albatross</w:t>
      </w:r>
      <w:r w:rsidR="001D4230" w:rsidRPr="00055111">
        <w:rPr>
          <w:rFonts w:ascii="Garamond" w:hAnsi="Garamond"/>
          <w:sz w:val="28"/>
          <w:szCs w:val="28"/>
        </w:rPr>
        <w:t xml:space="preserve"> if adopted,</w:t>
      </w:r>
      <w:r w:rsidR="0069034C" w:rsidRPr="00055111">
        <w:rPr>
          <w:rFonts w:ascii="Garamond" w:hAnsi="Garamond"/>
          <w:sz w:val="28"/>
          <w:szCs w:val="28"/>
        </w:rPr>
        <w:t xml:space="preserve"> resulting in </w:t>
      </w:r>
      <w:r w:rsidR="00D61C1E" w:rsidRPr="00055111">
        <w:rPr>
          <w:rFonts w:ascii="Garamond" w:hAnsi="Garamond"/>
          <w:sz w:val="28"/>
          <w:szCs w:val="28"/>
        </w:rPr>
        <w:t xml:space="preserve">warrant </w:t>
      </w:r>
      <w:r w:rsidR="0069034C" w:rsidRPr="00055111">
        <w:rPr>
          <w:rFonts w:ascii="Garamond" w:hAnsi="Garamond"/>
          <w:sz w:val="28"/>
          <w:szCs w:val="28"/>
        </w:rPr>
        <w:t>litigation that is pointlessly accelerated or hopelessly too slow</w:t>
      </w:r>
      <w:r w:rsidR="00F971B9" w:rsidRPr="00055111">
        <w:rPr>
          <w:rFonts w:ascii="Garamond" w:hAnsi="Garamond"/>
          <w:sz w:val="28"/>
          <w:szCs w:val="28"/>
        </w:rPr>
        <w:t xml:space="preserve">, and </w:t>
      </w:r>
      <w:r w:rsidR="00C239E6" w:rsidRPr="00055111">
        <w:rPr>
          <w:rFonts w:ascii="Garamond" w:hAnsi="Garamond"/>
          <w:sz w:val="28"/>
          <w:szCs w:val="28"/>
        </w:rPr>
        <w:t>necessitating</w:t>
      </w:r>
      <w:r w:rsidR="00F971B9" w:rsidRPr="00055111">
        <w:rPr>
          <w:rFonts w:ascii="Garamond" w:hAnsi="Garamond"/>
          <w:sz w:val="28"/>
          <w:szCs w:val="28"/>
        </w:rPr>
        <w:t xml:space="preserve"> </w:t>
      </w:r>
      <w:r w:rsidR="00C239E6" w:rsidRPr="00055111">
        <w:rPr>
          <w:rFonts w:ascii="Garamond" w:hAnsi="Garamond"/>
          <w:sz w:val="28"/>
          <w:szCs w:val="28"/>
        </w:rPr>
        <w:t>further</w:t>
      </w:r>
      <w:r w:rsidR="00F971B9" w:rsidRPr="00055111">
        <w:rPr>
          <w:rFonts w:ascii="Garamond" w:hAnsi="Garamond"/>
          <w:sz w:val="28"/>
          <w:szCs w:val="28"/>
        </w:rPr>
        <w:t xml:space="preserve"> litigation to lengthen or shorten </w:t>
      </w:r>
      <w:r w:rsidR="00C03EB2" w:rsidRPr="00055111">
        <w:rPr>
          <w:rFonts w:ascii="Garamond" w:hAnsi="Garamond"/>
          <w:sz w:val="28"/>
          <w:szCs w:val="28"/>
        </w:rPr>
        <w:t>timeframes</w:t>
      </w:r>
      <w:r w:rsidR="0069034C" w:rsidRPr="00055111">
        <w:rPr>
          <w:rFonts w:ascii="Garamond" w:hAnsi="Garamond"/>
          <w:sz w:val="28"/>
          <w:szCs w:val="28"/>
        </w:rPr>
        <w:t>.</w:t>
      </w:r>
      <w:r w:rsidR="008232F0" w:rsidRPr="00055111">
        <w:rPr>
          <w:rFonts w:ascii="Garamond" w:hAnsi="Garamond"/>
          <w:sz w:val="28"/>
          <w:szCs w:val="28"/>
        </w:rPr>
        <w:t xml:space="preserve"> The risk of such an outcome cannot be justified</w:t>
      </w:r>
      <w:r w:rsidR="00B301FE" w:rsidRPr="00055111">
        <w:rPr>
          <w:rFonts w:ascii="Garamond" w:hAnsi="Garamond"/>
          <w:sz w:val="28"/>
          <w:szCs w:val="28"/>
        </w:rPr>
        <w:t>, particularly</w:t>
      </w:r>
      <w:r w:rsidR="008232F0" w:rsidRPr="00055111">
        <w:rPr>
          <w:rFonts w:ascii="Garamond" w:hAnsi="Garamond"/>
          <w:sz w:val="28"/>
          <w:szCs w:val="28"/>
        </w:rPr>
        <w:t xml:space="preserve"> in light of the demonstrated adequacy of the Attorney General’s </w:t>
      </w:r>
      <w:r w:rsidR="00B301FE" w:rsidRPr="00055111">
        <w:rPr>
          <w:rFonts w:ascii="Garamond" w:hAnsi="Garamond"/>
          <w:sz w:val="28"/>
          <w:szCs w:val="28"/>
        </w:rPr>
        <w:t>recent warrant scheduling practice</w:t>
      </w:r>
      <w:r w:rsidR="007C627D" w:rsidRPr="00055111">
        <w:rPr>
          <w:rFonts w:ascii="Garamond" w:hAnsi="Garamond"/>
          <w:sz w:val="28"/>
          <w:szCs w:val="28"/>
        </w:rPr>
        <w:t xml:space="preserve"> to </w:t>
      </w:r>
      <w:r w:rsidR="00B8172B" w:rsidRPr="00055111">
        <w:rPr>
          <w:rFonts w:ascii="Garamond" w:hAnsi="Garamond"/>
          <w:sz w:val="28"/>
          <w:szCs w:val="28"/>
        </w:rPr>
        <w:t xml:space="preserve">secure </w:t>
      </w:r>
      <w:r w:rsidR="000701D2" w:rsidRPr="00055111">
        <w:rPr>
          <w:rFonts w:ascii="Garamond" w:hAnsi="Garamond"/>
          <w:sz w:val="28"/>
          <w:szCs w:val="28"/>
        </w:rPr>
        <w:t>timely executions.</w:t>
      </w:r>
    </w:p>
    <w:p w14:paraId="18F34707" w14:textId="33147CC0" w:rsidR="00B74A7B" w:rsidRPr="00055111" w:rsidRDefault="00B74A7B" w:rsidP="00B74A7B">
      <w:pPr>
        <w:spacing w:after="0" w:line="480" w:lineRule="auto"/>
        <w:ind w:firstLine="720"/>
        <w:rPr>
          <w:rFonts w:ascii="Garamond" w:hAnsi="Garamond"/>
          <w:sz w:val="28"/>
          <w:szCs w:val="28"/>
        </w:rPr>
      </w:pPr>
      <w:r w:rsidRPr="00055111">
        <w:rPr>
          <w:rFonts w:ascii="Garamond" w:hAnsi="Garamond"/>
          <w:sz w:val="28"/>
          <w:szCs w:val="28"/>
        </w:rPr>
        <w:lastRenderedPageBreak/>
        <w:t xml:space="preserve">Using a rule of procedure to accommodate ADCRR’s lethal drug selection would also run counter to the purpose of the criminal rules, which </w:t>
      </w:r>
      <w:r w:rsidR="00F536B8" w:rsidRPr="00055111">
        <w:rPr>
          <w:rFonts w:ascii="Garamond" w:hAnsi="Garamond"/>
          <w:sz w:val="28"/>
          <w:szCs w:val="28"/>
        </w:rPr>
        <w:t>are</w:t>
      </w:r>
      <w:r w:rsidRPr="00055111">
        <w:rPr>
          <w:rFonts w:ascii="Garamond" w:hAnsi="Garamond"/>
          <w:sz w:val="28"/>
          <w:szCs w:val="28"/>
        </w:rPr>
        <w:t xml:space="preserve"> construed “to secure simplicity in procedure, fairness in administration, the elimination of unnecessary delay and expense, and to protect the fundamental rights of the individual while preserving the public welfare.” Ariz. R. Crim. P. 1.2. A rule which prejudices capital defendants</w:t>
      </w:r>
      <w:r w:rsidR="003A222D" w:rsidRPr="00055111">
        <w:rPr>
          <w:rFonts w:ascii="Garamond" w:hAnsi="Garamond"/>
          <w:sz w:val="28"/>
          <w:szCs w:val="28"/>
        </w:rPr>
        <w:t xml:space="preserve">, </w:t>
      </w:r>
      <w:r w:rsidR="00DD1F74" w:rsidRPr="00055111">
        <w:rPr>
          <w:rFonts w:ascii="Garamond" w:hAnsi="Garamond"/>
          <w:sz w:val="28"/>
          <w:szCs w:val="28"/>
        </w:rPr>
        <w:t xml:space="preserve">invites </w:t>
      </w:r>
      <w:r w:rsidR="003A222D" w:rsidRPr="00055111">
        <w:rPr>
          <w:rFonts w:ascii="Garamond" w:hAnsi="Garamond"/>
          <w:sz w:val="28"/>
          <w:szCs w:val="28"/>
        </w:rPr>
        <w:t>additional litigation,</w:t>
      </w:r>
      <w:r w:rsidR="00F913B5" w:rsidRPr="00055111">
        <w:rPr>
          <w:rFonts w:ascii="Garamond" w:hAnsi="Garamond"/>
          <w:sz w:val="28"/>
          <w:szCs w:val="28"/>
        </w:rPr>
        <w:t xml:space="preserve"> and eliminates flexibility</w:t>
      </w:r>
      <w:r w:rsidRPr="00055111">
        <w:rPr>
          <w:rFonts w:ascii="Garamond" w:hAnsi="Garamond"/>
          <w:sz w:val="28"/>
          <w:szCs w:val="28"/>
        </w:rPr>
        <w:t xml:space="preserve"> does not advance these purposes. Moreover, if adopted, the proposal’s expedited briefing schedule would remain in place even if the exigency </w:t>
      </w:r>
      <w:r w:rsidR="00E66C4D" w:rsidRPr="00055111">
        <w:rPr>
          <w:rFonts w:ascii="Garamond" w:hAnsi="Garamond"/>
          <w:sz w:val="28"/>
          <w:szCs w:val="28"/>
        </w:rPr>
        <w:t>justifying</w:t>
      </w:r>
      <w:r w:rsidRPr="00055111">
        <w:rPr>
          <w:rFonts w:ascii="Garamond" w:hAnsi="Garamond"/>
          <w:sz w:val="28"/>
          <w:szCs w:val="28"/>
        </w:rPr>
        <w:t xml:space="preserve"> it goes away. ADCRR could adopt a new </w:t>
      </w:r>
      <w:r w:rsidR="005B2282" w:rsidRPr="00055111">
        <w:rPr>
          <w:rFonts w:ascii="Garamond" w:hAnsi="Garamond"/>
          <w:sz w:val="28"/>
          <w:szCs w:val="28"/>
        </w:rPr>
        <w:t>lethal injection method</w:t>
      </w:r>
      <w:r w:rsidRPr="00055111">
        <w:rPr>
          <w:rFonts w:ascii="Garamond" w:hAnsi="Garamond"/>
          <w:sz w:val="28"/>
          <w:szCs w:val="28"/>
        </w:rPr>
        <w:t xml:space="preserve"> </w:t>
      </w:r>
      <w:r w:rsidR="00F62F70" w:rsidRPr="00055111">
        <w:rPr>
          <w:rFonts w:ascii="Garamond" w:hAnsi="Garamond"/>
          <w:sz w:val="28"/>
          <w:szCs w:val="28"/>
        </w:rPr>
        <w:t xml:space="preserve">without </w:t>
      </w:r>
      <w:r w:rsidRPr="00055111">
        <w:rPr>
          <w:rFonts w:ascii="Garamond" w:hAnsi="Garamond"/>
          <w:sz w:val="28"/>
          <w:szCs w:val="28"/>
        </w:rPr>
        <w:t xml:space="preserve">the logistical hurdles associated with the current protocol, but the criminal rules would retain a </w:t>
      </w:r>
      <w:r w:rsidR="004D0667" w:rsidRPr="00055111">
        <w:rPr>
          <w:rFonts w:ascii="Garamond" w:hAnsi="Garamond"/>
          <w:sz w:val="28"/>
          <w:szCs w:val="28"/>
        </w:rPr>
        <w:t xml:space="preserve">procedure </w:t>
      </w:r>
      <w:r w:rsidRPr="00055111">
        <w:rPr>
          <w:rFonts w:ascii="Garamond" w:hAnsi="Garamond"/>
          <w:sz w:val="28"/>
          <w:szCs w:val="28"/>
        </w:rPr>
        <w:t xml:space="preserve">that infringes defendants’ rights to solve a problem that no longer exists. </w:t>
      </w:r>
      <w:r w:rsidR="007A5612" w:rsidRPr="00055111">
        <w:rPr>
          <w:rFonts w:ascii="Garamond" w:hAnsi="Garamond"/>
          <w:sz w:val="28"/>
          <w:szCs w:val="28"/>
        </w:rPr>
        <w:t xml:space="preserve">Undoing the rule would require a new petition under Rule 28, </w:t>
      </w:r>
      <w:r w:rsidR="007866C7" w:rsidRPr="00055111">
        <w:rPr>
          <w:rFonts w:ascii="Garamond" w:hAnsi="Garamond"/>
          <w:sz w:val="28"/>
          <w:szCs w:val="28"/>
        </w:rPr>
        <w:t xml:space="preserve">consuming public resources and ensuring that the zombie rule remained in place for months or years after its </w:t>
      </w:r>
      <w:r w:rsidR="008454D0" w:rsidRPr="00055111">
        <w:rPr>
          <w:rFonts w:ascii="Garamond" w:hAnsi="Garamond"/>
          <w:sz w:val="28"/>
          <w:szCs w:val="28"/>
        </w:rPr>
        <w:t xml:space="preserve">justification, thin to begin with, has evaporated. </w:t>
      </w:r>
      <w:r w:rsidR="004C5786" w:rsidRPr="00055111">
        <w:rPr>
          <w:rFonts w:ascii="Garamond" w:hAnsi="Garamond"/>
          <w:sz w:val="28"/>
          <w:szCs w:val="28"/>
        </w:rPr>
        <w:t>Such</w:t>
      </w:r>
      <w:r w:rsidR="008454D0" w:rsidRPr="00055111">
        <w:rPr>
          <w:rFonts w:ascii="Garamond" w:hAnsi="Garamond"/>
          <w:sz w:val="28"/>
          <w:szCs w:val="28"/>
        </w:rPr>
        <w:t xml:space="preserve"> a result would not serve the public </w:t>
      </w:r>
      <w:r w:rsidR="004C5786" w:rsidRPr="00055111">
        <w:rPr>
          <w:rFonts w:ascii="Garamond" w:hAnsi="Garamond"/>
          <w:sz w:val="28"/>
          <w:szCs w:val="28"/>
        </w:rPr>
        <w:t>welfare.</w:t>
      </w:r>
    </w:p>
    <w:p w14:paraId="57A2C8D4" w14:textId="60F99211" w:rsidR="002F1F14" w:rsidRPr="00055111" w:rsidRDefault="002F1F14" w:rsidP="00C1488D">
      <w:pPr>
        <w:pStyle w:val="Heading2"/>
      </w:pPr>
      <w:r w:rsidRPr="00055111">
        <w:t>C.</w:t>
      </w:r>
      <w:r w:rsidRPr="00055111">
        <w:tab/>
      </w:r>
      <w:r w:rsidR="001B7F5E" w:rsidRPr="00055111">
        <w:t>Imposing expedited briefing on capital defendants to accommodate a problem of the State’s creation would be inequitable.</w:t>
      </w:r>
    </w:p>
    <w:p w14:paraId="73F7BB49" w14:textId="77777777" w:rsidR="001B7F5E" w:rsidRPr="00055111" w:rsidRDefault="001B7F5E" w:rsidP="001B7F5E">
      <w:pPr>
        <w:spacing w:after="0" w:line="240" w:lineRule="auto"/>
        <w:rPr>
          <w:rFonts w:ascii="Garamond" w:hAnsi="Garamond"/>
          <w:sz w:val="28"/>
          <w:szCs w:val="28"/>
        </w:rPr>
      </w:pPr>
    </w:p>
    <w:p w14:paraId="7D5FC9E8" w14:textId="42793873" w:rsidR="00DA6D0B" w:rsidRPr="00055111" w:rsidRDefault="002A7A15" w:rsidP="00040B76">
      <w:pPr>
        <w:spacing w:after="0" w:line="480" w:lineRule="auto"/>
        <w:rPr>
          <w:rFonts w:ascii="Garamond" w:hAnsi="Garamond"/>
          <w:sz w:val="28"/>
          <w:szCs w:val="28"/>
        </w:rPr>
      </w:pPr>
      <w:r w:rsidRPr="00055111">
        <w:rPr>
          <w:rFonts w:ascii="Garamond" w:hAnsi="Garamond"/>
          <w:sz w:val="28"/>
          <w:szCs w:val="28"/>
        </w:rPr>
        <w:tab/>
        <w:t xml:space="preserve">Finally, </w:t>
      </w:r>
      <w:r w:rsidR="005111E6" w:rsidRPr="00055111">
        <w:rPr>
          <w:rFonts w:ascii="Garamond" w:hAnsi="Garamond"/>
          <w:sz w:val="28"/>
          <w:szCs w:val="28"/>
        </w:rPr>
        <w:t>the proposed rule should be rejected because it</w:t>
      </w:r>
      <w:r w:rsidR="00835940" w:rsidRPr="00055111">
        <w:rPr>
          <w:rFonts w:ascii="Garamond" w:hAnsi="Garamond"/>
          <w:sz w:val="28"/>
          <w:szCs w:val="28"/>
        </w:rPr>
        <w:t xml:space="preserve"> </w:t>
      </w:r>
      <w:r w:rsidR="006D11DF" w:rsidRPr="00055111">
        <w:rPr>
          <w:rFonts w:ascii="Garamond" w:hAnsi="Garamond"/>
          <w:sz w:val="28"/>
          <w:szCs w:val="28"/>
        </w:rPr>
        <w:t xml:space="preserve">would inequitably </w:t>
      </w:r>
      <w:r w:rsidR="00835940" w:rsidRPr="00055111">
        <w:rPr>
          <w:rFonts w:ascii="Garamond" w:hAnsi="Garamond"/>
          <w:sz w:val="28"/>
          <w:szCs w:val="28"/>
        </w:rPr>
        <w:t>impose burdens on capital defendants</w:t>
      </w:r>
      <w:r w:rsidR="001D0424" w:rsidRPr="00055111">
        <w:rPr>
          <w:rFonts w:ascii="Garamond" w:hAnsi="Garamond"/>
          <w:sz w:val="28"/>
          <w:szCs w:val="28"/>
        </w:rPr>
        <w:t xml:space="preserve"> </w:t>
      </w:r>
      <w:r w:rsidR="006D11DF" w:rsidRPr="00055111">
        <w:rPr>
          <w:rFonts w:ascii="Garamond" w:hAnsi="Garamond"/>
          <w:sz w:val="28"/>
          <w:szCs w:val="28"/>
        </w:rPr>
        <w:t>in order to accommodate</w:t>
      </w:r>
      <w:r w:rsidR="00D019B0" w:rsidRPr="00055111">
        <w:rPr>
          <w:rFonts w:ascii="Garamond" w:hAnsi="Garamond"/>
          <w:sz w:val="28"/>
          <w:szCs w:val="28"/>
        </w:rPr>
        <w:t xml:space="preserve"> Arizona’s </w:t>
      </w:r>
      <w:r w:rsidR="00F002E6" w:rsidRPr="00055111">
        <w:rPr>
          <w:rFonts w:ascii="Garamond" w:hAnsi="Garamond"/>
          <w:sz w:val="28"/>
          <w:szCs w:val="28"/>
        </w:rPr>
        <w:t>problematic</w:t>
      </w:r>
      <w:r w:rsidR="00C22F21" w:rsidRPr="00055111">
        <w:rPr>
          <w:rFonts w:ascii="Garamond" w:hAnsi="Garamond"/>
          <w:sz w:val="28"/>
          <w:szCs w:val="28"/>
        </w:rPr>
        <w:t xml:space="preserve"> </w:t>
      </w:r>
      <w:r w:rsidR="006F1A2F" w:rsidRPr="00055111">
        <w:rPr>
          <w:rFonts w:ascii="Garamond" w:hAnsi="Garamond"/>
          <w:sz w:val="28"/>
          <w:szCs w:val="28"/>
        </w:rPr>
        <w:t>choice of drug.</w:t>
      </w:r>
      <w:r w:rsidR="00C22F21" w:rsidRPr="00055111">
        <w:rPr>
          <w:rFonts w:ascii="Garamond" w:hAnsi="Garamond"/>
          <w:sz w:val="28"/>
          <w:szCs w:val="28"/>
        </w:rPr>
        <w:t xml:space="preserve"> </w:t>
      </w:r>
      <w:r w:rsidR="00DA6D0B" w:rsidRPr="00055111">
        <w:rPr>
          <w:rFonts w:ascii="Garamond" w:hAnsi="Garamond"/>
          <w:sz w:val="28"/>
          <w:szCs w:val="28"/>
        </w:rPr>
        <w:t xml:space="preserve">As two arms of the same branch of State government working to carry out the same goal, the Attorney General’s Office and ADCRR </w:t>
      </w:r>
      <w:r w:rsidR="00DA6D0B" w:rsidRPr="00055111">
        <w:rPr>
          <w:rFonts w:ascii="Garamond" w:hAnsi="Garamond"/>
          <w:sz w:val="28"/>
          <w:szCs w:val="28"/>
        </w:rPr>
        <w:lastRenderedPageBreak/>
        <w:t xml:space="preserve">should be able to </w:t>
      </w:r>
      <w:r w:rsidR="00400173" w:rsidRPr="00055111">
        <w:rPr>
          <w:rFonts w:ascii="Garamond" w:hAnsi="Garamond"/>
          <w:sz w:val="28"/>
          <w:szCs w:val="28"/>
        </w:rPr>
        <w:t>design a viable method</w:t>
      </w:r>
      <w:r w:rsidR="00DA6D0B" w:rsidRPr="00055111">
        <w:rPr>
          <w:rFonts w:ascii="Garamond" w:hAnsi="Garamond"/>
          <w:sz w:val="28"/>
          <w:szCs w:val="28"/>
        </w:rPr>
        <w:t xml:space="preserve"> for carrying out their duties under the Constitution and statutes of this State, rather than forcing all capital defendants and this Court to submit to a rigid and unreasonable procedure </w:t>
      </w:r>
      <w:r w:rsidR="00400173" w:rsidRPr="00055111">
        <w:rPr>
          <w:rFonts w:ascii="Garamond" w:hAnsi="Garamond"/>
          <w:sz w:val="28"/>
          <w:szCs w:val="28"/>
        </w:rPr>
        <w:t>to accommodate their apparent inability to arrive at a workable process.</w:t>
      </w:r>
    </w:p>
    <w:p w14:paraId="41F0343A" w14:textId="23E41223" w:rsidR="002F1F14" w:rsidRPr="00055111" w:rsidRDefault="002B6C08" w:rsidP="00F92F08">
      <w:pPr>
        <w:spacing w:after="0" w:line="480" w:lineRule="auto"/>
        <w:rPr>
          <w:rFonts w:ascii="Garamond" w:hAnsi="Garamond"/>
          <w:sz w:val="28"/>
          <w:szCs w:val="28"/>
        </w:rPr>
      </w:pPr>
      <w:r w:rsidRPr="00055111">
        <w:rPr>
          <w:rFonts w:ascii="Garamond" w:hAnsi="Garamond"/>
          <w:sz w:val="28"/>
          <w:szCs w:val="28"/>
        </w:rPr>
        <w:tab/>
      </w:r>
      <w:r w:rsidR="003C2D7E" w:rsidRPr="00055111">
        <w:rPr>
          <w:rFonts w:ascii="Garamond" w:hAnsi="Garamond"/>
          <w:sz w:val="28"/>
          <w:szCs w:val="28"/>
        </w:rPr>
        <w:t xml:space="preserve">As </w:t>
      </w:r>
      <w:r w:rsidR="00CB12A1" w:rsidRPr="00055111">
        <w:rPr>
          <w:rFonts w:ascii="Garamond" w:hAnsi="Garamond"/>
          <w:sz w:val="28"/>
          <w:szCs w:val="28"/>
        </w:rPr>
        <w:t>discussed</w:t>
      </w:r>
      <w:r w:rsidR="003C2D7E" w:rsidRPr="00055111">
        <w:rPr>
          <w:rFonts w:ascii="Garamond" w:hAnsi="Garamond"/>
          <w:sz w:val="28"/>
          <w:szCs w:val="28"/>
        </w:rPr>
        <w:t xml:space="preserve"> </w:t>
      </w:r>
      <w:r w:rsidR="003C2D7E" w:rsidRPr="00055111">
        <w:rPr>
          <w:rFonts w:ascii="Garamond" w:hAnsi="Garamond"/>
          <w:i/>
          <w:iCs/>
          <w:sz w:val="28"/>
          <w:szCs w:val="28"/>
        </w:rPr>
        <w:t>supra</w:t>
      </w:r>
      <w:r w:rsidR="003C2D7E" w:rsidRPr="00055111">
        <w:rPr>
          <w:rFonts w:ascii="Garamond" w:hAnsi="Garamond"/>
          <w:sz w:val="28"/>
          <w:szCs w:val="28"/>
        </w:rPr>
        <w:t xml:space="preserve">, the proposed rule would </w:t>
      </w:r>
      <w:r w:rsidR="00CB12A1" w:rsidRPr="00055111">
        <w:rPr>
          <w:rFonts w:ascii="Garamond" w:hAnsi="Garamond"/>
          <w:sz w:val="28"/>
          <w:szCs w:val="28"/>
        </w:rPr>
        <w:t>force</w:t>
      </w:r>
      <w:r w:rsidR="00400173" w:rsidRPr="00055111">
        <w:rPr>
          <w:rFonts w:ascii="Garamond" w:hAnsi="Garamond"/>
          <w:sz w:val="28"/>
          <w:szCs w:val="28"/>
        </w:rPr>
        <w:t xml:space="preserve"> </w:t>
      </w:r>
      <w:r w:rsidR="005A30E4" w:rsidRPr="00055111">
        <w:rPr>
          <w:rFonts w:ascii="Garamond" w:hAnsi="Garamond"/>
          <w:sz w:val="28"/>
          <w:szCs w:val="28"/>
        </w:rPr>
        <w:t xml:space="preserve">an </w:t>
      </w:r>
      <w:r w:rsidR="0098158B" w:rsidRPr="00055111">
        <w:rPr>
          <w:rFonts w:ascii="Garamond" w:hAnsi="Garamond"/>
          <w:sz w:val="28"/>
          <w:szCs w:val="28"/>
        </w:rPr>
        <w:t>unprecedented</w:t>
      </w:r>
      <w:r w:rsidR="00BD45E0" w:rsidRPr="00055111">
        <w:rPr>
          <w:rFonts w:ascii="Garamond" w:hAnsi="Garamond"/>
          <w:sz w:val="28"/>
          <w:szCs w:val="28"/>
        </w:rPr>
        <w:t>ly</w:t>
      </w:r>
      <w:r w:rsidR="0098158B" w:rsidRPr="00055111">
        <w:rPr>
          <w:rFonts w:ascii="Garamond" w:hAnsi="Garamond"/>
          <w:sz w:val="28"/>
          <w:szCs w:val="28"/>
        </w:rPr>
        <w:t xml:space="preserve"> </w:t>
      </w:r>
      <w:r w:rsidR="00BF0D12" w:rsidRPr="00055111">
        <w:rPr>
          <w:rFonts w:ascii="Garamond" w:hAnsi="Garamond"/>
          <w:sz w:val="28"/>
          <w:szCs w:val="28"/>
        </w:rPr>
        <w:t>compressed</w:t>
      </w:r>
      <w:r w:rsidR="0098158B" w:rsidRPr="00055111">
        <w:rPr>
          <w:rFonts w:ascii="Garamond" w:hAnsi="Garamond"/>
          <w:sz w:val="28"/>
          <w:szCs w:val="28"/>
        </w:rPr>
        <w:t xml:space="preserve"> </w:t>
      </w:r>
      <w:r w:rsidR="00BD45E0" w:rsidRPr="00055111">
        <w:rPr>
          <w:rFonts w:ascii="Garamond" w:hAnsi="Garamond"/>
          <w:sz w:val="28"/>
          <w:szCs w:val="28"/>
        </w:rPr>
        <w:t>warrant briefing schedule on capital defendants</w:t>
      </w:r>
      <w:r w:rsidR="00BF0D12" w:rsidRPr="00055111">
        <w:rPr>
          <w:rFonts w:ascii="Garamond" w:hAnsi="Garamond"/>
          <w:sz w:val="28"/>
          <w:szCs w:val="28"/>
        </w:rPr>
        <w:t>.</w:t>
      </w:r>
      <w:r w:rsidR="00917A3C" w:rsidRPr="00055111">
        <w:rPr>
          <w:rFonts w:ascii="Garamond" w:hAnsi="Garamond"/>
          <w:sz w:val="28"/>
          <w:szCs w:val="28"/>
        </w:rPr>
        <w:t xml:space="preserve"> </w:t>
      </w:r>
      <w:r w:rsidR="00BD45E0" w:rsidRPr="00055111">
        <w:rPr>
          <w:rFonts w:ascii="Garamond" w:hAnsi="Garamond"/>
          <w:sz w:val="28"/>
          <w:szCs w:val="28"/>
        </w:rPr>
        <w:t>But t</w:t>
      </w:r>
      <w:r w:rsidR="002A7A15" w:rsidRPr="00055111">
        <w:rPr>
          <w:rFonts w:ascii="Garamond" w:hAnsi="Garamond"/>
          <w:sz w:val="28"/>
          <w:szCs w:val="28"/>
        </w:rPr>
        <w:t xml:space="preserve">he </w:t>
      </w:r>
      <w:r w:rsidR="00400173" w:rsidRPr="00055111">
        <w:rPr>
          <w:rFonts w:ascii="Garamond" w:hAnsi="Garamond"/>
          <w:sz w:val="28"/>
          <w:szCs w:val="28"/>
        </w:rPr>
        <w:t>“</w:t>
      </w:r>
      <w:r w:rsidR="002A7A15" w:rsidRPr="00055111">
        <w:rPr>
          <w:rFonts w:ascii="Garamond" w:hAnsi="Garamond"/>
          <w:sz w:val="28"/>
          <w:szCs w:val="28"/>
        </w:rPr>
        <w:t>exigent</w:t>
      </w:r>
      <w:r w:rsidR="00400173" w:rsidRPr="00055111">
        <w:rPr>
          <w:rFonts w:ascii="Garamond" w:hAnsi="Garamond"/>
          <w:sz w:val="28"/>
          <w:szCs w:val="28"/>
        </w:rPr>
        <w:t>”</w:t>
      </w:r>
      <w:r w:rsidR="002A7A15" w:rsidRPr="00055111">
        <w:rPr>
          <w:rFonts w:ascii="Garamond" w:hAnsi="Garamond"/>
          <w:sz w:val="28"/>
          <w:szCs w:val="28"/>
        </w:rPr>
        <w:t xml:space="preserve"> circumstances </w:t>
      </w:r>
      <w:r w:rsidR="00CA458B" w:rsidRPr="00055111">
        <w:rPr>
          <w:rFonts w:ascii="Garamond" w:hAnsi="Garamond"/>
          <w:sz w:val="28"/>
          <w:szCs w:val="28"/>
        </w:rPr>
        <w:t>demanding this diminution of process are</w:t>
      </w:r>
      <w:r w:rsidR="00167F6F" w:rsidRPr="00055111">
        <w:rPr>
          <w:rFonts w:ascii="Garamond" w:hAnsi="Garamond"/>
          <w:sz w:val="28"/>
          <w:szCs w:val="28"/>
        </w:rPr>
        <w:t xml:space="preserve"> attributable </w:t>
      </w:r>
      <w:r w:rsidR="00E10DEB" w:rsidRPr="00055111">
        <w:rPr>
          <w:rFonts w:ascii="Garamond" w:hAnsi="Garamond"/>
          <w:sz w:val="28"/>
          <w:szCs w:val="28"/>
        </w:rPr>
        <w:t>primarily</w:t>
      </w:r>
      <w:r w:rsidR="00167F6F" w:rsidRPr="00055111">
        <w:rPr>
          <w:rFonts w:ascii="Garamond" w:hAnsi="Garamond"/>
          <w:sz w:val="28"/>
          <w:szCs w:val="28"/>
        </w:rPr>
        <w:t xml:space="preserve"> to</w:t>
      </w:r>
      <w:r w:rsidR="0072267B" w:rsidRPr="00055111">
        <w:rPr>
          <w:rFonts w:ascii="Garamond" w:hAnsi="Garamond"/>
          <w:sz w:val="28"/>
          <w:szCs w:val="28"/>
        </w:rPr>
        <w:t xml:space="preserve"> </w:t>
      </w:r>
      <w:r w:rsidR="00054974" w:rsidRPr="00055111">
        <w:rPr>
          <w:rFonts w:ascii="Garamond" w:hAnsi="Garamond"/>
          <w:sz w:val="28"/>
          <w:szCs w:val="28"/>
        </w:rPr>
        <w:t xml:space="preserve">ADCRR’s selection of compounded pentobarbital </w:t>
      </w:r>
      <w:r w:rsidR="00235655" w:rsidRPr="00055111">
        <w:rPr>
          <w:rFonts w:ascii="Garamond" w:hAnsi="Garamond"/>
          <w:sz w:val="28"/>
          <w:szCs w:val="28"/>
        </w:rPr>
        <w:t xml:space="preserve">for lethal injections </w:t>
      </w:r>
      <w:r w:rsidR="00D52D24" w:rsidRPr="00055111">
        <w:rPr>
          <w:rFonts w:ascii="Garamond" w:hAnsi="Garamond"/>
          <w:sz w:val="28"/>
          <w:szCs w:val="28"/>
        </w:rPr>
        <w:t>rather than a drug that does not require</w:t>
      </w:r>
      <w:r w:rsidR="00376094" w:rsidRPr="00055111">
        <w:rPr>
          <w:rFonts w:ascii="Garamond" w:hAnsi="Garamond"/>
          <w:sz w:val="28"/>
          <w:szCs w:val="28"/>
        </w:rPr>
        <w:t xml:space="preserve"> the same</w:t>
      </w:r>
      <w:r w:rsidR="00554F68" w:rsidRPr="00055111">
        <w:rPr>
          <w:rFonts w:ascii="Garamond" w:hAnsi="Garamond"/>
          <w:sz w:val="28"/>
          <w:szCs w:val="28"/>
        </w:rPr>
        <w:t xml:space="preserve"> </w:t>
      </w:r>
      <w:r w:rsidR="00376094" w:rsidRPr="00055111">
        <w:rPr>
          <w:rFonts w:ascii="Garamond" w:hAnsi="Garamond"/>
          <w:sz w:val="28"/>
          <w:szCs w:val="28"/>
        </w:rPr>
        <w:t>extraordinary procedures</w:t>
      </w:r>
      <w:r w:rsidR="00930609" w:rsidRPr="00055111">
        <w:rPr>
          <w:rFonts w:ascii="Garamond" w:hAnsi="Garamond"/>
          <w:sz w:val="28"/>
          <w:szCs w:val="28"/>
        </w:rPr>
        <w:t xml:space="preserve">. </w:t>
      </w:r>
      <w:r w:rsidR="00400173" w:rsidRPr="00055111">
        <w:rPr>
          <w:rFonts w:ascii="Garamond" w:hAnsi="Garamond"/>
          <w:sz w:val="28"/>
          <w:szCs w:val="28"/>
        </w:rPr>
        <w:t xml:space="preserve">The State, not capital defendants, should bear the consequences of the State’s own choices. </w:t>
      </w:r>
      <w:r w:rsidR="005462B7" w:rsidRPr="00055111">
        <w:rPr>
          <w:rFonts w:ascii="Garamond" w:hAnsi="Garamond"/>
          <w:sz w:val="28"/>
          <w:szCs w:val="28"/>
        </w:rPr>
        <w:t xml:space="preserve">Significantly, </w:t>
      </w:r>
      <w:r w:rsidR="00A27607" w:rsidRPr="00055111">
        <w:rPr>
          <w:rFonts w:ascii="Garamond" w:hAnsi="Garamond"/>
          <w:sz w:val="28"/>
          <w:szCs w:val="28"/>
        </w:rPr>
        <w:t xml:space="preserve">ADCRR appears to have selected compounded </w:t>
      </w:r>
      <w:r w:rsidR="0004227C" w:rsidRPr="00055111">
        <w:rPr>
          <w:rFonts w:ascii="Garamond" w:hAnsi="Garamond"/>
          <w:sz w:val="28"/>
          <w:szCs w:val="28"/>
        </w:rPr>
        <w:t xml:space="preserve">pentobarbital </w:t>
      </w:r>
      <w:r w:rsidR="0068707F" w:rsidRPr="00055111">
        <w:rPr>
          <w:rFonts w:ascii="Garamond" w:hAnsi="Garamond"/>
          <w:sz w:val="28"/>
          <w:szCs w:val="28"/>
        </w:rPr>
        <w:t xml:space="preserve">as its lethal drug </w:t>
      </w:r>
      <w:r w:rsidR="008744E9" w:rsidRPr="00055111">
        <w:rPr>
          <w:rFonts w:ascii="Garamond" w:hAnsi="Garamond"/>
          <w:sz w:val="28"/>
          <w:szCs w:val="28"/>
        </w:rPr>
        <w:t xml:space="preserve">years </w:t>
      </w:r>
      <w:r w:rsidR="00BC1915" w:rsidRPr="00055111">
        <w:rPr>
          <w:rFonts w:ascii="Garamond" w:hAnsi="Garamond"/>
          <w:sz w:val="28"/>
          <w:szCs w:val="28"/>
        </w:rPr>
        <w:t xml:space="preserve">after </w:t>
      </w:r>
      <w:r w:rsidR="00400173" w:rsidRPr="00055111">
        <w:rPr>
          <w:rFonts w:ascii="Garamond" w:hAnsi="Garamond"/>
          <w:sz w:val="28"/>
          <w:szCs w:val="28"/>
        </w:rPr>
        <w:t>it, represented by the Attorney General,</w:t>
      </w:r>
      <w:r w:rsidR="00C413C7" w:rsidRPr="00055111">
        <w:rPr>
          <w:rFonts w:ascii="Garamond" w:hAnsi="Garamond"/>
          <w:sz w:val="28"/>
          <w:szCs w:val="28"/>
        </w:rPr>
        <w:t xml:space="preserve"> entered</w:t>
      </w:r>
      <w:r w:rsidR="00400173" w:rsidRPr="00055111">
        <w:rPr>
          <w:rFonts w:ascii="Garamond" w:hAnsi="Garamond"/>
          <w:sz w:val="28"/>
          <w:szCs w:val="28"/>
        </w:rPr>
        <w:t xml:space="preserve"> into the</w:t>
      </w:r>
      <w:r w:rsidR="00BC1915" w:rsidRPr="00055111">
        <w:rPr>
          <w:rFonts w:ascii="Garamond" w:hAnsi="Garamond"/>
          <w:sz w:val="28"/>
          <w:szCs w:val="28"/>
        </w:rPr>
        <w:t xml:space="preserve"> settlement agreement </w:t>
      </w:r>
      <w:r w:rsidR="00437F02" w:rsidRPr="00055111">
        <w:rPr>
          <w:rFonts w:ascii="Garamond" w:hAnsi="Garamond"/>
          <w:sz w:val="28"/>
          <w:szCs w:val="28"/>
        </w:rPr>
        <w:t>that impose</w:t>
      </w:r>
      <w:r w:rsidR="00400173" w:rsidRPr="00055111">
        <w:rPr>
          <w:rFonts w:ascii="Garamond" w:hAnsi="Garamond"/>
          <w:sz w:val="28"/>
          <w:szCs w:val="28"/>
        </w:rPr>
        <w:t>s</w:t>
      </w:r>
      <w:r w:rsidR="00437F02" w:rsidRPr="00055111">
        <w:rPr>
          <w:rFonts w:ascii="Garamond" w:hAnsi="Garamond"/>
          <w:sz w:val="28"/>
          <w:szCs w:val="28"/>
        </w:rPr>
        <w:t xml:space="preserve"> the</w:t>
      </w:r>
      <w:r w:rsidR="00BC1915" w:rsidRPr="00055111">
        <w:rPr>
          <w:rFonts w:ascii="Garamond" w:hAnsi="Garamond"/>
          <w:sz w:val="28"/>
          <w:szCs w:val="28"/>
        </w:rPr>
        <w:t xml:space="preserve"> disclosure requirements necessitat</w:t>
      </w:r>
      <w:r w:rsidR="00400173" w:rsidRPr="00055111">
        <w:rPr>
          <w:rFonts w:ascii="Garamond" w:hAnsi="Garamond"/>
          <w:sz w:val="28"/>
          <w:szCs w:val="28"/>
        </w:rPr>
        <w:t>ing</w:t>
      </w:r>
      <w:r w:rsidR="00BC1915" w:rsidRPr="00055111">
        <w:rPr>
          <w:rFonts w:ascii="Garamond" w:hAnsi="Garamond"/>
          <w:sz w:val="28"/>
          <w:szCs w:val="28"/>
        </w:rPr>
        <w:t xml:space="preserve"> early compounding. </w:t>
      </w:r>
      <w:r w:rsidR="00BC1915" w:rsidRPr="00055111">
        <w:rPr>
          <w:rFonts w:ascii="Garamond" w:hAnsi="Garamond"/>
          <w:i/>
          <w:iCs/>
          <w:sz w:val="28"/>
          <w:szCs w:val="28"/>
        </w:rPr>
        <w:t xml:space="preserve">Compare </w:t>
      </w:r>
      <w:r w:rsidR="00FA35C5" w:rsidRPr="00055111">
        <w:rPr>
          <w:rFonts w:ascii="Garamond" w:hAnsi="Garamond"/>
          <w:sz w:val="28"/>
          <w:szCs w:val="28"/>
        </w:rPr>
        <w:t xml:space="preserve">First Amend. Coal. of Ariz. v. Ryan, </w:t>
      </w:r>
      <w:r w:rsidR="00CA2F64" w:rsidRPr="00055111">
        <w:rPr>
          <w:rFonts w:ascii="Garamond" w:hAnsi="Garamond"/>
          <w:sz w:val="28"/>
          <w:szCs w:val="28"/>
        </w:rPr>
        <w:t>No. 2:14-cv-01447</w:t>
      </w:r>
      <w:r w:rsidR="000B763B" w:rsidRPr="00055111">
        <w:rPr>
          <w:rFonts w:ascii="Garamond" w:hAnsi="Garamond"/>
          <w:sz w:val="28"/>
          <w:szCs w:val="28"/>
        </w:rPr>
        <w:t xml:space="preserve"> (D. Ariz)</w:t>
      </w:r>
      <w:r w:rsidR="00CA2F64" w:rsidRPr="00055111">
        <w:rPr>
          <w:rFonts w:ascii="Garamond" w:hAnsi="Garamond"/>
          <w:sz w:val="28"/>
          <w:szCs w:val="28"/>
        </w:rPr>
        <w:t xml:space="preserve">, </w:t>
      </w:r>
      <w:r w:rsidR="005A1051" w:rsidRPr="00055111">
        <w:rPr>
          <w:rFonts w:ascii="Garamond" w:hAnsi="Garamond"/>
          <w:sz w:val="28"/>
          <w:szCs w:val="28"/>
        </w:rPr>
        <w:t>Stipulated Settlement Agreement (June 21, 2017) (</w:t>
      </w:r>
      <w:r w:rsidR="0068407B" w:rsidRPr="00055111">
        <w:rPr>
          <w:rFonts w:ascii="Garamond" w:hAnsi="Garamond"/>
          <w:sz w:val="28"/>
          <w:szCs w:val="28"/>
        </w:rPr>
        <w:t>ADCRR agrees</w:t>
      </w:r>
      <w:r w:rsidR="00C413C7" w:rsidRPr="00055111">
        <w:rPr>
          <w:rFonts w:ascii="Garamond" w:hAnsi="Garamond"/>
          <w:sz w:val="28"/>
          <w:szCs w:val="28"/>
        </w:rPr>
        <w:t xml:space="preserve"> in 2017</w:t>
      </w:r>
      <w:r w:rsidR="0068407B" w:rsidRPr="00055111">
        <w:rPr>
          <w:rFonts w:ascii="Garamond" w:hAnsi="Garamond"/>
          <w:sz w:val="28"/>
          <w:szCs w:val="28"/>
        </w:rPr>
        <w:t xml:space="preserve"> to </w:t>
      </w:r>
      <w:r w:rsidR="00F0349E" w:rsidRPr="00055111">
        <w:rPr>
          <w:rFonts w:ascii="Garamond" w:hAnsi="Garamond"/>
          <w:sz w:val="28"/>
          <w:szCs w:val="28"/>
        </w:rPr>
        <w:t xml:space="preserve">provide quantitative analysis within 10 days of filing warrant motion) </w:t>
      </w:r>
      <w:r w:rsidR="00F0349E" w:rsidRPr="00055111">
        <w:rPr>
          <w:rFonts w:ascii="Garamond" w:hAnsi="Garamond"/>
          <w:i/>
          <w:iCs/>
          <w:sz w:val="28"/>
          <w:szCs w:val="28"/>
        </w:rPr>
        <w:t xml:space="preserve">with </w:t>
      </w:r>
      <w:r w:rsidR="002F1F14" w:rsidRPr="00055111">
        <w:rPr>
          <w:rFonts w:ascii="Garamond" w:hAnsi="Garamond"/>
          <w:sz w:val="28"/>
          <w:szCs w:val="28"/>
        </w:rPr>
        <w:t xml:space="preserve">Pilkington, </w:t>
      </w:r>
      <w:r w:rsidR="002F1F14" w:rsidRPr="00055111">
        <w:rPr>
          <w:rFonts w:ascii="Garamond" w:hAnsi="Garamond"/>
          <w:i/>
          <w:iCs/>
          <w:sz w:val="28"/>
          <w:szCs w:val="28"/>
        </w:rPr>
        <w:t>supra</w:t>
      </w:r>
      <w:r w:rsidR="002F1F14" w:rsidRPr="00055111">
        <w:rPr>
          <w:rFonts w:ascii="Garamond" w:hAnsi="Garamond"/>
          <w:sz w:val="28"/>
          <w:szCs w:val="28"/>
        </w:rPr>
        <w:t xml:space="preserve"> (noting acquisition of pentobarbital API in 2020).</w:t>
      </w:r>
      <w:r w:rsidR="00B76E21" w:rsidRPr="00055111">
        <w:rPr>
          <w:rFonts w:ascii="Garamond" w:hAnsi="Garamond"/>
          <w:sz w:val="28"/>
          <w:szCs w:val="28"/>
        </w:rPr>
        <w:t xml:space="preserve"> </w:t>
      </w:r>
      <w:r w:rsidR="00400173" w:rsidRPr="00055111">
        <w:rPr>
          <w:rFonts w:ascii="Garamond" w:hAnsi="Garamond"/>
          <w:sz w:val="28"/>
          <w:szCs w:val="28"/>
        </w:rPr>
        <w:t>The State</w:t>
      </w:r>
      <w:r w:rsidR="00963F22" w:rsidRPr="00055111">
        <w:rPr>
          <w:rFonts w:ascii="Garamond" w:hAnsi="Garamond"/>
          <w:sz w:val="28"/>
          <w:szCs w:val="28"/>
        </w:rPr>
        <w:t xml:space="preserve"> invited the time crunch the Petition now seeks to codify.</w:t>
      </w:r>
    </w:p>
    <w:p w14:paraId="3C906E62" w14:textId="0A413EAC" w:rsidR="00393D98" w:rsidRPr="00055111" w:rsidRDefault="007459CF" w:rsidP="00C1488D">
      <w:pPr>
        <w:spacing w:after="0" w:line="480" w:lineRule="auto"/>
        <w:ind w:firstLine="720"/>
        <w:rPr>
          <w:rFonts w:ascii="Garamond" w:hAnsi="Garamond"/>
          <w:sz w:val="28"/>
          <w:szCs w:val="28"/>
        </w:rPr>
      </w:pPr>
      <w:r w:rsidRPr="00055111">
        <w:rPr>
          <w:rFonts w:ascii="Garamond" w:hAnsi="Garamond"/>
          <w:sz w:val="28"/>
          <w:szCs w:val="28"/>
        </w:rPr>
        <w:t xml:space="preserve">Whatever the </w:t>
      </w:r>
      <w:r w:rsidR="00F37382" w:rsidRPr="00055111">
        <w:rPr>
          <w:rFonts w:ascii="Garamond" w:hAnsi="Garamond"/>
          <w:sz w:val="28"/>
          <w:szCs w:val="28"/>
        </w:rPr>
        <w:t xml:space="preserve">wisdom of that decision, the selection </w:t>
      </w:r>
      <w:r w:rsidR="001B0F65" w:rsidRPr="00055111">
        <w:rPr>
          <w:rFonts w:ascii="Garamond" w:hAnsi="Garamond"/>
          <w:sz w:val="28"/>
          <w:szCs w:val="28"/>
        </w:rPr>
        <w:t xml:space="preserve">of compounded pentobarbital </w:t>
      </w:r>
      <w:r w:rsidR="00F37382" w:rsidRPr="00055111">
        <w:rPr>
          <w:rFonts w:ascii="Garamond" w:hAnsi="Garamond"/>
          <w:sz w:val="28"/>
          <w:szCs w:val="28"/>
        </w:rPr>
        <w:t xml:space="preserve">and </w:t>
      </w:r>
      <w:r w:rsidR="00DC74CF" w:rsidRPr="00055111">
        <w:rPr>
          <w:rFonts w:ascii="Garamond" w:hAnsi="Garamond"/>
          <w:sz w:val="28"/>
          <w:szCs w:val="28"/>
        </w:rPr>
        <w:t xml:space="preserve">its consequences rest with </w:t>
      </w:r>
      <w:r w:rsidR="00400173" w:rsidRPr="00055111">
        <w:rPr>
          <w:rFonts w:ascii="Garamond" w:hAnsi="Garamond"/>
          <w:sz w:val="28"/>
          <w:szCs w:val="28"/>
        </w:rPr>
        <w:t>the State</w:t>
      </w:r>
      <w:r w:rsidR="00DC74CF" w:rsidRPr="00055111">
        <w:rPr>
          <w:rFonts w:ascii="Garamond" w:hAnsi="Garamond"/>
          <w:sz w:val="28"/>
          <w:szCs w:val="28"/>
        </w:rPr>
        <w:t>.</w:t>
      </w:r>
      <w:r w:rsidR="00604AA4" w:rsidRPr="00055111">
        <w:rPr>
          <w:rFonts w:ascii="Garamond" w:hAnsi="Garamond"/>
          <w:sz w:val="28"/>
          <w:szCs w:val="28"/>
        </w:rPr>
        <w:t xml:space="preserve"> </w:t>
      </w:r>
      <w:r w:rsidR="00CF7CF2" w:rsidRPr="00055111">
        <w:rPr>
          <w:rFonts w:ascii="Garamond" w:hAnsi="Garamond"/>
          <w:sz w:val="28"/>
          <w:szCs w:val="28"/>
        </w:rPr>
        <w:t xml:space="preserve">Principles of </w:t>
      </w:r>
      <w:r w:rsidR="00CF7CF2" w:rsidRPr="00055111">
        <w:rPr>
          <w:rFonts w:ascii="Garamond" w:hAnsi="Garamond"/>
          <w:sz w:val="28"/>
          <w:szCs w:val="28"/>
        </w:rPr>
        <w:lastRenderedPageBreak/>
        <w:t xml:space="preserve">equity disfavor prejudicing one party because of another party’s lack of diligence, </w:t>
      </w:r>
      <w:r w:rsidR="00984B7B" w:rsidRPr="00055111">
        <w:rPr>
          <w:rFonts w:ascii="Garamond" w:hAnsi="Garamond"/>
          <w:sz w:val="28"/>
          <w:szCs w:val="28"/>
        </w:rPr>
        <w:t xml:space="preserve">or rewarding a party for an error </w:t>
      </w:r>
      <w:r w:rsidR="00551696" w:rsidRPr="00055111">
        <w:rPr>
          <w:rFonts w:ascii="Garamond" w:hAnsi="Garamond"/>
          <w:sz w:val="28"/>
          <w:szCs w:val="28"/>
        </w:rPr>
        <w:t xml:space="preserve">that party invited. </w:t>
      </w:r>
      <w:r w:rsidR="00551696" w:rsidRPr="00055111">
        <w:rPr>
          <w:rFonts w:ascii="Garamond" w:hAnsi="Garamond"/>
          <w:i/>
          <w:iCs/>
          <w:sz w:val="28"/>
          <w:szCs w:val="28"/>
        </w:rPr>
        <w:t xml:space="preserve">Cf. </w:t>
      </w:r>
      <w:r w:rsidR="00B05812" w:rsidRPr="00055111">
        <w:rPr>
          <w:rFonts w:ascii="Garamond" w:hAnsi="Garamond"/>
          <w:i/>
          <w:sz w:val="28"/>
          <w:szCs w:val="28"/>
        </w:rPr>
        <w:t>League of Ariz. Cities and Towns v. Martin</w:t>
      </w:r>
      <w:r w:rsidR="00B05812" w:rsidRPr="00055111">
        <w:rPr>
          <w:rFonts w:ascii="Garamond" w:hAnsi="Garamond"/>
          <w:sz w:val="28"/>
          <w:szCs w:val="28"/>
        </w:rPr>
        <w:t>, 219 Ariz. 556, 5</w:t>
      </w:r>
      <w:r w:rsidR="00F53287" w:rsidRPr="00055111">
        <w:rPr>
          <w:rFonts w:ascii="Garamond" w:hAnsi="Garamond"/>
          <w:sz w:val="28"/>
          <w:szCs w:val="28"/>
        </w:rPr>
        <w:t>58-60</w:t>
      </w:r>
      <w:r w:rsidR="00971A80" w:rsidRPr="00055111">
        <w:rPr>
          <w:rFonts w:ascii="Garamond" w:hAnsi="Garamond"/>
          <w:sz w:val="28"/>
          <w:szCs w:val="28"/>
        </w:rPr>
        <w:t xml:space="preserve"> </w:t>
      </w:r>
      <w:r w:rsidR="00B05812" w:rsidRPr="00055111">
        <w:rPr>
          <w:rFonts w:ascii="Garamond" w:hAnsi="Garamond"/>
          <w:sz w:val="28"/>
          <w:szCs w:val="28"/>
        </w:rPr>
        <w:t>¶</w:t>
      </w:r>
      <w:r w:rsidR="00F96131" w:rsidRPr="00055111">
        <w:rPr>
          <w:rFonts w:ascii="Garamond" w:hAnsi="Garamond"/>
          <w:sz w:val="28"/>
          <w:szCs w:val="28"/>
        </w:rPr>
        <w:t>¶</w:t>
      </w:r>
      <w:r w:rsidR="00831570" w:rsidRPr="00055111">
        <w:rPr>
          <w:rFonts w:ascii="Garamond" w:hAnsi="Garamond"/>
          <w:sz w:val="28"/>
          <w:szCs w:val="28"/>
        </w:rPr>
        <w:t xml:space="preserve">6, </w:t>
      </w:r>
      <w:r w:rsidR="00F96131" w:rsidRPr="00055111">
        <w:rPr>
          <w:rFonts w:ascii="Garamond" w:hAnsi="Garamond"/>
          <w:sz w:val="28"/>
          <w:szCs w:val="28"/>
        </w:rPr>
        <w:t>13</w:t>
      </w:r>
      <w:r w:rsidR="00B05812" w:rsidRPr="00055111">
        <w:rPr>
          <w:rFonts w:ascii="Garamond" w:hAnsi="Garamond"/>
          <w:sz w:val="28"/>
          <w:szCs w:val="28"/>
        </w:rPr>
        <w:t xml:space="preserve"> (2009) (doctrine of laches</w:t>
      </w:r>
      <w:r w:rsidR="00366359" w:rsidRPr="00055111">
        <w:rPr>
          <w:rFonts w:ascii="Garamond" w:hAnsi="Garamond"/>
          <w:sz w:val="28"/>
          <w:szCs w:val="28"/>
        </w:rPr>
        <w:t xml:space="preserve"> equitably</w:t>
      </w:r>
      <w:r w:rsidR="00B05812" w:rsidRPr="00055111">
        <w:rPr>
          <w:rFonts w:ascii="Garamond" w:hAnsi="Garamond"/>
          <w:sz w:val="28"/>
          <w:szCs w:val="28"/>
        </w:rPr>
        <w:t xml:space="preserve"> bars </w:t>
      </w:r>
      <w:r w:rsidR="00071CAB" w:rsidRPr="00055111">
        <w:rPr>
          <w:rFonts w:ascii="Garamond" w:hAnsi="Garamond"/>
          <w:sz w:val="28"/>
          <w:szCs w:val="28"/>
        </w:rPr>
        <w:t>party from bringing dela</w:t>
      </w:r>
      <w:r w:rsidR="00F96131" w:rsidRPr="00055111">
        <w:rPr>
          <w:rFonts w:ascii="Garamond" w:hAnsi="Garamond"/>
          <w:sz w:val="28"/>
          <w:szCs w:val="28"/>
        </w:rPr>
        <w:t xml:space="preserve">yed claim </w:t>
      </w:r>
      <w:r w:rsidR="00B05812" w:rsidRPr="00055111">
        <w:rPr>
          <w:rFonts w:ascii="Garamond" w:hAnsi="Garamond"/>
          <w:sz w:val="28"/>
          <w:szCs w:val="28"/>
        </w:rPr>
        <w:t xml:space="preserve">where delay </w:t>
      </w:r>
      <w:r w:rsidR="00366359" w:rsidRPr="00055111">
        <w:rPr>
          <w:rFonts w:ascii="Garamond" w:hAnsi="Garamond"/>
          <w:sz w:val="28"/>
          <w:szCs w:val="28"/>
        </w:rPr>
        <w:t>lack</w:t>
      </w:r>
      <w:r w:rsidR="00071CAB" w:rsidRPr="00055111">
        <w:rPr>
          <w:rFonts w:ascii="Garamond" w:hAnsi="Garamond"/>
          <w:sz w:val="28"/>
          <w:szCs w:val="28"/>
        </w:rPr>
        <w:t>s</w:t>
      </w:r>
      <w:r w:rsidR="00B05812" w:rsidRPr="00055111">
        <w:rPr>
          <w:rFonts w:ascii="Garamond" w:hAnsi="Garamond"/>
          <w:sz w:val="28"/>
          <w:szCs w:val="28"/>
        </w:rPr>
        <w:t xml:space="preserve"> justification and would prejudice a </w:t>
      </w:r>
      <w:r w:rsidR="00F96131" w:rsidRPr="00055111">
        <w:rPr>
          <w:rFonts w:ascii="Garamond" w:hAnsi="Garamond"/>
          <w:sz w:val="28"/>
          <w:szCs w:val="28"/>
        </w:rPr>
        <w:t>counter</w:t>
      </w:r>
      <w:r w:rsidR="00B05812" w:rsidRPr="00055111">
        <w:rPr>
          <w:rFonts w:ascii="Garamond" w:hAnsi="Garamond"/>
          <w:sz w:val="28"/>
          <w:szCs w:val="28"/>
        </w:rPr>
        <w:t>party</w:t>
      </w:r>
      <w:r w:rsidR="00071CAB" w:rsidRPr="00055111">
        <w:rPr>
          <w:rFonts w:ascii="Garamond" w:hAnsi="Garamond"/>
          <w:sz w:val="28"/>
          <w:szCs w:val="28"/>
        </w:rPr>
        <w:t>; doctrine is “based on the principle of fundamental fairness”</w:t>
      </w:r>
      <w:r w:rsidR="00B05812" w:rsidRPr="00055111">
        <w:rPr>
          <w:rFonts w:ascii="Garamond" w:hAnsi="Garamond"/>
          <w:sz w:val="28"/>
          <w:szCs w:val="28"/>
        </w:rPr>
        <w:t>)</w:t>
      </w:r>
      <w:r w:rsidR="00366359" w:rsidRPr="00055111">
        <w:rPr>
          <w:rFonts w:ascii="Garamond" w:hAnsi="Garamond"/>
          <w:sz w:val="28"/>
          <w:szCs w:val="28"/>
        </w:rPr>
        <w:t>;</w:t>
      </w:r>
      <w:r w:rsidR="00F96131" w:rsidRPr="00055111">
        <w:rPr>
          <w:rFonts w:ascii="Garamond" w:hAnsi="Garamond"/>
          <w:sz w:val="28"/>
          <w:szCs w:val="28"/>
        </w:rPr>
        <w:t xml:space="preserve"> </w:t>
      </w:r>
      <w:r w:rsidR="008E3A54" w:rsidRPr="00055111">
        <w:rPr>
          <w:rFonts w:ascii="Garamond" w:hAnsi="Garamond"/>
          <w:i/>
          <w:iCs/>
          <w:sz w:val="28"/>
          <w:szCs w:val="28"/>
        </w:rPr>
        <w:t>State v. Diaz</w:t>
      </w:r>
      <w:r w:rsidR="008E3A54" w:rsidRPr="00055111">
        <w:rPr>
          <w:rFonts w:ascii="Garamond" w:hAnsi="Garamond"/>
          <w:sz w:val="28"/>
          <w:szCs w:val="28"/>
        </w:rPr>
        <w:t xml:space="preserve">, </w:t>
      </w:r>
      <w:r w:rsidR="00DC709B" w:rsidRPr="00055111">
        <w:rPr>
          <w:rFonts w:ascii="Garamond" w:hAnsi="Garamond"/>
          <w:sz w:val="28"/>
          <w:szCs w:val="28"/>
        </w:rPr>
        <w:t>168 Ariz. 363, 366 (1991) (</w:t>
      </w:r>
      <w:r w:rsidR="00671777" w:rsidRPr="00055111">
        <w:rPr>
          <w:rFonts w:ascii="Garamond" w:hAnsi="Garamond"/>
          <w:sz w:val="28"/>
          <w:szCs w:val="28"/>
        </w:rPr>
        <w:t xml:space="preserve">equitable </w:t>
      </w:r>
      <w:r w:rsidR="00DC709B" w:rsidRPr="00055111">
        <w:rPr>
          <w:rFonts w:ascii="Garamond" w:hAnsi="Garamond"/>
          <w:sz w:val="28"/>
          <w:szCs w:val="28"/>
        </w:rPr>
        <w:t xml:space="preserve">invited error doctrine </w:t>
      </w:r>
      <w:r w:rsidR="00671777" w:rsidRPr="00055111">
        <w:rPr>
          <w:rFonts w:ascii="Garamond" w:hAnsi="Garamond"/>
          <w:sz w:val="28"/>
          <w:szCs w:val="28"/>
        </w:rPr>
        <w:t xml:space="preserve">bars party from benefiting from </w:t>
      </w:r>
      <w:r w:rsidR="00F73A8A" w:rsidRPr="00055111">
        <w:rPr>
          <w:rFonts w:ascii="Garamond" w:hAnsi="Garamond"/>
          <w:sz w:val="28"/>
          <w:szCs w:val="28"/>
        </w:rPr>
        <w:t>error it injected into the record).</w:t>
      </w:r>
      <w:r w:rsidR="009F42F1" w:rsidRPr="00055111">
        <w:rPr>
          <w:rFonts w:ascii="Garamond" w:hAnsi="Garamond"/>
          <w:sz w:val="28"/>
          <w:szCs w:val="28"/>
        </w:rPr>
        <w:t xml:space="preserve"> The selection of </w:t>
      </w:r>
      <w:r w:rsidR="00FF710A" w:rsidRPr="00055111">
        <w:rPr>
          <w:rFonts w:ascii="Garamond" w:hAnsi="Garamond"/>
          <w:sz w:val="28"/>
          <w:szCs w:val="28"/>
        </w:rPr>
        <w:t>compounded pentobarbital was an exercise of state discretion.</w:t>
      </w:r>
      <w:r w:rsidR="000148C8" w:rsidRPr="00055111">
        <w:rPr>
          <w:rFonts w:ascii="Garamond" w:hAnsi="Garamond"/>
          <w:sz w:val="28"/>
          <w:szCs w:val="28"/>
        </w:rPr>
        <w:t xml:space="preserve"> </w:t>
      </w:r>
      <w:r w:rsidR="001A03F9" w:rsidRPr="00055111">
        <w:rPr>
          <w:rFonts w:ascii="Garamond" w:hAnsi="Garamond"/>
          <w:sz w:val="28"/>
          <w:szCs w:val="28"/>
        </w:rPr>
        <w:t xml:space="preserve">This Court should not adopt a rule that prejudices </w:t>
      </w:r>
      <w:r w:rsidR="0058156B" w:rsidRPr="00055111">
        <w:rPr>
          <w:rFonts w:ascii="Garamond" w:hAnsi="Garamond"/>
          <w:sz w:val="28"/>
          <w:szCs w:val="28"/>
        </w:rPr>
        <w:t>defendants to mitigate a problem the State created</w:t>
      </w:r>
      <w:r w:rsidR="00400173" w:rsidRPr="00055111">
        <w:rPr>
          <w:rFonts w:ascii="Garamond" w:hAnsi="Garamond"/>
          <w:sz w:val="28"/>
          <w:szCs w:val="28"/>
        </w:rPr>
        <w:t xml:space="preserve"> for itself</w:t>
      </w:r>
      <w:r w:rsidR="00706A8B" w:rsidRPr="00055111">
        <w:rPr>
          <w:rFonts w:ascii="Garamond" w:hAnsi="Garamond"/>
          <w:sz w:val="28"/>
          <w:szCs w:val="28"/>
        </w:rPr>
        <w:t xml:space="preserve"> and can solve itself.</w:t>
      </w:r>
    </w:p>
    <w:p w14:paraId="2FC924BF" w14:textId="7E008C2A" w:rsidR="00A950C1" w:rsidRPr="00055111" w:rsidRDefault="00A950C1" w:rsidP="00C1488D">
      <w:pPr>
        <w:spacing w:after="0" w:line="480" w:lineRule="auto"/>
        <w:ind w:firstLine="720"/>
        <w:rPr>
          <w:rFonts w:ascii="Garamond" w:hAnsi="Garamond"/>
          <w:sz w:val="28"/>
          <w:szCs w:val="28"/>
        </w:rPr>
      </w:pPr>
      <w:r w:rsidRPr="00055111">
        <w:rPr>
          <w:rFonts w:ascii="Garamond" w:hAnsi="Garamond"/>
          <w:sz w:val="28"/>
          <w:szCs w:val="28"/>
        </w:rPr>
        <w:t xml:space="preserve">For similar reasons, the historic example of a prolonged warrant briefing period cited in the Petition is not persuasive. Petition at 4 n.5 (discussing case </w:t>
      </w:r>
      <w:r w:rsidR="004C3895" w:rsidRPr="00055111">
        <w:rPr>
          <w:rFonts w:ascii="Garamond" w:hAnsi="Garamond"/>
          <w:sz w:val="28"/>
          <w:szCs w:val="28"/>
        </w:rPr>
        <w:t xml:space="preserve">where </w:t>
      </w:r>
      <w:r w:rsidRPr="00055111">
        <w:rPr>
          <w:rFonts w:ascii="Garamond" w:hAnsi="Garamond"/>
          <w:sz w:val="28"/>
          <w:szCs w:val="28"/>
        </w:rPr>
        <w:t>“Nearly 4 months</w:t>
      </w:r>
      <w:r w:rsidR="004C3895" w:rsidRPr="00055111">
        <w:rPr>
          <w:rFonts w:ascii="Garamond" w:hAnsi="Garamond"/>
          <w:sz w:val="28"/>
          <w:szCs w:val="28"/>
        </w:rPr>
        <w:t xml:space="preserve">… </w:t>
      </w:r>
      <w:r w:rsidRPr="00055111">
        <w:rPr>
          <w:rFonts w:ascii="Garamond" w:hAnsi="Garamond"/>
          <w:sz w:val="28"/>
          <w:szCs w:val="28"/>
        </w:rPr>
        <w:t>elapsed between the State’s request for an execution warrant and [the defendant]’s execution”). Petitioner notes that the pre-execution period was lengthy in that case “[l]</w:t>
      </w:r>
      <w:proofErr w:type="spellStart"/>
      <w:r w:rsidRPr="00055111">
        <w:rPr>
          <w:rFonts w:ascii="Garamond" w:hAnsi="Garamond"/>
          <w:sz w:val="28"/>
          <w:szCs w:val="28"/>
        </w:rPr>
        <w:t>ikely</w:t>
      </w:r>
      <w:proofErr w:type="spellEnd"/>
      <w:r w:rsidRPr="00055111">
        <w:rPr>
          <w:rFonts w:ascii="Garamond" w:hAnsi="Garamond"/>
          <w:sz w:val="28"/>
          <w:szCs w:val="28"/>
        </w:rPr>
        <w:t xml:space="preserve"> because another inmate was also pending execution[.]” </w:t>
      </w:r>
      <w:r w:rsidRPr="00055111">
        <w:rPr>
          <w:rFonts w:ascii="Garamond" w:hAnsi="Garamond"/>
          <w:i/>
          <w:iCs/>
          <w:sz w:val="28"/>
          <w:szCs w:val="28"/>
        </w:rPr>
        <w:t>Id</w:t>
      </w:r>
      <w:r w:rsidRPr="00055111">
        <w:rPr>
          <w:rFonts w:ascii="Garamond" w:hAnsi="Garamond"/>
          <w:sz w:val="28"/>
          <w:szCs w:val="28"/>
        </w:rPr>
        <w:t xml:space="preserve">. But the Attorney General is the only entity authorized to bring motions for warrants of execution. </w:t>
      </w:r>
      <w:r w:rsidRPr="00055111">
        <w:rPr>
          <w:rFonts w:ascii="Garamond" w:hAnsi="Garamond"/>
          <w:i/>
          <w:iCs/>
          <w:sz w:val="28"/>
          <w:szCs w:val="28"/>
        </w:rPr>
        <w:t xml:space="preserve">See </w:t>
      </w:r>
      <w:r w:rsidRPr="00055111">
        <w:rPr>
          <w:rFonts w:ascii="Garamond" w:hAnsi="Garamond"/>
          <w:sz w:val="28"/>
          <w:szCs w:val="28"/>
        </w:rPr>
        <w:t xml:space="preserve">A.R.S. §41-193(A)(1) (attorney general shall prosecute “all proceedings” in this Court in which the </w:t>
      </w:r>
      <w:r w:rsidR="000839D1" w:rsidRPr="00055111">
        <w:rPr>
          <w:rFonts w:ascii="Garamond" w:hAnsi="Garamond"/>
          <w:sz w:val="28"/>
          <w:szCs w:val="28"/>
        </w:rPr>
        <w:t>S</w:t>
      </w:r>
      <w:r w:rsidRPr="00055111">
        <w:rPr>
          <w:rFonts w:ascii="Garamond" w:hAnsi="Garamond"/>
          <w:sz w:val="28"/>
          <w:szCs w:val="28"/>
        </w:rPr>
        <w:t xml:space="preserve">tate is a party). If pre-execution litigation is prolonged because multiple warrants are being prosecuted at once, blame lies </w:t>
      </w:r>
      <w:r w:rsidR="00AB1AF8" w:rsidRPr="00055111">
        <w:rPr>
          <w:rFonts w:ascii="Garamond" w:hAnsi="Garamond"/>
          <w:sz w:val="28"/>
          <w:szCs w:val="28"/>
        </w:rPr>
        <w:t xml:space="preserve">solely </w:t>
      </w:r>
      <w:r w:rsidRPr="00055111">
        <w:rPr>
          <w:rFonts w:ascii="Garamond" w:hAnsi="Garamond"/>
          <w:sz w:val="28"/>
          <w:szCs w:val="28"/>
        </w:rPr>
        <w:t>at the Attorney General’s feet.</w:t>
      </w:r>
      <w:r w:rsidR="00AB1AF8" w:rsidRPr="00055111">
        <w:rPr>
          <w:rFonts w:ascii="Garamond" w:hAnsi="Garamond"/>
          <w:sz w:val="28"/>
          <w:szCs w:val="28"/>
        </w:rPr>
        <w:t xml:space="preserve"> </w:t>
      </w:r>
      <w:r w:rsidR="00566F2E" w:rsidRPr="00055111">
        <w:rPr>
          <w:rFonts w:ascii="Garamond" w:hAnsi="Garamond"/>
          <w:sz w:val="28"/>
          <w:szCs w:val="28"/>
        </w:rPr>
        <w:t xml:space="preserve">As with </w:t>
      </w:r>
      <w:r w:rsidR="002A6DE1" w:rsidRPr="00055111">
        <w:rPr>
          <w:rFonts w:ascii="Garamond" w:hAnsi="Garamond"/>
          <w:sz w:val="28"/>
          <w:szCs w:val="28"/>
        </w:rPr>
        <w:t>ADCRR</w:t>
      </w:r>
      <w:r w:rsidR="00A57B18" w:rsidRPr="00055111">
        <w:rPr>
          <w:rFonts w:ascii="Garamond" w:hAnsi="Garamond"/>
          <w:sz w:val="28"/>
          <w:szCs w:val="28"/>
        </w:rPr>
        <w:t>’s</w:t>
      </w:r>
      <w:r w:rsidR="00566F2E" w:rsidRPr="00055111">
        <w:rPr>
          <w:rFonts w:ascii="Garamond" w:hAnsi="Garamond"/>
          <w:sz w:val="28"/>
          <w:szCs w:val="28"/>
        </w:rPr>
        <w:t xml:space="preserve"> problematic drug selection, </w:t>
      </w:r>
      <w:r w:rsidR="0090151C" w:rsidRPr="00055111">
        <w:rPr>
          <w:rFonts w:ascii="Garamond" w:hAnsi="Garamond"/>
          <w:sz w:val="28"/>
          <w:szCs w:val="28"/>
        </w:rPr>
        <w:t xml:space="preserve">capital </w:t>
      </w:r>
      <w:r w:rsidR="00A57B18" w:rsidRPr="00055111">
        <w:rPr>
          <w:rFonts w:ascii="Garamond" w:hAnsi="Garamond"/>
          <w:sz w:val="28"/>
          <w:szCs w:val="28"/>
        </w:rPr>
        <w:t xml:space="preserve">defendants should not </w:t>
      </w:r>
      <w:r w:rsidR="00B560B5" w:rsidRPr="00055111">
        <w:rPr>
          <w:rFonts w:ascii="Garamond" w:hAnsi="Garamond"/>
          <w:sz w:val="28"/>
          <w:szCs w:val="28"/>
        </w:rPr>
        <w:t xml:space="preserve">be penalized to compensate for the State’s </w:t>
      </w:r>
      <w:r w:rsidR="00281B93" w:rsidRPr="00055111">
        <w:rPr>
          <w:rFonts w:ascii="Garamond" w:hAnsi="Garamond"/>
          <w:sz w:val="28"/>
          <w:szCs w:val="28"/>
        </w:rPr>
        <w:t xml:space="preserve">lack of </w:t>
      </w:r>
      <w:r w:rsidR="00281B93" w:rsidRPr="00055111">
        <w:rPr>
          <w:rFonts w:ascii="Garamond" w:hAnsi="Garamond"/>
          <w:sz w:val="28"/>
          <w:szCs w:val="28"/>
        </w:rPr>
        <w:lastRenderedPageBreak/>
        <w:t>foresight.</w:t>
      </w:r>
      <w:r w:rsidR="002A6DE1" w:rsidRPr="00055111">
        <w:rPr>
          <w:rFonts w:ascii="Garamond" w:hAnsi="Garamond"/>
          <w:sz w:val="28"/>
          <w:szCs w:val="28"/>
        </w:rPr>
        <w:t xml:space="preserve"> </w:t>
      </w:r>
      <w:r w:rsidR="002C54FD" w:rsidRPr="00055111">
        <w:rPr>
          <w:rFonts w:ascii="Garamond" w:hAnsi="Garamond"/>
          <w:sz w:val="28"/>
          <w:szCs w:val="28"/>
        </w:rPr>
        <w:t>In both cases, the solution is more competent administration</w:t>
      </w:r>
      <w:r w:rsidR="00991047" w:rsidRPr="00055111">
        <w:rPr>
          <w:rFonts w:ascii="Garamond" w:hAnsi="Garamond"/>
          <w:sz w:val="28"/>
          <w:szCs w:val="28"/>
        </w:rPr>
        <w:t xml:space="preserve"> by the State</w:t>
      </w:r>
      <w:r w:rsidR="002C54FD" w:rsidRPr="00055111">
        <w:rPr>
          <w:rFonts w:ascii="Garamond" w:hAnsi="Garamond"/>
          <w:sz w:val="28"/>
          <w:szCs w:val="28"/>
        </w:rPr>
        <w:t xml:space="preserve">, not the adoption </w:t>
      </w:r>
      <w:r w:rsidR="00991047" w:rsidRPr="00055111">
        <w:rPr>
          <w:rFonts w:ascii="Garamond" w:hAnsi="Garamond"/>
          <w:sz w:val="28"/>
          <w:szCs w:val="28"/>
        </w:rPr>
        <w:t>of extraordinary new rules of procedure.</w:t>
      </w:r>
    </w:p>
    <w:p w14:paraId="79DA4492" w14:textId="77777777" w:rsidR="006C4F65" w:rsidRPr="00055111" w:rsidRDefault="006C4F65">
      <w:pPr>
        <w:rPr>
          <w:rFonts w:ascii="Garamond" w:hAnsi="Garamond"/>
          <w:b/>
          <w:bCs/>
          <w:sz w:val="28"/>
          <w:szCs w:val="28"/>
        </w:rPr>
      </w:pPr>
      <w:r w:rsidRPr="00055111">
        <w:rPr>
          <w:rFonts w:ascii="Garamond" w:hAnsi="Garamond"/>
          <w:sz w:val="28"/>
          <w:szCs w:val="28"/>
        </w:rPr>
        <w:br w:type="page"/>
      </w:r>
    </w:p>
    <w:p w14:paraId="1CE751EE" w14:textId="0E2D45C5" w:rsidR="00C64B8A" w:rsidRPr="00055111" w:rsidRDefault="00C1488D" w:rsidP="00785B91">
      <w:pPr>
        <w:pStyle w:val="Heading1"/>
      </w:pPr>
      <w:r w:rsidRPr="00055111">
        <w:t>III</w:t>
      </w:r>
      <w:r w:rsidR="00393D98" w:rsidRPr="00055111">
        <w:t>.</w:t>
      </w:r>
      <w:r w:rsidR="00393D98" w:rsidRPr="00055111">
        <w:tab/>
        <w:t>Conclusion</w:t>
      </w:r>
    </w:p>
    <w:p w14:paraId="2A94B4BB" w14:textId="77777777" w:rsidR="00785B91" w:rsidRPr="00055111" w:rsidRDefault="00785B91" w:rsidP="00785B91">
      <w:pPr>
        <w:spacing w:after="0" w:line="240" w:lineRule="auto"/>
        <w:rPr>
          <w:rFonts w:ascii="Garamond" w:hAnsi="Garamond"/>
          <w:sz w:val="28"/>
          <w:szCs w:val="28"/>
        </w:rPr>
      </w:pPr>
    </w:p>
    <w:p w14:paraId="1583B955" w14:textId="3B7C56B6" w:rsidR="00C64B8A" w:rsidRPr="00055111" w:rsidRDefault="00C64B8A" w:rsidP="00D83143">
      <w:pPr>
        <w:spacing w:after="0" w:line="480" w:lineRule="auto"/>
        <w:rPr>
          <w:rFonts w:ascii="Garamond" w:hAnsi="Garamond"/>
          <w:sz w:val="28"/>
          <w:szCs w:val="28"/>
        </w:rPr>
      </w:pPr>
      <w:r w:rsidRPr="00055111">
        <w:rPr>
          <w:rFonts w:ascii="Garamond" w:hAnsi="Garamond"/>
          <w:sz w:val="28"/>
          <w:szCs w:val="28"/>
        </w:rPr>
        <w:tab/>
        <w:t xml:space="preserve">The proposed rule would prejudice defendants by </w:t>
      </w:r>
      <w:r w:rsidR="00C40EEE" w:rsidRPr="00055111">
        <w:rPr>
          <w:rFonts w:ascii="Garamond" w:hAnsi="Garamond"/>
          <w:sz w:val="28"/>
          <w:szCs w:val="28"/>
        </w:rPr>
        <w:t xml:space="preserve">eliminating process that the Attorney General has previously deemed essential to a fair warrant proceeding. It </w:t>
      </w:r>
      <w:r w:rsidR="00586B5C" w:rsidRPr="00055111">
        <w:rPr>
          <w:rFonts w:ascii="Garamond" w:hAnsi="Garamond"/>
          <w:sz w:val="28"/>
          <w:szCs w:val="28"/>
        </w:rPr>
        <w:t>would do so</w:t>
      </w:r>
      <w:r w:rsidR="003D25D2" w:rsidRPr="00055111">
        <w:rPr>
          <w:rFonts w:ascii="Garamond" w:hAnsi="Garamond"/>
          <w:sz w:val="28"/>
          <w:szCs w:val="28"/>
        </w:rPr>
        <w:t xml:space="preserve"> to</w:t>
      </w:r>
      <w:r w:rsidR="00586B5C" w:rsidRPr="00055111">
        <w:rPr>
          <w:rFonts w:ascii="Garamond" w:hAnsi="Garamond"/>
          <w:sz w:val="28"/>
          <w:szCs w:val="28"/>
        </w:rPr>
        <w:t xml:space="preserve"> accommodate the </w:t>
      </w:r>
      <w:r w:rsidR="00DD1F74" w:rsidRPr="00055111">
        <w:rPr>
          <w:rFonts w:ascii="Garamond" w:hAnsi="Garamond"/>
          <w:sz w:val="28"/>
          <w:szCs w:val="28"/>
        </w:rPr>
        <w:t>particular r</w:t>
      </w:r>
      <w:r w:rsidR="00586B5C" w:rsidRPr="00055111">
        <w:rPr>
          <w:rFonts w:ascii="Garamond" w:hAnsi="Garamond"/>
          <w:sz w:val="28"/>
          <w:szCs w:val="28"/>
        </w:rPr>
        <w:t xml:space="preserve">equirements of a method of execution that </w:t>
      </w:r>
      <w:r w:rsidR="00513A65" w:rsidRPr="00055111">
        <w:rPr>
          <w:rFonts w:ascii="Garamond" w:hAnsi="Garamond"/>
          <w:sz w:val="28"/>
          <w:szCs w:val="28"/>
        </w:rPr>
        <w:t xml:space="preserve">is neither permanent </w:t>
      </w:r>
      <w:r w:rsidR="00A81ED9" w:rsidRPr="00055111">
        <w:rPr>
          <w:rFonts w:ascii="Garamond" w:hAnsi="Garamond"/>
          <w:sz w:val="28"/>
          <w:szCs w:val="28"/>
        </w:rPr>
        <w:t xml:space="preserve">nor universal, </w:t>
      </w:r>
      <w:r w:rsidR="00B155BF" w:rsidRPr="00055111">
        <w:rPr>
          <w:rFonts w:ascii="Garamond" w:hAnsi="Garamond"/>
          <w:sz w:val="28"/>
          <w:szCs w:val="28"/>
        </w:rPr>
        <w:t xml:space="preserve">could </w:t>
      </w:r>
      <w:r w:rsidR="00BF68C0" w:rsidRPr="00055111">
        <w:rPr>
          <w:rFonts w:ascii="Garamond" w:hAnsi="Garamond"/>
          <w:sz w:val="28"/>
          <w:szCs w:val="28"/>
        </w:rPr>
        <w:t xml:space="preserve">be replaced at any time, </w:t>
      </w:r>
      <w:r w:rsidR="00A81ED9" w:rsidRPr="00055111">
        <w:rPr>
          <w:rFonts w:ascii="Garamond" w:hAnsi="Garamond"/>
          <w:sz w:val="28"/>
          <w:szCs w:val="28"/>
        </w:rPr>
        <w:t xml:space="preserve">and was </w:t>
      </w:r>
      <w:r w:rsidR="00434FBB" w:rsidRPr="00055111">
        <w:rPr>
          <w:rFonts w:ascii="Garamond" w:hAnsi="Garamond"/>
          <w:sz w:val="28"/>
          <w:szCs w:val="28"/>
        </w:rPr>
        <w:t>voluntarily adopted</w:t>
      </w:r>
      <w:r w:rsidR="000D3ED3" w:rsidRPr="00055111">
        <w:rPr>
          <w:rFonts w:ascii="Garamond" w:hAnsi="Garamond"/>
          <w:sz w:val="28"/>
          <w:szCs w:val="28"/>
        </w:rPr>
        <w:t xml:space="preserve"> and retained</w:t>
      </w:r>
      <w:r w:rsidR="00434FBB" w:rsidRPr="00055111">
        <w:rPr>
          <w:rFonts w:ascii="Garamond" w:hAnsi="Garamond"/>
          <w:sz w:val="28"/>
          <w:szCs w:val="28"/>
        </w:rPr>
        <w:t xml:space="preserve"> </w:t>
      </w:r>
      <w:r w:rsidR="00A81ED9" w:rsidRPr="00055111">
        <w:rPr>
          <w:rFonts w:ascii="Garamond" w:hAnsi="Garamond"/>
          <w:sz w:val="28"/>
          <w:szCs w:val="28"/>
        </w:rPr>
        <w:t xml:space="preserve">by ADCRR despite notice </w:t>
      </w:r>
      <w:r w:rsidR="00781B16" w:rsidRPr="00055111">
        <w:rPr>
          <w:rFonts w:ascii="Garamond" w:hAnsi="Garamond"/>
          <w:sz w:val="28"/>
          <w:szCs w:val="28"/>
        </w:rPr>
        <w:t>of its shortcomings.</w:t>
      </w:r>
      <w:r w:rsidR="00B94E47" w:rsidRPr="00055111">
        <w:rPr>
          <w:rFonts w:ascii="Garamond" w:hAnsi="Garamond"/>
          <w:sz w:val="28"/>
          <w:szCs w:val="28"/>
        </w:rPr>
        <w:t xml:space="preserve"> The proposed rule would provide minimal benef</w:t>
      </w:r>
      <w:r w:rsidR="009A4D35" w:rsidRPr="00055111">
        <w:rPr>
          <w:rFonts w:ascii="Garamond" w:hAnsi="Garamond"/>
          <w:sz w:val="28"/>
          <w:szCs w:val="28"/>
        </w:rPr>
        <w:t>it that would justify or excuse these unacceptable circumstances</w:t>
      </w:r>
      <w:r w:rsidR="00FA4CE8" w:rsidRPr="00055111">
        <w:rPr>
          <w:rFonts w:ascii="Garamond" w:hAnsi="Garamond"/>
          <w:sz w:val="28"/>
          <w:szCs w:val="28"/>
        </w:rPr>
        <w:t xml:space="preserve">, and it would impose extraordinary new </w:t>
      </w:r>
      <w:r w:rsidR="000D3ED3" w:rsidRPr="00055111">
        <w:rPr>
          <w:rFonts w:ascii="Garamond" w:hAnsi="Garamond"/>
          <w:sz w:val="28"/>
          <w:szCs w:val="28"/>
        </w:rPr>
        <w:t xml:space="preserve">and disproportionate </w:t>
      </w:r>
      <w:r w:rsidR="00FA4CE8" w:rsidRPr="00055111">
        <w:rPr>
          <w:rFonts w:ascii="Garamond" w:hAnsi="Garamond"/>
          <w:sz w:val="28"/>
          <w:szCs w:val="28"/>
        </w:rPr>
        <w:t xml:space="preserve">burdens on defendants, counsel, and the </w:t>
      </w:r>
      <w:r w:rsidR="00434FBB" w:rsidRPr="00055111">
        <w:rPr>
          <w:rFonts w:ascii="Garamond" w:hAnsi="Garamond"/>
          <w:sz w:val="28"/>
          <w:szCs w:val="28"/>
        </w:rPr>
        <w:t>courts</w:t>
      </w:r>
      <w:r w:rsidR="009A4D35" w:rsidRPr="00055111">
        <w:rPr>
          <w:rFonts w:ascii="Garamond" w:hAnsi="Garamond"/>
          <w:sz w:val="28"/>
          <w:szCs w:val="28"/>
        </w:rPr>
        <w:t>. For those reasons, this Court should reject the Petition.</w:t>
      </w:r>
    </w:p>
    <w:p w14:paraId="4A9F3A6C" w14:textId="61E94F3C" w:rsidR="00785B91" w:rsidRPr="00055111" w:rsidRDefault="00785B91" w:rsidP="00D83143">
      <w:pPr>
        <w:spacing w:after="0" w:line="240" w:lineRule="auto"/>
        <w:rPr>
          <w:rFonts w:ascii="Garamond" w:hAnsi="Garamond"/>
          <w:sz w:val="28"/>
          <w:szCs w:val="28"/>
        </w:rPr>
      </w:pP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t>Respectfully submitted this</w:t>
      </w:r>
      <w:r w:rsidR="00F92F08" w:rsidRPr="00055111">
        <w:rPr>
          <w:rFonts w:ascii="Garamond" w:hAnsi="Garamond"/>
          <w:sz w:val="28"/>
          <w:szCs w:val="28"/>
        </w:rPr>
        <w:t xml:space="preserve"> 1</w:t>
      </w:r>
      <w:r w:rsidR="00F92F08" w:rsidRPr="00055111">
        <w:rPr>
          <w:rFonts w:ascii="Garamond" w:hAnsi="Garamond"/>
          <w:sz w:val="28"/>
          <w:szCs w:val="28"/>
          <w:vertAlign w:val="superscript"/>
        </w:rPr>
        <w:t>st</w:t>
      </w:r>
      <w:r w:rsidR="00F92F08" w:rsidRPr="00055111">
        <w:rPr>
          <w:rFonts w:ascii="Garamond" w:hAnsi="Garamond"/>
          <w:sz w:val="28"/>
          <w:szCs w:val="28"/>
        </w:rPr>
        <w:t xml:space="preserve"> day of May, 2025,</w:t>
      </w:r>
    </w:p>
    <w:p w14:paraId="09B4B49A" w14:textId="77777777" w:rsidR="001660D7" w:rsidRPr="00055111" w:rsidRDefault="001660D7" w:rsidP="00D83143">
      <w:pPr>
        <w:spacing w:after="0" w:line="240" w:lineRule="auto"/>
        <w:rPr>
          <w:rFonts w:ascii="Garamond" w:hAnsi="Garamond"/>
          <w:sz w:val="28"/>
          <w:szCs w:val="28"/>
        </w:rPr>
      </w:pPr>
    </w:p>
    <w:p w14:paraId="6230B94F" w14:textId="62C58718" w:rsidR="00F92F08" w:rsidRPr="00055111" w:rsidRDefault="00785B91" w:rsidP="001660D7">
      <w:pPr>
        <w:spacing w:after="0" w:line="240" w:lineRule="auto"/>
        <w:rPr>
          <w:rFonts w:ascii="Garamond" w:hAnsi="Garamond"/>
          <w:sz w:val="28"/>
          <w:szCs w:val="28"/>
        </w:rPr>
      </w:pP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00F92F08" w:rsidRPr="00055111">
        <w:rPr>
          <w:rFonts w:ascii="Garamond" w:hAnsi="Garamond"/>
          <w:sz w:val="28"/>
          <w:szCs w:val="28"/>
        </w:rPr>
        <w:tab/>
      </w:r>
      <w:r w:rsidR="00F92F08" w:rsidRPr="00055111">
        <w:rPr>
          <w:rFonts w:ascii="Garamond" w:hAnsi="Garamond"/>
          <w:sz w:val="28"/>
          <w:szCs w:val="28"/>
        </w:rPr>
        <w:tab/>
      </w:r>
      <w:r w:rsidR="00F92F08" w:rsidRPr="00055111">
        <w:rPr>
          <w:rFonts w:ascii="Garamond" w:hAnsi="Garamond"/>
          <w:sz w:val="28"/>
          <w:szCs w:val="28"/>
        </w:rPr>
        <w:tab/>
      </w:r>
      <w:r w:rsidR="00F92F08" w:rsidRPr="00055111">
        <w:rPr>
          <w:rFonts w:ascii="Garamond" w:hAnsi="Garamond"/>
          <w:sz w:val="28"/>
          <w:szCs w:val="28"/>
          <w:u w:val="single"/>
        </w:rPr>
        <w:t xml:space="preserve"> /s/ </w:t>
      </w:r>
      <w:r w:rsidR="00F92F08" w:rsidRPr="00055111">
        <w:rPr>
          <w:rFonts w:ascii="Garamond" w:hAnsi="Garamond"/>
          <w:i/>
          <w:iCs/>
          <w:sz w:val="28"/>
          <w:szCs w:val="28"/>
          <w:u w:val="single"/>
        </w:rPr>
        <w:t>Sam Kooistra</w:t>
      </w:r>
      <w:r w:rsidR="00F92F08" w:rsidRPr="00055111">
        <w:rPr>
          <w:rFonts w:ascii="Garamond" w:hAnsi="Garamond"/>
          <w:sz w:val="28"/>
          <w:szCs w:val="28"/>
          <w:u w:val="single"/>
        </w:rPr>
        <w:tab/>
      </w:r>
      <w:r w:rsidR="00F92F08" w:rsidRPr="00055111">
        <w:rPr>
          <w:rFonts w:ascii="Garamond" w:hAnsi="Garamond"/>
          <w:sz w:val="28"/>
          <w:szCs w:val="28"/>
          <w:u w:val="single"/>
        </w:rPr>
        <w:tab/>
      </w:r>
    </w:p>
    <w:p w14:paraId="7D8454B4" w14:textId="6516B045" w:rsidR="00F92F08" w:rsidRPr="00055111" w:rsidRDefault="00F92F08" w:rsidP="001660D7">
      <w:pPr>
        <w:spacing w:after="0" w:line="240" w:lineRule="auto"/>
        <w:rPr>
          <w:rFonts w:ascii="Garamond" w:hAnsi="Garamond"/>
          <w:sz w:val="28"/>
          <w:szCs w:val="28"/>
        </w:rPr>
      </w:pP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t>Sam Kooistra</w:t>
      </w:r>
    </w:p>
    <w:p w14:paraId="5311AF3A" w14:textId="5F221150" w:rsidR="00F92F08" w:rsidRPr="00055111" w:rsidRDefault="00F92F08" w:rsidP="001660D7">
      <w:pPr>
        <w:spacing w:after="0" w:line="240" w:lineRule="auto"/>
        <w:rPr>
          <w:rFonts w:ascii="Garamond" w:hAnsi="Garamond"/>
          <w:sz w:val="28"/>
          <w:szCs w:val="28"/>
        </w:rPr>
      </w:pP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t>Amy Armstrong</w:t>
      </w:r>
    </w:p>
    <w:p w14:paraId="2CBA1C4E" w14:textId="4C60826B" w:rsidR="001A5F9D" w:rsidRPr="00055111" w:rsidRDefault="001A5F9D" w:rsidP="001660D7">
      <w:pPr>
        <w:spacing w:after="0" w:line="240" w:lineRule="auto"/>
        <w:rPr>
          <w:rFonts w:ascii="Garamond" w:hAnsi="Garamond"/>
          <w:sz w:val="28"/>
          <w:szCs w:val="28"/>
        </w:rPr>
      </w:pP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t>Counsel for Commenter</w:t>
      </w:r>
    </w:p>
    <w:p w14:paraId="1AA7FD31" w14:textId="2E16FB56" w:rsidR="001660D7" w:rsidRPr="00055111" w:rsidRDefault="001660D7" w:rsidP="001660D7">
      <w:pPr>
        <w:spacing w:after="0" w:line="240" w:lineRule="auto"/>
        <w:rPr>
          <w:rFonts w:ascii="Garamond" w:hAnsi="Garamond"/>
          <w:b/>
          <w:bCs/>
          <w:sz w:val="28"/>
          <w:szCs w:val="28"/>
        </w:rPr>
      </w:pPr>
      <w:r w:rsidRPr="00055111">
        <w:rPr>
          <w:rFonts w:ascii="Garamond" w:hAnsi="Garamond"/>
          <w:b/>
          <w:bCs/>
          <w:sz w:val="28"/>
          <w:szCs w:val="28"/>
        </w:rPr>
        <w:tab/>
      </w:r>
      <w:r w:rsidRPr="00055111">
        <w:rPr>
          <w:rFonts w:ascii="Garamond" w:hAnsi="Garamond"/>
          <w:b/>
          <w:bCs/>
          <w:sz w:val="28"/>
          <w:szCs w:val="28"/>
        </w:rPr>
        <w:tab/>
      </w:r>
      <w:r w:rsidRPr="00055111">
        <w:rPr>
          <w:rFonts w:ascii="Garamond" w:hAnsi="Garamond"/>
          <w:b/>
          <w:bCs/>
          <w:sz w:val="28"/>
          <w:szCs w:val="28"/>
        </w:rPr>
        <w:tab/>
      </w:r>
      <w:r w:rsidRPr="00055111">
        <w:rPr>
          <w:rFonts w:ascii="Garamond" w:hAnsi="Garamond"/>
          <w:b/>
          <w:bCs/>
          <w:sz w:val="28"/>
          <w:szCs w:val="28"/>
        </w:rPr>
        <w:tab/>
      </w:r>
      <w:r w:rsidRPr="00055111">
        <w:rPr>
          <w:rFonts w:ascii="Garamond" w:hAnsi="Garamond"/>
          <w:b/>
          <w:bCs/>
          <w:sz w:val="28"/>
          <w:szCs w:val="28"/>
        </w:rPr>
        <w:tab/>
      </w:r>
      <w:r w:rsidRPr="00055111">
        <w:rPr>
          <w:rFonts w:ascii="Garamond" w:hAnsi="Garamond"/>
          <w:b/>
          <w:bCs/>
          <w:sz w:val="28"/>
          <w:szCs w:val="28"/>
        </w:rPr>
        <w:tab/>
        <w:t>Arizona Capital Representation Project</w:t>
      </w:r>
    </w:p>
    <w:p w14:paraId="31DD32C9" w14:textId="77777777" w:rsidR="001660D7" w:rsidRPr="00055111" w:rsidRDefault="001660D7" w:rsidP="001660D7">
      <w:pPr>
        <w:spacing w:after="0" w:line="240" w:lineRule="auto"/>
        <w:rPr>
          <w:rFonts w:ascii="Garamond" w:hAnsi="Garamond"/>
          <w:sz w:val="28"/>
          <w:szCs w:val="28"/>
        </w:rPr>
      </w:pPr>
    </w:p>
    <w:p w14:paraId="1AA680D3" w14:textId="64851805" w:rsidR="001660D7" w:rsidRPr="00055111" w:rsidRDefault="001660D7" w:rsidP="001660D7">
      <w:pPr>
        <w:spacing w:after="0" w:line="240" w:lineRule="auto"/>
        <w:rPr>
          <w:rFonts w:ascii="Garamond" w:hAnsi="Garamond"/>
          <w:sz w:val="28"/>
          <w:szCs w:val="28"/>
        </w:rPr>
      </w:pP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00804ED6" w:rsidRPr="00055111">
        <w:rPr>
          <w:rFonts w:ascii="Garamond" w:hAnsi="Garamond"/>
          <w:sz w:val="28"/>
          <w:szCs w:val="28"/>
        </w:rPr>
        <w:t>John Mills</w:t>
      </w:r>
    </w:p>
    <w:p w14:paraId="0F2EDBBA" w14:textId="419C144F" w:rsidR="00804ED6" w:rsidRPr="00055111" w:rsidRDefault="00804ED6" w:rsidP="001660D7">
      <w:pPr>
        <w:spacing w:after="0" w:line="240" w:lineRule="auto"/>
        <w:rPr>
          <w:rFonts w:ascii="Garamond" w:hAnsi="Garamond"/>
          <w:sz w:val="28"/>
          <w:szCs w:val="28"/>
        </w:rPr>
      </w:pP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t>Amy Knight</w:t>
      </w:r>
    </w:p>
    <w:p w14:paraId="1F63F810" w14:textId="59303BDA" w:rsidR="001A5F9D" w:rsidRPr="00055111" w:rsidRDefault="001A5F9D" w:rsidP="001660D7">
      <w:pPr>
        <w:spacing w:after="0" w:line="240" w:lineRule="auto"/>
        <w:rPr>
          <w:rFonts w:ascii="Garamond" w:hAnsi="Garamond"/>
          <w:sz w:val="28"/>
          <w:szCs w:val="28"/>
        </w:rPr>
      </w:pP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t>Counsel for Commenter</w:t>
      </w:r>
    </w:p>
    <w:p w14:paraId="445E8846" w14:textId="7D3CC3D2" w:rsidR="00804ED6" w:rsidRPr="00055111" w:rsidRDefault="00804ED6" w:rsidP="001660D7">
      <w:pPr>
        <w:spacing w:after="0" w:line="240" w:lineRule="auto"/>
        <w:rPr>
          <w:rFonts w:ascii="Garamond" w:hAnsi="Garamond"/>
          <w:b/>
          <w:bCs/>
          <w:sz w:val="28"/>
          <w:szCs w:val="28"/>
        </w:rPr>
      </w:pPr>
      <w:r w:rsidRPr="00055111">
        <w:rPr>
          <w:rFonts w:ascii="Garamond" w:hAnsi="Garamond"/>
          <w:b/>
          <w:bCs/>
          <w:sz w:val="28"/>
          <w:szCs w:val="28"/>
        </w:rPr>
        <w:tab/>
      </w:r>
      <w:r w:rsidRPr="00055111">
        <w:rPr>
          <w:rFonts w:ascii="Garamond" w:hAnsi="Garamond"/>
          <w:b/>
          <w:bCs/>
          <w:sz w:val="28"/>
          <w:szCs w:val="28"/>
        </w:rPr>
        <w:tab/>
      </w:r>
      <w:r w:rsidRPr="00055111">
        <w:rPr>
          <w:rFonts w:ascii="Garamond" w:hAnsi="Garamond"/>
          <w:b/>
          <w:bCs/>
          <w:sz w:val="28"/>
          <w:szCs w:val="28"/>
        </w:rPr>
        <w:tab/>
      </w:r>
      <w:r w:rsidRPr="00055111">
        <w:rPr>
          <w:rFonts w:ascii="Garamond" w:hAnsi="Garamond"/>
          <w:b/>
          <w:bCs/>
          <w:sz w:val="28"/>
          <w:szCs w:val="28"/>
        </w:rPr>
        <w:tab/>
      </w:r>
      <w:r w:rsidRPr="00055111">
        <w:rPr>
          <w:rFonts w:ascii="Garamond" w:hAnsi="Garamond"/>
          <w:b/>
          <w:bCs/>
          <w:sz w:val="28"/>
          <w:szCs w:val="28"/>
        </w:rPr>
        <w:tab/>
      </w:r>
      <w:r w:rsidRPr="00055111">
        <w:rPr>
          <w:rFonts w:ascii="Garamond" w:hAnsi="Garamond"/>
          <w:b/>
          <w:bCs/>
          <w:sz w:val="28"/>
          <w:szCs w:val="28"/>
        </w:rPr>
        <w:tab/>
        <w:t>Phillips Black, Inc.</w:t>
      </w:r>
    </w:p>
    <w:p w14:paraId="660D348F" w14:textId="77777777" w:rsidR="001A5F9D" w:rsidRPr="00055111" w:rsidRDefault="001A5F9D" w:rsidP="001660D7">
      <w:pPr>
        <w:spacing w:after="0" w:line="240" w:lineRule="auto"/>
        <w:rPr>
          <w:rFonts w:ascii="Garamond" w:hAnsi="Garamond"/>
          <w:sz w:val="28"/>
          <w:szCs w:val="28"/>
        </w:rPr>
      </w:pPr>
    </w:p>
    <w:p w14:paraId="3EEFDEE0" w14:textId="53FB6643" w:rsidR="00804ED6" w:rsidRPr="00055111" w:rsidRDefault="00804ED6" w:rsidP="001660D7">
      <w:pPr>
        <w:spacing w:after="0" w:line="240" w:lineRule="auto"/>
        <w:rPr>
          <w:rFonts w:ascii="Garamond" w:hAnsi="Garamond"/>
          <w:sz w:val="28"/>
          <w:szCs w:val="28"/>
        </w:rPr>
      </w:pP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t>Molly Br</w:t>
      </w:r>
      <w:r w:rsidR="00940F02" w:rsidRPr="00055111">
        <w:rPr>
          <w:rFonts w:ascii="Garamond" w:hAnsi="Garamond"/>
          <w:sz w:val="28"/>
          <w:szCs w:val="28"/>
        </w:rPr>
        <w:t>izgys</w:t>
      </w:r>
    </w:p>
    <w:p w14:paraId="3957F124" w14:textId="7DCAC851" w:rsidR="001A5F9D" w:rsidRPr="00055111" w:rsidRDefault="001A5F9D" w:rsidP="001660D7">
      <w:pPr>
        <w:spacing w:after="0" w:line="240" w:lineRule="auto"/>
        <w:rPr>
          <w:rFonts w:ascii="Garamond" w:hAnsi="Garamond"/>
          <w:sz w:val="28"/>
          <w:szCs w:val="28"/>
        </w:rPr>
      </w:pP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t>Counsel for Commenter</w:t>
      </w:r>
    </w:p>
    <w:p w14:paraId="7EE1C9E0" w14:textId="698F5D56" w:rsidR="00940F02" w:rsidRPr="00055111" w:rsidRDefault="00940F02" w:rsidP="001660D7">
      <w:pPr>
        <w:spacing w:after="0" w:line="240" w:lineRule="auto"/>
        <w:rPr>
          <w:rFonts w:ascii="Garamond" w:hAnsi="Garamond"/>
          <w:b/>
          <w:bCs/>
          <w:sz w:val="28"/>
          <w:szCs w:val="28"/>
        </w:rPr>
      </w:pPr>
      <w:r w:rsidRPr="00055111">
        <w:rPr>
          <w:rFonts w:ascii="Garamond" w:hAnsi="Garamond"/>
          <w:b/>
          <w:bCs/>
          <w:sz w:val="28"/>
          <w:szCs w:val="28"/>
        </w:rPr>
        <w:tab/>
      </w:r>
      <w:r w:rsidRPr="00055111">
        <w:rPr>
          <w:rFonts w:ascii="Garamond" w:hAnsi="Garamond"/>
          <w:b/>
          <w:bCs/>
          <w:sz w:val="28"/>
          <w:szCs w:val="28"/>
        </w:rPr>
        <w:tab/>
      </w:r>
      <w:r w:rsidRPr="00055111">
        <w:rPr>
          <w:rFonts w:ascii="Garamond" w:hAnsi="Garamond"/>
          <w:b/>
          <w:bCs/>
          <w:sz w:val="28"/>
          <w:szCs w:val="28"/>
        </w:rPr>
        <w:tab/>
      </w:r>
      <w:r w:rsidRPr="00055111">
        <w:rPr>
          <w:rFonts w:ascii="Garamond" w:hAnsi="Garamond"/>
          <w:b/>
          <w:bCs/>
          <w:sz w:val="28"/>
          <w:szCs w:val="28"/>
        </w:rPr>
        <w:tab/>
      </w:r>
      <w:r w:rsidRPr="00055111">
        <w:rPr>
          <w:rFonts w:ascii="Garamond" w:hAnsi="Garamond"/>
          <w:b/>
          <w:bCs/>
          <w:sz w:val="28"/>
          <w:szCs w:val="28"/>
        </w:rPr>
        <w:tab/>
      </w:r>
      <w:r w:rsidRPr="00055111">
        <w:rPr>
          <w:rFonts w:ascii="Garamond" w:hAnsi="Garamond"/>
          <w:b/>
          <w:bCs/>
          <w:sz w:val="28"/>
          <w:szCs w:val="28"/>
        </w:rPr>
        <w:tab/>
        <w:t>Arizona Attorney for Criminal Justice</w:t>
      </w:r>
    </w:p>
    <w:p w14:paraId="672B6630" w14:textId="77777777" w:rsidR="00940F02" w:rsidRPr="00055111" w:rsidRDefault="00940F02" w:rsidP="001660D7">
      <w:pPr>
        <w:spacing w:after="0" w:line="240" w:lineRule="auto"/>
        <w:rPr>
          <w:rFonts w:ascii="Garamond" w:hAnsi="Garamond"/>
          <w:sz w:val="28"/>
          <w:szCs w:val="28"/>
        </w:rPr>
      </w:pPr>
    </w:p>
    <w:p w14:paraId="13A424F7" w14:textId="5A42FA49" w:rsidR="00940F02" w:rsidRPr="00055111" w:rsidRDefault="00940F02" w:rsidP="001660D7">
      <w:pPr>
        <w:spacing w:after="0" w:line="240" w:lineRule="auto"/>
        <w:rPr>
          <w:rFonts w:ascii="Garamond" w:hAnsi="Garamond"/>
          <w:sz w:val="28"/>
          <w:szCs w:val="28"/>
        </w:rPr>
      </w:pPr>
      <w:r w:rsidRPr="00055111">
        <w:rPr>
          <w:rFonts w:ascii="Garamond" w:hAnsi="Garamond"/>
          <w:sz w:val="28"/>
          <w:szCs w:val="28"/>
        </w:rPr>
        <w:lastRenderedPageBreak/>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t>Jennifer</w:t>
      </w:r>
      <w:r w:rsidR="009C6DDC" w:rsidRPr="00055111">
        <w:rPr>
          <w:rFonts w:ascii="Garamond" w:hAnsi="Garamond"/>
          <w:sz w:val="28"/>
          <w:szCs w:val="28"/>
        </w:rPr>
        <w:t xml:space="preserve"> Y</w:t>
      </w:r>
      <w:r w:rsidR="00295443" w:rsidRPr="00055111">
        <w:rPr>
          <w:rFonts w:ascii="Garamond" w:hAnsi="Garamond"/>
          <w:sz w:val="28"/>
          <w:szCs w:val="28"/>
        </w:rPr>
        <w:t>.</w:t>
      </w:r>
      <w:r w:rsidRPr="00055111">
        <w:rPr>
          <w:rFonts w:ascii="Garamond" w:hAnsi="Garamond"/>
          <w:sz w:val="28"/>
          <w:szCs w:val="28"/>
        </w:rPr>
        <w:t xml:space="preserve"> Garcia</w:t>
      </w:r>
    </w:p>
    <w:p w14:paraId="7F21E969" w14:textId="5304689D" w:rsidR="00EC04E3" w:rsidRPr="00055111" w:rsidRDefault="00EC04E3" w:rsidP="001660D7">
      <w:pPr>
        <w:spacing w:after="0" w:line="240" w:lineRule="auto"/>
        <w:rPr>
          <w:rFonts w:ascii="Garamond" w:hAnsi="Garamond"/>
          <w:sz w:val="28"/>
          <w:szCs w:val="28"/>
        </w:rPr>
      </w:pP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t>Counsel for Commenter</w:t>
      </w:r>
    </w:p>
    <w:p w14:paraId="642920AC" w14:textId="77777777" w:rsidR="00940F02" w:rsidRPr="00055111" w:rsidRDefault="00940F02" w:rsidP="001660D7">
      <w:pPr>
        <w:spacing w:after="0" w:line="240" w:lineRule="auto"/>
        <w:rPr>
          <w:rFonts w:ascii="Garamond" w:hAnsi="Garamond"/>
          <w:b/>
          <w:bCs/>
          <w:sz w:val="28"/>
          <w:szCs w:val="28"/>
        </w:rPr>
      </w:pP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sz w:val="28"/>
          <w:szCs w:val="28"/>
        </w:rPr>
        <w:tab/>
      </w:r>
      <w:r w:rsidRPr="00055111">
        <w:rPr>
          <w:rFonts w:ascii="Garamond" w:hAnsi="Garamond"/>
          <w:b/>
          <w:bCs/>
          <w:sz w:val="28"/>
          <w:szCs w:val="28"/>
        </w:rPr>
        <w:t>Federal Public Defender</w:t>
      </w:r>
    </w:p>
    <w:p w14:paraId="645D93DE" w14:textId="6DEC0507" w:rsidR="00940F02" w:rsidRPr="00055111" w:rsidRDefault="00940F02" w:rsidP="001660D7">
      <w:pPr>
        <w:spacing w:after="0" w:line="240" w:lineRule="auto"/>
        <w:rPr>
          <w:rFonts w:ascii="Garamond" w:hAnsi="Garamond"/>
          <w:b/>
          <w:bCs/>
          <w:sz w:val="28"/>
          <w:szCs w:val="28"/>
        </w:rPr>
      </w:pPr>
      <w:r w:rsidRPr="00055111">
        <w:rPr>
          <w:rFonts w:ascii="Garamond" w:hAnsi="Garamond"/>
          <w:b/>
          <w:bCs/>
          <w:sz w:val="28"/>
          <w:szCs w:val="28"/>
        </w:rPr>
        <w:tab/>
      </w:r>
      <w:r w:rsidRPr="00055111">
        <w:rPr>
          <w:rFonts w:ascii="Garamond" w:hAnsi="Garamond"/>
          <w:b/>
          <w:bCs/>
          <w:sz w:val="28"/>
          <w:szCs w:val="28"/>
        </w:rPr>
        <w:tab/>
      </w:r>
      <w:r w:rsidRPr="00055111">
        <w:rPr>
          <w:rFonts w:ascii="Garamond" w:hAnsi="Garamond"/>
          <w:b/>
          <w:bCs/>
          <w:sz w:val="28"/>
          <w:szCs w:val="28"/>
        </w:rPr>
        <w:tab/>
      </w:r>
      <w:r w:rsidRPr="00055111">
        <w:rPr>
          <w:rFonts w:ascii="Garamond" w:hAnsi="Garamond"/>
          <w:b/>
          <w:bCs/>
          <w:sz w:val="28"/>
          <w:szCs w:val="28"/>
        </w:rPr>
        <w:tab/>
      </w:r>
      <w:r w:rsidRPr="00055111">
        <w:rPr>
          <w:rFonts w:ascii="Garamond" w:hAnsi="Garamond"/>
          <w:b/>
          <w:bCs/>
          <w:sz w:val="28"/>
          <w:szCs w:val="28"/>
        </w:rPr>
        <w:tab/>
      </w:r>
      <w:r w:rsidRPr="00055111">
        <w:rPr>
          <w:rFonts w:ascii="Garamond" w:hAnsi="Garamond"/>
          <w:b/>
          <w:bCs/>
          <w:sz w:val="28"/>
          <w:szCs w:val="28"/>
        </w:rPr>
        <w:tab/>
        <w:t>for the District of Arizona</w:t>
      </w:r>
    </w:p>
    <w:sectPr w:rsidR="00940F02" w:rsidRPr="00055111" w:rsidSect="009F4444">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C539E" w14:textId="77777777" w:rsidR="007C7ABB" w:rsidRDefault="007C7ABB" w:rsidP="005C157A">
      <w:pPr>
        <w:spacing w:after="0" w:line="240" w:lineRule="auto"/>
      </w:pPr>
      <w:r>
        <w:separator/>
      </w:r>
    </w:p>
    <w:p w14:paraId="23D0AC4B" w14:textId="77777777" w:rsidR="007C7ABB" w:rsidRDefault="007C7ABB"/>
  </w:endnote>
  <w:endnote w:type="continuationSeparator" w:id="0">
    <w:p w14:paraId="02ACA29D" w14:textId="77777777" w:rsidR="007C7ABB" w:rsidRDefault="007C7ABB" w:rsidP="005C157A">
      <w:pPr>
        <w:spacing w:after="0" w:line="240" w:lineRule="auto"/>
      </w:pPr>
      <w:r>
        <w:continuationSeparator/>
      </w:r>
    </w:p>
    <w:p w14:paraId="33E72585" w14:textId="77777777" w:rsidR="007C7ABB" w:rsidRDefault="007C7ABB"/>
  </w:endnote>
  <w:endnote w:type="continuationNotice" w:id="1">
    <w:p w14:paraId="55955AE9" w14:textId="77777777" w:rsidR="007C7ABB" w:rsidRDefault="007C7A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8"/>
        <w:szCs w:val="28"/>
      </w:rPr>
      <w:id w:val="-376322483"/>
      <w:docPartObj>
        <w:docPartGallery w:val="Page Numbers (Bottom of Page)"/>
        <w:docPartUnique/>
      </w:docPartObj>
    </w:sdtPr>
    <w:sdtEndPr>
      <w:rPr>
        <w:noProof/>
      </w:rPr>
    </w:sdtEndPr>
    <w:sdtContent>
      <w:p w14:paraId="45FEBD4F" w14:textId="77777777" w:rsidR="005C157A" w:rsidRPr="000B40AF" w:rsidRDefault="005C157A">
        <w:pPr>
          <w:pStyle w:val="Footer"/>
          <w:jc w:val="center"/>
          <w:rPr>
            <w:rFonts w:ascii="Garamond" w:hAnsi="Garamond"/>
            <w:sz w:val="28"/>
            <w:szCs w:val="28"/>
          </w:rPr>
        </w:pPr>
        <w:r w:rsidRPr="000B40AF">
          <w:rPr>
            <w:rFonts w:ascii="Garamond" w:hAnsi="Garamond"/>
            <w:sz w:val="28"/>
            <w:szCs w:val="28"/>
          </w:rPr>
          <w:fldChar w:fldCharType="begin"/>
        </w:r>
        <w:r w:rsidRPr="000B40AF">
          <w:rPr>
            <w:rFonts w:ascii="Garamond" w:hAnsi="Garamond"/>
            <w:sz w:val="28"/>
            <w:szCs w:val="28"/>
          </w:rPr>
          <w:instrText xml:space="preserve"> PAGE   \* MERGEFORMAT </w:instrText>
        </w:r>
        <w:r w:rsidRPr="000B40AF">
          <w:rPr>
            <w:rFonts w:ascii="Garamond" w:hAnsi="Garamond"/>
            <w:sz w:val="28"/>
            <w:szCs w:val="28"/>
          </w:rPr>
          <w:fldChar w:fldCharType="separate"/>
        </w:r>
        <w:r w:rsidRPr="000B40AF">
          <w:rPr>
            <w:rFonts w:ascii="Garamond" w:hAnsi="Garamond"/>
            <w:noProof/>
            <w:sz w:val="28"/>
            <w:szCs w:val="28"/>
          </w:rPr>
          <w:t>2</w:t>
        </w:r>
        <w:r w:rsidRPr="000B40AF">
          <w:rPr>
            <w:rFonts w:ascii="Garamond" w:hAnsi="Garamond"/>
            <w:noProof/>
            <w:sz w:val="28"/>
            <w:szCs w:val="28"/>
          </w:rPr>
          <w:fldChar w:fldCharType="end"/>
        </w:r>
      </w:p>
    </w:sdtContent>
  </w:sdt>
  <w:p w14:paraId="58B1478E" w14:textId="77777777" w:rsidR="005C157A" w:rsidRPr="000B40AF" w:rsidRDefault="005C157A">
    <w:pPr>
      <w:pStyle w:val="Footer"/>
      <w:rPr>
        <w:rFonts w:ascii="Garamond" w:hAnsi="Garamond"/>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48659" w14:textId="77777777" w:rsidR="007C7ABB" w:rsidRDefault="007C7ABB" w:rsidP="005C157A">
      <w:pPr>
        <w:spacing w:after="0" w:line="240" w:lineRule="auto"/>
      </w:pPr>
      <w:r>
        <w:separator/>
      </w:r>
    </w:p>
  </w:footnote>
  <w:footnote w:type="continuationSeparator" w:id="0">
    <w:p w14:paraId="62139558" w14:textId="77777777" w:rsidR="007C7ABB" w:rsidRDefault="007C7ABB" w:rsidP="005C157A">
      <w:pPr>
        <w:spacing w:after="0" w:line="240" w:lineRule="auto"/>
      </w:pPr>
      <w:r>
        <w:continuationSeparator/>
      </w:r>
    </w:p>
    <w:p w14:paraId="2455463C" w14:textId="77777777" w:rsidR="007C7ABB" w:rsidRDefault="007C7ABB"/>
  </w:footnote>
  <w:footnote w:type="continuationNotice" w:id="1">
    <w:p w14:paraId="616A6062" w14:textId="77777777" w:rsidR="007C7ABB" w:rsidRDefault="007C7ABB">
      <w:pPr>
        <w:spacing w:after="0" w:line="240" w:lineRule="auto"/>
      </w:pPr>
    </w:p>
  </w:footnote>
  <w:footnote w:id="2">
    <w:p w14:paraId="69D9C82F" w14:textId="4B81EE68" w:rsidR="00D5066E" w:rsidRPr="00253C1A" w:rsidRDefault="00D5066E">
      <w:pPr>
        <w:pStyle w:val="FootnoteText"/>
        <w:rPr>
          <w:rFonts w:ascii="Garamond" w:hAnsi="Garamond"/>
          <w:sz w:val="28"/>
          <w:szCs w:val="28"/>
        </w:rPr>
      </w:pPr>
      <w:r w:rsidRPr="00253C1A">
        <w:rPr>
          <w:rStyle w:val="FootnoteReference"/>
          <w:rFonts w:ascii="Garamond" w:hAnsi="Garamond"/>
          <w:sz w:val="28"/>
          <w:szCs w:val="28"/>
        </w:rPr>
        <w:footnoteRef/>
      </w:r>
      <w:r w:rsidRPr="00253C1A">
        <w:rPr>
          <w:rFonts w:ascii="Garamond" w:hAnsi="Garamond"/>
          <w:sz w:val="28"/>
          <w:szCs w:val="28"/>
        </w:rPr>
        <w:t xml:space="preserve"> What’s more, as discussed below, in each of the four cases this Court allowed </w:t>
      </w:r>
      <w:r w:rsidR="00F8650D" w:rsidRPr="00253C1A">
        <w:rPr>
          <w:rFonts w:ascii="Garamond" w:hAnsi="Garamond"/>
          <w:sz w:val="28"/>
          <w:szCs w:val="28"/>
        </w:rPr>
        <w:t xml:space="preserve">the parties </w:t>
      </w:r>
      <w:r w:rsidR="00F8650D" w:rsidRPr="00253C1A">
        <w:rPr>
          <w:rFonts w:ascii="Garamond" w:hAnsi="Garamond"/>
          <w:i/>
          <w:iCs/>
          <w:sz w:val="28"/>
          <w:szCs w:val="28"/>
        </w:rPr>
        <w:t>more</w:t>
      </w:r>
      <w:r w:rsidR="00F8650D" w:rsidRPr="00253C1A">
        <w:rPr>
          <w:rFonts w:ascii="Garamond" w:hAnsi="Garamond"/>
          <w:sz w:val="28"/>
          <w:szCs w:val="28"/>
        </w:rPr>
        <w:t xml:space="preserve"> time for briefing than i</w:t>
      </w:r>
      <w:r w:rsidR="00211250" w:rsidRPr="00253C1A">
        <w:rPr>
          <w:rFonts w:ascii="Garamond" w:hAnsi="Garamond"/>
          <w:sz w:val="28"/>
          <w:szCs w:val="28"/>
        </w:rPr>
        <w:t>s</w:t>
      </w:r>
      <w:r w:rsidR="00F8650D" w:rsidRPr="00253C1A">
        <w:rPr>
          <w:rFonts w:ascii="Garamond" w:hAnsi="Garamond"/>
          <w:sz w:val="28"/>
          <w:szCs w:val="28"/>
        </w:rPr>
        <w:t xml:space="preserve"> contemplated in the proposed rule.</w:t>
      </w:r>
    </w:p>
  </w:footnote>
  <w:footnote w:id="3">
    <w:p w14:paraId="4287B812" w14:textId="6600456B" w:rsidR="00CF2589" w:rsidRPr="00253C1A" w:rsidRDefault="00CF2589" w:rsidP="00D24331">
      <w:pPr>
        <w:pStyle w:val="FootnoteText"/>
        <w:spacing w:after="120"/>
        <w:rPr>
          <w:rFonts w:ascii="Garamond" w:hAnsi="Garamond"/>
          <w:sz w:val="28"/>
          <w:szCs w:val="28"/>
        </w:rPr>
      </w:pPr>
      <w:r w:rsidRPr="00253C1A">
        <w:rPr>
          <w:rStyle w:val="FootnoteReference"/>
          <w:rFonts w:ascii="Garamond" w:hAnsi="Garamond"/>
          <w:sz w:val="28"/>
          <w:szCs w:val="28"/>
        </w:rPr>
        <w:footnoteRef/>
      </w:r>
      <w:r w:rsidRPr="00253C1A">
        <w:rPr>
          <w:rFonts w:ascii="Garamond" w:hAnsi="Garamond"/>
          <w:sz w:val="28"/>
          <w:szCs w:val="28"/>
        </w:rPr>
        <w:t xml:space="preserve"> Substantially identical language appears in the other three scheduling motions.</w:t>
      </w:r>
    </w:p>
  </w:footnote>
  <w:footnote w:id="4">
    <w:p w14:paraId="5B3656B6" w14:textId="0C802964" w:rsidR="00C2349D" w:rsidRPr="00253C1A" w:rsidRDefault="00C2349D" w:rsidP="00C2349D">
      <w:pPr>
        <w:pStyle w:val="FootnoteText"/>
        <w:rPr>
          <w:rFonts w:ascii="Garamond" w:hAnsi="Garamond"/>
          <w:sz w:val="28"/>
          <w:szCs w:val="28"/>
        </w:rPr>
      </w:pPr>
      <w:r w:rsidRPr="00253C1A">
        <w:rPr>
          <w:rStyle w:val="FootnoteReference"/>
          <w:rFonts w:ascii="Garamond" w:hAnsi="Garamond"/>
          <w:sz w:val="28"/>
          <w:szCs w:val="28"/>
        </w:rPr>
        <w:footnoteRef/>
      </w:r>
      <w:r w:rsidRPr="00253C1A">
        <w:rPr>
          <w:rFonts w:ascii="Garamond" w:hAnsi="Garamond"/>
          <w:sz w:val="28"/>
          <w:szCs w:val="28"/>
        </w:rPr>
        <w:t xml:space="preserve"> In </w:t>
      </w:r>
      <w:r w:rsidRPr="00253C1A">
        <w:rPr>
          <w:rFonts w:ascii="Garamond" w:hAnsi="Garamond"/>
          <w:i/>
          <w:iCs/>
          <w:sz w:val="28"/>
          <w:szCs w:val="28"/>
        </w:rPr>
        <w:t>Hooper</w:t>
      </w:r>
      <w:r w:rsidRPr="00253C1A">
        <w:rPr>
          <w:rFonts w:ascii="Garamond" w:hAnsi="Garamond"/>
          <w:sz w:val="28"/>
          <w:szCs w:val="28"/>
        </w:rPr>
        <w:t xml:space="preserve">, claiming a 180-day BUD, the State requested and this Court granted the standard 14-day response/seven day reply deadline. </w:t>
      </w:r>
      <w:r w:rsidRPr="00253C1A">
        <w:rPr>
          <w:rFonts w:ascii="Garamond" w:hAnsi="Garamond"/>
          <w:i/>
          <w:iCs/>
          <w:sz w:val="28"/>
          <w:szCs w:val="28"/>
        </w:rPr>
        <w:t>Hooper</w:t>
      </w:r>
      <w:r w:rsidRPr="00253C1A">
        <w:rPr>
          <w:rFonts w:ascii="Garamond" w:hAnsi="Garamond"/>
          <w:sz w:val="28"/>
          <w:szCs w:val="28"/>
        </w:rPr>
        <w:t xml:space="preserve">, </w:t>
      </w:r>
      <w:r w:rsidRPr="00253C1A">
        <w:rPr>
          <w:rFonts w:ascii="Garamond" w:hAnsi="Garamond"/>
          <w:i/>
          <w:iCs/>
          <w:sz w:val="28"/>
          <w:szCs w:val="28"/>
        </w:rPr>
        <w:t>supra</w:t>
      </w:r>
      <w:r w:rsidRPr="00253C1A">
        <w:rPr>
          <w:rFonts w:ascii="Garamond" w:hAnsi="Garamond"/>
          <w:sz w:val="28"/>
          <w:szCs w:val="28"/>
        </w:rPr>
        <w:t xml:space="preserve">, Motion to Set Briefing Schedule for Motion for Warrant of Execution, at 4; </w:t>
      </w:r>
      <w:r w:rsidRPr="00253C1A">
        <w:rPr>
          <w:rFonts w:ascii="Garamond" w:hAnsi="Garamond"/>
          <w:i/>
          <w:iCs/>
          <w:sz w:val="28"/>
          <w:szCs w:val="28"/>
        </w:rPr>
        <w:t>id</w:t>
      </w:r>
      <w:r w:rsidRPr="00253C1A">
        <w:rPr>
          <w:rFonts w:ascii="Garamond" w:hAnsi="Garamond"/>
          <w:sz w:val="28"/>
          <w:szCs w:val="28"/>
        </w:rPr>
        <w:t xml:space="preserve">., Order (8/24/2022). In </w:t>
      </w:r>
      <w:r w:rsidRPr="00253C1A">
        <w:rPr>
          <w:rFonts w:ascii="Garamond" w:hAnsi="Garamond"/>
          <w:i/>
          <w:iCs/>
          <w:sz w:val="28"/>
          <w:szCs w:val="28"/>
        </w:rPr>
        <w:t>Gunches</w:t>
      </w:r>
      <w:r w:rsidRPr="00253C1A">
        <w:rPr>
          <w:rFonts w:ascii="Garamond" w:hAnsi="Garamond"/>
          <w:sz w:val="28"/>
          <w:szCs w:val="28"/>
        </w:rPr>
        <w:t xml:space="preserve">, the State </w:t>
      </w:r>
      <w:r>
        <w:rPr>
          <w:rFonts w:ascii="Garamond" w:hAnsi="Garamond"/>
          <w:sz w:val="28"/>
          <w:szCs w:val="28"/>
        </w:rPr>
        <w:t xml:space="preserve">reverted to a 90-day BUD and </w:t>
      </w:r>
      <w:r w:rsidRPr="00253C1A">
        <w:rPr>
          <w:rFonts w:ascii="Garamond" w:hAnsi="Garamond"/>
          <w:sz w:val="28"/>
          <w:szCs w:val="28"/>
        </w:rPr>
        <w:t>did not request a specific schedule</w:t>
      </w:r>
      <w:r>
        <w:rPr>
          <w:rFonts w:ascii="Garamond" w:hAnsi="Garamond"/>
          <w:sz w:val="28"/>
          <w:szCs w:val="28"/>
        </w:rPr>
        <w:t>,</w:t>
      </w:r>
      <w:r w:rsidRPr="00253C1A">
        <w:rPr>
          <w:rFonts w:ascii="Garamond" w:hAnsi="Garamond"/>
          <w:sz w:val="28"/>
          <w:szCs w:val="28"/>
        </w:rPr>
        <w:t xml:space="preserve"> </w:t>
      </w:r>
      <w:r>
        <w:rPr>
          <w:rFonts w:ascii="Garamond" w:hAnsi="Garamond"/>
          <w:sz w:val="28"/>
          <w:szCs w:val="28"/>
        </w:rPr>
        <w:t xml:space="preserve">instead referring </w:t>
      </w:r>
      <w:r w:rsidRPr="00253C1A">
        <w:rPr>
          <w:rFonts w:ascii="Garamond" w:hAnsi="Garamond"/>
          <w:sz w:val="28"/>
          <w:szCs w:val="28"/>
        </w:rPr>
        <w:t>this Court to the scheduling orders in the other three cases, which this Court replicated</w:t>
      </w:r>
      <w:r w:rsidR="00EB4725">
        <w:rPr>
          <w:rFonts w:ascii="Garamond" w:hAnsi="Garamond"/>
          <w:sz w:val="28"/>
          <w:szCs w:val="28"/>
        </w:rPr>
        <w:t xml:space="preserve"> for Mr. Gunches</w:t>
      </w:r>
      <w:r w:rsidRPr="00253C1A">
        <w:rPr>
          <w:rFonts w:ascii="Garamond" w:hAnsi="Garamond"/>
          <w:sz w:val="28"/>
          <w:szCs w:val="28"/>
        </w:rPr>
        <w:t xml:space="preserve">. </w:t>
      </w:r>
      <w:r w:rsidRPr="00253C1A">
        <w:rPr>
          <w:rFonts w:ascii="Garamond" w:hAnsi="Garamond"/>
          <w:i/>
          <w:iCs/>
          <w:sz w:val="28"/>
          <w:szCs w:val="28"/>
        </w:rPr>
        <w:t>Gunches</w:t>
      </w:r>
      <w:r w:rsidRPr="00253C1A">
        <w:rPr>
          <w:rFonts w:ascii="Garamond" w:hAnsi="Garamond"/>
          <w:sz w:val="28"/>
          <w:szCs w:val="28"/>
        </w:rPr>
        <w:t xml:space="preserve">, </w:t>
      </w:r>
      <w:r w:rsidRPr="00253C1A">
        <w:rPr>
          <w:rFonts w:ascii="Garamond" w:hAnsi="Garamond"/>
          <w:i/>
          <w:iCs/>
          <w:sz w:val="28"/>
          <w:szCs w:val="28"/>
        </w:rPr>
        <w:t>supra</w:t>
      </w:r>
      <w:r w:rsidRPr="00253C1A">
        <w:rPr>
          <w:rFonts w:ascii="Garamond" w:hAnsi="Garamond"/>
          <w:sz w:val="28"/>
          <w:szCs w:val="28"/>
        </w:rPr>
        <w:t xml:space="preserve">, Motion to Set Briefing Schedule for Motion for Warrant of Execution, at 4; </w:t>
      </w:r>
      <w:r w:rsidRPr="00253C1A">
        <w:rPr>
          <w:rFonts w:ascii="Garamond" w:hAnsi="Garamond"/>
          <w:i/>
          <w:iCs/>
          <w:sz w:val="28"/>
          <w:szCs w:val="28"/>
        </w:rPr>
        <w:t>id</w:t>
      </w:r>
      <w:r w:rsidRPr="00253C1A">
        <w:rPr>
          <w:rFonts w:ascii="Garamond" w:hAnsi="Garamond"/>
          <w:sz w:val="28"/>
          <w:szCs w:val="28"/>
        </w:rPr>
        <w:t>., Amended Order (1/8/2025).</w:t>
      </w:r>
    </w:p>
  </w:footnote>
  <w:footnote w:id="5">
    <w:p w14:paraId="0E3AA587" w14:textId="5E5D5BCF" w:rsidR="006F0FBB" w:rsidRPr="00253C1A" w:rsidRDefault="006F0FBB" w:rsidP="006F0FBB">
      <w:pPr>
        <w:pStyle w:val="FootnoteText"/>
        <w:spacing w:after="120"/>
        <w:rPr>
          <w:rFonts w:ascii="Garamond" w:hAnsi="Garamond"/>
          <w:sz w:val="28"/>
          <w:szCs w:val="28"/>
        </w:rPr>
      </w:pPr>
      <w:r w:rsidRPr="00253C1A">
        <w:rPr>
          <w:rStyle w:val="FootnoteReference"/>
          <w:rFonts w:ascii="Garamond" w:hAnsi="Garamond"/>
          <w:sz w:val="28"/>
          <w:szCs w:val="28"/>
        </w:rPr>
        <w:footnoteRef/>
      </w:r>
      <w:r w:rsidRPr="00253C1A">
        <w:rPr>
          <w:rFonts w:ascii="Garamond" w:hAnsi="Garamond"/>
          <w:sz w:val="28"/>
          <w:szCs w:val="28"/>
        </w:rPr>
        <w:t xml:space="preserve"> </w:t>
      </w:r>
      <w:r w:rsidR="004A57A6" w:rsidRPr="004A57A6">
        <w:rPr>
          <w:rFonts w:ascii="Garamond" w:hAnsi="Garamond"/>
          <w:sz w:val="28"/>
          <w:szCs w:val="28"/>
        </w:rPr>
        <w:t>Indeed</w:t>
      </w:r>
      <w:r w:rsidR="00082558" w:rsidRPr="004A57A6">
        <w:rPr>
          <w:rFonts w:ascii="Garamond" w:hAnsi="Garamond"/>
          <w:sz w:val="28"/>
          <w:szCs w:val="28"/>
        </w:rPr>
        <w:t>, the Arizona</w:t>
      </w:r>
      <w:r w:rsidRPr="004A57A6">
        <w:rPr>
          <w:rFonts w:ascii="Garamond" w:hAnsi="Garamond"/>
          <w:sz w:val="28"/>
          <w:szCs w:val="28"/>
        </w:rPr>
        <w:t xml:space="preserve"> Rules of Criminal Procedure</w:t>
      </w:r>
      <w:r w:rsidR="00082558" w:rsidRPr="004A57A6">
        <w:rPr>
          <w:rFonts w:ascii="Garamond" w:hAnsi="Garamond"/>
          <w:sz w:val="28"/>
          <w:szCs w:val="28"/>
        </w:rPr>
        <w:t xml:space="preserve"> </w:t>
      </w:r>
      <w:r w:rsidRPr="004A57A6">
        <w:rPr>
          <w:rFonts w:ascii="Garamond" w:hAnsi="Garamond"/>
          <w:sz w:val="28"/>
          <w:szCs w:val="28"/>
        </w:rPr>
        <w:t>generally afford capital defendants more generous time allowances</w:t>
      </w:r>
      <w:r w:rsidR="0006730A" w:rsidRPr="004A57A6">
        <w:rPr>
          <w:rFonts w:ascii="Garamond" w:hAnsi="Garamond"/>
          <w:sz w:val="28"/>
          <w:szCs w:val="28"/>
        </w:rPr>
        <w:t xml:space="preserve"> than non-capital </w:t>
      </w:r>
      <w:r w:rsidR="00FF64A9" w:rsidRPr="004A57A6">
        <w:rPr>
          <w:rFonts w:ascii="Garamond" w:hAnsi="Garamond"/>
          <w:sz w:val="28"/>
          <w:szCs w:val="28"/>
        </w:rPr>
        <w:t>defendants</w:t>
      </w:r>
      <w:r w:rsidRPr="004A57A6">
        <w:rPr>
          <w:rFonts w:ascii="Garamond" w:hAnsi="Garamond"/>
          <w:sz w:val="28"/>
          <w:szCs w:val="28"/>
        </w:rPr>
        <w:t xml:space="preserve">. </w:t>
      </w:r>
      <w:r w:rsidRPr="004A57A6">
        <w:rPr>
          <w:rFonts w:ascii="Garamond" w:hAnsi="Garamond"/>
          <w:i/>
          <w:iCs/>
          <w:sz w:val="28"/>
          <w:szCs w:val="28"/>
        </w:rPr>
        <w:t xml:space="preserve">See e.g. </w:t>
      </w:r>
      <w:r w:rsidRPr="004A57A6">
        <w:rPr>
          <w:rFonts w:ascii="Garamond" w:hAnsi="Garamond"/>
          <w:sz w:val="28"/>
          <w:szCs w:val="28"/>
        </w:rPr>
        <w:t>Ariz. R. Crim. P. 32.7(a) (affording non-capital defendants 60 days to file an initial post-conviction petition versus 12 months for capital defendants).</w:t>
      </w:r>
    </w:p>
  </w:footnote>
  <w:footnote w:id="6">
    <w:p w14:paraId="2820FEDA" w14:textId="1479FC10" w:rsidR="00B63498" w:rsidRPr="00253C1A" w:rsidRDefault="00B63498" w:rsidP="00D24331">
      <w:pPr>
        <w:pStyle w:val="FootnoteText"/>
        <w:spacing w:after="120"/>
        <w:rPr>
          <w:rFonts w:ascii="Garamond" w:hAnsi="Garamond"/>
          <w:sz w:val="28"/>
          <w:szCs w:val="28"/>
        </w:rPr>
      </w:pPr>
      <w:r w:rsidRPr="00253C1A">
        <w:rPr>
          <w:rStyle w:val="FootnoteReference"/>
          <w:rFonts w:ascii="Garamond" w:hAnsi="Garamond"/>
          <w:sz w:val="28"/>
          <w:szCs w:val="28"/>
        </w:rPr>
        <w:footnoteRef/>
      </w:r>
      <w:r w:rsidRPr="00253C1A">
        <w:rPr>
          <w:rFonts w:ascii="Garamond" w:hAnsi="Garamond"/>
          <w:sz w:val="28"/>
          <w:szCs w:val="28"/>
        </w:rPr>
        <w:t xml:space="preserve"> The proposed rule would also </w:t>
      </w:r>
      <w:r w:rsidR="00F01D72" w:rsidRPr="00253C1A">
        <w:rPr>
          <w:rFonts w:ascii="Garamond" w:hAnsi="Garamond"/>
          <w:sz w:val="28"/>
          <w:szCs w:val="28"/>
        </w:rPr>
        <w:t>hinder</w:t>
      </w:r>
      <w:r w:rsidRPr="00253C1A">
        <w:rPr>
          <w:rFonts w:ascii="Garamond" w:hAnsi="Garamond"/>
          <w:sz w:val="28"/>
          <w:szCs w:val="28"/>
        </w:rPr>
        <w:t xml:space="preserve"> this Court from </w:t>
      </w:r>
      <w:r w:rsidR="0066377F" w:rsidRPr="00253C1A">
        <w:rPr>
          <w:rFonts w:ascii="Garamond" w:hAnsi="Garamond"/>
          <w:sz w:val="28"/>
          <w:szCs w:val="28"/>
        </w:rPr>
        <w:t xml:space="preserve">altering the </w:t>
      </w:r>
      <w:r w:rsidR="00646B27" w:rsidRPr="00253C1A">
        <w:rPr>
          <w:rFonts w:ascii="Garamond" w:hAnsi="Garamond"/>
          <w:sz w:val="28"/>
          <w:szCs w:val="28"/>
        </w:rPr>
        <w:t xml:space="preserve">briefing </w:t>
      </w:r>
      <w:r w:rsidR="0066377F" w:rsidRPr="00253C1A">
        <w:rPr>
          <w:rFonts w:ascii="Garamond" w:hAnsi="Garamond"/>
          <w:sz w:val="28"/>
          <w:szCs w:val="28"/>
        </w:rPr>
        <w:t xml:space="preserve">schedule </w:t>
      </w:r>
      <w:r w:rsidR="00B57BFE" w:rsidRPr="00253C1A">
        <w:rPr>
          <w:rFonts w:ascii="Garamond" w:hAnsi="Garamond"/>
          <w:sz w:val="28"/>
          <w:szCs w:val="28"/>
        </w:rPr>
        <w:t>for executions using a method that does not</w:t>
      </w:r>
      <w:r w:rsidR="0066377F" w:rsidRPr="00253C1A">
        <w:rPr>
          <w:rFonts w:ascii="Garamond" w:hAnsi="Garamond"/>
          <w:sz w:val="28"/>
          <w:szCs w:val="28"/>
        </w:rPr>
        <w:t xml:space="preserve"> impose the </w:t>
      </w:r>
      <w:r w:rsidR="009E406B" w:rsidRPr="00253C1A">
        <w:rPr>
          <w:rFonts w:ascii="Garamond" w:hAnsi="Garamond"/>
          <w:sz w:val="28"/>
          <w:szCs w:val="28"/>
        </w:rPr>
        <w:t xml:space="preserve">onerous time constraints associated with compounded pentobarbital. </w:t>
      </w:r>
      <w:r w:rsidR="009E406B" w:rsidRPr="00253C1A">
        <w:rPr>
          <w:rFonts w:ascii="Garamond" w:hAnsi="Garamond"/>
          <w:i/>
          <w:iCs/>
          <w:sz w:val="28"/>
          <w:szCs w:val="28"/>
        </w:rPr>
        <w:t xml:space="preserve">See </w:t>
      </w:r>
      <w:r w:rsidR="009E406B" w:rsidRPr="00253C1A">
        <w:rPr>
          <w:rFonts w:ascii="Garamond" w:hAnsi="Garamond"/>
          <w:sz w:val="28"/>
          <w:szCs w:val="28"/>
        </w:rPr>
        <w:t xml:space="preserve">§B, </w:t>
      </w:r>
      <w:r w:rsidR="009E406B" w:rsidRPr="00253C1A">
        <w:rPr>
          <w:rFonts w:ascii="Garamond" w:hAnsi="Garamond"/>
          <w:i/>
          <w:iCs/>
          <w:sz w:val="28"/>
          <w:szCs w:val="28"/>
        </w:rPr>
        <w:t>infra</w:t>
      </w:r>
      <w:r w:rsidR="009E406B" w:rsidRPr="00253C1A">
        <w:rPr>
          <w:rFonts w:ascii="Garamond" w:hAnsi="Garamond"/>
          <w:sz w:val="28"/>
          <w:szCs w:val="28"/>
        </w:rPr>
        <w:t>.</w:t>
      </w:r>
    </w:p>
  </w:footnote>
  <w:footnote w:id="7">
    <w:p w14:paraId="43A5003B" w14:textId="5D97C201" w:rsidR="00F113C3" w:rsidRPr="00253C1A" w:rsidRDefault="00F113C3">
      <w:pPr>
        <w:pStyle w:val="FootnoteText"/>
        <w:rPr>
          <w:rFonts w:ascii="Garamond" w:hAnsi="Garamond"/>
          <w:sz w:val="28"/>
          <w:szCs w:val="28"/>
        </w:rPr>
      </w:pPr>
      <w:r w:rsidRPr="00090858">
        <w:rPr>
          <w:rStyle w:val="FootnoteReference"/>
          <w:rFonts w:ascii="Garamond" w:hAnsi="Garamond"/>
          <w:sz w:val="28"/>
          <w:szCs w:val="28"/>
        </w:rPr>
        <w:footnoteRef/>
      </w:r>
      <w:r w:rsidRPr="00090858">
        <w:rPr>
          <w:rFonts w:ascii="Garamond" w:hAnsi="Garamond"/>
          <w:sz w:val="28"/>
          <w:szCs w:val="28"/>
        </w:rPr>
        <w:t xml:space="preserve"> </w:t>
      </w:r>
      <w:r w:rsidR="008E7F33" w:rsidRPr="00090858">
        <w:rPr>
          <w:rFonts w:ascii="Garamond" w:hAnsi="Garamond"/>
          <w:sz w:val="28"/>
          <w:szCs w:val="28"/>
        </w:rPr>
        <w:t>T</w:t>
      </w:r>
      <w:r w:rsidRPr="00090858">
        <w:rPr>
          <w:rFonts w:ascii="Garamond" w:hAnsi="Garamond"/>
          <w:sz w:val="28"/>
          <w:szCs w:val="28"/>
        </w:rPr>
        <w:t xml:space="preserve">he current execution protocol actually calls for this election of method to occur 21 days before the execution, i.e., two weeks after the warrant issues, </w:t>
      </w:r>
      <w:r w:rsidR="008E7F33" w:rsidRPr="00090858">
        <w:rPr>
          <w:rFonts w:ascii="Garamond" w:hAnsi="Garamond"/>
          <w:sz w:val="28"/>
          <w:szCs w:val="28"/>
        </w:rPr>
        <w:t>and after the State is required to disclose its quantitative analysis.</w:t>
      </w:r>
      <w:r w:rsidR="00B2518B" w:rsidRPr="00090858">
        <w:rPr>
          <w:rFonts w:ascii="Garamond" w:hAnsi="Garamond"/>
          <w:sz w:val="28"/>
          <w:szCs w:val="28"/>
        </w:rPr>
        <w:t xml:space="preserve"> ADCRR </w:t>
      </w:r>
      <w:proofErr w:type="spellStart"/>
      <w:r w:rsidR="00B2518B" w:rsidRPr="00090858">
        <w:rPr>
          <w:rFonts w:ascii="Garamond" w:hAnsi="Garamond"/>
          <w:sz w:val="28"/>
          <w:szCs w:val="28"/>
        </w:rPr>
        <w:t>Dep’t</w:t>
      </w:r>
      <w:proofErr w:type="spellEnd"/>
      <w:r w:rsidR="00B2518B" w:rsidRPr="00090858">
        <w:rPr>
          <w:rFonts w:ascii="Garamond" w:hAnsi="Garamond"/>
          <w:sz w:val="28"/>
          <w:szCs w:val="28"/>
        </w:rPr>
        <w:t xml:space="preserve"> Order 710</w:t>
      </w:r>
      <w:r w:rsidR="00253EBD" w:rsidRPr="00090858">
        <w:rPr>
          <w:rFonts w:ascii="Garamond" w:hAnsi="Garamond"/>
          <w:sz w:val="28"/>
          <w:szCs w:val="28"/>
        </w:rPr>
        <w:t>, §2.1.2.2</w:t>
      </w:r>
      <w:r w:rsidR="00987075">
        <w:rPr>
          <w:rFonts w:ascii="Garamond" w:hAnsi="Garamond"/>
          <w:sz w:val="28"/>
          <w:szCs w:val="28"/>
        </w:rPr>
        <w:t>; A.R.S. §13-757(B).</w:t>
      </w:r>
      <w:r w:rsidR="008E7F33" w:rsidRPr="00090858">
        <w:rPr>
          <w:rFonts w:ascii="Garamond" w:hAnsi="Garamond"/>
          <w:sz w:val="28"/>
          <w:szCs w:val="28"/>
        </w:rPr>
        <w:t xml:space="preserve"> It is </w:t>
      </w:r>
      <w:r w:rsidR="00090858">
        <w:rPr>
          <w:rFonts w:ascii="Garamond" w:hAnsi="Garamond"/>
          <w:sz w:val="28"/>
          <w:szCs w:val="28"/>
        </w:rPr>
        <w:t>un</w:t>
      </w:r>
      <w:r w:rsidR="008E7F33" w:rsidRPr="00090858">
        <w:rPr>
          <w:rFonts w:ascii="Garamond" w:hAnsi="Garamond"/>
          <w:sz w:val="28"/>
          <w:szCs w:val="28"/>
        </w:rPr>
        <w:t>clear whether the State would thus compound and test a batch of drug for every execution without first knowing whether the inmate will elect that method,</w:t>
      </w:r>
      <w:r w:rsidRPr="00090858">
        <w:rPr>
          <w:rFonts w:ascii="Garamond" w:hAnsi="Garamond"/>
          <w:sz w:val="28"/>
          <w:szCs w:val="28"/>
        </w:rPr>
        <w:t xml:space="preserve"> </w:t>
      </w:r>
      <w:r w:rsidR="008E7F33" w:rsidRPr="00090858">
        <w:rPr>
          <w:rFonts w:ascii="Garamond" w:hAnsi="Garamond"/>
          <w:sz w:val="28"/>
          <w:szCs w:val="28"/>
        </w:rPr>
        <w:t>or whether perhaps the State will seek to revise its procedures to address this anomaly</w:t>
      </w:r>
      <w:r w:rsidR="00B74154" w:rsidRPr="00090858">
        <w:rPr>
          <w:rFonts w:ascii="Garamond" w:hAnsi="Garamond"/>
          <w:sz w:val="28"/>
          <w:szCs w:val="28"/>
        </w:rPr>
        <w:t>, but its need to address this type of issue is a perfect example of why the present regulations should not be codified in the criminal rules.</w:t>
      </w:r>
    </w:p>
  </w:footnote>
  <w:footnote w:id="8">
    <w:p w14:paraId="6BC1D0D0" w14:textId="2C42EECA" w:rsidR="002D3309" w:rsidRPr="00253C1A" w:rsidRDefault="002D3309" w:rsidP="00A1457B">
      <w:pPr>
        <w:pStyle w:val="FootnoteText"/>
        <w:spacing w:after="120"/>
        <w:rPr>
          <w:rFonts w:ascii="Garamond" w:hAnsi="Garamond"/>
          <w:sz w:val="28"/>
          <w:szCs w:val="28"/>
        </w:rPr>
      </w:pPr>
      <w:r w:rsidRPr="00253C1A">
        <w:rPr>
          <w:rStyle w:val="FootnoteReference"/>
          <w:rFonts w:ascii="Garamond" w:hAnsi="Garamond"/>
          <w:sz w:val="28"/>
          <w:szCs w:val="28"/>
        </w:rPr>
        <w:footnoteRef/>
      </w:r>
      <w:r w:rsidRPr="00253C1A">
        <w:rPr>
          <w:rFonts w:ascii="Garamond" w:hAnsi="Garamond"/>
          <w:sz w:val="28"/>
          <w:szCs w:val="28"/>
        </w:rPr>
        <w:t xml:space="preserve"> </w:t>
      </w:r>
      <w:r w:rsidR="00FA25AC" w:rsidRPr="00253C1A">
        <w:rPr>
          <w:rFonts w:ascii="Garamond" w:hAnsi="Garamond"/>
          <w:sz w:val="28"/>
          <w:szCs w:val="28"/>
        </w:rPr>
        <w:t xml:space="preserve">The currently proffered </w:t>
      </w:r>
      <w:r w:rsidR="00A1457B" w:rsidRPr="00253C1A">
        <w:rPr>
          <w:rFonts w:ascii="Garamond" w:hAnsi="Garamond"/>
          <w:sz w:val="28"/>
          <w:szCs w:val="28"/>
        </w:rPr>
        <w:t>90-day BUD is based on</w:t>
      </w:r>
      <w:r w:rsidR="0064565D" w:rsidRPr="00253C1A">
        <w:rPr>
          <w:rFonts w:ascii="Garamond" w:hAnsi="Garamond"/>
          <w:sz w:val="28"/>
          <w:szCs w:val="28"/>
        </w:rPr>
        <w:t xml:space="preserve"> 2022</w:t>
      </w:r>
      <w:r w:rsidR="00A1457B" w:rsidRPr="00253C1A">
        <w:rPr>
          <w:rFonts w:ascii="Garamond" w:hAnsi="Garamond"/>
          <w:sz w:val="28"/>
          <w:szCs w:val="28"/>
        </w:rPr>
        <w:t xml:space="preserve"> “[s]</w:t>
      </w:r>
      <w:proofErr w:type="spellStart"/>
      <w:r w:rsidR="00A1457B" w:rsidRPr="00253C1A">
        <w:rPr>
          <w:rFonts w:ascii="Garamond" w:hAnsi="Garamond"/>
          <w:sz w:val="28"/>
          <w:szCs w:val="28"/>
        </w:rPr>
        <w:t>tability</w:t>
      </w:r>
      <w:proofErr w:type="spellEnd"/>
      <w:r w:rsidR="00A1457B" w:rsidRPr="00253C1A">
        <w:rPr>
          <w:rFonts w:ascii="Garamond" w:hAnsi="Garamond"/>
          <w:sz w:val="28"/>
          <w:szCs w:val="28"/>
        </w:rPr>
        <w:t xml:space="preserve"> testing on the raw materials ADCRR uses to compound the pentobarbital that will be used in executions</w:t>
      </w:r>
      <w:r w:rsidR="0064565D" w:rsidRPr="00253C1A">
        <w:rPr>
          <w:rFonts w:ascii="Garamond" w:hAnsi="Garamond"/>
          <w:sz w:val="28"/>
          <w:szCs w:val="28"/>
        </w:rPr>
        <w:t>[.]” Petition at 3 n.3.</w:t>
      </w:r>
      <w:r w:rsidR="00A1457B" w:rsidRPr="00253C1A">
        <w:rPr>
          <w:rFonts w:ascii="Garamond" w:hAnsi="Garamond"/>
          <w:sz w:val="28"/>
          <w:szCs w:val="28"/>
        </w:rPr>
        <w:t xml:space="preserve"> </w:t>
      </w:r>
      <w:r w:rsidRPr="00253C1A">
        <w:rPr>
          <w:rFonts w:ascii="Garamond" w:hAnsi="Garamond"/>
          <w:sz w:val="28"/>
          <w:szCs w:val="28"/>
        </w:rPr>
        <w:t xml:space="preserve">If </w:t>
      </w:r>
      <w:r w:rsidR="00957E35" w:rsidRPr="00253C1A">
        <w:rPr>
          <w:rFonts w:ascii="Garamond" w:hAnsi="Garamond"/>
          <w:sz w:val="28"/>
          <w:szCs w:val="28"/>
        </w:rPr>
        <w:t>ADCRR obtained a different supply of pentobarbital API</w:t>
      </w:r>
      <w:r w:rsidR="00BA5AC0">
        <w:rPr>
          <w:rFonts w:ascii="Garamond" w:hAnsi="Garamond"/>
          <w:sz w:val="28"/>
          <w:szCs w:val="28"/>
        </w:rPr>
        <w:t xml:space="preserve">, it </w:t>
      </w:r>
      <w:r w:rsidR="00957E35" w:rsidRPr="00253C1A">
        <w:rPr>
          <w:rFonts w:ascii="Garamond" w:hAnsi="Garamond"/>
          <w:sz w:val="28"/>
          <w:szCs w:val="28"/>
        </w:rPr>
        <w:t xml:space="preserve">would need to </w:t>
      </w:r>
      <w:r w:rsidR="0069733D">
        <w:rPr>
          <w:rFonts w:ascii="Garamond" w:hAnsi="Garamond"/>
          <w:sz w:val="28"/>
          <w:szCs w:val="28"/>
        </w:rPr>
        <w:t>undergo</w:t>
      </w:r>
      <w:r w:rsidR="00957E35" w:rsidRPr="00253C1A">
        <w:rPr>
          <w:rFonts w:ascii="Garamond" w:hAnsi="Garamond"/>
          <w:sz w:val="28"/>
          <w:szCs w:val="28"/>
        </w:rPr>
        <w:t xml:space="preserve"> new extended BUD testing</w:t>
      </w:r>
      <w:r w:rsidR="00BA5AC0">
        <w:rPr>
          <w:rFonts w:ascii="Garamond" w:hAnsi="Garamond"/>
          <w:sz w:val="28"/>
          <w:szCs w:val="28"/>
        </w:rPr>
        <w:t>, potentially resulting in a different BUD.</w:t>
      </w:r>
    </w:p>
  </w:footnote>
  <w:footnote w:id="9">
    <w:p w14:paraId="706E2924" w14:textId="46253223" w:rsidR="00040B76" w:rsidRPr="00253C1A" w:rsidRDefault="00040B76" w:rsidP="00D24331">
      <w:pPr>
        <w:pStyle w:val="FootnoteText"/>
        <w:spacing w:after="120"/>
        <w:rPr>
          <w:rFonts w:ascii="Garamond" w:hAnsi="Garamond"/>
          <w:sz w:val="28"/>
          <w:szCs w:val="28"/>
        </w:rPr>
      </w:pPr>
      <w:r w:rsidRPr="00253C1A">
        <w:rPr>
          <w:rStyle w:val="FootnoteReference"/>
          <w:rFonts w:ascii="Garamond" w:hAnsi="Garamond"/>
          <w:sz w:val="28"/>
          <w:szCs w:val="28"/>
        </w:rPr>
        <w:footnoteRef/>
      </w:r>
      <w:r w:rsidRPr="00253C1A">
        <w:rPr>
          <w:rFonts w:ascii="Garamond" w:hAnsi="Garamond"/>
          <w:sz w:val="28"/>
          <w:szCs w:val="28"/>
        </w:rPr>
        <w:t xml:space="preserve"> For example, the United States Pharmacopeia (“USP”) provides that high-risk level compounded sterile preparations</w:t>
      </w:r>
      <w:r w:rsidR="00B73402">
        <w:rPr>
          <w:rFonts w:ascii="Garamond" w:hAnsi="Garamond"/>
          <w:sz w:val="28"/>
          <w:szCs w:val="28"/>
        </w:rPr>
        <w:t xml:space="preserve"> like </w:t>
      </w:r>
      <w:r w:rsidRPr="00253C1A">
        <w:rPr>
          <w:rFonts w:ascii="Garamond" w:hAnsi="Garamond"/>
          <w:sz w:val="28"/>
          <w:szCs w:val="28"/>
        </w:rPr>
        <w:t>compounded pentobarbital</w:t>
      </w:r>
      <w:r w:rsidR="00B73402">
        <w:rPr>
          <w:rFonts w:ascii="Garamond" w:hAnsi="Garamond"/>
          <w:sz w:val="28"/>
          <w:szCs w:val="28"/>
        </w:rPr>
        <w:t xml:space="preserve"> </w:t>
      </w:r>
      <w:r w:rsidRPr="00253C1A">
        <w:rPr>
          <w:rFonts w:ascii="Garamond" w:hAnsi="Garamond"/>
          <w:sz w:val="28"/>
          <w:szCs w:val="28"/>
        </w:rPr>
        <w:t>have a maximum</w:t>
      </w:r>
      <w:r w:rsidR="001271F2">
        <w:rPr>
          <w:rFonts w:ascii="Garamond" w:hAnsi="Garamond"/>
          <w:sz w:val="28"/>
          <w:szCs w:val="28"/>
        </w:rPr>
        <w:t xml:space="preserve"> presumptive</w:t>
      </w:r>
      <w:r w:rsidRPr="00253C1A">
        <w:rPr>
          <w:rFonts w:ascii="Garamond" w:hAnsi="Garamond"/>
          <w:sz w:val="28"/>
          <w:szCs w:val="28"/>
        </w:rPr>
        <w:t xml:space="preserve"> BUD of 45 days. USP &lt;797&gt;, </w:t>
      </w:r>
      <w:r w:rsidRPr="00253C1A">
        <w:rPr>
          <w:rFonts w:ascii="Garamond" w:hAnsi="Garamond"/>
          <w:i/>
          <w:iCs/>
          <w:sz w:val="28"/>
          <w:szCs w:val="28"/>
        </w:rPr>
        <w:t xml:space="preserve">Pharmaceutical Compounding – Sterile Preparations </w:t>
      </w:r>
      <w:r w:rsidRPr="00253C1A">
        <w:rPr>
          <w:rFonts w:ascii="Garamond" w:hAnsi="Garamond"/>
          <w:sz w:val="28"/>
          <w:szCs w:val="28"/>
        </w:rPr>
        <w:t xml:space="preserve">(2018), at 5-6. </w:t>
      </w:r>
      <w:r w:rsidR="001271F2">
        <w:rPr>
          <w:rFonts w:ascii="Garamond" w:hAnsi="Garamond"/>
          <w:sz w:val="28"/>
          <w:szCs w:val="28"/>
        </w:rPr>
        <w:t>I</w:t>
      </w:r>
      <w:r w:rsidRPr="00253C1A">
        <w:rPr>
          <w:rFonts w:ascii="Garamond" w:hAnsi="Garamond"/>
          <w:sz w:val="28"/>
          <w:szCs w:val="28"/>
        </w:rPr>
        <w:t xml:space="preserve">t would be impossible to carry out an execution </w:t>
      </w:r>
      <w:r w:rsidR="00146121">
        <w:rPr>
          <w:rFonts w:ascii="Garamond" w:hAnsi="Garamond"/>
          <w:sz w:val="28"/>
          <w:szCs w:val="28"/>
        </w:rPr>
        <w:t>under</w:t>
      </w:r>
      <w:r w:rsidRPr="00253C1A">
        <w:rPr>
          <w:rFonts w:ascii="Garamond" w:hAnsi="Garamond"/>
          <w:sz w:val="28"/>
          <w:szCs w:val="28"/>
        </w:rPr>
        <w:t xml:space="preserve"> </w:t>
      </w:r>
      <w:r w:rsidR="0082526C">
        <w:rPr>
          <w:rFonts w:ascii="Garamond" w:hAnsi="Garamond"/>
          <w:sz w:val="28"/>
          <w:szCs w:val="28"/>
        </w:rPr>
        <w:t>proposed rule’s timeframes</w:t>
      </w:r>
      <w:r w:rsidR="001271F2">
        <w:rPr>
          <w:rFonts w:ascii="Garamond" w:hAnsi="Garamond"/>
          <w:sz w:val="28"/>
          <w:szCs w:val="28"/>
        </w:rPr>
        <w:t xml:space="preserve"> with a BUD approaching that presumptive</w:t>
      </w:r>
      <w:r w:rsidR="0082526C">
        <w:rPr>
          <w:rFonts w:ascii="Garamond" w:hAnsi="Garamond"/>
          <w:sz w:val="28"/>
          <w:szCs w:val="28"/>
        </w:rPr>
        <w:t xml:space="preserve"> USP</w:t>
      </w:r>
      <w:r w:rsidR="001271F2">
        <w:rPr>
          <w:rFonts w:ascii="Garamond" w:hAnsi="Garamond"/>
          <w:sz w:val="28"/>
          <w:szCs w:val="28"/>
        </w:rPr>
        <w:t xml:space="preserve"> baseline.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5BE2"/>
    <w:multiLevelType w:val="multilevel"/>
    <w:tmpl w:val="A7BEB7D8"/>
    <w:styleLink w:val="ABRHeadings"/>
    <w:lvl w:ilvl="0">
      <w:start w:val="1"/>
      <w:numFmt w:val="none"/>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 w:ilvl="1">
      <w:start w:val="1"/>
      <w:numFmt w:val="upperRoman"/>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 w:ilvl="2">
      <w:start w:val="1"/>
      <w:numFmt w:val="upperLetter"/>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 w:ilvl="3">
      <w:start w:val="1"/>
      <w:numFmt w:val="decimal"/>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 w:ilvl="4">
      <w:start w:val="1"/>
      <w:numFmt w:val="lowerLetter"/>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 w:ilvl="5">
      <w:start w:val="1"/>
      <w:numFmt w:val="lowerRoman"/>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 w:ilvl="6">
      <w:start w:val="1"/>
      <w:numFmt w:val="decimal"/>
      <w:lvlText w:val="%7."/>
      <w:lvlJc w:val="left"/>
      <w:pPr>
        <w:ind w:left="4320" w:hanging="720"/>
      </w:pPr>
      <w:rPr>
        <w:rFonts w:hint="default"/>
      </w:rPr>
    </w:lvl>
    <w:lvl w:ilvl="7">
      <w:start w:val="1"/>
      <w:numFmt w:val="lowerLetter"/>
      <w:lvlText w:val="%8."/>
      <w:lvlJc w:val="left"/>
      <w:pPr>
        <w:ind w:left="5040" w:hanging="720"/>
      </w:pPr>
      <w:rPr>
        <w:rFonts w:hint="default"/>
      </w:rPr>
    </w:lvl>
    <w:lvl w:ilvl="8">
      <w:start w:val="1"/>
      <w:numFmt w:val="lowerRoman"/>
      <w:lvlText w:val="%9."/>
      <w:lvlJc w:val="left"/>
      <w:pPr>
        <w:ind w:left="5760" w:hanging="720"/>
      </w:pPr>
      <w:rPr>
        <w:rFonts w:hint="default"/>
      </w:rPr>
    </w:lvl>
  </w:abstractNum>
  <w:abstractNum w:abstractNumId="1" w15:restartNumberingAfterBreak="0">
    <w:nsid w:val="1A99130D"/>
    <w:multiLevelType w:val="hybridMultilevel"/>
    <w:tmpl w:val="08702BC2"/>
    <w:lvl w:ilvl="0" w:tplc="23EA0B12">
      <w:start w:val="1"/>
      <w:numFmt w:val="decimal"/>
      <w:pStyle w:val="Body"/>
      <w:lvlText w:val="¶%1"/>
      <w:lvlJc w:val="left"/>
      <w:pPr>
        <w:ind w:left="171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818DE"/>
    <w:multiLevelType w:val="hybridMultilevel"/>
    <w:tmpl w:val="097E912A"/>
    <w:lvl w:ilvl="0" w:tplc="7FA8E1F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838206">
    <w:abstractNumId w:val="1"/>
  </w:num>
  <w:num w:numId="2" w16cid:durableId="1948392419">
    <w:abstractNumId w:val="2"/>
  </w:num>
  <w:num w:numId="3" w16cid:durableId="2068722573">
    <w:abstractNumId w:val="0"/>
    <w:lvlOverride w:ilvl="0">
      <w:lvl w:ilvl="0">
        <w:start w:val="1"/>
        <w:numFmt w:val="none"/>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Override>
    <w:lvlOverride w:ilvl="1">
      <w:lvl w:ilvl="1">
        <w:start w:val="1"/>
        <w:numFmt w:val="upperRoman"/>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2">
      <w:lvl w:ilvl="2">
        <w:start w:val="1"/>
        <w:numFmt w:val="upperLetter"/>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3">
      <w:lvl w:ilvl="3">
        <w:start w:val="1"/>
        <w:numFmt w:val="decimal"/>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4">
      <w:lvl w:ilvl="4">
        <w:start w:val="1"/>
        <w:numFmt w:val="lowerLetter"/>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5">
      <w:lvl w:ilvl="5">
        <w:start w:val="1"/>
        <w:numFmt w:val="lowerRoman"/>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6">
      <w:lvl w:ilvl="6">
        <w:start w:val="1"/>
        <w:numFmt w:val="decimal"/>
        <w:lvlText w:val="%7."/>
        <w:lvlJc w:val="left"/>
        <w:pPr>
          <w:ind w:left="4320" w:hanging="720"/>
        </w:pPr>
        <w:rPr>
          <w:rFonts w:hint="default"/>
        </w:rPr>
      </w:lvl>
    </w:lvlOverride>
    <w:lvlOverride w:ilvl="7">
      <w:lvl w:ilvl="7">
        <w:start w:val="1"/>
        <w:numFmt w:val="lowerLetter"/>
        <w:lvlText w:val="%8."/>
        <w:lvlJc w:val="left"/>
        <w:pPr>
          <w:ind w:left="5040" w:hanging="720"/>
        </w:pPr>
        <w:rPr>
          <w:rFonts w:hint="default"/>
        </w:rPr>
      </w:lvl>
    </w:lvlOverride>
    <w:lvlOverride w:ilvl="8">
      <w:lvl w:ilvl="8">
        <w:start w:val="1"/>
        <w:numFmt w:val="lowerRoman"/>
        <w:lvlText w:val="%9."/>
        <w:lvlJc w:val="left"/>
        <w:pPr>
          <w:ind w:left="5760" w:hanging="720"/>
        </w:pPr>
        <w:rPr>
          <w:rFonts w:hint="default"/>
        </w:rPr>
      </w:lvl>
    </w:lvlOverride>
  </w:num>
  <w:num w:numId="4" w16cid:durableId="1062411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CE"/>
    <w:rsid w:val="00000686"/>
    <w:rsid w:val="00000EE7"/>
    <w:rsid w:val="00005708"/>
    <w:rsid w:val="0000590C"/>
    <w:rsid w:val="0001291F"/>
    <w:rsid w:val="000148C8"/>
    <w:rsid w:val="00014F16"/>
    <w:rsid w:val="00014F60"/>
    <w:rsid w:val="00016060"/>
    <w:rsid w:val="00016363"/>
    <w:rsid w:val="00016786"/>
    <w:rsid w:val="00017E56"/>
    <w:rsid w:val="0002097D"/>
    <w:rsid w:val="000227F4"/>
    <w:rsid w:val="000248AA"/>
    <w:rsid w:val="0002513B"/>
    <w:rsid w:val="00025860"/>
    <w:rsid w:val="0002586E"/>
    <w:rsid w:val="000259AE"/>
    <w:rsid w:val="00030234"/>
    <w:rsid w:val="00031A0A"/>
    <w:rsid w:val="0003252F"/>
    <w:rsid w:val="00032722"/>
    <w:rsid w:val="00032913"/>
    <w:rsid w:val="00036F11"/>
    <w:rsid w:val="00037C3B"/>
    <w:rsid w:val="00040B76"/>
    <w:rsid w:val="00040BD4"/>
    <w:rsid w:val="0004227C"/>
    <w:rsid w:val="000440BA"/>
    <w:rsid w:val="0004610C"/>
    <w:rsid w:val="00046946"/>
    <w:rsid w:val="000476B9"/>
    <w:rsid w:val="0005074D"/>
    <w:rsid w:val="0005147C"/>
    <w:rsid w:val="00052928"/>
    <w:rsid w:val="00052972"/>
    <w:rsid w:val="00052F81"/>
    <w:rsid w:val="0005314E"/>
    <w:rsid w:val="00053B9F"/>
    <w:rsid w:val="00053ED1"/>
    <w:rsid w:val="000540CD"/>
    <w:rsid w:val="00054708"/>
    <w:rsid w:val="00054974"/>
    <w:rsid w:val="00055111"/>
    <w:rsid w:val="000571EC"/>
    <w:rsid w:val="0005725D"/>
    <w:rsid w:val="0006085C"/>
    <w:rsid w:val="00061409"/>
    <w:rsid w:val="000623FE"/>
    <w:rsid w:val="00064961"/>
    <w:rsid w:val="0006640D"/>
    <w:rsid w:val="0006730A"/>
    <w:rsid w:val="000701D2"/>
    <w:rsid w:val="00071472"/>
    <w:rsid w:val="00071B55"/>
    <w:rsid w:val="00071CAB"/>
    <w:rsid w:val="0007214D"/>
    <w:rsid w:val="000740FE"/>
    <w:rsid w:val="0007561E"/>
    <w:rsid w:val="0007676F"/>
    <w:rsid w:val="000771F8"/>
    <w:rsid w:val="00077413"/>
    <w:rsid w:val="0008056A"/>
    <w:rsid w:val="000823D4"/>
    <w:rsid w:val="00082558"/>
    <w:rsid w:val="000839D1"/>
    <w:rsid w:val="000843E7"/>
    <w:rsid w:val="0008574A"/>
    <w:rsid w:val="00087AD5"/>
    <w:rsid w:val="00090858"/>
    <w:rsid w:val="00090A1B"/>
    <w:rsid w:val="00094C28"/>
    <w:rsid w:val="00096444"/>
    <w:rsid w:val="00096843"/>
    <w:rsid w:val="00097458"/>
    <w:rsid w:val="000A012A"/>
    <w:rsid w:val="000B07C5"/>
    <w:rsid w:val="000B0CA6"/>
    <w:rsid w:val="000B16D5"/>
    <w:rsid w:val="000B34F8"/>
    <w:rsid w:val="000B40AF"/>
    <w:rsid w:val="000B72A2"/>
    <w:rsid w:val="000B763B"/>
    <w:rsid w:val="000B7971"/>
    <w:rsid w:val="000B7E50"/>
    <w:rsid w:val="000C272A"/>
    <w:rsid w:val="000C5B69"/>
    <w:rsid w:val="000C5D46"/>
    <w:rsid w:val="000C6E06"/>
    <w:rsid w:val="000C7754"/>
    <w:rsid w:val="000D3ED3"/>
    <w:rsid w:val="000D4368"/>
    <w:rsid w:val="000D43E5"/>
    <w:rsid w:val="000D47FE"/>
    <w:rsid w:val="000D521D"/>
    <w:rsid w:val="000E020F"/>
    <w:rsid w:val="000E144E"/>
    <w:rsid w:val="000E25D6"/>
    <w:rsid w:val="000E3942"/>
    <w:rsid w:val="000E50E2"/>
    <w:rsid w:val="000E6558"/>
    <w:rsid w:val="000E6BAD"/>
    <w:rsid w:val="000F11BA"/>
    <w:rsid w:val="000F1CBD"/>
    <w:rsid w:val="000F225C"/>
    <w:rsid w:val="000F6C57"/>
    <w:rsid w:val="00103484"/>
    <w:rsid w:val="001035B0"/>
    <w:rsid w:val="0010487E"/>
    <w:rsid w:val="00106655"/>
    <w:rsid w:val="001112C3"/>
    <w:rsid w:val="00116951"/>
    <w:rsid w:val="00121055"/>
    <w:rsid w:val="00122CA4"/>
    <w:rsid w:val="00123726"/>
    <w:rsid w:val="00124192"/>
    <w:rsid w:val="001242CA"/>
    <w:rsid w:val="00125192"/>
    <w:rsid w:val="001265E4"/>
    <w:rsid w:val="001271F2"/>
    <w:rsid w:val="00127921"/>
    <w:rsid w:val="00130A6B"/>
    <w:rsid w:val="00130AF8"/>
    <w:rsid w:val="001321E3"/>
    <w:rsid w:val="00135E59"/>
    <w:rsid w:val="001367AC"/>
    <w:rsid w:val="00142601"/>
    <w:rsid w:val="001429FD"/>
    <w:rsid w:val="0014339F"/>
    <w:rsid w:val="00143D66"/>
    <w:rsid w:val="00144AEC"/>
    <w:rsid w:val="00146121"/>
    <w:rsid w:val="001508CF"/>
    <w:rsid w:val="001543E3"/>
    <w:rsid w:val="00154FBF"/>
    <w:rsid w:val="00156CD5"/>
    <w:rsid w:val="00160009"/>
    <w:rsid w:val="001602C0"/>
    <w:rsid w:val="00161C9E"/>
    <w:rsid w:val="0016278F"/>
    <w:rsid w:val="001631F0"/>
    <w:rsid w:val="001645C9"/>
    <w:rsid w:val="001646D7"/>
    <w:rsid w:val="0016493B"/>
    <w:rsid w:val="001660D7"/>
    <w:rsid w:val="00167339"/>
    <w:rsid w:val="00167700"/>
    <w:rsid w:val="00167F6F"/>
    <w:rsid w:val="00172C36"/>
    <w:rsid w:val="00173CA7"/>
    <w:rsid w:val="00174647"/>
    <w:rsid w:val="00174E66"/>
    <w:rsid w:val="001752B2"/>
    <w:rsid w:val="00176331"/>
    <w:rsid w:val="0018154A"/>
    <w:rsid w:val="00183175"/>
    <w:rsid w:val="00184CA1"/>
    <w:rsid w:val="00186A83"/>
    <w:rsid w:val="001875FD"/>
    <w:rsid w:val="00191E0B"/>
    <w:rsid w:val="00192CD7"/>
    <w:rsid w:val="00193472"/>
    <w:rsid w:val="00193E99"/>
    <w:rsid w:val="001A03F9"/>
    <w:rsid w:val="001A0932"/>
    <w:rsid w:val="001A3F7D"/>
    <w:rsid w:val="001A5F9D"/>
    <w:rsid w:val="001B0F65"/>
    <w:rsid w:val="001B1A64"/>
    <w:rsid w:val="001B24FA"/>
    <w:rsid w:val="001B48AE"/>
    <w:rsid w:val="001B565F"/>
    <w:rsid w:val="001B7F5E"/>
    <w:rsid w:val="001C1CF1"/>
    <w:rsid w:val="001C2CB9"/>
    <w:rsid w:val="001D0424"/>
    <w:rsid w:val="001D1161"/>
    <w:rsid w:val="001D15E9"/>
    <w:rsid w:val="001D2943"/>
    <w:rsid w:val="001D4230"/>
    <w:rsid w:val="001D58AF"/>
    <w:rsid w:val="001D63AC"/>
    <w:rsid w:val="001E2578"/>
    <w:rsid w:val="001F0FA3"/>
    <w:rsid w:val="001F1799"/>
    <w:rsid w:val="001F3C14"/>
    <w:rsid w:val="001F3FA7"/>
    <w:rsid w:val="001F4669"/>
    <w:rsid w:val="001F54E8"/>
    <w:rsid w:val="001F57AD"/>
    <w:rsid w:val="00201DBD"/>
    <w:rsid w:val="00202799"/>
    <w:rsid w:val="002061C3"/>
    <w:rsid w:val="00210786"/>
    <w:rsid w:val="00211250"/>
    <w:rsid w:val="0021130E"/>
    <w:rsid w:val="00212198"/>
    <w:rsid w:val="00214B9B"/>
    <w:rsid w:val="00215533"/>
    <w:rsid w:val="00221B01"/>
    <w:rsid w:val="00221DF5"/>
    <w:rsid w:val="0022525E"/>
    <w:rsid w:val="0022679D"/>
    <w:rsid w:val="002268B0"/>
    <w:rsid w:val="00230585"/>
    <w:rsid w:val="00230AEE"/>
    <w:rsid w:val="0023182A"/>
    <w:rsid w:val="00233BBA"/>
    <w:rsid w:val="00235655"/>
    <w:rsid w:val="00235E34"/>
    <w:rsid w:val="00235F0E"/>
    <w:rsid w:val="00236401"/>
    <w:rsid w:val="00240E0D"/>
    <w:rsid w:val="00241435"/>
    <w:rsid w:val="00242670"/>
    <w:rsid w:val="002447DD"/>
    <w:rsid w:val="00245930"/>
    <w:rsid w:val="00246FD7"/>
    <w:rsid w:val="002512D7"/>
    <w:rsid w:val="0025310E"/>
    <w:rsid w:val="00253C1A"/>
    <w:rsid w:val="00253EBD"/>
    <w:rsid w:val="00257FD8"/>
    <w:rsid w:val="00262475"/>
    <w:rsid w:val="00264889"/>
    <w:rsid w:val="00264E02"/>
    <w:rsid w:val="00264F06"/>
    <w:rsid w:val="00265931"/>
    <w:rsid w:val="0027464D"/>
    <w:rsid w:val="002811A3"/>
    <w:rsid w:val="00281B93"/>
    <w:rsid w:val="00281C8E"/>
    <w:rsid w:val="00281D5E"/>
    <w:rsid w:val="00282525"/>
    <w:rsid w:val="00282566"/>
    <w:rsid w:val="002849E9"/>
    <w:rsid w:val="0029482B"/>
    <w:rsid w:val="00295443"/>
    <w:rsid w:val="0029756E"/>
    <w:rsid w:val="002A0BFB"/>
    <w:rsid w:val="002A2424"/>
    <w:rsid w:val="002A2889"/>
    <w:rsid w:val="002A6DE1"/>
    <w:rsid w:val="002A7A15"/>
    <w:rsid w:val="002B015A"/>
    <w:rsid w:val="002B1FE2"/>
    <w:rsid w:val="002B2269"/>
    <w:rsid w:val="002B2383"/>
    <w:rsid w:val="002B2DA5"/>
    <w:rsid w:val="002B3746"/>
    <w:rsid w:val="002B3FC8"/>
    <w:rsid w:val="002B490C"/>
    <w:rsid w:val="002B4942"/>
    <w:rsid w:val="002B53D5"/>
    <w:rsid w:val="002B6C08"/>
    <w:rsid w:val="002B7B50"/>
    <w:rsid w:val="002C44C3"/>
    <w:rsid w:val="002C54FD"/>
    <w:rsid w:val="002C5DCD"/>
    <w:rsid w:val="002D04FC"/>
    <w:rsid w:val="002D3309"/>
    <w:rsid w:val="002D4B48"/>
    <w:rsid w:val="002D5698"/>
    <w:rsid w:val="002D6D06"/>
    <w:rsid w:val="002E125B"/>
    <w:rsid w:val="002E2C77"/>
    <w:rsid w:val="002E36D0"/>
    <w:rsid w:val="002E5551"/>
    <w:rsid w:val="002E6EC3"/>
    <w:rsid w:val="002F1F14"/>
    <w:rsid w:val="002F2046"/>
    <w:rsid w:val="002F3A8F"/>
    <w:rsid w:val="002F4051"/>
    <w:rsid w:val="002F492E"/>
    <w:rsid w:val="003009B1"/>
    <w:rsid w:val="00301634"/>
    <w:rsid w:val="00303C27"/>
    <w:rsid w:val="00304131"/>
    <w:rsid w:val="003057DF"/>
    <w:rsid w:val="00307C9E"/>
    <w:rsid w:val="003124D5"/>
    <w:rsid w:val="003169FC"/>
    <w:rsid w:val="00317E54"/>
    <w:rsid w:val="00317FDF"/>
    <w:rsid w:val="00320585"/>
    <w:rsid w:val="00322466"/>
    <w:rsid w:val="003228C2"/>
    <w:rsid w:val="0032309A"/>
    <w:rsid w:val="00323A30"/>
    <w:rsid w:val="00325D2B"/>
    <w:rsid w:val="003271DC"/>
    <w:rsid w:val="0032737D"/>
    <w:rsid w:val="003304A0"/>
    <w:rsid w:val="0033102B"/>
    <w:rsid w:val="00333BC2"/>
    <w:rsid w:val="003341DA"/>
    <w:rsid w:val="0034000E"/>
    <w:rsid w:val="00340137"/>
    <w:rsid w:val="003417C3"/>
    <w:rsid w:val="00343ECD"/>
    <w:rsid w:val="00345C1D"/>
    <w:rsid w:val="00345DEF"/>
    <w:rsid w:val="00346C36"/>
    <w:rsid w:val="003476F4"/>
    <w:rsid w:val="00350FAC"/>
    <w:rsid w:val="00352150"/>
    <w:rsid w:val="0035289C"/>
    <w:rsid w:val="003600D7"/>
    <w:rsid w:val="00360A87"/>
    <w:rsid w:val="00364F10"/>
    <w:rsid w:val="00366359"/>
    <w:rsid w:val="00367254"/>
    <w:rsid w:val="003704E4"/>
    <w:rsid w:val="003722DE"/>
    <w:rsid w:val="00372EE5"/>
    <w:rsid w:val="00374FE8"/>
    <w:rsid w:val="00375FCC"/>
    <w:rsid w:val="00376094"/>
    <w:rsid w:val="0037772D"/>
    <w:rsid w:val="0038009A"/>
    <w:rsid w:val="003808C1"/>
    <w:rsid w:val="00382994"/>
    <w:rsid w:val="00385093"/>
    <w:rsid w:val="00385116"/>
    <w:rsid w:val="003864B6"/>
    <w:rsid w:val="00387466"/>
    <w:rsid w:val="00387AB9"/>
    <w:rsid w:val="00387C90"/>
    <w:rsid w:val="00390416"/>
    <w:rsid w:val="00391F63"/>
    <w:rsid w:val="00392504"/>
    <w:rsid w:val="00392B20"/>
    <w:rsid w:val="00393D98"/>
    <w:rsid w:val="00394319"/>
    <w:rsid w:val="003959C5"/>
    <w:rsid w:val="00396181"/>
    <w:rsid w:val="0039640B"/>
    <w:rsid w:val="0039760A"/>
    <w:rsid w:val="00397ACC"/>
    <w:rsid w:val="003A222D"/>
    <w:rsid w:val="003A3053"/>
    <w:rsid w:val="003A7E1E"/>
    <w:rsid w:val="003B1682"/>
    <w:rsid w:val="003B1EBB"/>
    <w:rsid w:val="003B311C"/>
    <w:rsid w:val="003B3958"/>
    <w:rsid w:val="003B5AE1"/>
    <w:rsid w:val="003C2D7E"/>
    <w:rsid w:val="003C3150"/>
    <w:rsid w:val="003C5F2F"/>
    <w:rsid w:val="003C669A"/>
    <w:rsid w:val="003C6DDF"/>
    <w:rsid w:val="003D2360"/>
    <w:rsid w:val="003D24F9"/>
    <w:rsid w:val="003D25D2"/>
    <w:rsid w:val="003D3C63"/>
    <w:rsid w:val="003D49E6"/>
    <w:rsid w:val="003D56A0"/>
    <w:rsid w:val="003D5DDA"/>
    <w:rsid w:val="003E0046"/>
    <w:rsid w:val="003E0C53"/>
    <w:rsid w:val="003E181B"/>
    <w:rsid w:val="003E3E4A"/>
    <w:rsid w:val="003E5988"/>
    <w:rsid w:val="003E7619"/>
    <w:rsid w:val="003F0C47"/>
    <w:rsid w:val="003F1574"/>
    <w:rsid w:val="003F2452"/>
    <w:rsid w:val="003F342E"/>
    <w:rsid w:val="003F42D0"/>
    <w:rsid w:val="003F45B0"/>
    <w:rsid w:val="003F554E"/>
    <w:rsid w:val="003F6251"/>
    <w:rsid w:val="003F6CA1"/>
    <w:rsid w:val="00400173"/>
    <w:rsid w:val="0040090D"/>
    <w:rsid w:val="00401309"/>
    <w:rsid w:val="00403AA2"/>
    <w:rsid w:val="0040570D"/>
    <w:rsid w:val="0040572B"/>
    <w:rsid w:val="0040599A"/>
    <w:rsid w:val="00405F1C"/>
    <w:rsid w:val="0040645D"/>
    <w:rsid w:val="004065EB"/>
    <w:rsid w:val="00406D8B"/>
    <w:rsid w:val="00410105"/>
    <w:rsid w:val="00411244"/>
    <w:rsid w:val="00413F4E"/>
    <w:rsid w:val="00414053"/>
    <w:rsid w:val="00414070"/>
    <w:rsid w:val="0041487F"/>
    <w:rsid w:val="00416091"/>
    <w:rsid w:val="00416644"/>
    <w:rsid w:val="004178D0"/>
    <w:rsid w:val="0042037A"/>
    <w:rsid w:val="00421F42"/>
    <w:rsid w:val="004223EE"/>
    <w:rsid w:val="004224DE"/>
    <w:rsid w:val="004231C1"/>
    <w:rsid w:val="0042323B"/>
    <w:rsid w:val="00423576"/>
    <w:rsid w:val="00424C91"/>
    <w:rsid w:val="00424D14"/>
    <w:rsid w:val="00425B60"/>
    <w:rsid w:val="00426366"/>
    <w:rsid w:val="00427D53"/>
    <w:rsid w:val="004304D8"/>
    <w:rsid w:val="00432159"/>
    <w:rsid w:val="00432319"/>
    <w:rsid w:val="0043387D"/>
    <w:rsid w:val="00434FBB"/>
    <w:rsid w:val="00435A23"/>
    <w:rsid w:val="0043739D"/>
    <w:rsid w:val="00437518"/>
    <w:rsid w:val="00437AA3"/>
    <w:rsid w:val="00437F02"/>
    <w:rsid w:val="00440D05"/>
    <w:rsid w:val="00440DB3"/>
    <w:rsid w:val="00442A8A"/>
    <w:rsid w:val="0044328E"/>
    <w:rsid w:val="004439AC"/>
    <w:rsid w:val="004468ED"/>
    <w:rsid w:val="004478DF"/>
    <w:rsid w:val="00447B6B"/>
    <w:rsid w:val="004522CD"/>
    <w:rsid w:val="00452365"/>
    <w:rsid w:val="00452AF2"/>
    <w:rsid w:val="004546F3"/>
    <w:rsid w:val="0045719D"/>
    <w:rsid w:val="004613A6"/>
    <w:rsid w:val="00462118"/>
    <w:rsid w:val="004624E5"/>
    <w:rsid w:val="004629C7"/>
    <w:rsid w:val="00462B00"/>
    <w:rsid w:val="00463465"/>
    <w:rsid w:val="00464282"/>
    <w:rsid w:val="0046469F"/>
    <w:rsid w:val="00464A71"/>
    <w:rsid w:val="00464EEF"/>
    <w:rsid w:val="004654D3"/>
    <w:rsid w:val="00465804"/>
    <w:rsid w:val="00470309"/>
    <w:rsid w:val="00473A74"/>
    <w:rsid w:val="0047740E"/>
    <w:rsid w:val="00477A59"/>
    <w:rsid w:val="00477CCD"/>
    <w:rsid w:val="00480184"/>
    <w:rsid w:val="00480D8D"/>
    <w:rsid w:val="00486E73"/>
    <w:rsid w:val="00492400"/>
    <w:rsid w:val="00492840"/>
    <w:rsid w:val="00493056"/>
    <w:rsid w:val="00493157"/>
    <w:rsid w:val="00496D98"/>
    <w:rsid w:val="00497471"/>
    <w:rsid w:val="00497E8F"/>
    <w:rsid w:val="004A1DB6"/>
    <w:rsid w:val="004A3400"/>
    <w:rsid w:val="004A3B97"/>
    <w:rsid w:val="004A3C6F"/>
    <w:rsid w:val="004A45E9"/>
    <w:rsid w:val="004A57A6"/>
    <w:rsid w:val="004A6885"/>
    <w:rsid w:val="004B1A36"/>
    <w:rsid w:val="004B3C17"/>
    <w:rsid w:val="004B4C02"/>
    <w:rsid w:val="004B765E"/>
    <w:rsid w:val="004C1204"/>
    <w:rsid w:val="004C198E"/>
    <w:rsid w:val="004C27DE"/>
    <w:rsid w:val="004C3895"/>
    <w:rsid w:val="004C5786"/>
    <w:rsid w:val="004C60A4"/>
    <w:rsid w:val="004C6A65"/>
    <w:rsid w:val="004C70EF"/>
    <w:rsid w:val="004C74DC"/>
    <w:rsid w:val="004D0667"/>
    <w:rsid w:val="004D1283"/>
    <w:rsid w:val="004D2CB5"/>
    <w:rsid w:val="004D3D8B"/>
    <w:rsid w:val="004D46C4"/>
    <w:rsid w:val="004D5168"/>
    <w:rsid w:val="004D7377"/>
    <w:rsid w:val="004D7C91"/>
    <w:rsid w:val="004E1271"/>
    <w:rsid w:val="004E1F31"/>
    <w:rsid w:val="004E262D"/>
    <w:rsid w:val="004E2E2C"/>
    <w:rsid w:val="004E3CA1"/>
    <w:rsid w:val="004E4B80"/>
    <w:rsid w:val="004E4B9E"/>
    <w:rsid w:val="004E57B7"/>
    <w:rsid w:val="004E7994"/>
    <w:rsid w:val="004F1517"/>
    <w:rsid w:val="004F5C23"/>
    <w:rsid w:val="004F7329"/>
    <w:rsid w:val="004F7BA9"/>
    <w:rsid w:val="00500D78"/>
    <w:rsid w:val="005019FE"/>
    <w:rsid w:val="00501B33"/>
    <w:rsid w:val="00502135"/>
    <w:rsid w:val="0050456A"/>
    <w:rsid w:val="00506284"/>
    <w:rsid w:val="00507572"/>
    <w:rsid w:val="005111E6"/>
    <w:rsid w:val="00512121"/>
    <w:rsid w:val="00512388"/>
    <w:rsid w:val="00513A65"/>
    <w:rsid w:val="00514892"/>
    <w:rsid w:val="00515B64"/>
    <w:rsid w:val="00515D85"/>
    <w:rsid w:val="005164F6"/>
    <w:rsid w:val="00517330"/>
    <w:rsid w:val="005226D1"/>
    <w:rsid w:val="00523413"/>
    <w:rsid w:val="00525CA0"/>
    <w:rsid w:val="00526600"/>
    <w:rsid w:val="00526837"/>
    <w:rsid w:val="00526D99"/>
    <w:rsid w:val="0052783F"/>
    <w:rsid w:val="0053029C"/>
    <w:rsid w:val="00530C28"/>
    <w:rsid w:val="005312A0"/>
    <w:rsid w:val="00531C89"/>
    <w:rsid w:val="00533236"/>
    <w:rsid w:val="005332FD"/>
    <w:rsid w:val="00534314"/>
    <w:rsid w:val="00535011"/>
    <w:rsid w:val="00540DDB"/>
    <w:rsid w:val="0054327E"/>
    <w:rsid w:val="0054502A"/>
    <w:rsid w:val="005462B7"/>
    <w:rsid w:val="005464F3"/>
    <w:rsid w:val="00550587"/>
    <w:rsid w:val="00551696"/>
    <w:rsid w:val="00552143"/>
    <w:rsid w:val="00552CD5"/>
    <w:rsid w:val="00553381"/>
    <w:rsid w:val="005540B1"/>
    <w:rsid w:val="00554D4D"/>
    <w:rsid w:val="00554F68"/>
    <w:rsid w:val="005552B7"/>
    <w:rsid w:val="005617A7"/>
    <w:rsid w:val="00564F00"/>
    <w:rsid w:val="00565216"/>
    <w:rsid w:val="0056527E"/>
    <w:rsid w:val="00566F2E"/>
    <w:rsid w:val="00567D9F"/>
    <w:rsid w:val="00570D6B"/>
    <w:rsid w:val="00570EC6"/>
    <w:rsid w:val="0057193D"/>
    <w:rsid w:val="005719C4"/>
    <w:rsid w:val="005720EA"/>
    <w:rsid w:val="0057366C"/>
    <w:rsid w:val="005758EA"/>
    <w:rsid w:val="005802AF"/>
    <w:rsid w:val="0058156B"/>
    <w:rsid w:val="005819A1"/>
    <w:rsid w:val="00581BCE"/>
    <w:rsid w:val="0058209C"/>
    <w:rsid w:val="005827BF"/>
    <w:rsid w:val="00582D65"/>
    <w:rsid w:val="0058305E"/>
    <w:rsid w:val="00583A3D"/>
    <w:rsid w:val="00583DB2"/>
    <w:rsid w:val="00584D9F"/>
    <w:rsid w:val="005866D7"/>
    <w:rsid w:val="00586B5C"/>
    <w:rsid w:val="0059227F"/>
    <w:rsid w:val="0059244B"/>
    <w:rsid w:val="00592742"/>
    <w:rsid w:val="00594354"/>
    <w:rsid w:val="00594614"/>
    <w:rsid w:val="00595049"/>
    <w:rsid w:val="005978C3"/>
    <w:rsid w:val="00597B9B"/>
    <w:rsid w:val="005A01DC"/>
    <w:rsid w:val="005A1051"/>
    <w:rsid w:val="005A1191"/>
    <w:rsid w:val="005A1A52"/>
    <w:rsid w:val="005A301E"/>
    <w:rsid w:val="005A30E4"/>
    <w:rsid w:val="005A4F46"/>
    <w:rsid w:val="005A540A"/>
    <w:rsid w:val="005B0F1B"/>
    <w:rsid w:val="005B2282"/>
    <w:rsid w:val="005B2EB2"/>
    <w:rsid w:val="005C0946"/>
    <w:rsid w:val="005C157A"/>
    <w:rsid w:val="005C46EA"/>
    <w:rsid w:val="005C503B"/>
    <w:rsid w:val="005C5C34"/>
    <w:rsid w:val="005D2E35"/>
    <w:rsid w:val="005D3A0F"/>
    <w:rsid w:val="005D3A3C"/>
    <w:rsid w:val="005D522D"/>
    <w:rsid w:val="005D68C6"/>
    <w:rsid w:val="005D6E37"/>
    <w:rsid w:val="005E0963"/>
    <w:rsid w:val="005E472B"/>
    <w:rsid w:val="005E47DF"/>
    <w:rsid w:val="005E4C58"/>
    <w:rsid w:val="005E65F9"/>
    <w:rsid w:val="005E744C"/>
    <w:rsid w:val="005E76B6"/>
    <w:rsid w:val="005E7A5D"/>
    <w:rsid w:val="005F1210"/>
    <w:rsid w:val="005F5BCA"/>
    <w:rsid w:val="005F5C80"/>
    <w:rsid w:val="005F7A7E"/>
    <w:rsid w:val="0060060A"/>
    <w:rsid w:val="00604192"/>
    <w:rsid w:val="00604579"/>
    <w:rsid w:val="006049AD"/>
    <w:rsid w:val="00604AA4"/>
    <w:rsid w:val="006065D9"/>
    <w:rsid w:val="00606903"/>
    <w:rsid w:val="00606E9A"/>
    <w:rsid w:val="0060764F"/>
    <w:rsid w:val="00607D25"/>
    <w:rsid w:val="0061312E"/>
    <w:rsid w:val="006140F1"/>
    <w:rsid w:val="00615E05"/>
    <w:rsid w:val="00616DA3"/>
    <w:rsid w:val="00617BDB"/>
    <w:rsid w:val="00621C77"/>
    <w:rsid w:val="006221DF"/>
    <w:rsid w:val="006237C6"/>
    <w:rsid w:val="00626F5E"/>
    <w:rsid w:val="00627C0E"/>
    <w:rsid w:val="00627F02"/>
    <w:rsid w:val="00630015"/>
    <w:rsid w:val="00630490"/>
    <w:rsid w:val="00631121"/>
    <w:rsid w:val="00631AB4"/>
    <w:rsid w:val="00631CE2"/>
    <w:rsid w:val="006326F2"/>
    <w:rsid w:val="00632762"/>
    <w:rsid w:val="00634D3B"/>
    <w:rsid w:val="006365EC"/>
    <w:rsid w:val="00636DA2"/>
    <w:rsid w:val="00640413"/>
    <w:rsid w:val="00642209"/>
    <w:rsid w:val="00643A39"/>
    <w:rsid w:val="006448AD"/>
    <w:rsid w:val="0064565D"/>
    <w:rsid w:val="00646B27"/>
    <w:rsid w:val="00646D5E"/>
    <w:rsid w:val="006473CC"/>
    <w:rsid w:val="0065072E"/>
    <w:rsid w:val="006515B2"/>
    <w:rsid w:val="00653C47"/>
    <w:rsid w:val="006573F4"/>
    <w:rsid w:val="006629A0"/>
    <w:rsid w:val="006629D0"/>
    <w:rsid w:val="0066377F"/>
    <w:rsid w:val="00666604"/>
    <w:rsid w:val="00666860"/>
    <w:rsid w:val="00667646"/>
    <w:rsid w:val="006679D1"/>
    <w:rsid w:val="00671777"/>
    <w:rsid w:val="00671B98"/>
    <w:rsid w:val="00671C30"/>
    <w:rsid w:val="00672103"/>
    <w:rsid w:val="00676831"/>
    <w:rsid w:val="00680D2C"/>
    <w:rsid w:val="0068407B"/>
    <w:rsid w:val="0068707F"/>
    <w:rsid w:val="0069034C"/>
    <w:rsid w:val="00691C03"/>
    <w:rsid w:val="0069223E"/>
    <w:rsid w:val="00692AB7"/>
    <w:rsid w:val="00692D7B"/>
    <w:rsid w:val="00693E9D"/>
    <w:rsid w:val="00694B62"/>
    <w:rsid w:val="0069733D"/>
    <w:rsid w:val="006A00BE"/>
    <w:rsid w:val="006A04C6"/>
    <w:rsid w:val="006A0675"/>
    <w:rsid w:val="006A0B72"/>
    <w:rsid w:val="006A1AF6"/>
    <w:rsid w:val="006A35D4"/>
    <w:rsid w:val="006A7EB7"/>
    <w:rsid w:val="006B1715"/>
    <w:rsid w:val="006B28FA"/>
    <w:rsid w:val="006B37E1"/>
    <w:rsid w:val="006B4096"/>
    <w:rsid w:val="006B4F36"/>
    <w:rsid w:val="006C01D1"/>
    <w:rsid w:val="006C28A3"/>
    <w:rsid w:val="006C4F65"/>
    <w:rsid w:val="006C71D9"/>
    <w:rsid w:val="006C7D32"/>
    <w:rsid w:val="006D0501"/>
    <w:rsid w:val="006D11DF"/>
    <w:rsid w:val="006D133C"/>
    <w:rsid w:val="006D171E"/>
    <w:rsid w:val="006D3142"/>
    <w:rsid w:val="006D31D7"/>
    <w:rsid w:val="006D323D"/>
    <w:rsid w:val="006D4ACE"/>
    <w:rsid w:val="006D63AB"/>
    <w:rsid w:val="006D6ADF"/>
    <w:rsid w:val="006D6CB0"/>
    <w:rsid w:val="006E055E"/>
    <w:rsid w:val="006E101F"/>
    <w:rsid w:val="006E2225"/>
    <w:rsid w:val="006E27DB"/>
    <w:rsid w:val="006E2FAA"/>
    <w:rsid w:val="006E3B1C"/>
    <w:rsid w:val="006E537F"/>
    <w:rsid w:val="006F0FBB"/>
    <w:rsid w:val="006F1A2F"/>
    <w:rsid w:val="006F6A2D"/>
    <w:rsid w:val="0070059E"/>
    <w:rsid w:val="00700A28"/>
    <w:rsid w:val="00700DB8"/>
    <w:rsid w:val="007012BF"/>
    <w:rsid w:val="0070275E"/>
    <w:rsid w:val="00702FC6"/>
    <w:rsid w:val="00703A57"/>
    <w:rsid w:val="00703C7B"/>
    <w:rsid w:val="0070464B"/>
    <w:rsid w:val="00704669"/>
    <w:rsid w:val="00705750"/>
    <w:rsid w:val="00706A8B"/>
    <w:rsid w:val="00714143"/>
    <w:rsid w:val="00714EC2"/>
    <w:rsid w:val="00715C85"/>
    <w:rsid w:val="00720E64"/>
    <w:rsid w:val="00721C02"/>
    <w:rsid w:val="0072267B"/>
    <w:rsid w:val="00722AEB"/>
    <w:rsid w:val="00722C5D"/>
    <w:rsid w:val="007232F4"/>
    <w:rsid w:val="0072758D"/>
    <w:rsid w:val="00730125"/>
    <w:rsid w:val="00731154"/>
    <w:rsid w:val="0073131C"/>
    <w:rsid w:val="00732ABD"/>
    <w:rsid w:val="007333EF"/>
    <w:rsid w:val="007405A2"/>
    <w:rsid w:val="007459CF"/>
    <w:rsid w:val="00746C62"/>
    <w:rsid w:val="007539E2"/>
    <w:rsid w:val="00754231"/>
    <w:rsid w:val="00754292"/>
    <w:rsid w:val="0075452F"/>
    <w:rsid w:val="00757879"/>
    <w:rsid w:val="007579FA"/>
    <w:rsid w:val="00757F35"/>
    <w:rsid w:val="0076016D"/>
    <w:rsid w:val="007602DC"/>
    <w:rsid w:val="00770EE8"/>
    <w:rsid w:val="00773529"/>
    <w:rsid w:val="007736A4"/>
    <w:rsid w:val="007766AF"/>
    <w:rsid w:val="00781183"/>
    <w:rsid w:val="00781B16"/>
    <w:rsid w:val="007821AD"/>
    <w:rsid w:val="00783418"/>
    <w:rsid w:val="007835DD"/>
    <w:rsid w:val="00783BFF"/>
    <w:rsid w:val="007846CD"/>
    <w:rsid w:val="00785B91"/>
    <w:rsid w:val="007866C7"/>
    <w:rsid w:val="00791328"/>
    <w:rsid w:val="007913E6"/>
    <w:rsid w:val="007A365F"/>
    <w:rsid w:val="007A3DA4"/>
    <w:rsid w:val="007A5612"/>
    <w:rsid w:val="007A5834"/>
    <w:rsid w:val="007A58AB"/>
    <w:rsid w:val="007A6F13"/>
    <w:rsid w:val="007B06E2"/>
    <w:rsid w:val="007B0706"/>
    <w:rsid w:val="007B17DE"/>
    <w:rsid w:val="007B48F7"/>
    <w:rsid w:val="007B5F85"/>
    <w:rsid w:val="007B6B53"/>
    <w:rsid w:val="007C032A"/>
    <w:rsid w:val="007C0741"/>
    <w:rsid w:val="007C0C42"/>
    <w:rsid w:val="007C1AF8"/>
    <w:rsid w:val="007C627D"/>
    <w:rsid w:val="007C7ABB"/>
    <w:rsid w:val="007C7BFE"/>
    <w:rsid w:val="007D0AC8"/>
    <w:rsid w:val="007D14F3"/>
    <w:rsid w:val="007D2EC0"/>
    <w:rsid w:val="007D3AC6"/>
    <w:rsid w:val="007D5E53"/>
    <w:rsid w:val="007D6323"/>
    <w:rsid w:val="007D6F73"/>
    <w:rsid w:val="007D7946"/>
    <w:rsid w:val="007D7C68"/>
    <w:rsid w:val="007E0026"/>
    <w:rsid w:val="007E04EA"/>
    <w:rsid w:val="007E07F6"/>
    <w:rsid w:val="007E3126"/>
    <w:rsid w:val="007E3517"/>
    <w:rsid w:val="007E3A71"/>
    <w:rsid w:val="007E4EFE"/>
    <w:rsid w:val="007E5CC0"/>
    <w:rsid w:val="007E7CC0"/>
    <w:rsid w:val="007F38D8"/>
    <w:rsid w:val="007F3DA6"/>
    <w:rsid w:val="007F621B"/>
    <w:rsid w:val="007F6504"/>
    <w:rsid w:val="007F755E"/>
    <w:rsid w:val="007F7B5E"/>
    <w:rsid w:val="008019C2"/>
    <w:rsid w:val="008036A2"/>
    <w:rsid w:val="00804ED6"/>
    <w:rsid w:val="00805194"/>
    <w:rsid w:val="008108B7"/>
    <w:rsid w:val="008146F5"/>
    <w:rsid w:val="0081580A"/>
    <w:rsid w:val="0081619C"/>
    <w:rsid w:val="00820921"/>
    <w:rsid w:val="00822983"/>
    <w:rsid w:val="008232F0"/>
    <w:rsid w:val="0082526C"/>
    <w:rsid w:val="00825F96"/>
    <w:rsid w:val="00826BC5"/>
    <w:rsid w:val="00831570"/>
    <w:rsid w:val="00831781"/>
    <w:rsid w:val="00832680"/>
    <w:rsid w:val="0083270A"/>
    <w:rsid w:val="00835940"/>
    <w:rsid w:val="00841173"/>
    <w:rsid w:val="00842B3C"/>
    <w:rsid w:val="008454D0"/>
    <w:rsid w:val="00845A18"/>
    <w:rsid w:val="00845CC1"/>
    <w:rsid w:val="00850653"/>
    <w:rsid w:val="00853831"/>
    <w:rsid w:val="008564D5"/>
    <w:rsid w:val="00856C49"/>
    <w:rsid w:val="00856F20"/>
    <w:rsid w:val="00861E8C"/>
    <w:rsid w:val="00862762"/>
    <w:rsid w:val="00863184"/>
    <w:rsid w:val="00866B56"/>
    <w:rsid w:val="0086788D"/>
    <w:rsid w:val="00867DB0"/>
    <w:rsid w:val="008707A5"/>
    <w:rsid w:val="008719CA"/>
    <w:rsid w:val="00873C7D"/>
    <w:rsid w:val="008744E9"/>
    <w:rsid w:val="008751CC"/>
    <w:rsid w:val="008755F8"/>
    <w:rsid w:val="00882462"/>
    <w:rsid w:val="00885026"/>
    <w:rsid w:val="00886338"/>
    <w:rsid w:val="00886C06"/>
    <w:rsid w:val="00891272"/>
    <w:rsid w:val="00895C3B"/>
    <w:rsid w:val="008960F1"/>
    <w:rsid w:val="0089626B"/>
    <w:rsid w:val="008A191E"/>
    <w:rsid w:val="008A1E67"/>
    <w:rsid w:val="008A1F4C"/>
    <w:rsid w:val="008A420D"/>
    <w:rsid w:val="008A62D6"/>
    <w:rsid w:val="008A7E13"/>
    <w:rsid w:val="008B029D"/>
    <w:rsid w:val="008B204C"/>
    <w:rsid w:val="008B44DF"/>
    <w:rsid w:val="008B600C"/>
    <w:rsid w:val="008B6CFA"/>
    <w:rsid w:val="008C1145"/>
    <w:rsid w:val="008C6458"/>
    <w:rsid w:val="008C76D4"/>
    <w:rsid w:val="008C7DBC"/>
    <w:rsid w:val="008D307C"/>
    <w:rsid w:val="008D4332"/>
    <w:rsid w:val="008D4D7B"/>
    <w:rsid w:val="008E3A54"/>
    <w:rsid w:val="008E5792"/>
    <w:rsid w:val="008E7035"/>
    <w:rsid w:val="008E7F33"/>
    <w:rsid w:val="008E7FD6"/>
    <w:rsid w:val="008F02C3"/>
    <w:rsid w:val="008F6726"/>
    <w:rsid w:val="00900870"/>
    <w:rsid w:val="0090151C"/>
    <w:rsid w:val="00901BD9"/>
    <w:rsid w:val="0090234C"/>
    <w:rsid w:val="009043F3"/>
    <w:rsid w:val="00904F83"/>
    <w:rsid w:val="00910FDA"/>
    <w:rsid w:val="0091211D"/>
    <w:rsid w:val="00913AE3"/>
    <w:rsid w:val="00913EAA"/>
    <w:rsid w:val="00917593"/>
    <w:rsid w:val="00917A3C"/>
    <w:rsid w:val="00921B50"/>
    <w:rsid w:val="0092237E"/>
    <w:rsid w:val="00923E46"/>
    <w:rsid w:val="009246DD"/>
    <w:rsid w:val="00925D25"/>
    <w:rsid w:val="00927B39"/>
    <w:rsid w:val="00930609"/>
    <w:rsid w:val="00930723"/>
    <w:rsid w:val="00931021"/>
    <w:rsid w:val="00933ABB"/>
    <w:rsid w:val="00940A34"/>
    <w:rsid w:val="00940F02"/>
    <w:rsid w:val="00941AC9"/>
    <w:rsid w:val="009427DD"/>
    <w:rsid w:val="00942A72"/>
    <w:rsid w:val="00943B89"/>
    <w:rsid w:val="00943BF1"/>
    <w:rsid w:val="00943CAA"/>
    <w:rsid w:val="00943FF6"/>
    <w:rsid w:val="00945F78"/>
    <w:rsid w:val="009473E4"/>
    <w:rsid w:val="0095318C"/>
    <w:rsid w:val="009559B3"/>
    <w:rsid w:val="00955FB8"/>
    <w:rsid w:val="009560DD"/>
    <w:rsid w:val="00957401"/>
    <w:rsid w:val="00957E35"/>
    <w:rsid w:val="009629B1"/>
    <w:rsid w:val="00962AAA"/>
    <w:rsid w:val="00963F22"/>
    <w:rsid w:val="0096404B"/>
    <w:rsid w:val="009710EA"/>
    <w:rsid w:val="00971A80"/>
    <w:rsid w:val="009729DA"/>
    <w:rsid w:val="00973762"/>
    <w:rsid w:val="009740D4"/>
    <w:rsid w:val="0097549F"/>
    <w:rsid w:val="00975C14"/>
    <w:rsid w:val="00975E5B"/>
    <w:rsid w:val="00976655"/>
    <w:rsid w:val="0097691B"/>
    <w:rsid w:val="0098158B"/>
    <w:rsid w:val="009830B2"/>
    <w:rsid w:val="00984B7B"/>
    <w:rsid w:val="00985E83"/>
    <w:rsid w:val="00987075"/>
    <w:rsid w:val="0099032A"/>
    <w:rsid w:val="00990EFD"/>
    <w:rsid w:val="00991047"/>
    <w:rsid w:val="0099239F"/>
    <w:rsid w:val="0099290E"/>
    <w:rsid w:val="009941BC"/>
    <w:rsid w:val="009942FE"/>
    <w:rsid w:val="00994E39"/>
    <w:rsid w:val="00995521"/>
    <w:rsid w:val="009A032C"/>
    <w:rsid w:val="009A2981"/>
    <w:rsid w:val="009A2B0C"/>
    <w:rsid w:val="009A4D35"/>
    <w:rsid w:val="009A546B"/>
    <w:rsid w:val="009A7B99"/>
    <w:rsid w:val="009B0E0E"/>
    <w:rsid w:val="009B2346"/>
    <w:rsid w:val="009B3A4B"/>
    <w:rsid w:val="009B3A64"/>
    <w:rsid w:val="009B44E1"/>
    <w:rsid w:val="009B491A"/>
    <w:rsid w:val="009B514A"/>
    <w:rsid w:val="009B592F"/>
    <w:rsid w:val="009B6D42"/>
    <w:rsid w:val="009B73E4"/>
    <w:rsid w:val="009B799C"/>
    <w:rsid w:val="009C04D1"/>
    <w:rsid w:val="009C0C7C"/>
    <w:rsid w:val="009C1103"/>
    <w:rsid w:val="009C40F1"/>
    <w:rsid w:val="009C6DDC"/>
    <w:rsid w:val="009C7BB4"/>
    <w:rsid w:val="009D1903"/>
    <w:rsid w:val="009D19DC"/>
    <w:rsid w:val="009D2EBA"/>
    <w:rsid w:val="009D5F3A"/>
    <w:rsid w:val="009E0063"/>
    <w:rsid w:val="009E3021"/>
    <w:rsid w:val="009E360C"/>
    <w:rsid w:val="009E406B"/>
    <w:rsid w:val="009E50DA"/>
    <w:rsid w:val="009E5EF0"/>
    <w:rsid w:val="009E61DE"/>
    <w:rsid w:val="009F0757"/>
    <w:rsid w:val="009F11BB"/>
    <w:rsid w:val="009F1DC9"/>
    <w:rsid w:val="009F42F1"/>
    <w:rsid w:val="009F43B0"/>
    <w:rsid w:val="009F4444"/>
    <w:rsid w:val="009F4D3C"/>
    <w:rsid w:val="009F679D"/>
    <w:rsid w:val="00A0198F"/>
    <w:rsid w:val="00A05263"/>
    <w:rsid w:val="00A06DEB"/>
    <w:rsid w:val="00A0706B"/>
    <w:rsid w:val="00A105C0"/>
    <w:rsid w:val="00A126D6"/>
    <w:rsid w:val="00A1291C"/>
    <w:rsid w:val="00A1345E"/>
    <w:rsid w:val="00A1457B"/>
    <w:rsid w:val="00A14605"/>
    <w:rsid w:val="00A16641"/>
    <w:rsid w:val="00A17BC5"/>
    <w:rsid w:val="00A21455"/>
    <w:rsid w:val="00A2471B"/>
    <w:rsid w:val="00A258DB"/>
    <w:rsid w:val="00A26CF6"/>
    <w:rsid w:val="00A27607"/>
    <w:rsid w:val="00A301A5"/>
    <w:rsid w:val="00A30A8A"/>
    <w:rsid w:val="00A3107F"/>
    <w:rsid w:val="00A34035"/>
    <w:rsid w:val="00A348FF"/>
    <w:rsid w:val="00A371BB"/>
    <w:rsid w:val="00A40533"/>
    <w:rsid w:val="00A42AF2"/>
    <w:rsid w:val="00A45372"/>
    <w:rsid w:val="00A4567F"/>
    <w:rsid w:val="00A47CD3"/>
    <w:rsid w:val="00A512D4"/>
    <w:rsid w:val="00A51660"/>
    <w:rsid w:val="00A55BF9"/>
    <w:rsid w:val="00A56D9F"/>
    <w:rsid w:val="00A57B18"/>
    <w:rsid w:val="00A63E41"/>
    <w:rsid w:val="00A647C7"/>
    <w:rsid w:val="00A64AB3"/>
    <w:rsid w:val="00A71842"/>
    <w:rsid w:val="00A71C41"/>
    <w:rsid w:val="00A72C75"/>
    <w:rsid w:val="00A73E12"/>
    <w:rsid w:val="00A769BA"/>
    <w:rsid w:val="00A76CBC"/>
    <w:rsid w:val="00A774E8"/>
    <w:rsid w:val="00A777DD"/>
    <w:rsid w:val="00A81BBD"/>
    <w:rsid w:val="00A81ED9"/>
    <w:rsid w:val="00A82DA2"/>
    <w:rsid w:val="00A856B8"/>
    <w:rsid w:val="00A86114"/>
    <w:rsid w:val="00A868C6"/>
    <w:rsid w:val="00A872CE"/>
    <w:rsid w:val="00A92FA2"/>
    <w:rsid w:val="00A950C1"/>
    <w:rsid w:val="00A95DBF"/>
    <w:rsid w:val="00A97F9A"/>
    <w:rsid w:val="00AA0A99"/>
    <w:rsid w:val="00AA2020"/>
    <w:rsid w:val="00AA2A58"/>
    <w:rsid w:val="00AA355E"/>
    <w:rsid w:val="00AA3D6F"/>
    <w:rsid w:val="00AA45DD"/>
    <w:rsid w:val="00AA68E6"/>
    <w:rsid w:val="00AA7FB6"/>
    <w:rsid w:val="00AB1AF8"/>
    <w:rsid w:val="00AB403D"/>
    <w:rsid w:val="00AB573D"/>
    <w:rsid w:val="00AB5987"/>
    <w:rsid w:val="00AB69E6"/>
    <w:rsid w:val="00AC69D5"/>
    <w:rsid w:val="00AD092D"/>
    <w:rsid w:val="00AD3731"/>
    <w:rsid w:val="00AD39C7"/>
    <w:rsid w:val="00AD4ACB"/>
    <w:rsid w:val="00AD4E27"/>
    <w:rsid w:val="00AD5C86"/>
    <w:rsid w:val="00AE03D5"/>
    <w:rsid w:val="00AE061C"/>
    <w:rsid w:val="00AE1926"/>
    <w:rsid w:val="00AE2712"/>
    <w:rsid w:val="00AE2CE8"/>
    <w:rsid w:val="00AE2F5C"/>
    <w:rsid w:val="00AE3BD4"/>
    <w:rsid w:val="00AE4264"/>
    <w:rsid w:val="00AE5A39"/>
    <w:rsid w:val="00AE6CA8"/>
    <w:rsid w:val="00AE76BE"/>
    <w:rsid w:val="00AF02E8"/>
    <w:rsid w:val="00AF0D93"/>
    <w:rsid w:val="00AF55F5"/>
    <w:rsid w:val="00AF5FAC"/>
    <w:rsid w:val="00AF6722"/>
    <w:rsid w:val="00AF6ED0"/>
    <w:rsid w:val="00B01CFB"/>
    <w:rsid w:val="00B04694"/>
    <w:rsid w:val="00B05678"/>
    <w:rsid w:val="00B05812"/>
    <w:rsid w:val="00B07E60"/>
    <w:rsid w:val="00B1086E"/>
    <w:rsid w:val="00B109EF"/>
    <w:rsid w:val="00B114D5"/>
    <w:rsid w:val="00B12808"/>
    <w:rsid w:val="00B12D6F"/>
    <w:rsid w:val="00B1476D"/>
    <w:rsid w:val="00B14A03"/>
    <w:rsid w:val="00B155BF"/>
    <w:rsid w:val="00B17856"/>
    <w:rsid w:val="00B20C8F"/>
    <w:rsid w:val="00B220B4"/>
    <w:rsid w:val="00B22322"/>
    <w:rsid w:val="00B23523"/>
    <w:rsid w:val="00B23721"/>
    <w:rsid w:val="00B2518B"/>
    <w:rsid w:val="00B26F85"/>
    <w:rsid w:val="00B2703F"/>
    <w:rsid w:val="00B301FE"/>
    <w:rsid w:val="00B30D96"/>
    <w:rsid w:val="00B30FF8"/>
    <w:rsid w:val="00B34B64"/>
    <w:rsid w:val="00B34EFF"/>
    <w:rsid w:val="00B3611B"/>
    <w:rsid w:val="00B40A19"/>
    <w:rsid w:val="00B418AD"/>
    <w:rsid w:val="00B43901"/>
    <w:rsid w:val="00B444D5"/>
    <w:rsid w:val="00B445DB"/>
    <w:rsid w:val="00B44B6E"/>
    <w:rsid w:val="00B45A89"/>
    <w:rsid w:val="00B46E01"/>
    <w:rsid w:val="00B46F86"/>
    <w:rsid w:val="00B47957"/>
    <w:rsid w:val="00B50324"/>
    <w:rsid w:val="00B52051"/>
    <w:rsid w:val="00B53ECA"/>
    <w:rsid w:val="00B54256"/>
    <w:rsid w:val="00B55FCC"/>
    <w:rsid w:val="00B560B5"/>
    <w:rsid w:val="00B57BFE"/>
    <w:rsid w:val="00B62AAE"/>
    <w:rsid w:val="00B63498"/>
    <w:rsid w:val="00B64E3F"/>
    <w:rsid w:val="00B664CC"/>
    <w:rsid w:val="00B66D3D"/>
    <w:rsid w:val="00B66EDE"/>
    <w:rsid w:val="00B6704C"/>
    <w:rsid w:val="00B67DAE"/>
    <w:rsid w:val="00B71068"/>
    <w:rsid w:val="00B73402"/>
    <w:rsid w:val="00B74154"/>
    <w:rsid w:val="00B74A7B"/>
    <w:rsid w:val="00B75813"/>
    <w:rsid w:val="00B76E21"/>
    <w:rsid w:val="00B76F1B"/>
    <w:rsid w:val="00B7782C"/>
    <w:rsid w:val="00B804D1"/>
    <w:rsid w:val="00B80622"/>
    <w:rsid w:val="00B8073B"/>
    <w:rsid w:val="00B80AF4"/>
    <w:rsid w:val="00B81014"/>
    <w:rsid w:val="00B8172B"/>
    <w:rsid w:val="00B823A0"/>
    <w:rsid w:val="00B82AFF"/>
    <w:rsid w:val="00B91B4D"/>
    <w:rsid w:val="00B91FA6"/>
    <w:rsid w:val="00B933B7"/>
    <w:rsid w:val="00B94E47"/>
    <w:rsid w:val="00B94E86"/>
    <w:rsid w:val="00B973E0"/>
    <w:rsid w:val="00B97576"/>
    <w:rsid w:val="00BA0195"/>
    <w:rsid w:val="00BA021F"/>
    <w:rsid w:val="00BA0ED6"/>
    <w:rsid w:val="00BA4831"/>
    <w:rsid w:val="00BA527F"/>
    <w:rsid w:val="00BA566C"/>
    <w:rsid w:val="00BA5AC0"/>
    <w:rsid w:val="00BB0FCE"/>
    <w:rsid w:val="00BB3FCC"/>
    <w:rsid w:val="00BB637C"/>
    <w:rsid w:val="00BB6F39"/>
    <w:rsid w:val="00BC1915"/>
    <w:rsid w:val="00BC1E29"/>
    <w:rsid w:val="00BC386C"/>
    <w:rsid w:val="00BC3E4C"/>
    <w:rsid w:val="00BC4EEE"/>
    <w:rsid w:val="00BC5D6E"/>
    <w:rsid w:val="00BC63DC"/>
    <w:rsid w:val="00BC7B26"/>
    <w:rsid w:val="00BD066A"/>
    <w:rsid w:val="00BD113B"/>
    <w:rsid w:val="00BD1AA8"/>
    <w:rsid w:val="00BD1D50"/>
    <w:rsid w:val="00BD39FB"/>
    <w:rsid w:val="00BD3E6F"/>
    <w:rsid w:val="00BD45E0"/>
    <w:rsid w:val="00BD5A52"/>
    <w:rsid w:val="00BD6FCC"/>
    <w:rsid w:val="00BD7939"/>
    <w:rsid w:val="00BE0318"/>
    <w:rsid w:val="00BE14BD"/>
    <w:rsid w:val="00BE1856"/>
    <w:rsid w:val="00BE2DBA"/>
    <w:rsid w:val="00BE4C06"/>
    <w:rsid w:val="00BF0D12"/>
    <w:rsid w:val="00BF136F"/>
    <w:rsid w:val="00BF2E69"/>
    <w:rsid w:val="00BF34CE"/>
    <w:rsid w:val="00BF4080"/>
    <w:rsid w:val="00BF56F8"/>
    <w:rsid w:val="00BF638D"/>
    <w:rsid w:val="00BF68C0"/>
    <w:rsid w:val="00BF6965"/>
    <w:rsid w:val="00BF7AF8"/>
    <w:rsid w:val="00C01392"/>
    <w:rsid w:val="00C014DF"/>
    <w:rsid w:val="00C02BB6"/>
    <w:rsid w:val="00C02C28"/>
    <w:rsid w:val="00C03EB2"/>
    <w:rsid w:val="00C05A4A"/>
    <w:rsid w:val="00C05D70"/>
    <w:rsid w:val="00C06CD8"/>
    <w:rsid w:val="00C10A9C"/>
    <w:rsid w:val="00C12354"/>
    <w:rsid w:val="00C1488D"/>
    <w:rsid w:val="00C15A19"/>
    <w:rsid w:val="00C160C8"/>
    <w:rsid w:val="00C1700E"/>
    <w:rsid w:val="00C17336"/>
    <w:rsid w:val="00C20468"/>
    <w:rsid w:val="00C20921"/>
    <w:rsid w:val="00C20A01"/>
    <w:rsid w:val="00C21ACB"/>
    <w:rsid w:val="00C21DF7"/>
    <w:rsid w:val="00C22F21"/>
    <w:rsid w:val="00C23027"/>
    <w:rsid w:val="00C2349D"/>
    <w:rsid w:val="00C239E6"/>
    <w:rsid w:val="00C252F3"/>
    <w:rsid w:val="00C2556A"/>
    <w:rsid w:val="00C30319"/>
    <w:rsid w:val="00C30343"/>
    <w:rsid w:val="00C3377C"/>
    <w:rsid w:val="00C36493"/>
    <w:rsid w:val="00C379D5"/>
    <w:rsid w:val="00C4069B"/>
    <w:rsid w:val="00C40EEE"/>
    <w:rsid w:val="00C413C7"/>
    <w:rsid w:val="00C4314E"/>
    <w:rsid w:val="00C4727D"/>
    <w:rsid w:val="00C473C4"/>
    <w:rsid w:val="00C4768C"/>
    <w:rsid w:val="00C50FED"/>
    <w:rsid w:val="00C521D9"/>
    <w:rsid w:val="00C530C1"/>
    <w:rsid w:val="00C55B8E"/>
    <w:rsid w:val="00C56793"/>
    <w:rsid w:val="00C62D00"/>
    <w:rsid w:val="00C634FC"/>
    <w:rsid w:val="00C64B8A"/>
    <w:rsid w:val="00C6723F"/>
    <w:rsid w:val="00C672D2"/>
    <w:rsid w:val="00C77162"/>
    <w:rsid w:val="00C77D96"/>
    <w:rsid w:val="00C810F1"/>
    <w:rsid w:val="00C8197A"/>
    <w:rsid w:val="00C828AC"/>
    <w:rsid w:val="00C828DD"/>
    <w:rsid w:val="00C83DDA"/>
    <w:rsid w:val="00C83F6D"/>
    <w:rsid w:val="00C84A0B"/>
    <w:rsid w:val="00C84A43"/>
    <w:rsid w:val="00C85CB8"/>
    <w:rsid w:val="00C86014"/>
    <w:rsid w:val="00C87B37"/>
    <w:rsid w:val="00C932F0"/>
    <w:rsid w:val="00C94006"/>
    <w:rsid w:val="00C95F6D"/>
    <w:rsid w:val="00C968C4"/>
    <w:rsid w:val="00C978D0"/>
    <w:rsid w:val="00CA12F9"/>
    <w:rsid w:val="00CA2F64"/>
    <w:rsid w:val="00CA458B"/>
    <w:rsid w:val="00CA4FF7"/>
    <w:rsid w:val="00CA73BB"/>
    <w:rsid w:val="00CB0557"/>
    <w:rsid w:val="00CB10FD"/>
    <w:rsid w:val="00CB12A1"/>
    <w:rsid w:val="00CB19BF"/>
    <w:rsid w:val="00CB26A1"/>
    <w:rsid w:val="00CB2C6C"/>
    <w:rsid w:val="00CB31B3"/>
    <w:rsid w:val="00CB336B"/>
    <w:rsid w:val="00CB3EB1"/>
    <w:rsid w:val="00CB448C"/>
    <w:rsid w:val="00CB4719"/>
    <w:rsid w:val="00CC0A54"/>
    <w:rsid w:val="00CC2ED0"/>
    <w:rsid w:val="00CC431C"/>
    <w:rsid w:val="00CC58D3"/>
    <w:rsid w:val="00CD08C9"/>
    <w:rsid w:val="00CD2D65"/>
    <w:rsid w:val="00CD630A"/>
    <w:rsid w:val="00CD7FD7"/>
    <w:rsid w:val="00CE13BE"/>
    <w:rsid w:val="00CE1B0E"/>
    <w:rsid w:val="00CE2F2A"/>
    <w:rsid w:val="00CE3166"/>
    <w:rsid w:val="00CE5CC2"/>
    <w:rsid w:val="00CE632A"/>
    <w:rsid w:val="00CF02CA"/>
    <w:rsid w:val="00CF2589"/>
    <w:rsid w:val="00CF3821"/>
    <w:rsid w:val="00CF65E7"/>
    <w:rsid w:val="00CF7A7F"/>
    <w:rsid w:val="00CF7CF2"/>
    <w:rsid w:val="00CF7DDF"/>
    <w:rsid w:val="00D019B0"/>
    <w:rsid w:val="00D038F0"/>
    <w:rsid w:val="00D04FB5"/>
    <w:rsid w:val="00D0506E"/>
    <w:rsid w:val="00D05450"/>
    <w:rsid w:val="00D05787"/>
    <w:rsid w:val="00D06562"/>
    <w:rsid w:val="00D11807"/>
    <w:rsid w:val="00D12405"/>
    <w:rsid w:val="00D1339F"/>
    <w:rsid w:val="00D14B6C"/>
    <w:rsid w:val="00D151A4"/>
    <w:rsid w:val="00D15459"/>
    <w:rsid w:val="00D15BE3"/>
    <w:rsid w:val="00D20921"/>
    <w:rsid w:val="00D218CA"/>
    <w:rsid w:val="00D242B0"/>
    <w:rsid w:val="00D24331"/>
    <w:rsid w:val="00D31A26"/>
    <w:rsid w:val="00D324BF"/>
    <w:rsid w:val="00D3496B"/>
    <w:rsid w:val="00D36C4A"/>
    <w:rsid w:val="00D4043C"/>
    <w:rsid w:val="00D417E4"/>
    <w:rsid w:val="00D4242C"/>
    <w:rsid w:val="00D427EE"/>
    <w:rsid w:val="00D42A6E"/>
    <w:rsid w:val="00D44073"/>
    <w:rsid w:val="00D468BB"/>
    <w:rsid w:val="00D5066E"/>
    <w:rsid w:val="00D50F12"/>
    <w:rsid w:val="00D50F57"/>
    <w:rsid w:val="00D52A6C"/>
    <w:rsid w:val="00D52D24"/>
    <w:rsid w:val="00D531AF"/>
    <w:rsid w:val="00D54D34"/>
    <w:rsid w:val="00D60B20"/>
    <w:rsid w:val="00D61C1E"/>
    <w:rsid w:val="00D64C34"/>
    <w:rsid w:val="00D64F1D"/>
    <w:rsid w:val="00D65A20"/>
    <w:rsid w:val="00D65E6F"/>
    <w:rsid w:val="00D6646D"/>
    <w:rsid w:val="00D66B52"/>
    <w:rsid w:val="00D711D2"/>
    <w:rsid w:val="00D71DF2"/>
    <w:rsid w:val="00D71E00"/>
    <w:rsid w:val="00D7289F"/>
    <w:rsid w:val="00D72C20"/>
    <w:rsid w:val="00D741BA"/>
    <w:rsid w:val="00D7622F"/>
    <w:rsid w:val="00D8044A"/>
    <w:rsid w:val="00D824A7"/>
    <w:rsid w:val="00D8253D"/>
    <w:rsid w:val="00D82BB6"/>
    <w:rsid w:val="00D83143"/>
    <w:rsid w:val="00D84AE2"/>
    <w:rsid w:val="00D84DCD"/>
    <w:rsid w:val="00D8581A"/>
    <w:rsid w:val="00D86CA1"/>
    <w:rsid w:val="00D9167A"/>
    <w:rsid w:val="00D9382C"/>
    <w:rsid w:val="00D94D53"/>
    <w:rsid w:val="00D95196"/>
    <w:rsid w:val="00D97852"/>
    <w:rsid w:val="00D97DED"/>
    <w:rsid w:val="00DA2666"/>
    <w:rsid w:val="00DA2F3D"/>
    <w:rsid w:val="00DA3B4A"/>
    <w:rsid w:val="00DA45AB"/>
    <w:rsid w:val="00DA4636"/>
    <w:rsid w:val="00DA69B5"/>
    <w:rsid w:val="00DA6C16"/>
    <w:rsid w:val="00DA6D0B"/>
    <w:rsid w:val="00DA7110"/>
    <w:rsid w:val="00DB166E"/>
    <w:rsid w:val="00DB1C28"/>
    <w:rsid w:val="00DB1DDE"/>
    <w:rsid w:val="00DB3732"/>
    <w:rsid w:val="00DB581E"/>
    <w:rsid w:val="00DB6144"/>
    <w:rsid w:val="00DC03ED"/>
    <w:rsid w:val="00DC15AA"/>
    <w:rsid w:val="00DC1BB3"/>
    <w:rsid w:val="00DC21E6"/>
    <w:rsid w:val="00DC305B"/>
    <w:rsid w:val="00DC3FEA"/>
    <w:rsid w:val="00DC6954"/>
    <w:rsid w:val="00DC709B"/>
    <w:rsid w:val="00DC74CF"/>
    <w:rsid w:val="00DD0CC5"/>
    <w:rsid w:val="00DD1073"/>
    <w:rsid w:val="00DD1460"/>
    <w:rsid w:val="00DD19D9"/>
    <w:rsid w:val="00DD1F74"/>
    <w:rsid w:val="00DD278A"/>
    <w:rsid w:val="00DD27CE"/>
    <w:rsid w:val="00DD31CB"/>
    <w:rsid w:val="00DD3AE2"/>
    <w:rsid w:val="00DD4196"/>
    <w:rsid w:val="00DD48B7"/>
    <w:rsid w:val="00DD49F9"/>
    <w:rsid w:val="00DD4F59"/>
    <w:rsid w:val="00DD6075"/>
    <w:rsid w:val="00DD675A"/>
    <w:rsid w:val="00DD7151"/>
    <w:rsid w:val="00DD7732"/>
    <w:rsid w:val="00DD78EF"/>
    <w:rsid w:val="00DE2CE1"/>
    <w:rsid w:val="00DE3255"/>
    <w:rsid w:val="00DE3885"/>
    <w:rsid w:val="00DE5C32"/>
    <w:rsid w:val="00DE7563"/>
    <w:rsid w:val="00DF02EC"/>
    <w:rsid w:val="00DF0679"/>
    <w:rsid w:val="00DF2854"/>
    <w:rsid w:val="00DF67BE"/>
    <w:rsid w:val="00DF7062"/>
    <w:rsid w:val="00DF7272"/>
    <w:rsid w:val="00E00B20"/>
    <w:rsid w:val="00E04D6A"/>
    <w:rsid w:val="00E04EFC"/>
    <w:rsid w:val="00E10C74"/>
    <w:rsid w:val="00E10DEB"/>
    <w:rsid w:val="00E11AD4"/>
    <w:rsid w:val="00E1217A"/>
    <w:rsid w:val="00E1318F"/>
    <w:rsid w:val="00E14C1E"/>
    <w:rsid w:val="00E170F6"/>
    <w:rsid w:val="00E238FC"/>
    <w:rsid w:val="00E24732"/>
    <w:rsid w:val="00E324B1"/>
    <w:rsid w:val="00E33061"/>
    <w:rsid w:val="00E34E94"/>
    <w:rsid w:val="00E3559A"/>
    <w:rsid w:val="00E35949"/>
    <w:rsid w:val="00E35E6C"/>
    <w:rsid w:val="00E36C86"/>
    <w:rsid w:val="00E3718D"/>
    <w:rsid w:val="00E41C51"/>
    <w:rsid w:val="00E5534C"/>
    <w:rsid w:val="00E55937"/>
    <w:rsid w:val="00E564FB"/>
    <w:rsid w:val="00E5679B"/>
    <w:rsid w:val="00E6269B"/>
    <w:rsid w:val="00E626F9"/>
    <w:rsid w:val="00E62D21"/>
    <w:rsid w:val="00E66C4D"/>
    <w:rsid w:val="00E67EA6"/>
    <w:rsid w:val="00E70732"/>
    <w:rsid w:val="00E70F0C"/>
    <w:rsid w:val="00E728A1"/>
    <w:rsid w:val="00E76002"/>
    <w:rsid w:val="00E76FE2"/>
    <w:rsid w:val="00E7785D"/>
    <w:rsid w:val="00E779FD"/>
    <w:rsid w:val="00E77E46"/>
    <w:rsid w:val="00E80295"/>
    <w:rsid w:val="00E80D4B"/>
    <w:rsid w:val="00E81F24"/>
    <w:rsid w:val="00E83471"/>
    <w:rsid w:val="00E83796"/>
    <w:rsid w:val="00E83C8F"/>
    <w:rsid w:val="00E90600"/>
    <w:rsid w:val="00E923D7"/>
    <w:rsid w:val="00E92F0D"/>
    <w:rsid w:val="00EA1C1D"/>
    <w:rsid w:val="00EA3025"/>
    <w:rsid w:val="00EA35FC"/>
    <w:rsid w:val="00EA3941"/>
    <w:rsid w:val="00EB115D"/>
    <w:rsid w:val="00EB1897"/>
    <w:rsid w:val="00EB2353"/>
    <w:rsid w:val="00EB328B"/>
    <w:rsid w:val="00EB4232"/>
    <w:rsid w:val="00EB4679"/>
    <w:rsid w:val="00EB4725"/>
    <w:rsid w:val="00EB5409"/>
    <w:rsid w:val="00EB604E"/>
    <w:rsid w:val="00EC04E3"/>
    <w:rsid w:val="00EC0F58"/>
    <w:rsid w:val="00EC1355"/>
    <w:rsid w:val="00EC18F2"/>
    <w:rsid w:val="00EC34B1"/>
    <w:rsid w:val="00EC3F75"/>
    <w:rsid w:val="00EC4DDE"/>
    <w:rsid w:val="00EC5752"/>
    <w:rsid w:val="00EC69BF"/>
    <w:rsid w:val="00ED1B72"/>
    <w:rsid w:val="00ED20C0"/>
    <w:rsid w:val="00ED2A48"/>
    <w:rsid w:val="00ED2BCB"/>
    <w:rsid w:val="00ED44F6"/>
    <w:rsid w:val="00ED5640"/>
    <w:rsid w:val="00ED5690"/>
    <w:rsid w:val="00ED7520"/>
    <w:rsid w:val="00EE029A"/>
    <w:rsid w:val="00EE3086"/>
    <w:rsid w:val="00EE5476"/>
    <w:rsid w:val="00EE6417"/>
    <w:rsid w:val="00EE645D"/>
    <w:rsid w:val="00EE682A"/>
    <w:rsid w:val="00EF2F4F"/>
    <w:rsid w:val="00EF496F"/>
    <w:rsid w:val="00EF551D"/>
    <w:rsid w:val="00EF600B"/>
    <w:rsid w:val="00EF7065"/>
    <w:rsid w:val="00F00078"/>
    <w:rsid w:val="00F002E6"/>
    <w:rsid w:val="00F01D72"/>
    <w:rsid w:val="00F01E7B"/>
    <w:rsid w:val="00F0205C"/>
    <w:rsid w:val="00F02F83"/>
    <w:rsid w:val="00F0349E"/>
    <w:rsid w:val="00F03F4F"/>
    <w:rsid w:val="00F0591D"/>
    <w:rsid w:val="00F05A4F"/>
    <w:rsid w:val="00F05CC8"/>
    <w:rsid w:val="00F06087"/>
    <w:rsid w:val="00F113C3"/>
    <w:rsid w:val="00F15420"/>
    <w:rsid w:val="00F21AE1"/>
    <w:rsid w:val="00F21DE9"/>
    <w:rsid w:val="00F24F8F"/>
    <w:rsid w:val="00F3082B"/>
    <w:rsid w:val="00F356AC"/>
    <w:rsid w:val="00F35C5B"/>
    <w:rsid w:val="00F37382"/>
    <w:rsid w:val="00F43E22"/>
    <w:rsid w:val="00F46C7D"/>
    <w:rsid w:val="00F4702E"/>
    <w:rsid w:val="00F51F4F"/>
    <w:rsid w:val="00F53287"/>
    <w:rsid w:val="00F536B8"/>
    <w:rsid w:val="00F53D85"/>
    <w:rsid w:val="00F55AE7"/>
    <w:rsid w:val="00F617B3"/>
    <w:rsid w:val="00F62F70"/>
    <w:rsid w:val="00F658BB"/>
    <w:rsid w:val="00F65EAA"/>
    <w:rsid w:val="00F71FB0"/>
    <w:rsid w:val="00F726B1"/>
    <w:rsid w:val="00F72EFB"/>
    <w:rsid w:val="00F73A8A"/>
    <w:rsid w:val="00F75D9B"/>
    <w:rsid w:val="00F760B4"/>
    <w:rsid w:val="00F77F52"/>
    <w:rsid w:val="00F81047"/>
    <w:rsid w:val="00F83155"/>
    <w:rsid w:val="00F8323C"/>
    <w:rsid w:val="00F84C8D"/>
    <w:rsid w:val="00F85972"/>
    <w:rsid w:val="00F8650D"/>
    <w:rsid w:val="00F913B5"/>
    <w:rsid w:val="00F91563"/>
    <w:rsid w:val="00F91F5B"/>
    <w:rsid w:val="00F928F4"/>
    <w:rsid w:val="00F9292C"/>
    <w:rsid w:val="00F92EA2"/>
    <w:rsid w:val="00F92F08"/>
    <w:rsid w:val="00F93BA8"/>
    <w:rsid w:val="00F958DF"/>
    <w:rsid w:val="00F96131"/>
    <w:rsid w:val="00F971B9"/>
    <w:rsid w:val="00FA0940"/>
    <w:rsid w:val="00FA1B8B"/>
    <w:rsid w:val="00FA25AC"/>
    <w:rsid w:val="00FA28EB"/>
    <w:rsid w:val="00FA35C5"/>
    <w:rsid w:val="00FA3E49"/>
    <w:rsid w:val="00FA4CE8"/>
    <w:rsid w:val="00FA5ABF"/>
    <w:rsid w:val="00FA6263"/>
    <w:rsid w:val="00FA6688"/>
    <w:rsid w:val="00FA6DEA"/>
    <w:rsid w:val="00FA7344"/>
    <w:rsid w:val="00FA77B1"/>
    <w:rsid w:val="00FA7C52"/>
    <w:rsid w:val="00FB0987"/>
    <w:rsid w:val="00FB1627"/>
    <w:rsid w:val="00FB245D"/>
    <w:rsid w:val="00FB3031"/>
    <w:rsid w:val="00FB43DF"/>
    <w:rsid w:val="00FB4F5F"/>
    <w:rsid w:val="00FB5BB8"/>
    <w:rsid w:val="00FB60F1"/>
    <w:rsid w:val="00FB6A3C"/>
    <w:rsid w:val="00FB75F9"/>
    <w:rsid w:val="00FC1E75"/>
    <w:rsid w:val="00FC354A"/>
    <w:rsid w:val="00FC4021"/>
    <w:rsid w:val="00FC421F"/>
    <w:rsid w:val="00FC4322"/>
    <w:rsid w:val="00FC537D"/>
    <w:rsid w:val="00FC5A5D"/>
    <w:rsid w:val="00FC60A9"/>
    <w:rsid w:val="00FC7C2D"/>
    <w:rsid w:val="00FD0829"/>
    <w:rsid w:val="00FD1E35"/>
    <w:rsid w:val="00FD2AFA"/>
    <w:rsid w:val="00FD2D8F"/>
    <w:rsid w:val="00FD544A"/>
    <w:rsid w:val="00FD6D77"/>
    <w:rsid w:val="00FD7CA7"/>
    <w:rsid w:val="00FE0F1C"/>
    <w:rsid w:val="00FE262D"/>
    <w:rsid w:val="00FE5188"/>
    <w:rsid w:val="00FE6071"/>
    <w:rsid w:val="00FE6943"/>
    <w:rsid w:val="00FF2E71"/>
    <w:rsid w:val="00FF3F18"/>
    <w:rsid w:val="00FF447D"/>
    <w:rsid w:val="00FF58B9"/>
    <w:rsid w:val="00FF64A9"/>
    <w:rsid w:val="00FF6D88"/>
    <w:rsid w:val="00FF7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A7838"/>
  <w15:chartTrackingRefBased/>
  <w15:docId w15:val="{5E8C6FC8-E03A-40D2-AD11-802F6AD5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A0A"/>
    <w:rPr>
      <w:rFonts w:ascii="Times New Roman" w:hAnsi="Times New Roman" w:cs="Times New Roman"/>
      <w:sz w:val="26"/>
      <w:szCs w:val="26"/>
    </w:rPr>
  </w:style>
  <w:style w:type="paragraph" w:styleId="Heading1">
    <w:name w:val="heading 1"/>
    <w:basedOn w:val="Heading2"/>
    <w:next w:val="Normal"/>
    <w:link w:val="Heading1Char"/>
    <w:qFormat/>
    <w:rsid w:val="00C1488D"/>
    <w:pPr>
      <w:ind w:left="720"/>
      <w:outlineLvl w:val="0"/>
    </w:pPr>
  </w:style>
  <w:style w:type="paragraph" w:styleId="Heading2">
    <w:name w:val="heading 2"/>
    <w:basedOn w:val="Normal"/>
    <w:next w:val="Normal"/>
    <w:link w:val="Heading2Char"/>
    <w:qFormat/>
    <w:rsid w:val="00C1488D"/>
    <w:pPr>
      <w:spacing w:after="0" w:line="240" w:lineRule="auto"/>
      <w:ind w:left="1440" w:hanging="720"/>
      <w:outlineLvl w:val="1"/>
    </w:pPr>
    <w:rPr>
      <w:rFonts w:ascii="Garamond" w:hAnsi="Garamond"/>
      <w:b/>
      <w:bCs/>
      <w:sz w:val="28"/>
      <w:szCs w:val="28"/>
    </w:rPr>
  </w:style>
  <w:style w:type="paragraph" w:styleId="Heading3">
    <w:name w:val="heading 3"/>
    <w:basedOn w:val="Heading2"/>
    <w:next w:val="Normal"/>
    <w:link w:val="Heading3Char"/>
    <w:qFormat/>
    <w:rsid w:val="00732ABD"/>
    <w:pPr>
      <w:numPr>
        <w:ilvl w:val="2"/>
      </w:numPr>
      <w:ind w:left="720" w:hanging="720"/>
      <w:outlineLvl w:val="2"/>
    </w:pPr>
    <w:rPr>
      <w:kern w:val="2"/>
    </w:rPr>
  </w:style>
  <w:style w:type="paragraph" w:styleId="Heading4">
    <w:name w:val="heading 4"/>
    <w:basedOn w:val="Heading3"/>
    <w:next w:val="Normal"/>
    <w:link w:val="Heading4Char"/>
    <w:qFormat/>
    <w:rsid w:val="00732ABD"/>
    <w:pPr>
      <w:numPr>
        <w:ilvl w:val="3"/>
      </w:numPr>
      <w:ind w:left="720" w:hanging="720"/>
      <w:outlineLvl w:val="3"/>
    </w:pPr>
    <w:rPr>
      <w:bCs w:val="0"/>
      <w:i/>
    </w:rPr>
  </w:style>
  <w:style w:type="paragraph" w:styleId="Heading5">
    <w:name w:val="heading 5"/>
    <w:basedOn w:val="Heading4"/>
    <w:next w:val="Normal"/>
    <w:link w:val="Heading5Char"/>
    <w:qFormat/>
    <w:rsid w:val="00732ABD"/>
    <w:pPr>
      <w:numPr>
        <w:ilvl w:val="4"/>
      </w:numPr>
      <w:ind w:left="720" w:hanging="720"/>
      <w:outlineLvl w:val="4"/>
    </w:pPr>
    <w:rPr>
      <w:bCs/>
      <w:i w:val="0"/>
      <w:iCs/>
      <w:szCs w:val="26"/>
    </w:rPr>
  </w:style>
  <w:style w:type="paragraph" w:styleId="Heading6">
    <w:name w:val="heading 6"/>
    <w:basedOn w:val="Heading5"/>
    <w:next w:val="Normal"/>
    <w:link w:val="Heading6Char"/>
    <w:rsid w:val="00732ABD"/>
    <w:pPr>
      <w:numPr>
        <w:ilvl w:val="5"/>
      </w:numPr>
      <w:ind w:left="720" w:hanging="720"/>
      <w:outlineLvl w:val="5"/>
    </w:pPr>
    <w:rPr>
      <w:rFonts w:ascii="Times New Roman" w:hAnsi="Times New Roman"/>
      <w:b w:val="0"/>
      <w:bCs w:val="0"/>
      <w:sz w:val="22"/>
      <w:szCs w:val="22"/>
    </w:rPr>
  </w:style>
  <w:style w:type="paragraph" w:styleId="Heading7">
    <w:name w:val="heading 7"/>
    <w:basedOn w:val="Heading6"/>
    <w:next w:val="Normal"/>
    <w:link w:val="Heading7Char"/>
    <w:rsid w:val="00732ABD"/>
    <w:pPr>
      <w:numPr>
        <w:ilvl w:val="6"/>
      </w:numPr>
      <w:ind w:left="720" w:hanging="720"/>
      <w:outlineLvl w:val="6"/>
    </w:pPr>
    <w:rPr>
      <w:sz w:val="24"/>
      <w:szCs w:val="24"/>
    </w:rPr>
  </w:style>
  <w:style w:type="paragraph" w:styleId="Heading8">
    <w:name w:val="heading 8"/>
    <w:basedOn w:val="Heading7"/>
    <w:next w:val="Normal"/>
    <w:link w:val="Heading8Char"/>
    <w:rsid w:val="00732ABD"/>
    <w:pPr>
      <w:numPr>
        <w:ilvl w:val="7"/>
      </w:numPr>
      <w:ind w:left="720" w:hanging="720"/>
      <w:outlineLvl w:val="7"/>
    </w:pPr>
    <w:rPr>
      <w:i/>
      <w:iCs w:val="0"/>
    </w:rPr>
  </w:style>
  <w:style w:type="paragraph" w:styleId="Heading9">
    <w:name w:val="heading 9"/>
    <w:basedOn w:val="Heading8"/>
    <w:next w:val="Normal"/>
    <w:link w:val="Heading9Char"/>
    <w:rsid w:val="00732ABD"/>
    <w:pPr>
      <w:numPr>
        <w:ilvl w:val="8"/>
      </w:numPr>
      <w:ind w:left="720" w:hanging="720"/>
      <w:outlineLvl w:val="8"/>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1"/>
    <w:qFormat/>
    <w:rsid w:val="006D4ACE"/>
    <w:pPr>
      <w:numPr>
        <w:numId w:val="1"/>
      </w:numPr>
      <w:tabs>
        <w:tab w:val="left" w:pos="1440"/>
      </w:tabs>
      <w:spacing w:after="240" w:line="240" w:lineRule="auto"/>
      <w:ind w:left="0" w:firstLine="0"/>
      <w:jc w:val="both"/>
    </w:pPr>
    <w:rPr>
      <w:rFonts w:ascii="Book Antiqua" w:hAnsi="Book Antiqua" w:cstheme="minorBidi"/>
      <w:sz w:val="24"/>
      <w:szCs w:val="22"/>
    </w:rPr>
  </w:style>
  <w:style w:type="paragraph" w:styleId="ListParagraph">
    <w:name w:val="List Paragraph"/>
    <w:basedOn w:val="Normal"/>
    <w:uiPriority w:val="34"/>
    <w:qFormat/>
    <w:rsid w:val="00FC354A"/>
    <w:pPr>
      <w:ind w:left="720"/>
      <w:contextualSpacing/>
    </w:pPr>
  </w:style>
  <w:style w:type="paragraph" w:customStyle="1" w:styleId="Zbasefontbody">
    <w:name w:val="Zbasefont_body"/>
    <w:link w:val="ZbasefontbodyChar"/>
    <w:rsid w:val="00FC354A"/>
    <w:pPr>
      <w:spacing w:after="0" w:line="240" w:lineRule="auto"/>
    </w:pPr>
    <w:rPr>
      <w:rFonts w:ascii="Times New Roman" w:eastAsia="Times New Roman" w:hAnsi="Times New Roman" w:cs="Times New Roman"/>
      <w:bCs/>
      <w:kern w:val="2"/>
      <w:sz w:val="28"/>
      <w:szCs w:val="28"/>
    </w:rPr>
  </w:style>
  <w:style w:type="paragraph" w:customStyle="1" w:styleId="Brieftitle">
    <w:name w:val="Brief_title"/>
    <w:basedOn w:val="Zbasefontbody"/>
    <w:rsid w:val="00FC354A"/>
    <w:pPr>
      <w:spacing w:before="240" w:after="240"/>
    </w:pPr>
    <w:rPr>
      <w:b/>
      <w:smallCaps/>
      <w:noProof/>
      <w:sz w:val="26"/>
      <w:szCs w:val="26"/>
    </w:rPr>
  </w:style>
  <w:style w:type="paragraph" w:customStyle="1" w:styleId="Caseinfo">
    <w:name w:val="Case_info"/>
    <w:basedOn w:val="Zbasefontbody"/>
    <w:link w:val="CaseinfoChar"/>
    <w:rsid w:val="00FC354A"/>
    <w:pPr>
      <w:tabs>
        <w:tab w:val="left" w:pos="3780"/>
      </w:tabs>
      <w:spacing w:line="360" w:lineRule="auto"/>
    </w:pPr>
    <w:rPr>
      <w:smallCaps/>
    </w:rPr>
  </w:style>
  <w:style w:type="character" w:customStyle="1" w:styleId="FieldAllCaps">
    <w:name w:val="Field All Caps"/>
    <w:autoRedefine/>
    <w:rsid w:val="00FC354A"/>
    <w:rPr>
      <w:caps/>
      <w:sz w:val="28"/>
      <w:szCs w:val="28"/>
    </w:rPr>
  </w:style>
  <w:style w:type="paragraph" w:customStyle="1" w:styleId="StyleStyleCourtNameTitle18ptAfter12ptTimesNewRoman">
    <w:name w:val="Style Style CourtNameTitle + 18 pt After:  12 pt + Times New Roman..."/>
    <w:basedOn w:val="Normal"/>
    <w:rsid w:val="00FC354A"/>
    <w:pPr>
      <w:widowControl w:val="0"/>
      <w:spacing w:before="360" w:after="240" w:line="240" w:lineRule="auto"/>
      <w:jc w:val="center"/>
      <w:outlineLvl w:val="0"/>
    </w:pPr>
    <w:rPr>
      <w:rFonts w:eastAsia="Times New Roman"/>
      <w:b/>
      <w:bCs/>
      <w:caps/>
      <w:kern w:val="2"/>
      <w:sz w:val="28"/>
      <w:szCs w:val="20"/>
    </w:rPr>
  </w:style>
  <w:style w:type="paragraph" w:customStyle="1" w:styleId="StyleCaseinfoBlack">
    <w:name w:val="Style Case_info + Black"/>
    <w:basedOn w:val="Caseinfo"/>
    <w:link w:val="StyleCaseinfoBlackChar"/>
    <w:rsid w:val="00FC354A"/>
    <w:rPr>
      <w:bCs w:val="0"/>
      <w:smallCaps w:val="0"/>
      <w:color w:val="000000"/>
    </w:rPr>
  </w:style>
  <w:style w:type="character" w:customStyle="1" w:styleId="ZbasefontbodyChar">
    <w:name w:val="Zbasefont_body Char"/>
    <w:link w:val="Zbasefontbody"/>
    <w:rsid w:val="00FC354A"/>
    <w:rPr>
      <w:rFonts w:ascii="Times New Roman" w:eastAsia="Times New Roman" w:hAnsi="Times New Roman" w:cs="Times New Roman"/>
      <w:bCs/>
      <w:kern w:val="2"/>
      <w:sz w:val="28"/>
      <w:szCs w:val="28"/>
    </w:rPr>
  </w:style>
  <w:style w:type="character" w:customStyle="1" w:styleId="CaseinfoChar">
    <w:name w:val="Case_info Char"/>
    <w:link w:val="Caseinfo"/>
    <w:rsid w:val="00FC354A"/>
    <w:rPr>
      <w:rFonts w:ascii="Times New Roman" w:eastAsia="Times New Roman" w:hAnsi="Times New Roman" w:cs="Times New Roman"/>
      <w:bCs/>
      <w:smallCaps/>
      <w:kern w:val="2"/>
      <w:sz w:val="28"/>
      <w:szCs w:val="28"/>
    </w:rPr>
  </w:style>
  <w:style w:type="character" w:customStyle="1" w:styleId="StyleCaseinfoBlackChar">
    <w:name w:val="Style Case_info + Black Char"/>
    <w:link w:val="StyleCaseinfoBlack"/>
    <w:rsid w:val="00FC354A"/>
    <w:rPr>
      <w:rFonts w:ascii="Times New Roman" w:eastAsia="Times New Roman" w:hAnsi="Times New Roman" w:cs="Times New Roman"/>
      <w:color w:val="000000"/>
      <w:kern w:val="2"/>
      <w:sz w:val="28"/>
      <w:szCs w:val="28"/>
    </w:rPr>
  </w:style>
  <w:style w:type="paragraph" w:styleId="Header">
    <w:name w:val="header"/>
    <w:basedOn w:val="Normal"/>
    <w:link w:val="HeaderChar"/>
    <w:uiPriority w:val="99"/>
    <w:unhideWhenUsed/>
    <w:rsid w:val="005C1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57A"/>
    <w:rPr>
      <w:rFonts w:ascii="Times New Roman" w:hAnsi="Times New Roman" w:cs="Times New Roman"/>
      <w:sz w:val="26"/>
      <w:szCs w:val="26"/>
    </w:rPr>
  </w:style>
  <w:style w:type="paragraph" w:styleId="Footer">
    <w:name w:val="footer"/>
    <w:basedOn w:val="Normal"/>
    <w:link w:val="FooterChar"/>
    <w:uiPriority w:val="99"/>
    <w:unhideWhenUsed/>
    <w:rsid w:val="005C1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57A"/>
    <w:rPr>
      <w:rFonts w:ascii="Times New Roman" w:hAnsi="Times New Roman" w:cs="Times New Roman"/>
      <w:sz w:val="26"/>
      <w:szCs w:val="26"/>
    </w:rPr>
  </w:style>
  <w:style w:type="character" w:customStyle="1" w:styleId="Heading1Char">
    <w:name w:val="Heading 1 Char"/>
    <w:basedOn w:val="DefaultParagraphFont"/>
    <w:link w:val="Heading1"/>
    <w:rsid w:val="00C1488D"/>
    <w:rPr>
      <w:rFonts w:ascii="Garamond" w:hAnsi="Garamond" w:cs="Times New Roman"/>
      <w:b/>
      <w:bCs/>
      <w:sz w:val="28"/>
      <w:szCs w:val="28"/>
    </w:rPr>
  </w:style>
  <w:style w:type="character" w:customStyle="1" w:styleId="Heading2Char">
    <w:name w:val="Heading 2 Char"/>
    <w:basedOn w:val="DefaultParagraphFont"/>
    <w:link w:val="Heading2"/>
    <w:rsid w:val="00C1488D"/>
    <w:rPr>
      <w:rFonts w:ascii="Garamond" w:hAnsi="Garamond" w:cs="Times New Roman"/>
      <w:b/>
      <w:bCs/>
      <w:sz w:val="28"/>
      <w:szCs w:val="28"/>
    </w:rPr>
  </w:style>
  <w:style w:type="character" w:customStyle="1" w:styleId="Heading3Char">
    <w:name w:val="Heading 3 Char"/>
    <w:basedOn w:val="DefaultParagraphFont"/>
    <w:link w:val="Heading3"/>
    <w:rsid w:val="00732ABD"/>
    <w:rPr>
      <w:rFonts w:ascii="Times New Roman Bold" w:eastAsia="Times New Roman" w:hAnsi="Times New Roman Bold" w:cs="Garamond"/>
      <w:b/>
      <w:bCs/>
      <w:kern w:val="2"/>
      <w:sz w:val="28"/>
      <w:szCs w:val="28"/>
    </w:rPr>
  </w:style>
  <w:style w:type="character" w:customStyle="1" w:styleId="Heading4Char">
    <w:name w:val="Heading 4 Char"/>
    <w:basedOn w:val="DefaultParagraphFont"/>
    <w:link w:val="Heading4"/>
    <w:rsid w:val="00732ABD"/>
    <w:rPr>
      <w:rFonts w:ascii="Times New Roman Bold" w:eastAsia="Times New Roman" w:hAnsi="Times New Roman Bold" w:cs="Times New Roman"/>
      <w:b/>
      <w:i/>
      <w:kern w:val="2"/>
      <w:sz w:val="28"/>
      <w:szCs w:val="28"/>
    </w:rPr>
  </w:style>
  <w:style w:type="character" w:customStyle="1" w:styleId="Heading5Char">
    <w:name w:val="Heading 5 Char"/>
    <w:basedOn w:val="DefaultParagraphFont"/>
    <w:link w:val="Heading5"/>
    <w:rsid w:val="00732ABD"/>
    <w:rPr>
      <w:rFonts w:ascii="Times New Roman Bold" w:eastAsia="Times New Roman" w:hAnsi="Times New Roman Bold" w:cs="Times New Roman"/>
      <w:b/>
      <w:bCs/>
      <w:iCs/>
      <w:kern w:val="2"/>
      <w:sz w:val="28"/>
      <w:szCs w:val="26"/>
    </w:rPr>
  </w:style>
  <w:style w:type="character" w:customStyle="1" w:styleId="Heading6Char">
    <w:name w:val="Heading 6 Char"/>
    <w:basedOn w:val="DefaultParagraphFont"/>
    <w:link w:val="Heading6"/>
    <w:rsid w:val="00732ABD"/>
    <w:rPr>
      <w:rFonts w:ascii="Times New Roman" w:eastAsia="Times New Roman" w:hAnsi="Times New Roman" w:cs="Times New Roman"/>
      <w:iCs/>
      <w:kern w:val="2"/>
    </w:rPr>
  </w:style>
  <w:style w:type="character" w:customStyle="1" w:styleId="Heading7Char">
    <w:name w:val="Heading 7 Char"/>
    <w:basedOn w:val="DefaultParagraphFont"/>
    <w:link w:val="Heading7"/>
    <w:rsid w:val="00732ABD"/>
    <w:rPr>
      <w:rFonts w:ascii="Times New Roman" w:eastAsia="Times New Roman" w:hAnsi="Times New Roman" w:cs="Times New Roman"/>
      <w:iCs/>
      <w:kern w:val="2"/>
      <w:sz w:val="24"/>
      <w:szCs w:val="24"/>
    </w:rPr>
  </w:style>
  <w:style w:type="character" w:customStyle="1" w:styleId="Heading8Char">
    <w:name w:val="Heading 8 Char"/>
    <w:basedOn w:val="DefaultParagraphFont"/>
    <w:link w:val="Heading8"/>
    <w:rsid w:val="00732ABD"/>
    <w:rPr>
      <w:rFonts w:ascii="Times New Roman" w:eastAsia="Times New Roman" w:hAnsi="Times New Roman" w:cs="Times New Roman"/>
      <w:i/>
      <w:kern w:val="2"/>
      <w:sz w:val="24"/>
      <w:szCs w:val="24"/>
    </w:rPr>
  </w:style>
  <w:style w:type="character" w:customStyle="1" w:styleId="Heading9Char">
    <w:name w:val="Heading 9 Char"/>
    <w:basedOn w:val="DefaultParagraphFont"/>
    <w:link w:val="Heading9"/>
    <w:rsid w:val="00732ABD"/>
    <w:rPr>
      <w:rFonts w:ascii="Times New Roman" w:eastAsia="Times New Roman" w:hAnsi="Times New Roman" w:cs="Times New Roman"/>
      <w:i/>
      <w:kern w:val="2"/>
    </w:rPr>
  </w:style>
  <w:style w:type="numbering" w:customStyle="1" w:styleId="ABRHeadings">
    <w:name w:val="ABR Headings"/>
    <w:rsid w:val="00732ABD"/>
    <w:pPr>
      <w:numPr>
        <w:numId w:val="4"/>
      </w:numPr>
    </w:pPr>
  </w:style>
  <w:style w:type="character" w:styleId="Hyperlink">
    <w:name w:val="Hyperlink"/>
    <w:basedOn w:val="DefaultParagraphFont"/>
    <w:uiPriority w:val="99"/>
    <w:unhideWhenUsed/>
    <w:rsid w:val="00985E83"/>
    <w:rPr>
      <w:color w:val="0563C1" w:themeColor="hyperlink"/>
      <w:u w:val="single"/>
    </w:rPr>
  </w:style>
  <w:style w:type="character" w:styleId="UnresolvedMention">
    <w:name w:val="Unresolved Mention"/>
    <w:basedOn w:val="DefaultParagraphFont"/>
    <w:uiPriority w:val="99"/>
    <w:semiHidden/>
    <w:unhideWhenUsed/>
    <w:rsid w:val="00985E83"/>
    <w:rPr>
      <w:color w:val="605E5C"/>
      <w:shd w:val="clear" w:color="auto" w:fill="E1DFDD"/>
    </w:rPr>
  </w:style>
  <w:style w:type="paragraph" w:styleId="NoSpacing">
    <w:name w:val="No Spacing"/>
    <w:uiPriority w:val="1"/>
    <w:qFormat/>
    <w:rsid w:val="00E779FD"/>
    <w:pPr>
      <w:spacing w:after="0" w:line="240" w:lineRule="auto"/>
    </w:pPr>
    <w:rPr>
      <w:rFonts w:ascii="Times New Roman" w:hAnsi="Times New Roman" w:cs="Times New Roman"/>
      <w:sz w:val="26"/>
      <w:szCs w:val="26"/>
    </w:rPr>
  </w:style>
  <w:style w:type="paragraph" w:styleId="FootnoteText">
    <w:name w:val="footnote text"/>
    <w:basedOn w:val="Normal"/>
    <w:link w:val="FootnoteTextChar"/>
    <w:uiPriority w:val="99"/>
    <w:unhideWhenUsed/>
    <w:rsid w:val="00BE1856"/>
    <w:pPr>
      <w:spacing w:after="0" w:line="240" w:lineRule="auto"/>
    </w:pPr>
    <w:rPr>
      <w:sz w:val="20"/>
      <w:szCs w:val="20"/>
    </w:rPr>
  </w:style>
  <w:style w:type="character" w:customStyle="1" w:styleId="FootnoteTextChar">
    <w:name w:val="Footnote Text Char"/>
    <w:basedOn w:val="DefaultParagraphFont"/>
    <w:link w:val="FootnoteText"/>
    <w:uiPriority w:val="99"/>
    <w:rsid w:val="00BE1856"/>
    <w:rPr>
      <w:rFonts w:ascii="Times New Roman" w:hAnsi="Times New Roman" w:cs="Times New Roman"/>
      <w:sz w:val="20"/>
      <w:szCs w:val="20"/>
    </w:rPr>
  </w:style>
  <w:style w:type="character" w:styleId="FootnoteReference">
    <w:name w:val="footnote reference"/>
    <w:basedOn w:val="DefaultParagraphFont"/>
    <w:uiPriority w:val="99"/>
    <w:unhideWhenUsed/>
    <w:rsid w:val="00BE1856"/>
    <w:rPr>
      <w:vertAlign w:val="superscript"/>
    </w:rPr>
  </w:style>
  <w:style w:type="paragraph" w:styleId="BalloonText">
    <w:name w:val="Balloon Text"/>
    <w:basedOn w:val="Normal"/>
    <w:link w:val="BalloonTextChar"/>
    <w:uiPriority w:val="99"/>
    <w:semiHidden/>
    <w:unhideWhenUsed/>
    <w:rsid w:val="00EC3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B1"/>
    <w:rPr>
      <w:rFonts w:ascii="Segoe UI" w:hAnsi="Segoe UI" w:cs="Segoe UI"/>
      <w:sz w:val="18"/>
      <w:szCs w:val="18"/>
    </w:rPr>
  </w:style>
  <w:style w:type="character" w:styleId="CommentReference">
    <w:name w:val="annotation reference"/>
    <w:basedOn w:val="DefaultParagraphFont"/>
    <w:uiPriority w:val="99"/>
    <w:semiHidden/>
    <w:unhideWhenUsed/>
    <w:rsid w:val="00EC34B1"/>
    <w:rPr>
      <w:sz w:val="16"/>
      <w:szCs w:val="16"/>
    </w:rPr>
  </w:style>
  <w:style w:type="paragraph" w:styleId="CommentText">
    <w:name w:val="annotation text"/>
    <w:basedOn w:val="Normal"/>
    <w:link w:val="CommentTextChar"/>
    <w:uiPriority w:val="99"/>
    <w:unhideWhenUsed/>
    <w:rsid w:val="00EC34B1"/>
    <w:pPr>
      <w:spacing w:line="240" w:lineRule="auto"/>
    </w:pPr>
    <w:rPr>
      <w:sz w:val="20"/>
      <w:szCs w:val="20"/>
    </w:rPr>
  </w:style>
  <w:style w:type="character" w:customStyle="1" w:styleId="CommentTextChar">
    <w:name w:val="Comment Text Char"/>
    <w:basedOn w:val="DefaultParagraphFont"/>
    <w:link w:val="CommentText"/>
    <w:uiPriority w:val="99"/>
    <w:rsid w:val="00EC34B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4B1"/>
    <w:rPr>
      <w:b/>
      <w:bCs/>
    </w:rPr>
  </w:style>
  <w:style w:type="character" w:customStyle="1" w:styleId="CommentSubjectChar">
    <w:name w:val="Comment Subject Char"/>
    <w:basedOn w:val="CommentTextChar"/>
    <w:link w:val="CommentSubject"/>
    <w:uiPriority w:val="99"/>
    <w:semiHidden/>
    <w:rsid w:val="00EC34B1"/>
    <w:rPr>
      <w:rFonts w:ascii="Times New Roman" w:hAnsi="Times New Roman" w:cs="Times New Roman"/>
      <w:b/>
      <w:bCs/>
      <w:sz w:val="20"/>
      <w:szCs w:val="20"/>
    </w:rPr>
  </w:style>
  <w:style w:type="paragraph" w:styleId="Revision">
    <w:name w:val="Revision"/>
    <w:hidden/>
    <w:uiPriority w:val="99"/>
    <w:semiHidden/>
    <w:rsid w:val="00EC34B1"/>
    <w:pPr>
      <w:spacing w:after="0" w:line="240" w:lineRule="auto"/>
    </w:pPr>
    <w:rPr>
      <w:rFonts w:ascii="Times New Roman" w:hAnsi="Times New Roman" w:cs="Times New Roman"/>
      <w:sz w:val="26"/>
      <w:szCs w:val="26"/>
    </w:rPr>
  </w:style>
  <w:style w:type="character" w:styleId="FollowedHyperlink">
    <w:name w:val="FollowedHyperlink"/>
    <w:basedOn w:val="DefaultParagraphFont"/>
    <w:uiPriority w:val="99"/>
    <w:semiHidden/>
    <w:unhideWhenUsed/>
    <w:rsid w:val="00202799"/>
    <w:rPr>
      <w:color w:val="954F72" w:themeColor="followedHyperlink"/>
      <w:u w:val="single"/>
    </w:rPr>
  </w:style>
  <w:style w:type="table" w:styleId="TableGrid">
    <w:name w:val="Table Grid"/>
    <w:basedOn w:val="TableNormal"/>
    <w:uiPriority w:val="39"/>
    <w:rsid w:val="00452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70022">
      <w:bodyDiv w:val="1"/>
      <w:marLeft w:val="0"/>
      <w:marRight w:val="0"/>
      <w:marTop w:val="0"/>
      <w:marBottom w:val="0"/>
      <w:divBdr>
        <w:top w:val="none" w:sz="0" w:space="0" w:color="auto"/>
        <w:left w:val="none" w:sz="0" w:space="0" w:color="auto"/>
        <w:bottom w:val="none" w:sz="0" w:space="0" w:color="auto"/>
        <w:right w:val="none" w:sz="0" w:space="0" w:color="auto"/>
      </w:divBdr>
    </w:div>
    <w:div w:id="242222749">
      <w:bodyDiv w:val="1"/>
      <w:marLeft w:val="0"/>
      <w:marRight w:val="0"/>
      <w:marTop w:val="0"/>
      <w:marBottom w:val="0"/>
      <w:divBdr>
        <w:top w:val="none" w:sz="0" w:space="0" w:color="auto"/>
        <w:left w:val="none" w:sz="0" w:space="0" w:color="auto"/>
        <w:bottom w:val="none" w:sz="0" w:space="0" w:color="auto"/>
        <w:right w:val="none" w:sz="0" w:space="0" w:color="auto"/>
      </w:divBdr>
      <w:divsChild>
        <w:div w:id="884759132">
          <w:marLeft w:val="0"/>
          <w:marRight w:val="0"/>
          <w:marTop w:val="0"/>
          <w:marBottom w:val="0"/>
          <w:divBdr>
            <w:top w:val="none" w:sz="0" w:space="0" w:color="3D3D3D"/>
            <w:left w:val="none" w:sz="0" w:space="0" w:color="3D3D3D"/>
            <w:bottom w:val="none" w:sz="0" w:space="0" w:color="3D3D3D"/>
            <w:right w:val="none" w:sz="0" w:space="0" w:color="3D3D3D"/>
          </w:divBdr>
          <w:divsChild>
            <w:div w:id="4107804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03852443">
      <w:bodyDiv w:val="1"/>
      <w:marLeft w:val="0"/>
      <w:marRight w:val="0"/>
      <w:marTop w:val="0"/>
      <w:marBottom w:val="0"/>
      <w:divBdr>
        <w:top w:val="none" w:sz="0" w:space="0" w:color="auto"/>
        <w:left w:val="none" w:sz="0" w:space="0" w:color="auto"/>
        <w:bottom w:val="none" w:sz="0" w:space="0" w:color="auto"/>
        <w:right w:val="none" w:sz="0" w:space="0" w:color="auto"/>
      </w:divBdr>
    </w:div>
    <w:div w:id="540291607">
      <w:bodyDiv w:val="1"/>
      <w:marLeft w:val="0"/>
      <w:marRight w:val="0"/>
      <w:marTop w:val="0"/>
      <w:marBottom w:val="0"/>
      <w:divBdr>
        <w:top w:val="none" w:sz="0" w:space="0" w:color="auto"/>
        <w:left w:val="none" w:sz="0" w:space="0" w:color="auto"/>
        <w:bottom w:val="none" w:sz="0" w:space="0" w:color="auto"/>
        <w:right w:val="none" w:sz="0" w:space="0" w:color="auto"/>
      </w:divBdr>
      <w:divsChild>
        <w:div w:id="1122114944">
          <w:marLeft w:val="0"/>
          <w:marRight w:val="0"/>
          <w:marTop w:val="0"/>
          <w:marBottom w:val="0"/>
          <w:divBdr>
            <w:top w:val="none" w:sz="0" w:space="0" w:color="auto"/>
            <w:left w:val="none" w:sz="0" w:space="0" w:color="auto"/>
            <w:bottom w:val="none" w:sz="0" w:space="0" w:color="auto"/>
            <w:right w:val="none" w:sz="0" w:space="0" w:color="auto"/>
          </w:divBdr>
        </w:div>
        <w:div w:id="1425565914">
          <w:marLeft w:val="0"/>
          <w:marRight w:val="0"/>
          <w:marTop w:val="0"/>
          <w:marBottom w:val="0"/>
          <w:divBdr>
            <w:top w:val="none" w:sz="0" w:space="0" w:color="auto"/>
            <w:left w:val="none" w:sz="0" w:space="0" w:color="auto"/>
            <w:bottom w:val="none" w:sz="0" w:space="0" w:color="auto"/>
            <w:right w:val="none" w:sz="0" w:space="0" w:color="auto"/>
          </w:divBdr>
          <w:divsChild>
            <w:div w:id="1281840756">
              <w:marLeft w:val="0"/>
              <w:marRight w:val="0"/>
              <w:marTop w:val="0"/>
              <w:marBottom w:val="0"/>
              <w:divBdr>
                <w:top w:val="none" w:sz="0" w:space="0" w:color="auto"/>
                <w:left w:val="none" w:sz="0" w:space="0" w:color="auto"/>
                <w:bottom w:val="none" w:sz="0" w:space="0" w:color="auto"/>
                <w:right w:val="none" w:sz="0" w:space="0" w:color="auto"/>
              </w:divBdr>
              <w:divsChild>
                <w:div w:id="1717050172">
                  <w:marLeft w:val="0"/>
                  <w:marRight w:val="0"/>
                  <w:marTop w:val="0"/>
                  <w:marBottom w:val="0"/>
                  <w:divBdr>
                    <w:top w:val="none" w:sz="0" w:space="0" w:color="auto"/>
                    <w:left w:val="none" w:sz="0" w:space="0" w:color="auto"/>
                    <w:bottom w:val="none" w:sz="0" w:space="0" w:color="auto"/>
                    <w:right w:val="none" w:sz="0" w:space="0" w:color="auto"/>
                  </w:divBdr>
                  <w:divsChild>
                    <w:div w:id="1692293392">
                      <w:marLeft w:val="-150"/>
                      <w:marRight w:val="0"/>
                      <w:marTop w:val="0"/>
                      <w:marBottom w:val="90"/>
                      <w:divBdr>
                        <w:top w:val="none" w:sz="0" w:space="0" w:color="auto"/>
                        <w:left w:val="none" w:sz="0" w:space="0" w:color="auto"/>
                        <w:bottom w:val="none" w:sz="0" w:space="0" w:color="auto"/>
                        <w:right w:val="none" w:sz="0" w:space="0" w:color="auto"/>
                      </w:divBdr>
                      <w:divsChild>
                        <w:div w:id="10820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3512">
      <w:bodyDiv w:val="1"/>
      <w:marLeft w:val="0"/>
      <w:marRight w:val="0"/>
      <w:marTop w:val="0"/>
      <w:marBottom w:val="0"/>
      <w:divBdr>
        <w:top w:val="none" w:sz="0" w:space="0" w:color="auto"/>
        <w:left w:val="none" w:sz="0" w:space="0" w:color="auto"/>
        <w:bottom w:val="none" w:sz="0" w:space="0" w:color="auto"/>
        <w:right w:val="none" w:sz="0" w:space="0" w:color="auto"/>
      </w:divBdr>
      <w:divsChild>
        <w:div w:id="353002747">
          <w:marLeft w:val="0"/>
          <w:marRight w:val="0"/>
          <w:marTop w:val="0"/>
          <w:marBottom w:val="0"/>
          <w:divBdr>
            <w:top w:val="none" w:sz="0" w:space="0" w:color="3D3D3D"/>
            <w:left w:val="none" w:sz="0" w:space="0" w:color="3D3D3D"/>
            <w:bottom w:val="none" w:sz="0" w:space="0" w:color="3D3D3D"/>
            <w:right w:val="none" w:sz="0" w:space="0" w:color="3D3D3D"/>
          </w:divBdr>
          <w:divsChild>
            <w:div w:id="20166401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22881930">
      <w:bodyDiv w:val="1"/>
      <w:marLeft w:val="0"/>
      <w:marRight w:val="0"/>
      <w:marTop w:val="0"/>
      <w:marBottom w:val="0"/>
      <w:divBdr>
        <w:top w:val="none" w:sz="0" w:space="0" w:color="auto"/>
        <w:left w:val="none" w:sz="0" w:space="0" w:color="auto"/>
        <w:bottom w:val="none" w:sz="0" w:space="0" w:color="auto"/>
        <w:right w:val="none" w:sz="0" w:space="0" w:color="auto"/>
      </w:divBdr>
    </w:div>
    <w:div w:id="660305388">
      <w:bodyDiv w:val="1"/>
      <w:marLeft w:val="0"/>
      <w:marRight w:val="0"/>
      <w:marTop w:val="0"/>
      <w:marBottom w:val="0"/>
      <w:divBdr>
        <w:top w:val="none" w:sz="0" w:space="0" w:color="auto"/>
        <w:left w:val="none" w:sz="0" w:space="0" w:color="auto"/>
        <w:bottom w:val="none" w:sz="0" w:space="0" w:color="auto"/>
        <w:right w:val="none" w:sz="0" w:space="0" w:color="auto"/>
      </w:divBdr>
      <w:divsChild>
        <w:div w:id="1249119551">
          <w:marLeft w:val="0"/>
          <w:marRight w:val="0"/>
          <w:marTop w:val="0"/>
          <w:marBottom w:val="0"/>
          <w:divBdr>
            <w:top w:val="none" w:sz="0" w:space="0" w:color="3D3D3D"/>
            <w:left w:val="none" w:sz="0" w:space="0" w:color="3D3D3D"/>
            <w:bottom w:val="none" w:sz="0" w:space="0" w:color="3D3D3D"/>
            <w:right w:val="none" w:sz="0" w:space="0" w:color="3D3D3D"/>
          </w:divBdr>
          <w:divsChild>
            <w:div w:id="3666803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9066875">
      <w:bodyDiv w:val="1"/>
      <w:marLeft w:val="0"/>
      <w:marRight w:val="0"/>
      <w:marTop w:val="0"/>
      <w:marBottom w:val="0"/>
      <w:divBdr>
        <w:top w:val="none" w:sz="0" w:space="0" w:color="auto"/>
        <w:left w:val="none" w:sz="0" w:space="0" w:color="auto"/>
        <w:bottom w:val="none" w:sz="0" w:space="0" w:color="auto"/>
        <w:right w:val="none" w:sz="0" w:space="0" w:color="auto"/>
      </w:divBdr>
      <w:divsChild>
        <w:div w:id="38629548">
          <w:marLeft w:val="0"/>
          <w:marRight w:val="0"/>
          <w:marTop w:val="0"/>
          <w:marBottom w:val="0"/>
          <w:divBdr>
            <w:top w:val="none" w:sz="0" w:space="0" w:color="3D3D3D"/>
            <w:left w:val="none" w:sz="0" w:space="0" w:color="3D3D3D"/>
            <w:bottom w:val="none" w:sz="0" w:space="0" w:color="3D3D3D"/>
            <w:right w:val="none" w:sz="0" w:space="0" w:color="3D3D3D"/>
          </w:divBdr>
          <w:divsChild>
            <w:div w:id="8783190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9796211">
      <w:bodyDiv w:val="1"/>
      <w:marLeft w:val="0"/>
      <w:marRight w:val="0"/>
      <w:marTop w:val="0"/>
      <w:marBottom w:val="0"/>
      <w:divBdr>
        <w:top w:val="none" w:sz="0" w:space="0" w:color="auto"/>
        <w:left w:val="none" w:sz="0" w:space="0" w:color="auto"/>
        <w:bottom w:val="none" w:sz="0" w:space="0" w:color="auto"/>
        <w:right w:val="none" w:sz="0" w:space="0" w:color="auto"/>
      </w:divBdr>
    </w:div>
    <w:div w:id="999581278">
      <w:bodyDiv w:val="1"/>
      <w:marLeft w:val="0"/>
      <w:marRight w:val="0"/>
      <w:marTop w:val="0"/>
      <w:marBottom w:val="0"/>
      <w:divBdr>
        <w:top w:val="none" w:sz="0" w:space="0" w:color="auto"/>
        <w:left w:val="none" w:sz="0" w:space="0" w:color="auto"/>
        <w:bottom w:val="none" w:sz="0" w:space="0" w:color="auto"/>
        <w:right w:val="none" w:sz="0" w:space="0" w:color="auto"/>
      </w:divBdr>
    </w:div>
    <w:div w:id="1053428315">
      <w:bodyDiv w:val="1"/>
      <w:marLeft w:val="0"/>
      <w:marRight w:val="0"/>
      <w:marTop w:val="0"/>
      <w:marBottom w:val="0"/>
      <w:divBdr>
        <w:top w:val="none" w:sz="0" w:space="0" w:color="auto"/>
        <w:left w:val="none" w:sz="0" w:space="0" w:color="auto"/>
        <w:bottom w:val="none" w:sz="0" w:space="0" w:color="auto"/>
        <w:right w:val="none" w:sz="0" w:space="0" w:color="auto"/>
      </w:divBdr>
    </w:div>
    <w:div w:id="1089961536">
      <w:bodyDiv w:val="1"/>
      <w:marLeft w:val="0"/>
      <w:marRight w:val="0"/>
      <w:marTop w:val="0"/>
      <w:marBottom w:val="0"/>
      <w:divBdr>
        <w:top w:val="none" w:sz="0" w:space="0" w:color="auto"/>
        <w:left w:val="none" w:sz="0" w:space="0" w:color="auto"/>
        <w:bottom w:val="none" w:sz="0" w:space="0" w:color="auto"/>
        <w:right w:val="none" w:sz="0" w:space="0" w:color="auto"/>
      </w:divBdr>
    </w:div>
    <w:div w:id="1269197392">
      <w:bodyDiv w:val="1"/>
      <w:marLeft w:val="0"/>
      <w:marRight w:val="0"/>
      <w:marTop w:val="0"/>
      <w:marBottom w:val="0"/>
      <w:divBdr>
        <w:top w:val="none" w:sz="0" w:space="0" w:color="auto"/>
        <w:left w:val="none" w:sz="0" w:space="0" w:color="auto"/>
        <w:bottom w:val="none" w:sz="0" w:space="0" w:color="auto"/>
        <w:right w:val="none" w:sz="0" w:space="0" w:color="auto"/>
      </w:divBdr>
      <w:divsChild>
        <w:div w:id="1436486629">
          <w:marLeft w:val="0"/>
          <w:marRight w:val="0"/>
          <w:marTop w:val="0"/>
          <w:marBottom w:val="0"/>
          <w:divBdr>
            <w:top w:val="none" w:sz="0" w:space="0" w:color="3D3D3D"/>
            <w:left w:val="none" w:sz="0" w:space="0" w:color="3D3D3D"/>
            <w:bottom w:val="none" w:sz="0" w:space="0" w:color="3D3D3D"/>
            <w:right w:val="none" w:sz="0" w:space="0" w:color="3D3D3D"/>
          </w:divBdr>
          <w:divsChild>
            <w:div w:id="3970903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2178746">
      <w:bodyDiv w:val="1"/>
      <w:marLeft w:val="0"/>
      <w:marRight w:val="0"/>
      <w:marTop w:val="0"/>
      <w:marBottom w:val="0"/>
      <w:divBdr>
        <w:top w:val="none" w:sz="0" w:space="0" w:color="auto"/>
        <w:left w:val="none" w:sz="0" w:space="0" w:color="auto"/>
        <w:bottom w:val="none" w:sz="0" w:space="0" w:color="auto"/>
        <w:right w:val="none" w:sz="0" w:space="0" w:color="auto"/>
      </w:divBdr>
      <w:divsChild>
        <w:div w:id="211353696">
          <w:marLeft w:val="0"/>
          <w:marRight w:val="0"/>
          <w:marTop w:val="0"/>
          <w:marBottom w:val="0"/>
          <w:divBdr>
            <w:top w:val="none" w:sz="0" w:space="0" w:color="auto"/>
            <w:left w:val="none" w:sz="0" w:space="0" w:color="auto"/>
            <w:bottom w:val="none" w:sz="0" w:space="0" w:color="auto"/>
            <w:right w:val="none" w:sz="0" w:space="0" w:color="auto"/>
          </w:divBdr>
        </w:div>
        <w:div w:id="542988066">
          <w:marLeft w:val="0"/>
          <w:marRight w:val="0"/>
          <w:marTop w:val="0"/>
          <w:marBottom w:val="0"/>
          <w:divBdr>
            <w:top w:val="none" w:sz="0" w:space="0" w:color="auto"/>
            <w:left w:val="none" w:sz="0" w:space="0" w:color="auto"/>
            <w:bottom w:val="none" w:sz="0" w:space="0" w:color="auto"/>
            <w:right w:val="none" w:sz="0" w:space="0" w:color="auto"/>
          </w:divBdr>
          <w:divsChild>
            <w:div w:id="912395386">
              <w:marLeft w:val="0"/>
              <w:marRight w:val="0"/>
              <w:marTop w:val="0"/>
              <w:marBottom w:val="0"/>
              <w:divBdr>
                <w:top w:val="none" w:sz="0" w:space="0" w:color="auto"/>
                <w:left w:val="none" w:sz="0" w:space="0" w:color="auto"/>
                <w:bottom w:val="none" w:sz="0" w:space="0" w:color="auto"/>
                <w:right w:val="none" w:sz="0" w:space="0" w:color="auto"/>
              </w:divBdr>
              <w:divsChild>
                <w:div w:id="812720518">
                  <w:marLeft w:val="0"/>
                  <w:marRight w:val="0"/>
                  <w:marTop w:val="0"/>
                  <w:marBottom w:val="0"/>
                  <w:divBdr>
                    <w:top w:val="none" w:sz="0" w:space="0" w:color="auto"/>
                    <w:left w:val="none" w:sz="0" w:space="0" w:color="auto"/>
                    <w:bottom w:val="none" w:sz="0" w:space="0" w:color="auto"/>
                    <w:right w:val="none" w:sz="0" w:space="0" w:color="auto"/>
                  </w:divBdr>
                  <w:divsChild>
                    <w:div w:id="1645507166">
                      <w:marLeft w:val="-150"/>
                      <w:marRight w:val="0"/>
                      <w:marTop w:val="0"/>
                      <w:marBottom w:val="90"/>
                      <w:divBdr>
                        <w:top w:val="none" w:sz="0" w:space="0" w:color="auto"/>
                        <w:left w:val="none" w:sz="0" w:space="0" w:color="auto"/>
                        <w:bottom w:val="none" w:sz="0" w:space="0" w:color="auto"/>
                        <w:right w:val="none" w:sz="0" w:space="0" w:color="auto"/>
                      </w:divBdr>
                      <w:divsChild>
                        <w:div w:id="159435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792153">
      <w:bodyDiv w:val="1"/>
      <w:marLeft w:val="0"/>
      <w:marRight w:val="0"/>
      <w:marTop w:val="0"/>
      <w:marBottom w:val="0"/>
      <w:divBdr>
        <w:top w:val="none" w:sz="0" w:space="0" w:color="auto"/>
        <w:left w:val="none" w:sz="0" w:space="0" w:color="auto"/>
        <w:bottom w:val="none" w:sz="0" w:space="0" w:color="auto"/>
        <w:right w:val="none" w:sz="0" w:space="0" w:color="auto"/>
      </w:divBdr>
    </w:div>
    <w:div w:id="1839496533">
      <w:bodyDiv w:val="1"/>
      <w:marLeft w:val="0"/>
      <w:marRight w:val="0"/>
      <w:marTop w:val="0"/>
      <w:marBottom w:val="0"/>
      <w:divBdr>
        <w:top w:val="none" w:sz="0" w:space="0" w:color="auto"/>
        <w:left w:val="none" w:sz="0" w:space="0" w:color="auto"/>
        <w:bottom w:val="none" w:sz="0" w:space="0" w:color="auto"/>
        <w:right w:val="none" w:sz="0" w:space="0" w:color="auto"/>
      </w:divBdr>
    </w:div>
    <w:div w:id="1893418661">
      <w:bodyDiv w:val="1"/>
      <w:marLeft w:val="0"/>
      <w:marRight w:val="0"/>
      <w:marTop w:val="0"/>
      <w:marBottom w:val="0"/>
      <w:divBdr>
        <w:top w:val="none" w:sz="0" w:space="0" w:color="auto"/>
        <w:left w:val="none" w:sz="0" w:space="0" w:color="auto"/>
        <w:bottom w:val="none" w:sz="0" w:space="0" w:color="auto"/>
        <w:right w:val="none" w:sz="0" w:space="0" w:color="auto"/>
      </w:divBdr>
    </w:div>
    <w:div w:id="1922179703">
      <w:bodyDiv w:val="1"/>
      <w:marLeft w:val="0"/>
      <w:marRight w:val="0"/>
      <w:marTop w:val="0"/>
      <w:marBottom w:val="0"/>
      <w:divBdr>
        <w:top w:val="none" w:sz="0" w:space="0" w:color="auto"/>
        <w:left w:val="none" w:sz="0" w:space="0" w:color="auto"/>
        <w:bottom w:val="none" w:sz="0" w:space="0" w:color="auto"/>
        <w:right w:val="none" w:sz="0" w:space="0" w:color="auto"/>
      </w:divBdr>
    </w:div>
    <w:div w:id="2071069836">
      <w:bodyDiv w:val="1"/>
      <w:marLeft w:val="0"/>
      <w:marRight w:val="0"/>
      <w:marTop w:val="0"/>
      <w:marBottom w:val="0"/>
      <w:divBdr>
        <w:top w:val="none" w:sz="0" w:space="0" w:color="auto"/>
        <w:left w:val="none" w:sz="0" w:space="0" w:color="auto"/>
        <w:bottom w:val="none" w:sz="0" w:space="0" w:color="auto"/>
        <w:right w:val="none" w:sz="0" w:space="0" w:color="auto"/>
      </w:divBdr>
    </w:div>
    <w:div w:id="207457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lly@mscclaw.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mills@phillipsblack.org" TargetMode="External"/><Relationship Id="rId17" Type="http://schemas.openxmlformats.org/officeDocument/2006/relationships/hyperlink" Target="https://deathpenaltyinfo.org/executions/methods-of-execution/state-by-state-execution-protocols" TargetMode="External"/><Relationship Id="rId2" Type="http://schemas.openxmlformats.org/officeDocument/2006/relationships/customXml" Target="../customXml/item2.xml"/><Relationship Id="rId16" Type="http://schemas.openxmlformats.org/officeDocument/2006/relationships/hyperlink" Target="mailto:jennifer_garcia@fd.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night@phillipsblack.org" TargetMode="External"/><Relationship Id="rId5" Type="http://schemas.openxmlformats.org/officeDocument/2006/relationships/numbering" Target="numbering.xml"/><Relationship Id="rId15" Type="http://schemas.openxmlformats.org/officeDocument/2006/relationships/hyperlink" Target="tel:(602)%20889-396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602)%20382-28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F21330AA670E4492521B50E00AEA14" ma:contentTypeVersion="8" ma:contentTypeDescription="Create a new document." ma:contentTypeScope="" ma:versionID="3cd23d2cb9aa553c2231ab251809343b">
  <xsd:schema xmlns:xsd="http://www.w3.org/2001/XMLSchema" xmlns:xs="http://www.w3.org/2001/XMLSchema" xmlns:p="http://schemas.microsoft.com/office/2006/metadata/properties" xmlns:ns2="10ceb447-3bdc-41a4-901a-d77058fe1c17" targetNamespace="http://schemas.microsoft.com/office/2006/metadata/properties" ma:root="true" ma:fieldsID="e4fca20a14254e35669b87942ecf7c80" ns2:_="">
    <xsd:import namespace="10ceb447-3bdc-41a4-901a-d77058fe1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eb447-3bdc-41a4-901a-d77058fe1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6E7574-EE4C-49F8-9879-86777E9CB431}">
  <ds:schemaRefs>
    <ds:schemaRef ds:uri="http://schemas.openxmlformats.org/officeDocument/2006/bibliography"/>
  </ds:schemaRefs>
</ds:datastoreItem>
</file>

<file path=customXml/itemProps2.xml><?xml version="1.0" encoding="utf-8"?>
<ds:datastoreItem xmlns:ds="http://schemas.openxmlformats.org/officeDocument/2006/customXml" ds:itemID="{F2E07554-2555-44C1-9D7C-666CD3012013}">
  <ds:schemaRefs>
    <ds:schemaRef ds:uri="http://schemas.microsoft.com/sharepoint/v3/contenttype/forms"/>
  </ds:schemaRefs>
</ds:datastoreItem>
</file>

<file path=customXml/itemProps3.xml><?xml version="1.0" encoding="utf-8"?>
<ds:datastoreItem xmlns:ds="http://schemas.openxmlformats.org/officeDocument/2006/customXml" ds:itemID="{D56DEC10-9A47-4AA2-9DE4-2F3C1B497CB0}">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10ceb447-3bdc-41a4-901a-d77058fe1c17"/>
    <ds:schemaRef ds:uri="http://www.w3.org/XML/1998/namespace"/>
  </ds:schemaRefs>
</ds:datastoreItem>
</file>

<file path=customXml/itemProps4.xml><?xml version="1.0" encoding="utf-8"?>
<ds:datastoreItem xmlns:ds="http://schemas.openxmlformats.org/officeDocument/2006/customXml" ds:itemID="{1B34E41A-9633-44A1-ADF2-02C4F023F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eb447-3bdc-41a4-901a-d77058fe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4590</Words>
  <Characters>26166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AZ Atty Gen Office</Company>
  <LinksUpToDate>false</LinksUpToDate>
  <CharactersWithSpaces>30695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Morrow, Kevin</dc:creator>
  <cp:keywords/>
  <dc:description/>
  <cp:lastModifiedBy>Sam Kooistra</cp:lastModifiedBy>
  <cp:revision>5</cp:revision>
  <cp:lastPrinted>2025-05-01T23:26:00Z</cp:lastPrinted>
  <dcterms:created xsi:type="dcterms:W3CDTF">2025-05-01T23:24:00Z</dcterms:created>
  <dcterms:modified xsi:type="dcterms:W3CDTF">2025-05-01T23:27:00Z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0x0101004CF21330AA670E4492521B50E00AEA14</vt:lpwstr>
  </property>
</Properties>
</file>