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C7D5" w14:textId="0C1622E0" w:rsidR="00B233C2" w:rsidRPr="00CE40C7" w:rsidRDefault="003D6070" w:rsidP="00A74317">
      <w:pPr>
        <w:pStyle w:val="AttorneyName"/>
        <w:spacing w:line="240" w:lineRule="auto"/>
        <w:rPr>
          <w:rFonts w:ascii="Times New Roman" w:hAnsi="Times New Roman"/>
          <w:bCs/>
          <w:sz w:val="28"/>
          <w:szCs w:val="28"/>
        </w:rPr>
      </w:pPr>
      <w:r w:rsidRPr="00CE40C7">
        <w:rPr>
          <w:rFonts w:ascii="Times New Roman" w:hAnsi="Times New Roman"/>
          <w:b/>
          <w:sz w:val="28"/>
          <w:szCs w:val="28"/>
        </w:rPr>
        <w:t>ARIZONA ATTORNEYS FOR CRIMINAL JUSTICE</w:t>
      </w:r>
    </w:p>
    <w:p w14:paraId="5B1D807E" w14:textId="77777777" w:rsidR="00AD043A" w:rsidRDefault="00AD043A" w:rsidP="00A74317">
      <w:pPr>
        <w:pStyle w:val="AttorneyName"/>
        <w:spacing w:line="240" w:lineRule="auto"/>
        <w:rPr>
          <w:rStyle w:val="Hyperlink"/>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D010E" w14:paraId="561D818D" w14:textId="77777777" w:rsidTr="00CE40C7">
        <w:tc>
          <w:tcPr>
            <w:tcW w:w="4675" w:type="dxa"/>
          </w:tcPr>
          <w:p w14:paraId="154233EA" w14:textId="1BBEE2EA" w:rsidR="004D010E" w:rsidRPr="00CE40C7" w:rsidRDefault="004D010E" w:rsidP="004D010E">
            <w:pPr>
              <w:pStyle w:val="AttorneyName"/>
              <w:spacing w:line="240" w:lineRule="auto"/>
              <w:rPr>
                <w:rFonts w:ascii="Times New Roman" w:hAnsi="Times New Roman"/>
                <w:b/>
                <w:bCs/>
                <w:sz w:val="28"/>
                <w:szCs w:val="28"/>
              </w:rPr>
            </w:pPr>
            <w:r w:rsidRPr="00CE40C7">
              <w:rPr>
                <w:rFonts w:ascii="Times New Roman" w:hAnsi="Times New Roman"/>
                <w:b/>
                <w:bCs/>
                <w:sz w:val="28"/>
                <w:szCs w:val="28"/>
              </w:rPr>
              <w:t>Kristen Reller</w:t>
            </w:r>
            <w:r w:rsidR="00797EAC">
              <w:rPr>
                <w:rFonts w:ascii="Times New Roman" w:hAnsi="Times New Roman"/>
                <w:b/>
                <w:bCs/>
                <w:sz w:val="28"/>
                <w:szCs w:val="28"/>
              </w:rPr>
              <w:t>, No. 036470</w:t>
            </w:r>
          </w:p>
          <w:p w14:paraId="18FA5897" w14:textId="6AC8D8FC" w:rsidR="00797EAC" w:rsidRPr="004D010E" w:rsidRDefault="00797EAC" w:rsidP="004D010E">
            <w:pPr>
              <w:pStyle w:val="AttorneyName"/>
              <w:spacing w:line="240" w:lineRule="auto"/>
              <w:rPr>
                <w:rFonts w:ascii="Times New Roman" w:hAnsi="Times New Roman"/>
                <w:sz w:val="28"/>
                <w:szCs w:val="28"/>
              </w:rPr>
            </w:pPr>
            <w:r>
              <w:rPr>
                <w:rFonts w:ascii="Times New Roman" w:hAnsi="Times New Roman"/>
                <w:sz w:val="28"/>
                <w:szCs w:val="28"/>
              </w:rPr>
              <w:t>620 W. Jackson, Suite 4015</w:t>
            </w:r>
          </w:p>
          <w:p w14:paraId="326EABFC" w14:textId="207A0D0A"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Phoenix, AZ</w:t>
            </w:r>
            <w:r w:rsidR="00797EAC">
              <w:rPr>
                <w:rFonts w:ascii="Times New Roman" w:hAnsi="Times New Roman"/>
                <w:sz w:val="28"/>
                <w:szCs w:val="28"/>
              </w:rPr>
              <w:t xml:space="preserve"> 85003</w:t>
            </w:r>
          </w:p>
          <w:p w14:paraId="5AC8AD79" w14:textId="77777777"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(952) 412-0898</w:t>
            </w:r>
          </w:p>
          <w:p w14:paraId="5FB3ED5F" w14:textId="0C54BFDE" w:rsidR="004D010E" w:rsidRPr="004D010E" w:rsidRDefault="004D010E" w:rsidP="004D010E">
            <w:pPr>
              <w:pStyle w:val="AttorneyName"/>
              <w:spacing w:line="240" w:lineRule="auto"/>
              <w:rPr>
                <w:rFonts w:ascii="Times New Roman" w:hAnsi="Times New Roman"/>
                <w:sz w:val="28"/>
                <w:szCs w:val="28"/>
              </w:rPr>
            </w:pPr>
            <w:hyperlink r:id="rId11" w:history="1">
              <w:r w:rsidRPr="006871F2">
                <w:rPr>
                  <w:rStyle w:val="Hyperlink"/>
                  <w:rFonts w:ascii="Times New Roman" w:hAnsi="Times New Roman"/>
                  <w:sz w:val="28"/>
                  <w:szCs w:val="28"/>
                </w:rPr>
                <w:t>Kristen.Reller@protonmail.com</w:t>
              </w:r>
            </w:hyperlink>
            <w:r>
              <w:rPr>
                <w:rFonts w:ascii="Times New Roman" w:hAnsi="Times New Roman"/>
                <w:sz w:val="28"/>
                <w:szCs w:val="28"/>
              </w:rPr>
              <w:t xml:space="preserve"> </w:t>
            </w:r>
          </w:p>
          <w:p w14:paraId="14A63D5E" w14:textId="77777777" w:rsidR="004D010E" w:rsidRPr="004D010E" w:rsidRDefault="004D010E" w:rsidP="004D010E">
            <w:pPr>
              <w:pStyle w:val="AttorneyName"/>
              <w:spacing w:line="240" w:lineRule="auto"/>
              <w:rPr>
                <w:rFonts w:ascii="Times New Roman" w:hAnsi="Times New Roman"/>
                <w:sz w:val="28"/>
                <w:szCs w:val="28"/>
              </w:rPr>
            </w:pPr>
          </w:p>
          <w:p w14:paraId="488CE92F" w14:textId="1DDDA710" w:rsidR="004D010E" w:rsidRPr="00CE40C7" w:rsidRDefault="004D010E" w:rsidP="004D010E">
            <w:pPr>
              <w:pStyle w:val="AttorneyName"/>
              <w:spacing w:line="240" w:lineRule="auto"/>
              <w:rPr>
                <w:rFonts w:ascii="Times New Roman" w:hAnsi="Times New Roman"/>
                <w:b/>
                <w:bCs/>
                <w:sz w:val="28"/>
                <w:szCs w:val="28"/>
              </w:rPr>
            </w:pPr>
            <w:r w:rsidRPr="00CE40C7">
              <w:rPr>
                <w:rFonts w:ascii="Times New Roman" w:hAnsi="Times New Roman"/>
                <w:b/>
                <w:bCs/>
                <w:sz w:val="28"/>
                <w:szCs w:val="28"/>
              </w:rPr>
              <w:t>Elyssa Creary-Scher</w:t>
            </w:r>
            <w:r w:rsidR="00797EAC">
              <w:rPr>
                <w:rFonts w:ascii="Times New Roman" w:hAnsi="Times New Roman"/>
                <w:b/>
                <w:bCs/>
                <w:sz w:val="28"/>
                <w:szCs w:val="28"/>
              </w:rPr>
              <w:t>, No. 038348</w:t>
            </w:r>
          </w:p>
          <w:p w14:paraId="2ED6FA50" w14:textId="77777777" w:rsidR="00797EAC" w:rsidRDefault="00797EAC" w:rsidP="004D010E">
            <w:pPr>
              <w:pStyle w:val="AttorneyName"/>
              <w:spacing w:line="240" w:lineRule="auto"/>
              <w:rPr>
                <w:rFonts w:ascii="Times New Roman" w:hAnsi="Times New Roman"/>
                <w:sz w:val="28"/>
                <w:szCs w:val="28"/>
              </w:rPr>
            </w:pPr>
            <w:r>
              <w:rPr>
                <w:rFonts w:ascii="Times New Roman" w:hAnsi="Times New Roman"/>
                <w:sz w:val="28"/>
                <w:szCs w:val="28"/>
              </w:rPr>
              <w:t>Pima County Public Defender’s Office</w:t>
            </w:r>
          </w:p>
          <w:p w14:paraId="3F65D478" w14:textId="4CD2C534" w:rsidR="00797EAC" w:rsidRPr="004D010E" w:rsidRDefault="00797EAC" w:rsidP="004D010E">
            <w:pPr>
              <w:pStyle w:val="AttorneyName"/>
              <w:spacing w:line="240" w:lineRule="auto"/>
              <w:rPr>
                <w:rFonts w:ascii="Times New Roman" w:hAnsi="Times New Roman"/>
                <w:sz w:val="28"/>
                <w:szCs w:val="28"/>
              </w:rPr>
            </w:pPr>
            <w:r>
              <w:rPr>
                <w:rFonts w:ascii="Times New Roman" w:hAnsi="Times New Roman"/>
                <w:sz w:val="28"/>
                <w:szCs w:val="28"/>
              </w:rPr>
              <w:t>33 N. Stone Ave., 21</w:t>
            </w:r>
            <w:r w:rsidRPr="00797EAC">
              <w:rPr>
                <w:rFonts w:ascii="Times New Roman" w:hAnsi="Times New Roman"/>
                <w:sz w:val="28"/>
                <w:szCs w:val="28"/>
                <w:vertAlign w:val="superscript"/>
              </w:rPr>
              <w:t>st</w:t>
            </w:r>
            <w:r>
              <w:rPr>
                <w:rFonts w:ascii="Times New Roman" w:hAnsi="Times New Roman"/>
                <w:sz w:val="28"/>
                <w:szCs w:val="28"/>
              </w:rPr>
              <w:t xml:space="preserve"> Floor</w:t>
            </w:r>
          </w:p>
          <w:p w14:paraId="3A570E47" w14:textId="235FD04E"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 xml:space="preserve">Tucson, AZ </w:t>
            </w:r>
            <w:r w:rsidR="00797EAC">
              <w:rPr>
                <w:rFonts w:ascii="Times New Roman" w:hAnsi="Times New Roman"/>
                <w:sz w:val="28"/>
                <w:szCs w:val="28"/>
              </w:rPr>
              <w:t>85701</w:t>
            </w:r>
          </w:p>
          <w:p w14:paraId="38CB7F2D" w14:textId="09AD1058"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w:t>
            </w:r>
            <w:r w:rsidR="00797EAC">
              <w:rPr>
                <w:rFonts w:ascii="Times New Roman" w:hAnsi="Times New Roman"/>
                <w:sz w:val="28"/>
                <w:szCs w:val="28"/>
              </w:rPr>
              <w:t>520</w:t>
            </w:r>
            <w:r w:rsidRPr="004D010E">
              <w:rPr>
                <w:rFonts w:ascii="Times New Roman" w:hAnsi="Times New Roman"/>
                <w:sz w:val="28"/>
                <w:szCs w:val="28"/>
              </w:rPr>
              <w:t xml:space="preserve">) </w:t>
            </w:r>
            <w:r w:rsidR="00797EAC">
              <w:rPr>
                <w:rFonts w:ascii="Times New Roman" w:hAnsi="Times New Roman"/>
                <w:sz w:val="28"/>
                <w:szCs w:val="28"/>
              </w:rPr>
              <w:t>724</w:t>
            </w:r>
            <w:r w:rsidRPr="004D010E">
              <w:rPr>
                <w:rFonts w:ascii="Times New Roman" w:hAnsi="Times New Roman"/>
                <w:sz w:val="28"/>
                <w:szCs w:val="28"/>
              </w:rPr>
              <w:t>-</w:t>
            </w:r>
            <w:r w:rsidR="00797EAC">
              <w:rPr>
                <w:rFonts w:ascii="Times New Roman" w:hAnsi="Times New Roman"/>
                <w:sz w:val="28"/>
                <w:szCs w:val="28"/>
              </w:rPr>
              <w:t>6800</w:t>
            </w:r>
          </w:p>
          <w:p w14:paraId="0A551756" w14:textId="09270FA8" w:rsidR="004D010E" w:rsidRDefault="00BE6F77" w:rsidP="004D010E">
            <w:pPr>
              <w:pStyle w:val="AttorneyName"/>
              <w:spacing w:line="240" w:lineRule="auto"/>
              <w:rPr>
                <w:rFonts w:ascii="Times New Roman" w:hAnsi="Times New Roman"/>
                <w:sz w:val="28"/>
                <w:szCs w:val="28"/>
              </w:rPr>
            </w:pPr>
            <w:hyperlink r:id="rId12" w:history="1">
              <w:r w:rsidRPr="00453803">
                <w:rPr>
                  <w:rStyle w:val="Hyperlink"/>
                  <w:rFonts w:ascii="Times New Roman" w:hAnsi="Times New Roman"/>
                  <w:sz w:val="28"/>
                  <w:szCs w:val="28"/>
                </w:rPr>
                <w:t>Elyssa.Creary-Scher@pima.gov</w:t>
              </w:r>
            </w:hyperlink>
            <w:r>
              <w:rPr>
                <w:rFonts w:ascii="Times New Roman" w:hAnsi="Times New Roman"/>
                <w:sz w:val="28"/>
                <w:szCs w:val="28"/>
              </w:rPr>
              <w:t xml:space="preserve"> </w:t>
            </w:r>
            <w:r w:rsidR="004D010E">
              <w:rPr>
                <w:rFonts w:ascii="Times New Roman" w:hAnsi="Times New Roman"/>
                <w:sz w:val="28"/>
                <w:szCs w:val="28"/>
              </w:rPr>
              <w:t xml:space="preserve"> </w:t>
            </w:r>
          </w:p>
        </w:tc>
        <w:tc>
          <w:tcPr>
            <w:tcW w:w="4675" w:type="dxa"/>
          </w:tcPr>
          <w:p w14:paraId="0F07748E" w14:textId="4F58BA30" w:rsidR="004D010E" w:rsidRPr="00CE40C7" w:rsidRDefault="004D010E" w:rsidP="004D010E">
            <w:pPr>
              <w:pStyle w:val="AttorneyName"/>
              <w:spacing w:line="240" w:lineRule="auto"/>
              <w:rPr>
                <w:rFonts w:ascii="Times New Roman" w:hAnsi="Times New Roman"/>
                <w:b/>
                <w:bCs/>
                <w:sz w:val="28"/>
                <w:szCs w:val="28"/>
              </w:rPr>
            </w:pPr>
            <w:r w:rsidRPr="00CE40C7">
              <w:rPr>
                <w:rFonts w:ascii="Times New Roman" w:hAnsi="Times New Roman"/>
                <w:b/>
                <w:bCs/>
                <w:sz w:val="28"/>
                <w:szCs w:val="28"/>
              </w:rPr>
              <w:t>Seth M. Apfel</w:t>
            </w:r>
            <w:r w:rsidR="00797EAC">
              <w:rPr>
                <w:rFonts w:ascii="Times New Roman" w:hAnsi="Times New Roman"/>
                <w:b/>
                <w:bCs/>
                <w:sz w:val="28"/>
                <w:szCs w:val="28"/>
              </w:rPr>
              <w:t>, No. 032225</w:t>
            </w:r>
          </w:p>
          <w:p w14:paraId="5B865637" w14:textId="77777777"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Apfel Law Group, P.L.L.C.</w:t>
            </w:r>
          </w:p>
          <w:p w14:paraId="4BA666D4" w14:textId="77777777"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PO Box 8808</w:t>
            </w:r>
          </w:p>
          <w:p w14:paraId="49C3AD9B" w14:textId="77777777"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Phoenix, AZ 85066</w:t>
            </w:r>
          </w:p>
          <w:p w14:paraId="72E7DDEF" w14:textId="77777777" w:rsidR="004D010E" w:rsidRPr="004D010E" w:rsidRDefault="004D010E" w:rsidP="004D010E">
            <w:pPr>
              <w:pStyle w:val="AttorneyName"/>
              <w:spacing w:line="240" w:lineRule="auto"/>
              <w:rPr>
                <w:rFonts w:ascii="Times New Roman" w:hAnsi="Times New Roman"/>
                <w:sz w:val="28"/>
                <w:szCs w:val="28"/>
              </w:rPr>
            </w:pPr>
            <w:r w:rsidRPr="004D010E">
              <w:rPr>
                <w:rFonts w:ascii="Times New Roman" w:hAnsi="Times New Roman"/>
                <w:sz w:val="28"/>
                <w:szCs w:val="28"/>
              </w:rPr>
              <w:t>(602) 499-8468</w:t>
            </w:r>
          </w:p>
          <w:p w14:paraId="7D6CE86C" w14:textId="01A11D0A" w:rsidR="004D010E" w:rsidRDefault="004D010E" w:rsidP="004D010E">
            <w:pPr>
              <w:pStyle w:val="AttorneyName"/>
              <w:spacing w:line="240" w:lineRule="auto"/>
              <w:rPr>
                <w:rFonts w:ascii="Times New Roman" w:hAnsi="Times New Roman"/>
                <w:sz w:val="28"/>
                <w:szCs w:val="28"/>
              </w:rPr>
            </w:pPr>
            <w:hyperlink r:id="rId13" w:history="1">
              <w:r w:rsidRPr="006871F2">
                <w:rPr>
                  <w:rStyle w:val="Hyperlink"/>
                  <w:rFonts w:ascii="Times New Roman" w:hAnsi="Times New Roman"/>
                  <w:sz w:val="28"/>
                  <w:szCs w:val="28"/>
                </w:rPr>
                <w:t>seth@apfellawgroup.com</w:t>
              </w:r>
            </w:hyperlink>
            <w:r>
              <w:rPr>
                <w:rFonts w:ascii="Times New Roman" w:hAnsi="Times New Roman"/>
                <w:sz w:val="28"/>
                <w:szCs w:val="28"/>
              </w:rPr>
              <w:t xml:space="preserve"> </w:t>
            </w:r>
          </w:p>
        </w:tc>
      </w:tr>
    </w:tbl>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405D853F"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bookmarkEnd w:id="1"/>
            <w:r w:rsidR="0042164C">
              <w:rPr>
                <w:rFonts w:ascii="Times New Roman" w:hAnsi="Times New Roman"/>
                <w:sz w:val="28"/>
                <w:szCs w:val="28"/>
              </w:rPr>
              <w:t>Amend the Arizona Rules of Evidence</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09B85071"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w:t>
            </w:r>
            <w:r w:rsidR="00D6098E">
              <w:rPr>
                <w:rFonts w:ascii="Times New Roman" w:hAnsi="Times New Roman"/>
                <w:sz w:val="28"/>
                <w:szCs w:val="28"/>
              </w:rPr>
              <w:t>5</w:t>
            </w:r>
            <w:r w:rsidR="003812FE">
              <w:rPr>
                <w:rFonts w:ascii="Times New Roman" w:hAnsi="Times New Roman"/>
                <w:sz w:val="28"/>
                <w:szCs w:val="28"/>
              </w:rPr>
              <w:t>-</w:t>
            </w:r>
            <w:r w:rsidR="0042164C">
              <w:rPr>
                <w:rFonts w:ascii="Times New Roman" w:hAnsi="Times New Roman"/>
                <w:sz w:val="28"/>
                <w:szCs w:val="28"/>
              </w:rPr>
              <w:t>0004</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64147FC3"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Amend Arizona Rule</w:t>
            </w:r>
            <w:r w:rsidR="00393B24">
              <w:rPr>
                <w:rFonts w:ascii="Times New Roman" w:hAnsi="Times New Roman"/>
                <w:b/>
                <w:sz w:val="28"/>
                <w:szCs w:val="28"/>
              </w:rPr>
              <w:t>s</w:t>
            </w:r>
            <w:r w:rsidR="003812FE">
              <w:rPr>
                <w:rFonts w:ascii="Times New Roman" w:hAnsi="Times New Roman"/>
                <w:b/>
                <w:sz w:val="28"/>
                <w:szCs w:val="28"/>
              </w:rPr>
              <w:t xml:space="preserve"> of </w:t>
            </w:r>
            <w:r w:rsidR="00393B24">
              <w:rPr>
                <w:rFonts w:ascii="Times New Roman" w:hAnsi="Times New Roman"/>
                <w:b/>
                <w:sz w:val="28"/>
                <w:szCs w:val="28"/>
              </w:rPr>
              <w:t>Evidence to Adopt Rule 807.</w:t>
            </w:r>
            <w:r w:rsidR="003658B4">
              <w:rPr>
                <w:rFonts w:ascii="Times New Roman" w:hAnsi="Times New Roman"/>
                <w:b/>
                <w:sz w:val="28"/>
                <w:szCs w:val="28"/>
              </w:rPr>
              <w:t>0</w:t>
            </w:r>
            <w:r w:rsidR="00393B24">
              <w:rPr>
                <w:rFonts w:ascii="Times New Roman" w:hAnsi="Times New Roman"/>
                <w:b/>
                <w:sz w:val="28"/>
                <w:szCs w:val="28"/>
              </w:rPr>
              <w:t>1</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1D4E9D56"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w:t>
      </w:r>
      <w:r w:rsidR="003358ED">
        <w:rPr>
          <w:rFonts w:ascii="Times New Roman" w:hAnsi="Times New Roman"/>
          <w:sz w:val="28"/>
          <w:szCs w:val="28"/>
        </w:rPr>
        <w:t xml:space="preserve">in opposition to </w:t>
      </w:r>
      <w:r>
        <w:rPr>
          <w:rFonts w:ascii="Times New Roman" w:hAnsi="Times New Roman"/>
          <w:sz w:val="28"/>
          <w:szCs w:val="28"/>
        </w:rPr>
        <w:t xml:space="preserve">the </w:t>
      </w:r>
      <w:r w:rsidRPr="0014499B">
        <w:rPr>
          <w:rFonts w:ascii="Times New Roman" w:hAnsi="Times New Roman"/>
          <w:sz w:val="28"/>
          <w:szCs w:val="28"/>
        </w:rPr>
        <w:t>petition</w:t>
      </w:r>
      <w:r>
        <w:rPr>
          <w:rFonts w:ascii="Times New Roman" w:hAnsi="Times New Roman"/>
          <w:sz w:val="28"/>
          <w:szCs w:val="28"/>
        </w:rPr>
        <w:t xml:space="preserve"> to </w:t>
      </w:r>
      <w:r w:rsidR="00393B24">
        <w:rPr>
          <w:rFonts w:ascii="Times New Roman" w:hAnsi="Times New Roman"/>
          <w:sz w:val="28"/>
          <w:szCs w:val="28"/>
        </w:rPr>
        <w:t>adopt Arizona Rule of Evidence 807.</w:t>
      </w:r>
      <w:r w:rsidR="003658B4">
        <w:rPr>
          <w:rFonts w:ascii="Times New Roman" w:hAnsi="Times New Roman"/>
          <w:sz w:val="28"/>
          <w:szCs w:val="28"/>
        </w:rPr>
        <w:t>0</w:t>
      </w:r>
      <w:r w:rsidR="00393B24">
        <w:rPr>
          <w:rFonts w:ascii="Times New Roman" w:hAnsi="Times New Roman"/>
          <w:sz w:val="28"/>
          <w:szCs w:val="28"/>
        </w:rPr>
        <w:t>1</w:t>
      </w:r>
      <w:r>
        <w:rPr>
          <w:rFonts w:ascii="Times New Roman" w:hAnsi="Times New Roman"/>
          <w:sz w:val="28"/>
          <w:szCs w:val="28"/>
        </w:rPr>
        <w:t>.</w:t>
      </w:r>
    </w:p>
    <w:p w14:paraId="180EBEFD" w14:textId="74BE109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t>
      </w:r>
      <w:r w:rsidR="00324C20" w:rsidRPr="00324C20">
        <w:rPr>
          <w:rFonts w:ascii="Times New Roman" w:hAnsi="Times New Roman"/>
          <w:sz w:val="28"/>
          <w:szCs w:val="28"/>
        </w:rPr>
        <w:t>was established to advocate for the rights of the criminally accused and the attorneys who defend them</w:t>
      </w:r>
      <w:r w:rsidRPr="00A629F8">
        <w:rPr>
          <w:rFonts w:ascii="Times New Roman" w:hAnsi="Times New Roman"/>
          <w:sz w:val="28"/>
          <w:szCs w:val="28"/>
        </w:rPr>
        <w:t xml:space="preserve">. AACJ is a statewide not-for-profit </w:t>
      </w:r>
      <w:r w:rsidRPr="00A629F8">
        <w:rPr>
          <w:rFonts w:ascii="Times New Roman" w:hAnsi="Times New Roman"/>
          <w:sz w:val="28"/>
          <w:szCs w:val="28"/>
        </w:rPr>
        <w:lastRenderedPageBreak/>
        <w:t>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40A16797" w14:textId="1433B6F0" w:rsidR="00B0310B" w:rsidRDefault="00B465F4" w:rsidP="00324C20">
      <w:pPr>
        <w:spacing w:line="480" w:lineRule="auto"/>
        <w:ind w:firstLine="720"/>
        <w:jc w:val="both"/>
        <w:rPr>
          <w:rFonts w:ascii="Times New Roman" w:hAnsi="Times New Roman"/>
          <w:sz w:val="28"/>
          <w:szCs w:val="28"/>
        </w:rPr>
      </w:pPr>
      <w:r>
        <w:rPr>
          <w:rFonts w:ascii="Times New Roman" w:hAnsi="Times New Roman"/>
          <w:sz w:val="28"/>
          <w:szCs w:val="28"/>
        </w:rPr>
        <w:t xml:space="preserve">The proposal at issue </w:t>
      </w:r>
      <w:r w:rsidR="004C2066">
        <w:rPr>
          <w:rFonts w:ascii="Times New Roman" w:hAnsi="Times New Roman"/>
          <w:sz w:val="28"/>
          <w:szCs w:val="28"/>
        </w:rPr>
        <w:t>would create an exception to the rule against hearsay</w:t>
      </w:r>
      <w:r w:rsidR="00393B24">
        <w:rPr>
          <w:rFonts w:ascii="Times New Roman" w:hAnsi="Times New Roman"/>
          <w:sz w:val="28"/>
          <w:szCs w:val="28"/>
        </w:rPr>
        <w:t xml:space="preserve"> for statements of a child under fifteen that meet certain criteria</w:t>
      </w:r>
      <w:r w:rsidR="004C2066">
        <w:rPr>
          <w:rFonts w:ascii="Times New Roman" w:hAnsi="Times New Roman"/>
          <w:sz w:val="28"/>
          <w:szCs w:val="28"/>
        </w:rPr>
        <w:t xml:space="preserve">, </w:t>
      </w:r>
      <w:r w:rsidR="007F4450">
        <w:rPr>
          <w:rFonts w:ascii="Times New Roman" w:hAnsi="Times New Roman"/>
          <w:sz w:val="28"/>
          <w:szCs w:val="28"/>
        </w:rPr>
        <w:t>“</w:t>
      </w:r>
      <w:r w:rsidR="004C2066">
        <w:rPr>
          <w:rFonts w:ascii="Times New Roman" w:hAnsi="Times New Roman"/>
          <w:sz w:val="28"/>
          <w:szCs w:val="28"/>
        </w:rPr>
        <w:t xml:space="preserve">to make admissible as evidence in a criminal proceeding against </w:t>
      </w:r>
      <w:r w:rsidR="007F4450">
        <w:rPr>
          <w:rFonts w:ascii="Times New Roman" w:hAnsi="Times New Roman"/>
          <w:sz w:val="28"/>
          <w:szCs w:val="28"/>
        </w:rPr>
        <w:t>the</w:t>
      </w:r>
      <w:r w:rsidR="004C2066">
        <w:rPr>
          <w:rFonts w:ascii="Times New Roman" w:hAnsi="Times New Roman"/>
          <w:sz w:val="28"/>
          <w:szCs w:val="28"/>
        </w:rPr>
        <w:t xml:space="preserve"> defendant</w:t>
      </w:r>
      <w:r w:rsidR="00393B24">
        <w:rPr>
          <w:rFonts w:ascii="Times New Roman" w:hAnsi="Times New Roman"/>
          <w:sz w:val="28"/>
          <w:szCs w:val="28"/>
        </w:rPr>
        <w:t>.</w:t>
      </w:r>
      <w:r w:rsidR="007F4450">
        <w:rPr>
          <w:rFonts w:ascii="Times New Roman" w:hAnsi="Times New Roman"/>
          <w:sz w:val="28"/>
          <w:szCs w:val="28"/>
        </w:rPr>
        <w:t>”</w:t>
      </w:r>
      <w:r w:rsidR="004C2066">
        <w:rPr>
          <w:rFonts w:ascii="Times New Roman" w:hAnsi="Times New Roman"/>
          <w:sz w:val="28"/>
          <w:szCs w:val="28"/>
        </w:rPr>
        <w:t xml:space="preserve"> Those criteria include that (1) </w:t>
      </w:r>
      <w:r w:rsidR="00DD44AF">
        <w:rPr>
          <w:rFonts w:ascii="Times New Roman" w:hAnsi="Times New Roman"/>
          <w:sz w:val="28"/>
          <w:szCs w:val="28"/>
        </w:rPr>
        <w:t xml:space="preserve">the statements </w:t>
      </w:r>
      <w:r w:rsidR="004C2066">
        <w:rPr>
          <w:rFonts w:ascii="Times New Roman" w:hAnsi="Times New Roman"/>
          <w:sz w:val="28"/>
          <w:szCs w:val="28"/>
        </w:rPr>
        <w:t xml:space="preserve">describe an act of sexual </w:t>
      </w:r>
      <w:r w:rsidR="00393B24">
        <w:rPr>
          <w:rFonts w:ascii="Times New Roman" w:hAnsi="Times New Roman"/>
          <w:sz w:val="28"/>
          <w:szCs w:val="28"/>
        </w:rPr>
        <w:t xml:space="preserve">contact or sexual intercourse as </w:t>
      </w:r>
      <w:r w:rsidR="004C2066">
        <w:rPr>
          <w:rFonts w:ascii="Times New Roman" w:hAnsi="Times New Roman"/>
          <w:sz w:val="28"/>
          <w:szCs w:val="28"/>
        </w:rPr>
        <w:t xml:space="preserve">defined </w:t>
      </w:r>
      <w:r w:rsidR="00393B24">
        <w:rPr>
          <w:rFonts w:ascii="Times New Roman" w:hAnsi="Times New Roman"/>
          <w:sz w:val="28"/>
          <w:szCs w:val="28"/>
        </w:rPr>
        <w:t xml:space="preserve">by </w:t>
      </w:r>
      <w:r w:rsidR="004C2066" w:rsidRPr="004C2066">
        <w:rPr>
          <w:rFonts w:ascii="Times New Roman" w:hAnsi="Times New Roman"/>
          <w:sz w:val="28"/>
          <w:szCs w:val="28"/>
        </w:rPr>
        <w:t>A.R.S. § 13-1401</w:t>
      </w:r>
      <w:r w:rsidR="00393B24">
        <w:rPr>
          <w:rFonts w:ascii="Times New Roman" w:hAnsi="Times New Roman"/>
          <w:sz w:val="28"/>
          <w:szCs w:val="28"/>
        </w:rPr>
        <w:t>,</w:t>
      </w:r>
      <w:r w:rsidR="004C2066">
        <w:rPr>
          <w:rFonts w:ascii="Times New Roman" w:hAnsi="Times New Roman"/>
          <w:sz w:val="28"/>
          <w:szCs w:val="28"/>
        </w:rPr>
        <w:t xml:space="preserve"> </w:t>
      </w:r>
      <w:r w:rsidR="00DD44AF">
        <w:rPr>
          <w:rFonts w:ascii="Times New Roman" w:hAnsi="Times New Roman"/>
          <w:sz w:val="28"/>
          <w:szCs w:val="28"/>
        </w:rPr>
        <w:t xml:space="preserve">an act of sexual conduct as defined by A.R.S. § 13-3551, </w:t>
      </w:r>
      <w:r w:rsidR="004C2066">
        <w:rPr>
          <w:rFonts w:ascii="Times New Roman" w:hAnsi="Times New Roman"/>
          <w:sz w:val="28"/>
          <w:szCs w:val="28"/>
        </w:rPr>
        <w:t>an act of prostitution</w:t>
      </w:r>
      <w:r w:rsidR="00393B24">
        <w:rPr>
          <w:rFonts w:ascii="Times New Roman" w:hAnsi="Times New Roman"/>
          <w:sz w:val="28"/>
          <w:szCs w:val="28"/>
        </w:rPr>
        <w:t xml:space="preserve"> as defined by A.R.S. § 13-3211(5)</w:t>
      </w:r>
      <w:r w:rsidR="004C2066">
        <w:rPr>
          <w:rFonts w:ascii="Times New Roman" w:hAnsi="Times New Roman"/>
          <w:sz w:val="28"/>
          <w:szCs w:val="28"/>
        </w:rPr>
        <w:t xml:space="preserve">, </w:t>
      </w:r>
      <w:r w:rsidR="00393B24">
        <w:rPr>
          <w:rFonts w:ascii="Times New Roman" w:hAnsi="Times New Roman"/>
          <w:sz w:val="28"/>
          <w:szCs w:val="28"/>
        </w:rPr>
        <w:t xml:space="preserve">an act of </w:t>
      </w:r>
      <w:r w:rsidR="004C2066">
        <w:rPr>
          <w:rFonts w:ascii="Times New Roman" w:hAnsi="Times New Roman"/>
          <w:sz w:val="28"/>
          <w:szCs w:val="28"/>
        </w:rPr>
        <w:t>luring</w:t>
      </w:r>
      <w:r w:rsidR="00393B24">
        <w:rPr>
          <w:rFonts w:ascii="Times New Roman" w:hAnsi="Times New Roman"/>
          <w:sz w:val="28"/>
          <w:szCs w:val="28"/>
        </w:rPr>
        <w:t xml:space="preserve"> as defined by</w:t>
      </w:r>
      <w:r w:rsidR="00DD44AF">
        <w:rPr>
          <w:rFonts w:ascii="Times New Roman" w:hAnsi="Times New Roman"/>
          <w:sz w:val="28"/>
          <w:szCs w:val="28"/>
        </w:rPr>
        <w:t xml:space="preserve"> A.R.S. § 13-3554</w:t>
      </w:r>
      <w:r w:rsidR="004C2066">
        <w:rPr>
          <w:rFonts w:ascii="Times New Roman" w:hAnsi="Times New Roman"/>
          <w:sz w:val="28"/>
          <w:szCs w:val="28"/>
        </w:rPr>
        <w:t xml:space="preserve">, or </w:t>
      </w:r>
      <w:r w:rsidR="00DD44AF">
        <w:rPr>
          <w:rFonts w:ascii="Times New Roman" w:hAnsi="Times New Roman"/>
          <w:sz w:val="28"/>
          <w:szCs w:val="28"/>
        </w:rPr>
        <w:t xml:space="preserve">an act of </w:t>
      </w:r>
      <w:r w:rsidR="004C2066">
        <w:rPr>
          <w:rFonts w:ascii="Times New Roman" w:hAnsi="Times New Roman"/>
          <w:sz w:val="28"/>
          <w:szCs w:val="28"/>
        </w:rPr>
        <w:t>child abuse</w:t>
      </w:r>
      <w:r w:rsidR="00DD44AF">
        <w:rPr>
          <w:rFonts w:ascii="Times New Roman" w:hAnsi="Times New Roman"/>
          <w:sz w:val="28"/>
          <w:szCs w:val="28"/>
        </w:rPr>
        <w:t xml:space="preserve"> or neglect as defined by A.R.S. § 8-201</w:t>
      </w:r>
      <w:r w:rsidR="004C2066">
        <w:rPr>
          <w:rFonts w:ascii="Times New Roman" w:hAnsi="Times New Roman"/>
          <w:sz w:val="28"/>
          <w:szCs w:val="28"/>
        </w:rPr>
        <w:t xml:space="preserve">; (2) the child testifies </w:t>
      </w:r>
      <w:r w:rsidR="00DD44AF">
        <w:rPr>
          <w:rFonts w:ascii="Times New Roman" w:hAnsi="Times New Roman"/>
          <w:sz w:val="28"/>
          <w:szCs w:val="28"/>
        </w:rPr>
        <w:t xml:space="preserve">at trial </w:t>
      </w:r>
      <w:r w:rsidR="007F4450">
        <w:rPr>
          <w:rFonts w:ascii="Times New Roman" w:hAnsi="Times New Roman"/>
          <w:sz w:val="28"/>
          <w:szCs w:val="28"/>
        </w:rPr>
        <w:t>and is subject to cross</w:t>
      </w:r>
      <w:r w:rsidR="00B0310B">
        <w:rPr>
          <w:rFonts w:ascii="Times New Roman" w:hAnsi="Times New Roman"/>
          <w:sz w:val="28"/>
          <w:szCs w:val="28"/>
        </w:rPr>
        <w:t>-examination</w:t>
      </w:r>
      <w:r w:rsidR="00DD44AF">
        <w:rPr>
          <w:rFonts w:ascii="Times New Roman" w:hAnsi="Times New Roman"/>
          <w:sz w:val="28"/>
          <w:szCs w:val="28"/>
        </w:rPr>
        <w:t xml:space="preserve"> </w:t>
      </w:r>
      <w:r w:rsidR="00DD44AF">
        <w:rPr>
          <w:rFonts w:ascii="Times New Roman" w:hAnsi="Times New Roman"/>
          <w:i/>
          <w:iCs/>
          <w:sz w:val="28"/>
          <w:szCs w:val="28"/>
        </w:rPr>
        <w:t>or</w:t>
      </w:r>
      <w:r w:rsidR="007F4450">
        <w:rPr>
          <w:rFonts w:ascii="Times New Roman" w:hAnsi="Times New Roman"/>
          <w:sz w:val="28"/>
          <w:szCs w:val="28"/>
        </w:rPr>
        <w:t xml:space="preserve"> “</w:t>
      </w:r>
      <w:r w:rsidR="007F4450" w:rsidRPr="007F4450">
        <w:rPr>
          <w:rFonts w:ascii="Times New Roman" w:hAnsi="Times New Roman"/>
          <w:sz w:val="28"/>
          <w:szCs w:val="28"/>
        </w:rPr>
        <w:t>the court finds that the child is unavailable to testify and that the child has provided prior sworn testimony deemed admissible pursuant to Rule 804(b)(1)</w:t>
      </w:r>
      <w:r w:rsidR="007F4450">
        <w:rPr>
          <w:rFonts w:ascii="Times New Roman" w:hAnsi="Times New Roman"/>
          <w:sz w:val="28"/>
          <w:szCs w:val="28"/>
        </w:rPr>
        <w:t>”</w:t>
      </w:r>
      <w:r w:rsidR="00DD44AF">
        <w:rPr>
          <w:rFonts w:ascii="Times New Roman" w:hAnsi="Times New Roman"/>
          <w:sz w:val="28"/>
          <w:szCs w:val="28"/>
        </w:rPr>
        <w:t>;</w:t>
      </w:r>
      <w:r w:rsidR="007F4450">
        <w:rPr>
          <w:rFonts w:ascii="Times New Roman" w:hAnsi="Times New Roman"/>
          <w:sz w:val="28"/>
          <w:szCs w:val="28"/>
        </w:rPr>
        <w:t xml:space="preserve"> (3) the </w:t>
      </w:r>
      <w:r w:rsidR="00DD44AF">
        <w:rPr>
          <w:rFonts w:ascii="Times New Roman" w:hAnsi="Times New Roman"/>
          <w:sz w:val="28"/>
          <w:szCs w:val="28"/>
        </w:rPr>
        <w:t xml:space="preserve">child made the </w:t>
      </w:r>
      <w:r w:rsidR="007F4450">
        <w:rPr>
          <w:rFonts w:ascii="Times New Roman" w:hAnsi="Times New Roman"/>
          <w:sz w:val="28"/>
          <w:szCs w:val="28"/>
        </w:rPr>
        <w:t xml:space="preserve">statement in a forensic interview; </w:t>
      </w:r>
      <w:r w:rsidR="00DD44AF">
        <w:rPr>
          <w:rFonts w:ascii="Times New Roman" w:hAnsi="Times New Roman"/>
          <w:sz w:val="28"/>
          <w:szCs w:val="28"/>
        </w:rPr>
        <w:t xml:space="preserve">and </w:t>
      </w:r>
      <w:r w:rsidR="007F4450">
        <w:rPr>
          <w:rFonts w:ascii="Times New Roman" w:hAnsi="Times New Roman"/>
          <w:sz w:val="28"/>
          <w:szCs w:val="28"/>
        </w:rPr>
        <w:t xml:space="preserve">(4) the </w:t>
      </w:r>
      <w:r w:rsidR="00DD44AF">
        <w:rPr>
          <w:rFonts w:ascii="Times New Roman" w:hAnsi="Times New Roman"/>
          <w:sz w:val="28"/>
          <w:szCs w:val="28"/>
        </w:rPr>
        <w:t xml:space="preserve">court finds the following circumstances regarding the </w:t>
      </w:r>
      <w:r w:rsidR="007F4450">
        <w:rPr>
          <w:rFonts w:ascii="Times New Roman" w:hAnsi="Times New Roman"/>
          <w:sz w:val="28"/>
          <w:szCs w:val="28"/>
        </w:rPr>
        <w:t>forensic interview</w:t>
      </w:r>
      <w:r w:rsidR="00DD44AF">
        <w:rPr>
          <w:rFonts w:ascii="Times New Roman" w:hAnsi="Times New Roman"/>
          <w:sz w:val="28"/>
          <w:szCs w:val="28"/>
        </w:rPr>
        <w:t xml:space="preserve"> to be true: (a) the recording of the interview is both visual and aural and recorded by appropriate means; (b) the recording is accurate and unaltered; (c) the statement(s) were not made in response to leading questions or undue influence; (d)</w:t>
      </w:r>
      <w:r w:rsidR="007F4450">
        <w:rPr>
          <w:rFonts w:ascii="Times New Roman" w:hAnsi="Times New Roman"/>
          <w:sz w:val="28"/>
          <w:szCs w:val="28"/>
        </w:rPr>
        <w:t xml:space="preserve"> the forensic interviewer is </w:t>
      </w:r>
      <w:r w:rsidR="00DD44AF">
        <w:rPr>
          <w:rFonts w:ascii="Times New Roman" w:hAnsi="Times New Roman"/>
          <w:sz w:val="28"/>
          <w:szCs w:val="28"/>
        </w:rPr>
        <w:t xml:space="preserve">available to testify and be </w:t>
      </w:r>
      <w:r w:rsidR="007F4450">
        <w:rPr>
          <w:rFonts w:ascii="Times New Roman" w:hAnsi="Times New Roman"/>
          <w:sz w:val="28"/>
          <w:szCs w:val="28"/>
        </w:rPr>
        <w:t xml:space="preserve">subject </w:t>
      </w:r>
      <w:r w:rsidR="007F4450">
        <w:rPr>
          <w:rFonts w:ascii="Times New Roman" w:hAnsi="Times New Roman"/>
          <w:sz w:val="28"/>
          <w:szCs w:val="28"/>
        </w:rPr>
        <w:lastRenderedPageBreak/>
        <w:t>to cross-examination; and (</w:t>
      </w:r>
      <w:r w:rsidR="00DD44AF">
        <w:rPr>
          <w:rFonts w:ascii="Times New Roman" w:hAnsi="Times New Roman"/>
          <w:sz w:val="28"/>
          <w:szCs w:val="28"/>
        </w:rPr>
        <w:t>e</w:t>
      </w:r>
      <w:r w:rsidR="007F4450">
        <w:rPr>
          <w:rFonts w:ascii="Times New Roman" w:hAnsi="Times New Roman"/>
          <w:sz w:val="28"/>
          <w:szCs w:val="28"/>
        </w:rPr>
        <w:t>) the defendant is able to view the recording before it is offered</w:t>
      </w:r>
      <w:r w:rsidR="002A179F">
        <w:rPr>
          <w:rFonts w:ascii="Times New Roman" w:hAnsi="Times New Roman"/>
          <w:sz w:val="28"/>
          <w:szCs w:val="28"/>
        </w:rPr>
        <w:t xml:space="preserve"> into evidence</w:t>
      </w:r>
      <w:r w:rsidR="007F4450">
        <w:rPr>
          <w:rFonts w:ascii="Times New Roman" w:hAnsi="Times New Roman"/>
          <w:sz w:val="28"/>
          <w:szCs w:val="28"/>
        </w:rPr>
        <w:t xml:space="preserve">. </w:t>
      </w:r>
    </w:p>
    <w:p w14:paraId="374ED92E" w14:textId="53C6E658" w:rsidR="00DD25A0" w:rsidRDefault="007F4450" w:rsidP="00324C20">
      <w:pPr>
        <w:spacing w:line="480" w:lineRule="auto"/>
        <w:ind w:firstLine="720"/>
        <w:jc w:val="both"/>
        <w:rPr>
          <w:rFonts w:ascii="Times New Roman" w:hAnsi="Times New Roman"/>
          <w:sz w:val="28"/>
          <w:szCs w:val="28"/>
        </w:rPr>
      </w:pPr>
      <w:r>
        <w:rPr>
          <w:rFonts w:ascii="Times New Roman" w:hAnsi="Times New Roman"/>
          <w:sz w:val="28"/>
          <w:szCs w:val="28"/>
        </w:rPr>
        <w:t xml:space="preserve">The proposed rule further provides that at a hearing held at the </w:t>
      </w:r>
      <w:r w:rsidR="00603578">
        <w:rPr>
          <w:rFonts w:ascii="Times New Roman" w:hAnsi="Times New Roman"/>
          <w:sz w:val="28"/>
          <w:szCs w:val="28"/>
        </w:rPr>
        <w:t>court’s discretion</w:t>
      </w:r>
      <w:r w:rsidR="002A179F">
        <w:rPr>
          <w:rFonts w:ascii="Times New Roman" w:hAnsi="Times New Roman"/>
          <w:sz w:val="28"/>
          <w:szCs w:val="28"/>
        </w:rPr>
        <w:t xml:space="preserve"> to</w:t>
      </w:r>
      <w:r>
        <w:rPr>
          <w:rFonts w:ascii="Times New Roman" w:hAnsi="Times New Roman"/>
          <w:sz w:val="28"/>
          <w:szCs w:val="28"/>
        </w:rPr>
        <w:t xml:space="preserve"> address </w:t>
      </w:r>
      <w:r w:rsidR="002A179F">
        <w:rPr>
          <w:rFonts w:ascii="Times New Roman" w:hAnsi="Times New Roman"/>
          <w:sz w:val="28"/>
          <w:szCs w:val="28"/>
        </w:rPr>
        <w:t xml:space="preserve">the </w:t>
      </w:r>
      <w:r>
        <w:rPr>
          <w:rFonts w:ascii="Times New Roman" w:hAnsi="Times New Roman"/>
          <w:sz w:val="28"/>
          <w:szCs w:val="28"/>
        </w:rPr>
        <w:t>admissibility</w:t>
      </w:r>
      <w:r w:rsidR="002A179F">
        <w:rPr>
          <w:rFonts w:ascii="Times New Roman" w:hAnsi="Times New Roman"/>
          <w:sz w:val="28"/>
          <w:szCs w:val="28"/>
        </w:rPr>
        <w:t xml:space="preserve"> of statements</w:t>
      </w:r>
      <w:r>
        <w:rPr>
          <w:rFonts w:ascii="Times New Roman" w:hAnsi="Times New Roman"/>
          <w:sz w:val="28"/>
          <w:szCs w:val="28"/>
        </w:rPr>
        <w:t xml:space="preserve"> under th</w:t>
      </w:r>
      <w:r w:rsidR="002A179F">
        <w:rPr>
          <w:rFonts w:ascii="Times New Roman" w:hAnsi="Times New Roman"/>
          <w:sz w:val="28"/>
          <w:szCs w:val="28"/>
        </w:rPr>
        <w:t>is</w:t>
      </w:r>
      <w:r>
        <w:rPr>
          <w:rFonts w:ascii="Times New Roman" w:hAnsi="Times New Roman"/>
          <w:sz w:val="28"/>
          <w:szCs w:val="28"/>
        </w:rPr>
        <w:t xml:space="preserve"> rule</w:t>
      </w:r>
      <w:r w:rsidR="00B0310B">
        <w:rPr>
          <w:rFonts w:ascii="Times New Roman" w:hAnsi="Times New Roman"/>
          <w:sz w:val="28"/>
          <w:szCs w:val="28"/>
        </w:rPr>
        <w:t>,</w:t>
      </w:r>
      <w:r>
        <w:rPr>
          <w:rFonts w:ascii="Times New Roman" w:hAnsi="Times New Roman"/>
          <w:sz w:val="28"/>
          <w:szCs w:val="28"/>
        </w:rPr>
        <w:t xml:space="preserve"> there </w:t>
      </w:r>
      <w:r w:rsidR="00CE40C7">
        <w:rPr>
          <w:rFonts w:ascii="Times New Roman" w:hAnsi="Times New Roman"/>
          <w:sz w:val="28"/>
          <w:szCs w:val="28"/>
        </w:rPr>
        <w:t xml:space="preserve">would </w:t>
      </w:r>
      <w:r w:rsidR="002A179F">
        <w:rPr>
          <w:rFonts w:ascii="Times New Roman" w:hAnsi="Times New Roman"/>
          <w:sz w:val="28"/>
          <w:szCs w:val="28"/>
        </w:rPr>
        <w:t xml:space="preserve">be </w:t>
      </w:r>
      <w:r>
        <w:rPr>
          <w:rFonts w:ascii="Times New Roman" w:hAnsi="Times New Roman"/>
          <w:sz w:val="28"/>
          <w:szCs w:val="28"/>
        </w:rPr>
        <w:t xml:space="preserve">a rebuttable presumption that the child </w:t>
      </w:r>
      <w:r w:rsidR="00CE40C7">
        <w:rPr>
          <w:rFonts w:ascii="Times New Roman" w:hAnsi="Times New Roman"/>
          <w:sz w:val="28"/>
          <w:szCs w:val="28"/>
        </w:rPr>
        <w:t xml:space="preserve">may </w:t>
      </w:r>
      <w:r>
        <w:rPr>
          <w:rFonts w:ascii="Times New Roman" w:hAnsi="Times New Roman"/>
          <w:sz w:val="28"/>
          <w:szCs w:val="28"/>
        </w:rPr>
        <w:t>not be called as a witness</w:t>
      </w:r>
      <w:r w:rsidR="002A179F">
        <w:rPr>
          <w:rFonts w:ascii="Times New Roman" w:hAnsi="Times New Roman"/>
          <w:sz w:val="28"/>
          <w:szCs w:val="28"/>
        </w:rPr>
        <w:t xml:space="preserve"> at that hearing</w:t>
      </w:r>
      <w:r>
        <w:rPr>
          <w:rFonts w:ascii="Times New Roman" w:hAnsi="Times New Roman"/>
          <w:sz w:val="28"/>
          <w:szCs w:val="28"/>
        </w:rPr>
        <w:t xml:space="preserve"> absent a showing of extraordinary circumstances. There would also be a presumption that the </w:t>
      </w:r>
      <w:r w:rsidRPr="00797EAC">
        <w:rPr>
          <w:rFonts w:ascii="Times New Roman" w:hAnsi="Times New Roman"/>
          <w:i/>
          <w:iCs/>
          <w:sz w:val="28"/>
          <w:szCs w:val="28"/>
        </w:rPr>
        <w:t>entire</w:t>
      </w:r>
      <w:r>
        <w:rPr>
          <w:rFonts w:ascii="Times New Roman" w:hAnsi="Times New Roman"/>
          <w:sz w:val="28"/>
          <w:szCs w:val="28"/>
        </w:rPr>
        <w:t xml:space="preserve"> forensic interview would be admissible unless the court orders removal of certain statements if in the interests of justice to do so. Any statements made by the child that would be inadmissible under </w:t>
      </w:r>
      <w:r w:rsidRPr="007F4450">
        <w:rPr>
          <w:rFonts w:ascii="Times New Roman" w:hAnsi="Times New Roman"/>
          <w:sz w:val="28"/>
          <w:szCs w:val="28"/>
        </w:rPr>
        <w:t>A.R.S. § 13-1421</w:t>
      </w:r>
      <w:r>
        <w:rPr>
          <w:rFonts w:ascii="Times New Roman" w:hAnsi="Times New Roman"/>
          <w:sz w:val="28"/>
          <w:szCs w:val="28"/>
        </w:rPr>
        <w:t xml:space="preserve"> would not be admissible under the proposed rule.</w:t>
      </w:r>
    </w:p>
    <w:p w14:paraId="2ABB4E24" w14:textId="089C7820" w:rsidR="00603578" w:rsidRDefault="005140B4" w:rsidP="00BC2277">
      <w:pPr>
        <w:spacing w:line="480" w:lineRule="auto"/>
        <w:ind w:firstLine="720"/>
        <w:jc w:val="both"/>
        <w:rPr>
          <w:rFonts w:ascii="Times New Roman" w:hAnsi="Times New Roman"/>
          <w:sz w:val="28"/>
          <w:szCs w:val="28"/>
        </w:rPr>
      </w:pPr>
      <w:r w:rsidRPr="005140B4">
        <w:rPr>
          <w:rFonts w:ascii="Times New Roman" w:hAnsi="Times New Roman"/>
          <w:sz w:val="28"/>
          <w:szCs w:val="28"/>
        </w:rPr>
        <w:t>Petitioners, the Maricopa County Attorney’s Office and Arizona Voice for Crime Victims, seek to solve a problem that does not appear to exist, and their proposal would create serious problems</w:t>
      </w:r>
      <w:r w:rsidR="002A179F">
        <w:rPr>
          <w:rFonts w:ascii="Times New Roman" w:hAnsi="Times New Roman"/>
          <w:sz w:val="28"/>
          <w:szCs w:val="28"/>
        </w:rPr>
        <w:t>, not only for the criminally accused but also for the courts</w:t>
      </w:r>
      <w:r w:rsidR="009A1074">
        <w:rPr>
          <w:rFonts w:ascii="Times New Roman" w:hAnsi="Times New Roman"/>
          <w:sz w:val="28"/>
          <w:szCs w:val="28"/>
        </w:rPr>
        <w:t>.</w:t>
      </w:r>
      <w:r w:rsidRPr="005140B4">
        <w:rPr>
          <w:rFonts w:ascii="Times New Roman" w:hAnsi="Times New Roman"/>
          <w:sz w:val="28"/>
          <w:szCs w:val="28"/>
        </w:rPr>
        <w:t xml:space="preserve"> </w:t>
      </w:r>
      <w:r w:rsidR="00AB0F3B" w:rsidRPr="00AB0F3B">
        <w:rPr>
          <w:rFonts w:ascii="Times New Roman" w:hAnsi="Times New Roman"/>
          <w:sz w:val="28"/>
          <w:szCs w:val="28"/>
        </w:rPr>
        <w:t xml:space="preserve">The </w:t>
      </w:r>
      <w:r w:rsidR="00603578">
        <w:rPr>
          <w:rFonts w:ascii="Times New Roman" w:hAnsi="Times New Roman"/>
          <w:sz w:val="28"/>
          <w:szCs w:val="28"/>
        </w:rPr>
        <w:t xml:space="preserve">proposed </w:t>
      </w:r>
      <w:r w:rsidR="00AB0F3B" w:rsidRPr="00AB0F3B">
        <w:rPr>
          <w:rFonts w:ascii="Times New Roman" w:hAnsi="Times New Roman"/>
          <w:sz w:val="28"/>
          <w:szCs w:val="28"/>
        </w:rPr>
        <w:t>rule violates the Confrontation Clause by admitting testimonial hearsay without meaningful cross-examination</w:t>
      </w:r>
      <w:r w:rsidR="00810D75">
        <w:rPr>
          <w:rFonts w:ascii="Times New Roman" w:hAnsi="Times New Roman"/>
          <w:sz w:val="28"/>
          <w:szCs w:val="28"/>
        </w:rPr>
        <w:t xml:space="preserve">. </w:t>
      </w:r>
      <w:r w:rsidR="00AB0F3B" w:rsidRPr="00AB0F3B">
        <w:rPr>
          <w:rFonts w:ascii="Times New Roman" w:hAnsi="Times New Roman"/>
          <w:sz w:val="28"/>
          <w:szCs w:val="28"/>
        </w:rPr>
        <w:t xml:space="preserve">It would also impose significant financial burdens, invite abuse by permitting the admission of unreliable interviews, and create confusion about what constitutes an opportunity for cross-examination. Existing hearsay exceptions already provide a sufficient and balanced framework for admitting reliable child statements. By presuming reliability without </w:t>
      </w:r>
      <w:r w:rsidR="00AB0F3B" w:rsidRPr="00AB0F3B">
        <w:rPr>
          <w:rFonts w:ascii="Times New Roman" w:hAnsi="Times New Roman"/>
          <w:sz w:val="28"/>
          <w:szCs w:val="28"/>
        </w:rPr>
        <w:lastRenderedPageBreak/>
        <w:t>rigorous safeguards, the rule increases the risk of wrongful convictions in the most serious criminal cases.</w:t>
      </w:r>
      <w:r w:rsidR="00AB0F3B">
        <w:rPr>
          <w:rFonts w:ascii="Times New Roman" w:hAnsi="Times New Roman"/>
          <w:sz w:val="28"/>
          <w:szCs w:val="28"/>
        </w:rPr>
        <w:t xml:space="preserve"> Each issue is addressed in-depth below. </w:t>
      </w:r>
    </w:p>
    <w:p w14:paraId="68F951B4" w14:textId="53FCEDF9" w:rsidR="004C2066" w:rsidRDefault="007D7A55" w:rsidP="002A179F">
      <w:pPr>
        <w:pStyle w:val="ListParagraph"/>
        <w:numPr>
          <w:ilvl w:val="0"/>
          <w:numId w:val="28"/>
        </w:numPr>
        <w:spacing w:line="240" w:lineRule="auto"/>
        <w:ind w:left="720"/>
        <w:jc w:val="both"/>
        <w:rPr>
          <w:rFonts w:ascii="Times New Roman" w:hAnsi="Times New Roman"/>
          <w:b/>
          <w:bCs/>
          <w:sz w:val="28"/>
          <w:szCs w:val="28"/>
        </w:rPr>
      </w:pPr>
      <w:r>
        <w:rPr>
          <w:rFonts w:ascii="Times New Roman" w:hAnsi="Times New Roman"/>
          <w:b/>
          <w:bCs/>
          <w:sz w:val="28"/>
          <w:szCs w:val="28"/>
        </w:rPr>
        <w:t xml:space="preserve">Proposed Rule </w:t>
      </w:r>
      <w:r w:rsidR="0069446D">
        <w:rPr>
          <w:rFonts w:ascii="Times New Roman" w:hAnsi="Times New Roman"/>
          <w:b/>
          <w:bCs/>
          <w:sz w:val="28"/>
          <w:szCs w:val="28"/>
        </w:rPr>
        <w:t xml:space="preserve">807.01 violates </w:t>
      </w:r>
      <w:r w:rsidR="006A2E18" w:rsidRPr="006A2E18">
        <w:rPr>
          <w:rFonts w:ascii="Times New Roman" w:hAnsi="Times New Roman"/>
          <w:b/>
          <w:bCs/>
          <w:sz w:val="28"/>
          <w:szCs w:val="28"/>
        </w:rPr>
        <w:t>the Confrontation Clauses of the U.S. and Arizona Constitutions.</w:t>
      </w:r>
      <w:r w:rsidR="0069446D">
        <w:rPr>
          <w:rFonts w:ascii="Times New Roman" w:hAnsi="Times New Roman"/>
          <w:b/>
          <w:bCs/>
          <w:sz w:val="28"/>
          <w:szCs w:val="28"/>
        </w:rPr>
        <w:t xml:space="preserve">  </w:t>
      </w:r>
      <w:r w:rsidRPr="007D7A55">
        <w:rPr>
          <w:rFonts w:ascii="Times New Roman" w:hAnsi="Times New Roman"/>
          <w:b/>
          <w:bCs/>
          <w:sz w:val="28"/>
          <w:szCs w:val="28"/>
        </w:rPr>
        <w:t xml:space="preserve"> </w:t>
      </w:r>
    </w:p>
    <w:p w14:paraId="7AFB2EA7" w14:textId="77777777" w:rsidR="003658B4" w:rsidRDefault="003658B4" w:rsidP="00CE40C7">
      <w:pPr>
        <w:spacing w:line="240" w:lineRule="auto"/>
        <w:jc w:val="both"/>
        <w:rPr>
          <w:rFonts w:ascii="Times New Roman" w:hAnsi="Times New Roman"/>
          <w:sz w:val="28"/>
          <w:szCs w:val="28"/>
        </w:rPr>
      </w:pPr>
    </w:p>
    <w:p w14:paraId="1CC794F0" w14:textId="6FFE431B" w:rsidR="00C51151" w:rsidRPr="00C51151" w:rsidRDefault="00C51151" w:rsidP="00C51151">
      <w:pPr>
        <w:spacing w:line="480" w:lineRule="auto"/>
        <w:ind w:firstLine="720"/>
        <w:jc w:val="both"/>
        <w:rPr>
          <w:rFonts w:ascii="Times New Roman" w:hAnsi="Times New Roman"/>
          <w:sz w:val="28"/>
          <w:szCs w:val="28"/>
        </w:rPr>
      </w:pPr>
      <w:r w:rsidRPr="00C51151">
        <w:rPr>
          <w:rFonts w:ascii="Times New Roman" w:hAnsi="Times New Roman"/>
          <w:sz w:val="28"/>
          <w:szCs w:val="28"/>
        </w:rPr>
        <w:t>In the U.S. Constitution, the Sixth Amendment’s Confrontation Clause provides that “[</w:t>
      </w:r>
      <w:proofErr w:type="spellStart"/>
      <w:r w:rsidRPr="00C51151">
        <w:rPr>
          <w:rFonts w:ascii="Times New Roman" w:hAnsi="Times New Roman"/>
          <w:sz w:val="28"/>
          <w:szCs w:val="28"/>
        </w:rPr>
        <w:t>i</w:t>
      </w:r>
      <w:proofErr w:type="spellEnd"/>
      <w:r w:rsidRPr="00C51151">
        <w:rPr>
          <w:rFonts w:ascii="Times New Roman" w:hAnsi="Times New Roman"/>
          <w:sz w:val="28"/>
          <w:szCs w:val="28"/>
        </w:rPr>
        <w:t xml:space="preserve">]n all criminal prosecutions, the accused shall enjoy the right [. . .] to be confronted with the witnesses against him.” This protection applies to both federal and state prosecutions. </w:t>
      </w:r>
      <w:r w:rsidRPr="00C51151">
        <w:rPr>
          <w:rFonts w:ascii="Times New Roman" w:hAnsi="Times New Roman"/>
          <w:i/>
          <w:sz w:val="28"/>
          <w:szCs w:val="28"/>
        </w:rPr>
        <w:t>Pointer v. Texas</w:t>
      </w:r>
      <w:r w:rsidRPr="00C51151">
        <w:rPr>
          <w:rFonts w:ascii="Times New Roman" w:hAnsi="Times New Roman"/>
          <w:sz w:val="28"/>
          <w:szCs w:val="28"/>
        </w:rPr>
        <w:t>, 380 U.S. 400, 406 (1965).</w:t>
      </w:r>
      <w:r w:rsidRPr="00C51151">
        <w:rPr>
          <w:rFonts w:ascii="Times New Roman" w:hAnsi="Times New Roman"/>
          <w:i/>
          <w:sz w:val="28"/>
          <w:szCs w:val="28"/>
        </w:rPr>
        <w:t xml:space="preserve"> </w:t>
      </w:r>
      <w:r w:rsidRPr="00C51151">
        <w:rPr>
          <w:rFonts w:ascii="Times New Roman" w:hAnsi="Times New Roman"/>
          <w:sz w:val="28"/>
          <w:szCs w:val="28"/>
        </w:rPr>
        <w:t xml:space="preserve">Article II, § 24 of the Arizona Constitution likewise guarantees a defendant’s right to confront the witnesses against him “face to face.” This right is primarily implemented through cross-examination. </w:t>
      </w:r>
      <w:r w:rsidRPr="00C51151">
        <w:rPr>
          <w:rFonts w:ascii="Times New Roman" w:hAnsi="Times New Roman"/>
          <w:i/>
          <w:iCs/>
          <w:sz w:val="28"/>
          <w:szCs w:val="28"/>
        </w:rPr>
        <w:t xml:space="preserve">Kentucky v. </w:t>
      </w:r>
      <w:proofErr w:type="spellStart"/>
      <w:r w:rsidRPr="00C51151">
        <w:rPr>
          <w:rFonts w:ascii="Times New Roman" w:hAnsi="Times New Roman"/>
          <w:i/>
          <w:iCs/>
          <w:sz w:val="28"/>
          <w:szCs w:val="28"/>
        </w:rPr>
        <w:t>Stincer</w:t>
      </w:r>
      <w:proofErr w:type="spellEnd"/>
      <w:r w:rsidRPr="00C51151">
        <w:rPr>
          <w:rFonts w:ascii="Times New Roman" w:hAnsi="Times New Roman"/>
          <w:sz w:val="28"/>
          <w:szCs w:val="28"/>
        </w:rPr>
        <w:t xml:space="preserve">, 482 U.S. 730, 736 (1987); </w:t>
      </w:r>
      <w:r w:rsidRPr="00C51151">
        <w:rPr>
          <w:rFonts w:ascii="Times New Roman" w:hAnsi="Times New Roman"/>
          <w:i/>
          <w:iCs/>
          <w:sz w:val="28"/>
          <w:szCs w:val="28"/>
        </w:rPr>
        <w:t>State v. Vess</w:t>
      </w:r>
      <w:r w:rsidRPr="00C51151">
        <w:rPr>
          <w:rFonts w:ascii="Times New Roman" w:hAnsi="Times New Roman"/>
          <w:sz w:val="28"/>
          <w:szCs w:val="28"/>
        </w:rPr>
        <w:t xml:space="preserve">, 157 Ariz. 236, 237–38 (App. 1988). </w:t>
      </w:r>
    </w:p>
    <w:p w14:paraId="16C72ABA" w14:textId="16AAD522" w:rsidR="00C51151" w:rsidRPr="00186F81" w:rsidRDefault="00C51151" w:rsidP="00C51151">
      <w:pPr>
        <w:spacing w:line="480" w:lineRule="auto"/>
        <w:ind w:firstLine="720"/>
        <w:jc w:val="both"/>
        <w:rPr>
          <w:rFonts w:ascii="Times New Roman" w:hAnsi="Times New Roman"/>
          <w:i/>
          <w:iCs/>
          <w:sz w:val="28"/>
          <w:szCs w:val="28"/>
        </w:rPr>
      </w:pPr>
      <w:r w:rsidRPr="00C51151">
        <w:rPr>
          <w:rFonts w:ascii="Times New Roman" w:hAnsi="Times New Roman"/>
          <w:sz w:val="28"/>
          <w:szCs w:val="28"/>
        </w:rPr>
        <w:t xml:space="preserve">Prior to 2004, the United States Supreme Court had held that, regardless of a defendant’s right to confrontation, an unavailable witness’s out-of-court statement could be admitted so long as it had adequate indicia of reliability, </w:t>
      </w:r>
      <w:r w:rsidRPr="00C51151">
        <w:rPr>
          <w:rFonts w:ascii="Times New Roman" w:hAnsi="Times New Roman"/>
          <w:i/>
          <w:iCs/>
          <w:sz w:val="28"/>
          <w:szCs w:val="28"/>
        </w:rPr>
        <w:t>i.e.</w:t>
      </w:r>
      <w:r w:rsidRPr="00C51151">
        <w:rPr>
          <w:rFonts w:ascii="Times New Roman" w:hAnsi="Times New Roman"/>
          <w:sz w:val="28"/>
          <w:szCs w:val="28"/>
        </w:rPr>
        <w:t xml:space="preserve">, that it fell within a firmly rooted hearsay exception or bore a particularized guarantee of trustworthiness. </w:t>
      </w:r>
      <w:r w:rsidRPr="00C51151">
        <w:rPr>
          <w:rFonts w:ascii="Times New Roman" w:hAnsi="Times New Roman"/>
          <w:i/>
          <w:sz w:val="28"/>
          <w:szCs w:val="28"/>
        </w:rPr>
        <w:t>Ohio v. Roberts</w:t>
      </w:r>
      <w:r w:rsidRPr="00C51151">
        <w:rPr>
          <w:rFonts w:ascii="Times New Roman" w:hAnsi="Times New Roman"/>
          <w:sz w:val="28"/>
          <w:szCs w:val="28"/>
        </w:rPr>
        <w:t xml:space="preserve">, 448 U.S. 56, 66 (1980). In </w:t>
      </w:r>
      <w:r w:rsidRPr="00C51151">
        <w:rPr>
          <w:rFonts w:ascii="Times New Roman" w:hAnsi="Times New Roman"/>
          <w:i/>
          <w:sz w:val="28"/>
          <w:szCs w:val="28"/>
        </w:rPr>
        <w:t>Crawford v. Washington</w:t>
      </w:r>
      <w:r w:rsidRPr="00C51151">
        <w:rPr>
          <w:rFonts w:ascii="Times New Roman" w:hAnsi="Times New Roman"/>
          <w:sz w:val="28"/>
          <w:szCs w:val="28"/>
        </w:rPr>
        <w:t xml:space="preserve">, the Court rejected the </w:t>
      </w:r>
      <w:r w:rsidRPr="00C51151">
        <w:rPr>
          <w:rFonts w:ascii="Times New Roman" w:hAnsi="Times New Roman"/>
          <w:i/>
          <w:sz w:val="28"/>
          <w:szCs w:val="28"/>
        </w:rPr>
        <w:t>Roberts</w:t>
      </w:r>
      <w:r w:rsidRPr="00C51151">
        <w:rPr>
          <w:rFonts w:ascii="Times New Roman" w:hAnsi="Times New Roman"/>
          <w:sz w:val="28"/>
          <w:szCs w:val="28"/>
        </w:rPr>
        <w:t xml:space="preserve"> rule, instead holding that the “Sixth Amendment demands what the common law required: unavailability and a prior opportunity for cross examination” when testimonial evidence is at issue. 541 U.S. 36, 68 (2004). </w:t>
      </w:r>
      <w:r w:rsidR="00CE40C7">
        <w:rPr>
          <w:rFonts w:ascii="Times New Roman" w:hAnsi="Times New Roman"/>
          <w:sz w:val="28"/>
          <w:szCs w:val="28"/>
        </w:rPr>
        <w:t>Arizona</w:t>
      </w:r>
      <w:r w:rsidRPr="00C51151">
        <w:rPr>
          <w:rFonts w:ascii="Times New Roman" w:hAnsi="Times New Roman"/>
          <w:sz w:val="28"/>
          <w:szCs w:val="28"/>
        </w:rPr>
        <w:t xml:space="preserve"> has recognized that a statement may be considered </w:t>
      </w:r>
      <w:r w:rsidRPr="00C51151">
        <w:rPr>
          <w:rFonts w:ascii="Times New Roman" w:hAnsi="Times New Roman"/>
          <w:sz w:val="28"/>
          <w:szCs w:val="28"/>
        </w:rPr>
        <w:lastRenderedPageBreak/>
        <w:t xml:space="preserve">testimonial under </w:t>
      </w:r>
      <w:r w:rsidRPr="00C51151">
        <w:rPr>
          <w:rFonts w:ascii="Times New Roman" w:hAnsi="Times New Roman"/>
          <w:i/>
          <w:iCs/>
          <w:sz w:val="28"/>
          <w:szCs w:val="28"/>
        </w:rPr>
        <w:t xml:space="preserve">Crawford </w:t>
      </w:r>
      <w:r w:rsidRPr="00C51151">
        <w:rPr>
          <w:rFonts w:ascii="Times New Roman" w:hAnsi="Times New Roman"/>
          <w:sz w:val="28"/>
          <w:szCs w:val="28"/>
        </w:rPr>
        <w:t xml:space="preserve">“if the declarant would reasonably expect it to be used prosecutorially or if it was made under circumstances that would lead an objective witness reasonably to believe the statement would be available for use at a later trial.” </w:t>
      </w:r>
      <w:r w:rsidRPr="00C51151">
        <w:rPr>
          <w:rFonts w:ascii="Times New Roman" w:hAnsi="Times New Roman"/>
          <w:i/>
          <w:iCs/>
          <w:sz w:val="28"/>
          <w:szCs w:val="28"/>
        </w:rPr>
        <w:t>State v. Parks</w:t>
      </w:r>
      <w:r w:rsidRPr="00C51151">
        <w:rPr>
          <w:rFonts w:ascii="Times New Roman" w:hAnsi="Times New Roman"/>
          <w:sz w:val="28"/>
          <w:szCs w:val="28"/>
        </w:rPr>
        <w:t xml:space="preserve">, 211 Ariz. 19, </w:t>
      </w:r>
      <w:r w:rsidR="00186F81">
        <w:rPr>
          <w:rFonts w:ascii="Times New Roman" w:hAnsi="Times New Roman"/>
          <w:sz w:val="28"/>
          <w:szCs w:val="28"/>
        </w:rPr>
        <w:t xml:space="preserve">25 ¶ </w:t>
      </w:r>
      <w:r w:rsidRPr="00C51151">
        <w:rPr>
          <w:rFonts w:ascii="Times New Roman" w:hAnsi="Times New Roman"/>
          <w:sz w:val="28"/>
          <w:szCs w:val="28"/>
        </w:rPr>
        <w:t>28 (App. 2005)</w:t>
      </w:r>
      <w:r w:rsidR="00186F81">
        <w:rPr>
          <w:rFonts w:ascii="Times New Roman" w:hAnsi="Times New Roman"/>
          <w:sz w:val="28"/>
          <w:szCs w:val="28"/>
        </w:rPr>
        <w:t xml:space="preserve"> (quoting </w:t>
      </w:r>
      <w:r w:rsidR="00186F81" w:rsidRPr="00C51151">
        <w:rPr>
          <w:rFonts w:ascii="Times New Roman" w:hAnsi="Times New Roman"/>
          <w:i/>
          <w:iCs/>
          <w:sz w:val="28"/>
          <w:szCs w:val="28"/>
        </w:rPr>
        <w:t>Crawford</w:t>
      </w:r>
      <w:r w:rsidR="00186F81">
        <w:rPr>
          <w:rFonts w:ascii="Times New Roman" w:hAnsi="Times New Roman"/>
          <w:sz w:val="28"/>
          <w:szCs w:val="28"/>
        </w:rPr>
        <w:t>, 541 U.S. at 51-52)</w:t>
      </w:r>
      <w:r w:rsidRPr="00C51151">
        <w:rPr>
          <w:rFonts w:ascii="Times New Roman" w:hAnsi="Times New Roman"/>
          <w:sz w:val="28"/>
          <w:szCs w:val="28"/>
        </w:rPr>
        <w:t xml:space="preserve">; </w:t>
      </w:r>
      <w:r w:rsidRPr="00C51151">
        <w:rPr>
          <w:rFonts w:ascii="Times New Roman" w:hAnsi="Times New Roman"/>
          <w:i/>
          <w:iCs/>
          <w:sz w:val="28"/>
          <w:szCs w:val="28"/>
        </w:rPr>
        <w:t>see also Michigan v. Bryant</w:t>
      </w:r>
      <w:r w:rsidRPr="00C51151">
        <w:rPr>
          <w:rFonts w:ascii="Times New Roman" w:hAnsi="Times New Roman"/>
          <w:sz w:val="28"/>
          <w:szCs w:val="28"/>
        </w:rPr>
        <w:t xml:space="preserve">, 562 U.S. 344, 358 (2011). Furthermore, the </w:t>
      </w:r>
      <w:r w:rsidRPr="00C51151">
        <w:rPr>
          <w:rFonts w:ascii="Times New Roman" w:hAnsi="Times New Roman"/>
          <w:i/>
          <w:iCs/>
          <w:sz w:val="28"/>
          <w:szCs w:val="28"/>
        </w:rPr>
        <w:t>Crawford</w:t>
      </w:r>
      <w:r w:rsidRPr="00C51151">
        <w:rPr>
          <w:rFonts w:ascii="Times New Roman" w:hAnsi="Times New Roman"/>
          <w:sz w:val="28"/>
          <w:szCs w:val="28"/>
        </w:rPr>
        <w:t xml:space="preserve"> Court clarified that the Confrontation Clause “does not bar the use of testimonial statements for purposes other than establishing the truth of the matter asserted.” 541 U.S. at 60 n.9.</w:t>
      </w:r>
    </w:p>
    <w:p w14:paraId="4427BAB1" w14:textId="0352FE7F" w:rsidR="00C51151" w:rsidRPr="00C51151" w:rsidRDefault="00C51151" w:rsidP="00C51151">
      <w:pPr>
        <w:spacing w:line="480" w:lineRule="auto"/>
        <w:ind w:firstLine="720"/>
        <w:jc w:val="both"/>
        <w:rPr>
          <w:rFonts w:ascii="Times New Roman" w:hAnsi="Times New Roman"/>
          <w:sz w:val="28"/>
          <w:szCs w:val="28"/>
        </w:rPr>
      </w:pPr>
      <w:r w:rsidRPr="00C51151">
        <w:rPr>
          <w:rFonts w:ascii="Times New Roman" w:hAnsi="Times New Roman"/>
          <w:sz w:val="28"/>
          <w:szCs w:val="28"/>
        </w:rPr>
        <w:t xml:space="preserve">Whether a statement is testimonial is a factually driven inquiry that must be determined on a case-by-case basis, depending “on the circumstances existing when the statement was made” and considering “the totality of the circumstances surrounding [the statement].” </w:t>
      </w:r>
      <w:r w:rsidRPr="00C51151">
        <w:rPr>
          <w:rFonts w:ascii="Times New Roman" w:hAnsi="Times New Roman"/>
          <w:i/>
          <w:iCs/>
          <w:sz w:val="28"/>
          <w:szCs w:val="28"/>
        </w:rPr>
        <w:t>Parks</w:t>
      </w:r>
      <w:r w:rsidRPr="00C51151">
        <w:rPr>
          <w:rFonts w:ascii="Times New Roman" w:hAnsi="Times New Roman"/>
          <w:sz w:val="28"/>
          <w:szCs w:val="28"/>
        </w:rPr>
        <w:t>, 211 Ariz. at</w:t>
      </w:r>
      <w:r w:rsidR="00186F81">
        <w:rPr>
          <w:rFonts w:ascii="Times New Roman" w:hAnsi="Times New Roman"/>
          <w:sz w:val="28"/>
          <w:szCs w:val="28"/>
        </w:rPr>
        <w:t>27 ¶ 40, 30 ¶ 52</w:t>
      </w:r>
      <w:r w:rsidRPr="00C51151">
        <w:rPr>
          <w:rFonts w:ascii="Times New Roman" w:hAnsi="Times New Roman"/>
          <w:sz w:val="28"/>
          <w:szCs w:val="28"/>
        </w:rPr>
        <w:t xml:space="preserve">. In making that inquiry, there must be a focus on the purpose of the particular exchange. </w:t>
      </w:r>
      <w:r w:rsidRPr="00C51151">
        <w:rPr>
          <w:rFonts w:ascii="Times New Roman" w:hAnsi="Times New Roman"/>
          <w:i/>
          <w:iCs/>
          <w:sz w:val="28"/>
          <w:szCs w:val="28"/>
        </w:rPr>
        <w:t>See State v. Alvarez</w:t>
      </w:r>
      <w:r w:rsidRPr="00C51151">
        <w:rPr>
          <w:rFonts w:ascii="Times New Roman" w:hAnsi="Times New Roman"/>
          <w:sz w:val="28"/>
          <w:szCs w:val="28"/>
        </w:rPr>
        <w:t>, 213 Ariz. 467, 471</w:t>
      </w:r>
      <w:r w:rsidR="00186F81">
        <w:rPr>
          <w:rFonts w:ascii="Times New Roman" w:hAnsi="Times New Roman"/>
          <w:sz w:val="28"/>
          <w:szCs w:val="28"/>
        </w:rPr>
        <w:t xml:space="preserve"> ¶ 15</w:t>
      </w:r>
      <w:r w:rsidRPr="00C51151">
        <w:rPr>
          <w:rFonts w:ascii="Times New Roman" w:hAnsi="Times New Roman"/>
          <w:sz w:val="28"/>
          <w:szCs w:val="28"/>
        </w:rPr>
        <w:t xml:space="preserve"> (App. 2006). One of the primary purposes of a forensic interview is “to obtain information from a child that may be helpful in a criminal investigation.” Forensic Interviews, </w:t>
      </w:r>
      <w:r w:rsidRPr="00C51151">
        <w:rPr>
          <w:rFonts w:ascii="Times New Roman" w:hAnsi="Times New Roman"/>
          <w:i/>
          <w:iCs/>
          <w:sz w:val="28"/>
          <w:szCs w:val="28"/>
        </w:rPr>
        <w:t>Children’s Advocacy Center of Southern Arizona</w:t>
      </w:r>
      <w:r w:rsidRPr="00C51151">
        <w:rPr>
          <w:rFonts w:ascii="Times New Roman" w:hAnsi="Times New Roman"/>
          <w:sz w:val="28"/>
          <w:szCs w:val="28"/>
        </w:rPr>
        <w:t>, https://www.cacsoaz.org/forensic-interviews/ (last visited April 25, 2025).</w:t>
      </w:r>
    </w:p>
    <w:p w14:paraId="47D0C721" w14:textId="77777777" w:rsidR="00C51151" w:rsidRDefault="00C51151" w:rsidP="00C51151">
      <w:pPr>
        <w:spacing w:line="480" w:lineRule="auto"/>
        <w:ind w:firstLine="720"/>
        <w:jc w:val="both"/>
        <w:rPr>
          <w:rFonts w:ascii="Times New Roman" w:hAnsi="Times New Roman"/>
          <w:sz w:val="28"/>
          <w:szCs w:val="28"/>
        </w:rPr>
      </w:pPr>
      <w:r w:rsidRPr="00C51151">
        <w:rPr>
          <w:rFonts w:ascii="Times New Roman" w:hAnsi="Times New Roman"/>
          <w:sz w:val="28"/>
          <w:szCs w:val="28"/>
        </w:rPr>
        <w:t xml:space="preserve">Applying this Court’s definition of a testimonial statement from </w:t>
      </w:r>
      <w:r w:rsidRPr="00C51151">
        <w:rPr>
          <w:rFonts w:ascii="Times New Roman" w:hAnsi="Times New Roman"/>
          <w:i/>
          <w:iCs/>
          <w:sz w:val="28"/>
          <w:szCs w:val="28"/>
        </w:rPr>
        <w:t>Parks</w:t>
      </w:r>
      <w:r w:rsidRPr="00C51151">
        <w:rPr>
          <w:rFonts w:ascii="Times New Roman" w:hAnsi="Times New Roman"/>
          <w:sz w:val="28"/>
          <w:szCs w:val="28"/>
        </w:rPr>
        <w:t xml:space="preserve">, it is evident that statements made during a forensic interview are indeed testimonial in </w:t>
      </w:r>
      <w:r w:rsidRPr="00C51151">
        <w:rPr>
          <w:rFonts w:ascii="Times New Roman" w:hAnsi="Times New Roman"/>
          <w:sz w:val="28"/>
          <w:szCs w:val="28"/>
        </w:rPr>
        <w:lastRenderedPageBreak/>
        <w:t xml:space="preserve">nature. </w:t>
      </w:r>
      <w:r w:rsidRPr="00C51151">
        <w:rPr>
          <w:rFonts w:ascii="Times New Roman" w:hAnsi="Times New Roman"/>
          <w:i/>
          <w:iCs/>
          <w:sz w:val="28"/>
          <w:szCs w:val="28"/>
        </w:rPr>
        <w:t>See, e.g.</w:t>
      </w:r>
      <w:r w:rsidRPr="00C51151">
        <w:rPr>
          <w:rFonts w:ascii="Times New Roman" w:hAnsi="Times New Roman"/>
          <w:sz w:val="28"/>
          <w:szCs w:val="28"/>
        </w:rPr>
        <w:t xml:space="preserve">, </w:t>
      </w:r>
      <w:r w:rsidRPr="00C51151">
        <w:rPr>
          <w:rFonts w:ascii="Times New Roman" w:hAnsi="Times New Roman"/>
          <w:i/>
          <w:iCs/>
          <w:sz w:val="28"/>
          <w:szCs w:val="28"/>
        </w:rPr>
        <w:t>Hartsfield v. Commonwealth</w:t>
      </w:r>
      <w:r w:rsidRPr="00C51151">
        <w:rPr>
          <w:rFonts w:ascii="Times New Roman" w:hAnsi="Times New Roman"/>
          <w:sz w:val="28"/>
          <w:szCs w:val="28"/>
        </w:rPr>
        <w:t xml:space="preserve">, 277 S.W.3d 239, 245 (Ky. 2009) (finding that statements made during victim’s interview with a sexual assault nurse examiner were testimonial in nature, as they involved past events, were not related to an ongoing emergency, and took on the nature of a formal interview); </w:t>
      </w:r>
      <w:r w:rsidRPr="00C51151">
        <w:rPr>
          <w:rFonts w:ascii="Times New Roman" w:hAnsi="Times New Roman"/>
          <w:i/>
          <w:iCs/>
          <w:sz w:val="28"/>
          <w:szCs w:val="28"/>
        </w:rPr>
        <w:t>Phillips v. State</w:t>
      </w:r>
      <w:r w:rsidRPr="00C51151">
        <w:rPr>
          <w:rFonts w:ascii="Times New Roman" w:hAnsi="Times New Roman"/>
          <w:sz w:val="28"/>
          <w:szCs w:val="28"/>
        </w:rPr>
        <w:t xml:space="preserve">, 316 So.3d 779, 785 (Fla. App. 2021) (determining that the primary purpose of the child victim’s forensic interview was “an evidence-gathering mission conducted by a person specialized in carefully extracting said details from a child victim”); </w:t>
      </w:r>
      <w:r w:rsidRPr="00C51151">
        <w:rPr>
          <w:rFonts w:ascii="Times New Roman" w:hAnsi="Times New Roman"/>
          <w:i/>
          <w:iCs/>
          <w:sz w:val="28"/>
          <w:szCs w:val="28"/>
        </w:rPr>
        <w:t>State v. Richmond</w:t>
      </w:r>
      <w:r w:rsidRPr="00C51151">
        <w:rPr>
          <w:rFonts w:ascii="Times New Roman" w:hAnsi="Times New Roman"/>
          <w:sz w:val="28"/>
          <w:szCs w:val="28"/>
        </w:rPr>
        <w:t xml:space="preserve">, 935 N.W.2d 792, 801 (S.D. 2019) (finding the child victim’s forensic interview statements to be testimonial, as copies of the interview were distributed to law enforcement and then used to build a criminal case against defendant); </w:t>
      </w:r>
      <w:r w:rsidRPr="00C51151">
        <w:rPr>
          <w:rFonts w:ascii="Times New Roman" w:hAnsi="Times New Roman"/>
          <w:i/>
          <w:iCs/>
          <w:sz w:val="28"/>
          <w:szCs w:val="28"/>
        </w:rPr>
        <w:t>see also United States v. Eagle</w:t>
      </w:r>
      <w:r w:rsidRPr="00C51151">
        <w:rPr>
          <w:rFonts w:ascii="Times New Roman" w:hAnsi="Times New Roman"/>
          <w:sz w:val="28"/>
          <w:szCs w:val="28"/>
        </w:rPr>
        <w:t xml:space="preserve">, 515 F.3d 794, 802 (8th Cir. 2008) (declaring forensic interviews as testimonial without discussion). </w:t>
      </w:r>
    </w:p>
    <w:p w14:paraId="38137E42" w14:textId="05034900" w:rsidR="00F87825" w:rsidRDefault="00F87825" w:rsidP="00F87825">
      <w:pPr>
        <w:spacing w:line="480" w:lineRule="auto"/>
        <w:ind w:firstLine="720"/>
        <w:jc w:val="both"/>
        <w:rPr>
          <w:rFonts w:ascii="Times New Roman" w:hAnsi="Times New Roman"/>
          <w:sz w:val="28"/>
          <w:szCs w:val="28"/>
        </w:rPr>
      </w:pPr>
      <w:r>
        <w:rPr>
          <w:rFonts w:ascii="Times New Roman" w:hAnsi="Times New Roman"/>
          <w:sz w:val="28"/>
          <w:szCs w:val="28"/>
        </w:rPr>
        <w:t xml:space="preserve">Proponents of the rule allege that defendants would not be deprived of the opportunity to both confront and cross-examine children about statements made during a forensic interview. </w:t>
      </w:r>
      <w:r w:rsidR="00567D92">
        <w:rPr>
          <w:rFonts w:ascii="Times New Roman" w:hAnsi="Times New Roman"/>
          <w:sz w:val="28"/>
          <w:szCs w:val="28"/>
        </w:rPr>
        <w:t xml:space="preserve">Petition at 9. </w:t>
      </w:r>
      <w:r>
        <w:rPr>
          <w:rFonts w:ascii="Times New Roman" w:hAnsi="Times New Roman"/>
          <w:sz w:val="28"/>
          <w:szCs w:val="28"/>
        </w:rPr>
        <w:t xml:space="preserve">This argument, however, is misleading, suggesting that because defendants will have the opportunity to confront their accusers at trial, the requirements of the Confrontation Clause are satisfied, and thus a blanket admissibility of statements made during a forensic interview is justifiable. This is a misguided interpretation of the current rules regarding hearsay, which only permit a declarant-witness’s prior statement at trial in a number of specific </w:t>
      </w:r>
      <w:r>
        <w:rPr>
          <w:rFonts w:ascii="Times New Roman" w:hAnsi="Times New Roman"/>
          <w:sz w:val="28"/>
          <w:szCs w:val="28"/>
        </w:rPr>
        <w:lastRenderedPageBreak/>
        <w:t xml:space="preserve">circumstances. Ariz. R. Evid. 801(d)(1); </w:t>
      </w:r>
      <w:r>
        <w:rPr>
          <w:rFonts w:ascii="Times New Roman" w:hAnsi="Times New Roman"/>
          <w:i/>
          <w:iCs/>
          <w:sz w:val="28"/>
          <w:szCs w:val="28"/>
        </w:rPr>
        <w:t>see infra</w:t>
      </w:r>
      <w:r>
        <w:rPr>
          <w:rFonts w:ascii="Times New Roman" w:hAnsi="Times New Roman"/>
          <w:sz w:val="28"/>
          <w:szCs w:val="28"/>
        </w:rPr>
        <w:t xml:space="preserve"> Section </w:t>
      </w:r>
      <w:r w:rsidR="00AC3963">
        <w:rPr>
          <w:rFonts w:ascii="Times New Roman" w:hAnsi="Times New Roman"/>
          <w:sz w:val="28"/>
          <w:szCs w:val="28"/>
        </w:rPr>
        <w:t>III</w:t>
      </w:r>
      <w:r>
        <w:rPr>
          <w:rFonts w:ascii="Times New Roman" w:hAnsi="Times New Roman"/>
          <w:sz w:val="28"/>
          <w:szCs w:val="28"/>
        </w:rPr>
        <w:t>. Instead, petitioners contend that admitting entire forensic interviews into evidence would “give[] context to the jury to decide credibility.”</w:t>
      </w:r>
      <w:r w:rsidR="00D83738">
        <w:rPr>
          <w:rFonts w:ascii="Times New Roman" w:hAnsi="Times New Roman"/>
          <w:sz w:val="28"/>
          <w:szCs w:val="28"/>
        </w:rPr>
        <w:t xml:space="preserve"> Petition at 9.</w:t>
      </w:r>
    </w:p>
    <w:p w14:paraId="6E98744A" w14:textId="13C71B7B" w:rsidR="00F87825" w:rsidRPr="00F87825" w:rsidRDefault="00F87825" w:rsidP="00F87825">
      <w:pPr>
        <w:spacing w:line="480" w:lineRule="auto"/>
        <w:ind w:firstLine="720"/>
        <w:jc w:val="both"/>
        <w:rPr>
          <w:rFonts w:ascii="Times New Roman" w:hAnsi="Times New Roman"/>
          <w:sz w:val="28"/>
          <w:szCs w:val="28"/>
        </w:rPr>
      </w:pPr>
      <w:r>
        <w:rPr>
          <w:rFonts w:ascii="Times New Roman" w:hAnsi="Times New Roman"/>
          <w:sz w:val="28"/>
          <w:szCs w:val="28"/>
        </w:rPr>
        <w:t xml:space="preserve">Courts have warned against the dangers of introducing out-of-court statements to provide context for juries in order to avoid “backdoor introduction of highly inculpatory statements” that would serve no purpose other than to bolster the credibility of their own case. </w:t>
      </w:r>
      <w:r>
        <w:rPr>
          <w:rFonts w:ascii="Times New Roman" w:hAnsi="Times New Roman"/>
          <w:i/>
          <w:iCs/>
          <w:sz w:val="28"/>
          <w:szCs w:val="28"/>
        </w:rPr>
        <w:t>United States v. Hamann</w:t>
      </w:r>
      <w:r>
        <w:rPr>
          <w:rFonts w:ascii="Times New Roman" w:hAnsi="Times New Roman"/>
          <w:sz w:val="28"/>
          <w:szCs w:val="28"/>
        </w:rPr>
        <w:t>, 33 F.4</w:t>
      </w:r>
      <w:r w:rsidRPr="002F14E4">
        <w:rPr>
          <w:rFonts w:ascii="Times New Roman" w:hAnsi="Times New Roman"/>
          <w:sz w:val="28"/>
          <w:szCs w:val="28"/>
        </w:rPr>
        <w:t>th</w:t>
      </w:r>
      <w:r>
        <w:rPr>
          <w:rFonts w:ascii="Times New Roman" w:hAnsi="Times New Roman"/>
          <w:sz w:val="28"/>
          <w:szCs w:val="28"/>
        </w:rPr>
        <w:t xml:space="preserve"> 759, 763, 770 (5th Cir. 2022) (internal citations omitted); </w:t>
      </w:r>
      <w:r>
        <w:rPr>
          <w:rFonts w:ascii="Times New Roman" w:hAnsi="Times New Roman"/>
          <w:i/>
          <w:iCs/>
          <w:sz w:val="28"/>
          <w:szCs w:val="28"/>
        </w:rPr>
        <w:t xml:space="preserve">see also State v. </w:t>
      </w:r>
      <w:proofErr w:type="spellStart"/>
      <w:r>
        <w:rPr>
          <w:rFonts w:ascii="Times New Roman" w:hAnsi="Times New Roman"/>
          <w:i/>
          <w:iCs/>
          <w:sz w:val="28"/>
          <w:szCs w:val="28"/>
        </w:rPr>
        <w:t>Prasertphong</w:t>
      </w:r>
      <w:proofErr w:type="spellEnd"/>
      <w:r>
        <w:rPr>
          <w:rFonts w:ascii="Times New Roman" w:hAnsi="Times New Roman"/>
          <w:sz w:val="28"/>
          <w:szCs w:val="28"/>
        </w:rPr>
        <w:t>, 210 Ariz. 496, 499</w:t>
      </w:r>
      <w:r w:rsidR="00FC15AB">
        <w:rPr>
          <w:rFonts w:ascii="Times New Roman" w:hAnsi="Times New Roman"/>
          <w:sz w:val="28"/>
          <w:szCs w:val="28"/>
        </w:rPr>
        <w:t xml:space="preserve"> ¶ 15 (2005)</w:t>
      </w:r>
      <w:r>
        <w:rPr>
          <w:rFonts w:ascii="Times New Roman" w:hAnsi="Times New Roman"/>
          <w:sz w:val="28"/>
          <w:szCs w:val="28"/>
        </w:rPr>
        <w:t xml:space="preserve"> (holding that the rule of completeness requires only the admission of portions of the statement that are “necessary to qualify, explain, or place into context the portion already introduced”) (internal citations omitted). Essentially, the proposed rule seeks to bolster the testimony of testifying child-victims, </w:t>
      </w:r>
      <w:r>
        <w:rPr>
          <w:rFonts w:ascii="Times New Roman" w:hAnsi="Times New Roman"/>
          <w:i/>
          <w:iCs/>
          <w:sz w:val="28"/>
          <w:szCs w:val="28"/>
        </w:rPr>
        <w:t>i.e.</w:t>
      </w:r>
      <w:r>
        <w:rPr>
          <w:rFonts w:ascii="Times New Roman" w:hAnsi="Times New Roman"/>
          <w:sz w:val="28"/>
          <w:szCs w:val="28"/>
        </w:rPr>
        <w:t xml:space="preserve">, by offering evidence solely for the purpose of enhancing the child’s credibility before that credibility is attacked. </w:t>
      </w:r>
      <w:r>
        <w:rPr>
          <w:rFonts w:ascii="Times New Roman" w:hAnsi="Times New Roman"/>
          <w:i/>
          <w:iCs/>
          <w:sz w:val="28"/>
          <w:szCs w:val="28"/>
        </w:rPr>
        <w:t>U.S. v. Lindemann</w:t>
      </w:r>
      <w:r>
        <w:rPr>
          <w:rFonts w:ascii="Times New Roman" w:hAnsi="Times New Roman"/>
          <w:sz w:val="28"/>
          <w:szCs w:val="28"/>
        </w:rPr>
        <w:t xml:space="preserve">, 85 F.3d 1232, 1242 (7th Cir. 1996). </w:t>
      </w:r>
    </w:p>
    <w:p w14:paraId="15FDE946" w14:textId="5591118E" w:rsidR="00864C1F" w:rsidRDefault="00FC15AB">
      <w:pPr>
        <w:spacing w:line="480" w:lineRule="auto"/>
        <w:ind w:firstLine="720"/>
        <w:jc w:val="both"/>
        <w:rPr>
          <w:rFonts w:ascii="Times New Roman" w:hAnsi="Times New Roman"/>
          <w:sz w:val="28"/>
          <w:szCs w:val="28"/>
        </w:rPr>
      </w:pPr>
      <w:r w:rsidRPr="00C51151">
        <w:rPr>
          <w:rFonts w:ascii="Times New Roman" w:hAnsi="Times New Roman"/>
          <w:sz w:val="28"/>
          <w:szCs w:val="28"/>
        </w:rPr>
        <w:t>Because</w:t>
      </w:r>
      <w:r w:rsidR="00C51151">
        <w:rPr>
          <w:rFonts w:ascii="Times New Roman" w:hAnsi="Times New Roman"/>
          <w:sz w:val="28"/>
          <w:szCs w:val="28"/>
        </w:rPr>
        <w:t xml:space="preserve"> </w:t>
      </w:r>
      <w:r w:rsidR="00C51151" w:rsidRPr="00C51151">
        <w:rPr>
          <w:rFonts w:ascii="Times New Roman" w:hAnsi="Times New Roman"/>
          <w:sz w:val="28"/>
          <w:szCs w:val="28"/>
        </w:rPr>
        <w:t>defendants do not have the right to cross-examine child victims at the time of a forensic interview, the proposed rule creates a significant violation of essential constitutional protections afforded by the Confrontation Clause.</w:t>
      </w:r>
    </w:p>
    <w:p w14:paraId="7716B4AE" w14:textId="77777777" w:rsidR="00864C1F" w:rsidRPr="00186F81" w:rsidRDefault="00864C1F" w:rsidP="00186F81">
      <w:pPr>
        <w:spacing w:line="480" w:lineRule="auto"/>
        <w:ind w:firstLine="720"/>
        <w:jc w:val="both"/>
        <w:rPr>
          <w:rFonts w:ascii="Times New Roman" w:hAnsi="Times New Roman"/>
          <w:sz w:val="28"/>
          <w:szCs w:val="28"/>
        </w:rPr>
      </w:pPr>
    </w:p>
    <w:p w14:paraId="467C83DE" w14:textId="77777777" w:rsidR="003658B4" w:rsidRPr="00186F81" w:rsidRDefault="003658B4" w:rsidP="00186F81">
      <w:pPr>
        <w:spacing w:line="480" w:lineRule="auto"/>
        <w:ind w:firstLine="720"/>
        <w:jc w:val="both"/>
        <w:rPr>
          <w:rFonts w:ascii="Times New Roman" w:hAnsi="Times New Roman"/>
          <w:b/>
          <w:bCs/>
          <w:sz w:val="28"/>
          <w:szCs w:val="28"/>
        </w:rPr>
      </w:pPr>
    </w:p>
    <w:p w14:paraId="1875A777" w14:textId="56E22FBB" w:rsidR="00E837DD" w:rsidRPr="00186F81" w:rsidRDefault="000A1FB4" w:rsidP="006A1923">
      <w:pPr>
        <w:pStyle w:val="ListParagraph"/>
        <w:numPr>
          <w:ilvl w:val="0"/>
          <w:numId w:val="28"/>
        </w:numPr>
        <w:spacing w:line="240" w:lineRule="auto"/>
        <w:ind w:left="720"/>
        <w:jc w:val="both"/>
        <w:rPr>
          <w:rFonts w:ascii="Times New Roman" w:hAnsi="Times New Roman"/>
          <w:b/>
          <w:bCs/>
          <w:sz w:val="28"/>
          <w:szCs w:val="28"/>
        </w:rPr>
      </w:pPr>
      <w:r>
        <w:rPr>
          <w:rFonts w:ascii="Times New Roman" w:hAnsi="Times New Roman"/>
          <w:b/>
          <w:bCs/>
          <w:sz w:val="28"/>
          <w:szCs w:val="28"/>
        </w:rPr>
        <w:lastRenderedPageBreak/>
        <w:t xml:space="preserve">The proposed rule invites abuse by expanding the admissibility of police-conducted interviews and victim statements without meaningful cross-examination. </w:t>
      </w:r>
    </w:p>
    <w:p w14:paraId="4FC373AF" w14:textId="77777777" w:rsidR="00E837DD" w:rsidRDefault="00E837DD" w:rsidP="00E837DD">
      <w:pPr>
        <w:spacing w:line="240" w:lineRule="auto"/>
        <w:jc w:val="both"/>
        <w:rPr>
          <w:rFonts w:ascii="Times New Roman" w:hAnsi="Times New Roman"/>
          <w:b/>
          <w:bCs/>
          <w:sz w:val="28"/>
          <w:szCs w:val="28"/>
        </w:rPr>
      </w:pPr>
    </w:p>
    <w:p w14:paraId="70800C27" w14:textId="4E4DAB38" w:rsidR="00E837DD" w:rsidRPr="006A1923" w:rsidRDefault="00E837DD" w:rsidP="006A1923">
      <w:pPr>
        <w:spacing w:line="480" w:lineRule="auto"/>
        <w:ind w:firstLine="720"/>
        <w:jc w:val="both"/>
        <w:rPr>
          <w:rFonts w:ascii="Times New Roman" w:hAnsi="Times New Roman"/>
          <w:sz w:val="28"/>
          <w:szCs w:val="28"/>
        </w:rPr>
      </w:pPr>
      <w:r w:rsidRPr="006A1923">
        <w:rPr>
          <w:rFonts w:ascii="Times New Roman" w:hAnsi="Times New Roman"/>
          <w:sz w:val="28"/>
          <w:szCs w:val="28"/>
        </w:rPr>
        <w:t xml:space="preserve">The proposed rule invites abuse by creating broad opportunities for the State to admit police-conducted interviews as </w:t>
      </w:r>
      <w:r w:rsidR="006A1923">
        <w:rPr>
          <w:rFonts w:ascii="Times New Roman" w:hAnsi="Times New Roman"/>
          <w:sz w:val="28"/>
          <w:szCs w:val="28"/>
        </w:rPr>
        <w:t>“</w:t>
      </w:r>
      <w:r w:rsidRPr="006A1923">
        <w:rPr>
          <w:rFonts w:ascii="Times New Roman" w:hAnsi="Times New Roman"/>
          <w:sz w:val="28"/>
          <w:szCs w:val="28"/>
        </w:rPr>
        <w:t>forensic interviews</w:t>
      </w:r>
      <w:r w:rsidR="006A1923">
        <w:rPr>
          <w:rFonts w:ascii="Times New Roman" w:hAnsi="Times New Roman"/>
          <w:sz w:val="28"/>
          <w:szCs w:val="28"/>
        </w:rPr>
        <w:t>”</w:t>
      </w:r>
      <w:r w:rsidRPr="006A1923">
        <w:rPr>
          <w:rFonts w:ascii="Times New Roman" w:hAnsi="Times New Roman"/>
          <w:sz w:val="28"/>
          <w:szCs w:val="28"/>
        </w:rPr>
        <w:t xml:space="preserve"> and by allowing admission of victim statements without clear standards for meaningful cross-examination. </w:t>
      </w:r>
    </w:p>
    <w:p w14:paraId="12B90459" w14:textId="7FA084D7" w:rsidR="00857D5C" w:rsidRDefault="00857D5C" w:rsidP="006A1923">
      <w:pPr>
        <w:pStyle w:val="ListParagraph"/>
        <w:numPr>
          <w:ilvl w:val="0"/>
          <w:numId w:val="30"/>
        </w:numPr>
        <w:spacing w:line="240" w:lineRule="auto"/>
        <w:ind w:left="720"/>
        <w:jc w:val="both"/>
        <w:rPr>
          <w:rFonts w:ascii="Times New Roman" w:hAnsi="Times New Roman"/>
          <w:b/>
          <w:bCs/>
          <w:sz w:val="28"/>
          <w:szCs w:val="28"/>
        </w:rPr>
      </w:pPr>
      <w:r w:rsidRPr="006A1923">
        <w:rPr>
          <w:rFonts w:ascii="Times New Roman" w:hAnsi="Times New Roman"/>
          <w:b/>
          <w:bCs/>
          <w:sz w:val="28"/>
          <w:szCs w:val="28"/>
        </w:rPr>
        <w:t>Proposed Rule 807.0</w:t>
      </w:r>
      <w:r w:rsidR="008D205F">
        <w:rPr>
          <w:rFonts w:ascii="Times New Roman" w:hAnsi="Times New Roman"/>
          <w:b/>
          <w:bCs/>
          <w:sz w:val="28"/>
          <w:szCs w:val="28"/>
        </w:rPr>
        <w:t>1</w:t>
      </w:r>
      <w:r w:rsidRPr="006A1923">
        <w:rPr>
          <w:rFonts w:ascii="Times New Roman" w:hAnsi="Times New Roman"/>
          <w:b/>
          <w:bCs/>
          <w:sz w:val="28"/>
          <w:szCs w:val="28"/>
        </w:rPr>
        <w:t xml:space="preserve"> creates a loophole for the admission of police interviews of victims. </w:t>
      </w:r>
    </w:p>
    <w:p w14:paraId="12982F45" w14:textId="77777777" w:rsidR="00857D5C" w:rsidRPr="006A1923" w:rsidRDefault="00857D5C" w:rsidP="006A1923">
      <w:pPr>
        <w:pStyle w:val="ListParagraph"/>
        <w:spacing w:line="240" w:lineRule="auto"/>
        <w:ind w:left="1080"/>
        <w:jc w:val="both"/>
        <w:rPr>
          <w:rFonts w:ascii="Times New Roman" w:hAnsi="Times New Roman"/>
          <w:b/>
          <w:bCs/>
          <w:sz w:val="28"/>
          <w:szCs w:val="28"/>
        </w:rPr>
      </w:pPr>
    </w:p>
    <w:p w14:paraId="7677BB62" w14:textId="37D83EA0" w:rsidR="00DD25A0" w:rsidRDefault="008801E7" w:rsidP="00857D5C">
      <w:pPr>
        <w:spacing w:line="480" w:lineRule="auto"/>
        <w:ind w:firstLine="720"/>
        <w:jc w:val="both"/>
        <w:rPr>
          <w:rFonts w:ascii="Times New Roman" w:hAnsi="Times New Roman"/>
          <w:sz w:val="28"/>
          <w:szCs w:val="28"/>
        </w:rPr>
      </w:pPr>
      <w:r>
        <w:rPr>
          <w:rFonts w:ascii="Times New Roman" w:hAnsi="Times New Roman"/>
          <w:sz w:val="28"/>
          <w:szCs w:val="28"/>
        </w:rPr>
        <w:t xml:space="preserve">Many police officers and detectives are provided basic training on forensic interview techniques. When they conduct interviews, they may use some of these </w:t>
      </w:r>
      <w:r w:rsidR="00316FBD">
        <w:rPr>
          <w:rFonts w:ascii="Times New Roman" w:hAnsi="Times New Roman"/>
          <w:sz w:val="28"/>
          <w:szCs w:val="28"/>
        </w:rPr>
        <w:t>techniques and</w:t>
      </w:r>
      <w:r>
        <w:rPr>
          <w:rFonts w:ascii="Times New Roman" w:hAnsi="Times New Roman"/>
          <w:sz w:val="28"/>
          <w:szCs w:val="28"/>
        </w:rPr>
        <w:t xml:space="preserve"> may conduct them in a hybrid fashion along with other intervie</w:t>
      </w:r>
      <w:r w:rsidR="00944C7C">
        <w:rPr>
          <w:rFonts w:ascii="Times New Roman" w:hAnsi="Times New Roman"/>
          <w:sz w:val="28"/>
          <w:szCs w:val="28"/>
        </w:rPr>
        <w:t>w</w:t>
      </w:r>
      <w:r>
        <w:rPr>
          <w:rFonts w:ascii="Times New Roman" w:hAnsi="Times New Roman"/>
          <w:sz w:val="28"/>
          <w:szCs w:val="28"/>
        </w:rPr>
        <w:t xml:space="preserve"> </w:t>
      </w:r>
      <w:r w:rsidR="00944C7C">
        <w:rPr>
          <w:rFonts w:ascii="Times New Roman" w:hAnsi="Times New Roman"/>
          <w:sz w:val="28"/>
          <w:szCs w:val="28"/>
        </w:rPr>
        <w:t>tools</w:t>
      </w:r>
      <w:r>
        <w:rPr>
          <w:rFonts w:ascii="Times New Roman" w:hAnsi="Times New Roman"/>
          <w:sz w:val="28"/>
          <w:szCs w:val="28"/>
        </w:rPr>
        <w:t xml:space="preserve">. It is </w:t>
      </w:r>
      <w:r w:rsidR="00316FBD">
        <w:rPr>
          <w:rFonts w:ascii="Times New Roman" w:hAnsi="Times New Roman"/>
          <w:sz w:val="28"/>
          <w:szCs w:val="28"/>
        </w:rPr>
        <w:t xml:space="preserve">likely </w:t>
      </w:r>
      <w:r>
        <w:rPr>
          <w:rFonts w:ascii="Times New Roman" w:hAnsi="Times New Roman"/>
          <w:sz w:val="28"/>
          <w:szCs w:val="28"/>
        </w:rPr>
        <w:t xml:space="preserve">that under the proposed rule, the State will seek to admit recordings of interviews of children conducted by police officers and detectives under the guise of claims they are </w:t>
      </w:r>
      <w:r w:rsidR="00E23D21">
        <w:rPr>
          <w:rFonts w:ascii="Times New Roman" w:hAnsi="Times New Roman"/>
          <w:sz w:val="28"/>
          <w:szCs w:val="28"/>
        </w:rPr>
        <w:t>“</w:t>
      </w:r>
      <w:r>
        <w:rPr>
          <w:rFonts w:ascii="Times New Roman" w:hAnsi="Times New Roman"/>
          <w:sz w:val="28"/>
          <w:szCs w:val="28"/>
        </w:rPr>
        <w:t>forensic interviews</w:t>
      </w:r>
      <w:r w:rsidR="00E23D21">
        <w:rPr>
          <w:rFonts w:ascii="Times New Roman" w:hAnsi="Times New Roman"/>
          <w:sz w:val="28"/>
          <w:szCs w:val="28"/>
        </w:rPr>
        <w:t>”</w:t>
      </w:r>
      <w:r>
        <w:rPr>
          <w:rFonts w:ascii="Times New Roman" w:hAnsi="Times New Roman"/>
          <w:sz w:val="28"/>
          <w:szCs w:val="28"/>
        </w:rPr>
        <w:t xml:space="preserve"> because the officer or detective received training on forensic interview techniques. This again will require the expensive process of question-by-question parsing with experts. More importantly, the issue shows that the proposed rule is ripe for abuse.</w:t>
      </w:r>
    </w:p>
    <w:p w14:paraId="396902D8" w14:textId="556834D9" w:rsidR="00857D5C" w:rsidRDefault="00571152" w:rsidP="00186F81">
      <w:pPr>
        <w:pStyle w:val="ListParagraph"/>
        <w:numPr>
          <w:ilvl w:val="0"/>
          <w:numId w:val="30"/>
        </w:numPr>
        <w:spacing w:line="240" w:lineRule="auto"/>
        <w:ind w:left="720"/>
        <w:jc w:val="both"/>
        <w:rPr>
          <w:rFonts w:ascii="Times New Roman" w:hAnsi="Times New Roman"/>
          <w:b/>
          <w:bCs/>
          <w:sz w:val="28"/>
          <w:szCs w:val="28"/>
        </w:rPr>
      </w:pPr>
      <w:r w:rsidRPr="00186F81">
        <w:rPr>
          <w:rFonts w:ascii="Times New Roman" w:hAnsi="Times New Roman"/>
          <w:b/>
          <w:bCs/>
          <w:sz w:val="28"/>
          <w:szCs w:val="28"/>
        </w:rPr>
        <w:t xml:space="preserve">What constitutes an “opportunity for cross-examination” is unclear and ripe for abuse. </w:t>
      </w:r>
    </w:p>
    <w:p w14:paraId="25C66F64" w14:textId="4B3329A2" w:rsidR="00571152" w:rsidRPr="00186F81" w:rsidRDefault="00571152" w:rsidP="00186F81">
      <w:pPr>
        <w:pStyle w:val="ListParagraph"/>
        <w:spacing w:line="240" w:lineRule="auto"/>
        <w:ind w:left="1080"/>
        <w:jc w:val="both"/>
        <w:rPr>
          <w:rFonts w:ascii="Times New Roman" w:hAnsi="Times New Roman"/>
          <w:b/>
          <w:bCs/>
          <w:sz w:val="28"/>
          <w:szCs w:val="28"/>
        </w:rPr>
      </w:pPr>
    </w:p>
    <w:p w14:paraId="5E782042" w14:textId="1C5E0D5E" w:rsidR="00AD40E9" w:rsidRDefault="00012044" w:rsidP="00DD25A0">
      <w:pPr>
        <w:spacing w:line="480" w:lineRule="auto"/>
        <w:jc w:val="both"/>
        <w:rPr>
          <w:rFonts w:ascii="Times New Roman" w:hAnsi="Times New Roman"/>
          <w:sz w:val="28"/>
          <w:szCs w:val="28"/>
        </w:rPr>
      </w:pPr>
      <w:r>
        <w:rPr>
          <w:rFonts w:ascii="Times New Roman" w:hAnsi="Times New Roman"/>
          <w:sz w:val="28"/>
          <w:szCs w:val="28"/>
        </w:rPr>
        <w:tab/>
        <w:t xml:space="preserve">The same is true regarding all </w:t>
      </w:r>
      <w:r w:rsidR="000A1FB4">
        <w:rPr>
          <w:rFonts w:ascii="Times New Roman" w:hAnsi="Times New Roman"/>
          <w:sz w:val="28"/>
          <w:szCs w:val="28"/>
        </w:rPr>
        <w:t>manner</w:t>
      </w:r>
      <w:r>
        <w:rPr>
          <w:rFonts w:ascii="Times New Roman" w:hAnsi="Times New Roman"/>
          <w:sz w:val="28"/>
          <w:szCs w:val="28"/>
        </w:rPr>
        <w:t xml:space="preserve"> of victim statements. The proposed rule only requires an opportunity for cross</w:t>
      </w:r>
      <w:r w:rsidR="00316FBD">
        <w:rPr>
          <w:rFonts w:ascii="Times New Roman" w:hAnsi="Times New Roman"/>
          <w:sz w:val="28"/>
          <w:szCs w:val="28"/>
        </w:rPr>
        <w:t>-examination</w:t>
      </w:r>
      <w:r>
        <w:rPr>
          <w:rFonts w:ascii="Times New Roman" w:hAnsi="Times New Roman"/>
          <w:sz w:val="28"/>
          <w:szCs w:val="28"/>
        </w:rPr>
        <w:t xml:space="preserve"> to permit </w:t>
      </w:r>
      <w:r w:rsidR="003D37BE">
        <w:rPr>
          <w:rFonts w:ascii="Times New Roman" w:hAnsi="Times New Roman"/>
          <w:sz w:val="28"/>
          <w:szCs w:val="28"/>
        </w:rPr>
        <w:t xml:space="preserve">the </w:t>
      </w:r>
      <w:r>
        <w:rPr>
          <w:rFonts w:ascii="Times New Roman" w:hAnsi="Times New Roman"/>
          <w:sz w:val="28"/>
          <w:szCs w:val="28"/>
        </w:rPr>
        <w:t xml:space="preserve">admissibility of the </w:t>
      </w:r>
      <w:r>
        <w:rPr>
          <w:rFonts w:ascii="Times New Roman" w:hAnsi="Times New Roman"/>
          <w:sz w:val="28"/>
          <w:szCs w:val="28"/>
        </w:rPr>
        <w:lastRenderedPageBreak/>
        <w:t>complete interview. So</w:t>
      </w:r>
      <w:r w:rsidR="00857D5C">
        <w:rPr>
          <w:rFonts w:ascii="Times New Roman" w:hAnsi="Times New Roman"/>
          <w:sz w:val="28"/>
          <w:szCs w:val="28"/>
        </w:rPr>
        <w:t>,</w:t>
      </w:r>
      <w:r>
        <w:rPr>
          <w:rFonts w:ascii="Times New Roman" w:hAnsi="Times New Roman"/>
          <w:sz w:val="28"/>
          <w:szCs w:val="28"/>
        </w:rPr>
        <w:t xml:space="preserve"> naturally</w:t>
      </w:r>
      <w:r w:rsidR="00857D5C">
        <w:rPr>
          <w:rFonts w:ascii="Times New Roman" w:hAnsi="Times New Roman"/>
          <w:sz w:val="28"/>
          <w:szCs w:val="28"/>
        </w:rPr>
        <w:t>,</w:t>
      </w:r>
      <w:r>
        <w:rPr>
          <w:rFonts w:ascii="Times New Roman" w:hAnsi="Times New Roman"/>
          <w:sz w:val="28"/>
          <w:szCs w:val="28"/>
        </w:rPr>
        <w:t xml:space="preserve"> </w:t>
      </w:r>
      <w:r w:rsidR="00AD40E9">
        <w:rPr>
          <w:rFonts w:ascii="Times New Roman" w:hAnsi="Times New Roman"/>
          <w:sz w:val="28"/>
          <w:szCs w:val="28"/>
        </w:rPr>
        <w:t xml:space="preserve">the </w:t>
      </w:r>
      <w:r>
        <w:rPr>
          <w:rFonts w:ascii="Times New Roman" w:hAnsi="Times New Roman"/>
          <w:sz w:val="28"/>
          <w:szCs w:val="28"/>
        </w:rPr>
        <w:t>question arise</w:t>
      </w:r>
      <w:r w:rsidR="00AD40E9">
        <w:rPr>
          <w:rFonts w:ascii="Times New Roman" w:hAnsi="Times New Roman"/>
          <w:sz w:val="28"/>
          <w:szCs w:val="28"/>
        </w:rPr>
        <w:t>s</w:t>
      </w:r>
      <w:r>
        <w:rPr>
          <w:rFonts w:ascii="Times New Roman" w:hAnsi="Times New Roman"/>
          <w:sz w:val="28"/>
          <w:szCs w:val="28"/>
        </w:rPr>
        <w:t xml:space="preserve"> as to what constitutes a sufficient opportunity for cross-examination. </w:t>
      </w:r>
      <w:r w:rsidR="00AD40E9">
        <w:rPr>
          <w:rFonts w:ascii="Times New Roman" w:hAnsi="Times New Roman"/>
          <w:sz w:val="28"/>
          <w:szCs w:val="28"/>
        </w:rPr>
        <w:t xml:space="preserve">Courts—both federal and state—have yet to specifically </w:t>
      </w:r>
      <w:r w:rsidR="003D37BE">
        <w:rPr>
          <w:rFonts w:ascii="Times New Roman" w:hAnsi="Times New Roman"/>
          <w:sz w:val="28"/>
          <w:szCs w:val="28"/>
        </w:rPr>
        <w:t>answer</w:t>
      </w:r>
      <w:r w:rsidR="00AD40E9">
        <w:rPr>
          <w:rFonts w:ascii="Times New Roman" w:hAnsi="Times New Roman"/>
          <w:sz w:val="28"/>
          <w:szCs w:val="28"/>
        </w:rPr>
        <w:t xml:space="preserve"> this question. As such, adoption of the rule would </w:t>
      </w:r>
      <w:r w:rsidR="0082668C">
        <w:rPr>
          <w:rFonts w:ascii="Times New Roman" w:hAnsi="Times New Roman"/>
          <w:sz w:val="28"/>
          <w:szCs w:val="28"/>
        </w:rPr>
        <w:t>leave</w:t>
      </w:r>
      <w:r w:rsidR="00AD40E9">
        <w:rPr>
          <w:rFonts w:ascii="Times New Roman" w:hAnsi="Times New Roman"/>
          <w:sz w:val="28"/>
          <w:szCs w:val="28"/>
        </w:rPr>
        <w:t xml:space="preserve"> Arizona courts </w:t>
      </w:r>
      <w:r w:rsidR="0082668C">
        <w:rPr>
          <w:rFonts w:ascii="Times New Roman" w:hAnsi="Times New Roman"/>
          <w:sz w:val="28"/>
          <w:szCs w:val="28"/>
        </w:rPr>
        <w:t>to make that determination</w:t>
      </w:r>
      <w:r w:rsidR="00DD78A4">
        <w:rPr>
          <w:rFonts w:ascii="Times New Roman" w:hAnsi="Times New Roman"/>
          <w:sz w:val="28"/>
          <w:szCs w:val="28"/>
        </w:rPr>
        <w:t>, which would easily result in scattered interpretations</w:t>
      </w:r>
      <w:r w:rsidR="0082668C">
        <w:rPr>
          <w:rFonts w:ascii="Times New Roman" w:hAnsi="Times New Roman"/>
          <w:sz w:val="28"/>
          <w:szCs w:val="28"/>
        </w:rPr>
        <w:t>.</w:t>
      </w:r>
      <w:r w:rsidR="00AD40E9">
        <w:rPr>
          <w:rFonts w:ascii="Times New Roman" w:hAnsi="Times New Roman"/>
          <w:sz w:val="28"/>
          <w:szCs w:val="28"/>
        </w:rPr>
        <w:t xml:space="preserve"> </w:t>
      </w:r>
    </w:p>
    <w:p w14:paraId="6E1788E4" w14:textId="4620210E" w:rsidR="0082668C" w:rsidRPr="00E05C19" w:rsidRDefault="0082668C" w:rsidP="00DD25A0">
      <w:pPr>
        <w:spacing w:line="480" w:lineRule="auto"/>
        <w:jc w:val="both"/>
        <w:rPr>
          <w:rFonts w:ascii="Times New Roman" w:hAnsi="Times New Roman"/>
          <w:sz w:val="28"/>
          <w:szCs w:val="28"/>
        </w:rPr>
      </w:pPr>
      <w:r>
        <w:rPr>
          <w:rFonts w:ascii="Times New Roman" w:hAnsi="Times New Roman"/>
          <w:sz w:val="28"/>
          <w:szCs w:val="28"/>
        </w:rPr>
        <w:tab/>
      </w:r>
      <w:r w:rsidR="00186F81">
        <w:rPr>
          <w:rFonts w:ascii="Times New Roman" w:hAnsi="Times New Roman"/>
          <w:sz w:val="28"/>
          <w:szCs w:val="28"/>
        </w:rPr>
        <w:t>Petitioners</w:t>
      </w:r>
      <w:r>
        <w:rPr>
          <w:rFonts w:ascii="Times New Roman" w:hAnsi="Times New Roman"/>
          <w:sz w:val="28"/>
          <w:szCs w:val="28"/>
        </w:rPr>
        <w:t xml:space="preserve"> contend that “[t]he use of forensic interviews during trial will assist the jury in being able to evaluate both live testimony in court and disclosures obtained through […] forensic interviewing. It is not unusual for disclosures and testimony to be the key piece of evidence for a jury to consider.” </w:t>
      </w:r>
      <w:r w:rsidR="00FC15AB">
        <w:rPr>
          <w:rFonts w:ascii="Times New Roman" w:hAnsi="Times New Roman"/>
          <w:sz w:val="28"/>
          <w:szCs w:val="28"/>
        </w:rPr>
        <w:t xml:space="preserve">Petition at 11. </w:t>
      </w:r>
      <w:r>
        <w:rPr>
          <w:rFonts w:ascii="Times New Roman" w:hAnsi="Times New Roman"/>
          <w:sz w:val="28"/>
          <w:szCs w:val="28"/>
        </w:rPr>
        <w:t>This contention fails to acknowledge the nature of</w:t>
      </w:r>
      <w:r w:rsidR="00E05C19">
        <w:rPr>
          <w:rFonts w:ascii="Times New Roman" w:hAnsi="Times New Roman"/>
          <w:sz w:val="28"/>
          <w:szCs w:val="28"/>
        </w:rPr>
        <w:t xml:space="preserve"> the Confrontation Clause and</w:t>
      </w:r>
      <w:r w:rsidR="00D14041">
        <w:rPr>
          <w:rFonts w:ascii="Times New Roman" w:hAnsi="Times New Roman"/>
          <w:sz w:val="28"/>
          <w:szCs w:val="28"/>
        </w:rPr>
        <w:t xml:space="preserve"> </w:t>
      </w:r>
      <w:r w:rsidR="00D14041">
        <w:rPr>
          <w:rFonts w:ascii="Times New Roman" w:hAnsi="Times New Roman"/>
          <w:i/>
          <w:iCs/>
          <w:sz w:val="28"/>
          <w:szCs w:val="28"/>
        </w:rPr>
        <w:t>Crawford</w:t>
      </w:r>
      <w:r w:rsidR="00D14041">
        <w:rPr>
          <w:rFonts w:ascii="Times New Roman" w:hAnsi="Times New Roman"/>
          <w:sz w:val="28"/>
          <w:szCs w:val="28"/>
        </w:rPr>
        <w:t>: the requirement that “[w]here testimonial statements are at issue, the only indicium of reliability sufficient to satisfy constitutional demands is the one the Constitution actually prescribes: confrontation.” 541 U.S. at 68–69.</w:t>
      </w:r>
      <w:r>
        <w:rPr>
          <w:rFonts w:ascii="Times New Roman" w:hAnsi="Times New Roman"/>
          <w:sz w:val="28"/>
          <w:szCs w:val="28"/>
        </w:rPr>
        <w:t xml:space="preserve"> </w:t>
      </w:r>
      <w:r w:rsidR="00E05C19">
        <w:rPr>
          <w:rFonts w:ascii="Times New Roman" w:hAnsi="Times New Roman"/>
          <w:i/>
          <w:iCs/>
          <w:sz w:val="28"/>
          <w:szCs w:val="28"/>
        </w:rPr>
        <w:t>Crawford</w:t>
      </w:r>
      <w:r w:rsidR="00E05C19">
        <w:rPr>
          <w:rFonts w:ascii="Times New Roman" w:hAnsi="Times New Roman"/>
          <w:sz w:val="28"/>
          <w:szCs w:val="28"/>
        </w:rPr>
        <w:t xml:space="preserve"> specifically addresses the constitutional concern that petitioners </w:t>
      </w:r>
      <w:r w:rsidR="00DD78A4">
        <w:rPr>
          <w:rFonts w:ascii="Times New Roman" w:hAnsi="Times New Roman"/>
          <w:sz w:val="28"/>
          <w:szCs w:val="28"/>
        </w:rPr>
        <w:t>aim</w:t>
      </w:r>
      <w:r w:rsidR="00E05C19">
        <w:rPr>
          <w:rFonts w:ascii="Times New Roman" w:hAnsi="Times New Roman"/>
          <w:sz w:val="28"/>
          <w:szCs w:val="28"/>
        </w:rPr>
        <w:t xml:space="preserve"> to circumvent: when inculpating statements are made in a testimonial setting (</w:t>
      </w:r>
      <w:r w:rsidR="00E05C19">
        <w:rPr>
          <w:rFonts w:ascii="Times New Roman" w:hAnsi="Times New Roman"/>
          <w:i/>
          <w:iCs/>
          <w:sz w:val="28"/>
          <w:szCs w:val="28"/>
        </w:rPr>
        <w:t>i.e.</w:t>
      </w:r>
      <w:r w:rsidR="00E05C19">
        <w:rPr>
          <w:rFonts w:ascii="Times New Roman" w:hAnsi="Times New Roman"/>
          <w:sz w:val="28"/>
          <w:szCs w:val="28"/>
        </w:rPr>
        <w:t>, one in which factors of reliability</w:t>
      </w:r>
      <w:r w:rsidR="00DD78A4">
        <w:rPr>
          <w:rFonts w:ascii="Times New Roman" w:hAnsi="Times New Roman"/>
          <w:sz w:val="28"/>
          <w:szCs w:val="28"/>
        </w:rPr>
        <w:t xml:space="preserve"> are</w:t>
      </w:r>
      <w:r w:rsidR="00E05C19">
        <w:rPr>
          <w:rFonts w:ascii="Times New Roman" w:hAnsi="Times New Roman"/>
          <w:sz w:val="28"/>
          <w:szCs w:val="28"/>
        </w:rPr>
        <w:t xml:space="preserve"> present), that only triggers the Clause’s demand more urgently. </w:t>
      </w:r>
      <w:r w:rsidR="00E05C19">
        <w:rPr>
          <w:rFonts w:ascii="Times New Roman" w:hAnsi="Times New Roman"/>
          <w:i/>
          <w:iCs/>
          <w:sz w:val="28"/>
          <w:szCs w:val="28"/>
        </w:rPr>
        <w:t>Id.</w:t>
      </w:r>
      <w:r w:rsidR="00E05C19">
        <w:rPr>
          <w:rFonts w:ascii="Times New Roman" w:hAnsi="Times New Roman"/>
          <w:sz w:val="28"/>
          <w:szCs w:val="28"/>
        </w:rPr>
        <w:t xml:space="preserve"> at 65.</w:t>
      </w:r>
      <w:r w:rsidR="006B2E5E">
        <w:rPr>
          <w:rFonts w:ascii="Times New Roman" w:hAnsi="Times New Roman"/>
          <w:sz w:val="28"/>
          <w:szCs w:val="28"/>
        </w:rPr>
        <w:t xml:space="preserve"> </w:t>
      </w:r>
    </w:p>
    <w:p w14:paraId="7B3739C2" w14:textId="5D75480F" w:rsidR="00DD25A0" w:rsidRDefault="00F87825" w:rsidP="00186F81">
      <w:pPr>
        <w:spacing w:line="480" w:lineRule="auto"/>
        <w:ind w:firstLine="720"/>
        <w:jc w:val="both"/>
        <w:rPr>
          <w:rFonts w:ascii="Times New Roman" w:hAnsi="Times New Roman"/>
          <w:sz w:val="28"/>
          <w:szCs w:val="28"/>
        </w:rPr>
      </w:pPr>
      <w:r>
        <w:rPr>
          <w:rFonts w:ascii="Times New Roman" w:hAnsi="Times New Roman"/>
          <w:sz w:val="28"/>
          <w:szCs w:val="28"/>
        </w:rPr>
        <w:t xml:space="preserve">In </w:t>
      </w:r>
      <w:r w:rsidR="00186F81">
        <w:rPr>
          <w:rFonts w:ascii="Times New Roman" w:hAnsi="Times New Roman"/>
          <w:sz w:val="28"/>
          <w:szCs w:val="28"/>
        </w:rPr>
        <w:t>an attempt to</w:t>
      </w:r>
      <w:r>
        <w:rPr>
          <w:rFonts w:ascii="Times New Roman" w:hAnsi="Times New Roman"/>
          <w:sz w:val="28"/>
          <w:szCs w:val="28"/>
        </w:rPr>
        <w:t xml:space="preserve"> avoid such </w:t>
      </w:r>
      <w:r w:rsidR="00BF3991">
        <w:rPr>
          <w:rFonts w:ascii="Times New Roman" w:hAnsi="Times New Roman"/>
          <w:sz w:val="28"/>
          <w:szCs w:val="28"/>
        </w:rPr>
        <w:t>constitutional concerns, t</w:t>
      </w:r>
      <w:r w:rsidR="00012044">
        <w:rPr>
          <w:rFonts w:ascii="Times New Roman" w:hAnsi="Times New Roman"/>
          <w:sz w:val="28"/>
          <w:szCs w:val="28"/>
        </w:rPr>
        <w:t>he State could</w:t>
      </w:r>
      <w:r w:rsidR="0082668C">
        <w:rPr>
          <w:rFonts w:ascii="Times New Roman" w:hAnsi="Times New Roman"/>
          <w:sz w:val="28"/>
          <w:szCs w:val="28"/>
        </w:rPr>
        <w:t>, for example,</w:t>
      </w:r>
      <w:r w:rsidR="00012044">
        <w:rPr>
          <w:rFonts w:ascii="Times New Roman" w:hAnsi="Times New Roman"/>
          <w:sz w:val="28"/>
          <w:szCs w:val="28"/>
        </w:rPr>
        <w:t xml:space="preserve"> invite defense counsel to appear and cross</w:t>
      </w:r>
      <w:r w:rsidR="00316FBD">
        <w:rPr>
          <w:rFonts w:ascii="Times New Roman" w:hAnsi="Times New Roman"/>
          <w:sz w:val="28"/>
          <w:szCs w:val="28"/>
        </w:rPr>
        <w:t>-examine</w:t>
      </w:r>
      <w:r w:rsidR="00012044">
        <w:rPr>
          <w:rFonts w:ascii="Times New Roman" w:hAnsi="Times New Roman"/>
          <w:sz w:val="28"/>
          <w:szCs w:val="28"/>
        </w:rPr>
        <w:t xml:space="preserve"> at a grand jury proceeding, or could even extend such an invitation to cross</w:t>
      </w:r>
      <w:r w:rsidR="002D54B4">
        <w:rPr>
          <w:rFonts w:ascii="Times New Roman" w:hAnsi="Times New Roman"/>
          <w:sz w:val="28"/>
          <w:szCs w:val="28"/>
        </w:rPr>
        <w:t>-examine</w:t>
      </w:r>
      <w:r w:rsidR="00012044">
        <w:rPr>
          <w:rFonts w:ascii="Times New Roman" w:hAnsi="Times New Roman"/>
          <w:sz w:val="28"/>
          <w:szCs w:val="28"/>
        </w:rPr>
        <w:t xml:space="preserve"> following a </w:t>
      </w:r>
      <w:r w:rsidR="00012044">
        <w:rPr>
          <w:rFonts w:ascii="Times New Roman" w:hAnsi="Times New Roman"/>
          <w:sz w:val="28"/>
          <w:szCs w:val="28"/>
        </w:rPr>
        <w:lastRenderedPageBreak/>
        <w:t>forensic interview (</w:t>
      </w:r>
      <w:r w:rsidR="0082668C">
        <w:rPr>
          <w:rFonts w:ascii="Times New Roman" w:hAnsi="Times New Roman"/>
          <w:sz w:val="28"/>
          <w:szCs w:val="28"/>
        </w:rPr>
        <w:t xml:space="preserve">assuming </w:t>
      </w:r>
      <w:r w:rsidR="00012044">
        <w:rPr>
          <w:rFonts w:ascii="Times New Roman" w:hAnsi="Times New Roman"/>
          <w:sz w:val="28"/>
          <w:szCs w:val="28"/>
        </w:rPr>
        <w:t>the subject is sworn first) or deposition (which may occur, for example, if there is an ongoing family law case)</w:t>
      </w:r>
      <w:r w:rsidR="00BF3991">
        <w:rPr>
          <w:rFonts w:ascii="Times New Roman" w:hAnsi="Times New Roman"/>
          <w:sz w:val="28"/>
          <w:szCs w:val="28"/>
        </w:rPr>
        <w:t>,</w:t>
      </w:r>
      <w:r w:rsidR="00012044">
        <w:rPr>
          <w:rFonts w:ascii="Times New Roman" w:hAnsi="Times New Roman"/>
          <w:sz w:val="28"/>
          <w:szCs w:val="28"/>
        </w:rPr>
        <w:t xml:space="preserve"> </w:t>
      </w:r>
      <w:r w:rsidR="00BF3991">
        <w:rPr>
          <w:rFonts w:ascii="Times New Roman" w:hAnsi="Times New Roman"/>
          <w:sz w:val="28"/>
          <w:szCs w:val="28"/>
        </w:rPr>
        <w:t>thus arguably satisfying</w:t>
      </w:r>
      <w:r w:rsidR="00012044">
        <w:rPr>
          <w:rFonts w:ascii="Times New Roman" w:hAnsi="Times New Roman"/>
          <w:sz w:val="28"/>
          <w:szCs w:val="28"/>
        </w:rPr>
        <w:t xml:space="preserve"> the requirement for an opportunity</w:t>
      </w:r>
      <w:r w:rsidR="00E23D21">
        <w:rPr>
          <w:rFonts w:ascii="Times New Roman" w:hAnsi="Times New Roman"/>
          <w:sz w:val="28"/>
          <w:szCs w:val="28"/>
        </w:rPr>
        <w:t xml:space="preserve"> to cross-examine</w:t>
      </w:r>
      <w:r w:rsidR="00012044">
        <w:rPr>
          <w:rFonts w:ascii="Times New Roman" w:hAnsi="Times New Roman"/>
          <w:sz w:val="28"/>
          <w:szCs w:val="28"/>
        </w:rPr>
        <w:t xml:space="preserve">. Similarly, </w:t>
      </w:r>
      <w:r w:rsidR="00BF3991">
        <w:rPr>
          <w:rFonts w:ascii="Times New Roman" w:hAnsi="Times New Roman"/>
          <w:sz w:val="28"/>
          <w:szCs w:val="28"/>
        </w:rPr>
        <w:t xml:space="preserve">an </w:t>
      </w:r>
      <w:r w:rsidR="00012044">
        <w:rPr>
          <w:rFonts w:ascii="Times New Roman" w:hAnsi="Times New Roman"/>
          <w:sz w:val="28"/>
          <w:szCs w:val="28"/>
        </w:rPr>
        <w:t>alleged victim could request an order of protection</w:t>
      </w:r>
      <w:r w:rsidR="00E23D21">
        <w:rPr>
          <w:rFonts w:ascii="Times New Roman" w:hAnsi="Times New Roman"/>
          <w:sz w:val="28"/>
          <w:szCs w:val="28"/>
        </w:rPr>
        <w:t>,</w:t>
      </w:r>
      <w:r w:rsidR="00012044">
        <w:rPr>
          <w:rFonts w:ascii="Times New Roman" w:hAnsi="Times New Roman"/>
          <w:sz w:val="28"/>
          <w:szCs w:val="28"/>
        </w:rPr>
        <w:t xml:space="preserve"> which would provide the defendant an opportunity for cross-examination</w:t>
      </w:r>
      <w:r w:rsidR="00BF3991">
        <w:rPr>
          <w:rFonts w:ascii="Times New Roman" w:hAnsi="Times New Roman"/>
          <w:sz w:val="28"/>
          <w:szCs w:val="28"/>
        </w:rPr>
        <w:t xml:space="preserve"> at that hearing</w:t>
      </w:r>
      <w:r w:rsidR="00012044">
        <w:rPr>
          <w:rFonts w:ascii="Times New Roman" w:hAnsi="Times New Roman"/>
          <w:sz w:val="28"/>
          <w:szCs w:val="28"/>
        </w:rPr>
        <w:t>.</w:t>
      </w:r>
      <w:r w:rsidR="00DD78A4">
        <w:rPr>
          <w:rFonts w:ascii="Times New Roman" w:hAnsi="Times New Roman"/>
          <w:sz w:val="28"/>
          <w:szCs w:val="28"/>
        </w:rPr>
        <w:t xml:space="preserve"> However, </w:t>
      </w:r>
      <w:r w:rsidR="00186F81">
        <w:rPr>
          <w:rFonts w:ascii="Times New Roman" w:hAnsi="Times New Roman"/>
          <w:sz w:val="28"/>
          <w:szCs w:val="28"/>
        </w:rPr>
        <w:t>Petitioners’ proposal</w:t>
      </w:r>
      <w:r w:rsidR="003A115D">
        <w:rPr>
          <w:rFonts w:ascii="Times New Roman" w:hAnsi="Times New Roman"/>
          <w:sz w:val="28"/>
          <w:szCs w:val="28"/>
        </w:rPr>
        <w:t xml:space="preserve"> provide</w:t>
      </w:r>
      <w:r w:rsidR="00186F81">
        <w:rPr>
          <w:rFonts w:ascii="Times New Roman" w:hAnsi="Times New Roman"/>
          <w:sz w:val="28"/>
          <w:szCs w:val="28"/>
        </w:rPr>
        <w:t>s</w:t>
      </w:r>
      <w:r w:rsidR="003A115D">
        <w:rPr>
          <w:rFonts w:ascii="Times New Roman" w:hAnsi="Times New Roman"/>
          <w:sz w:val="28"/>
          <w:szCs w:val="28"/>
        </w:rPr>
        <w:t xml:space="preserve"> no details regarding when and how this opportunity for cross-examination—particularly as applied to forensic interviews—would transpire. Absent such specificity guaranteeing this constitutional protection, this creates a substantial potential for abuse should the proposed rule be adopted.</w:t>
      </w:r>
    </w:p>
    <w:p w14:paraId="5E2C0E84" w14:textId="4C1E58AB" w:rsidR="00A7312B" w:rsidRDefault="00A7312B" w:rsidP="00E23D21">
      <w:pPr>
        <w:pStyle w:val="ListParagraph"/>
        <w:numPr>
          <w:ilvl w:val="0"/>
          <w:numId w:val="28"/>
        </w:numPr>
        <w:spacing w:line="240" w:lineRule="auto"/>
        <w:ind w:left="720"/>
        <w:jc w:val="both"/>
        <w:rPr>
          <w:rFonts w:ascii="Times New Roman" w:hAnsi="Times New Roman"/>
          <w:b/>
          <w:bCs/>
          <w:sz w:val="28"/>
          <w:szCs w:val="28"/>
        </w:rPr>
      </w:pPr>
      <w:r w:rsidRPr="0012759A">
        <w:rPr>
          <w:rFonts w:ascii="Times New Roman" w:hAnsi="Times New Roman"/>
          <w:b/>
          <w:bCs/>
          <w:sz w:val="28"/>
          <w:szCs w:val="28"/>
        </w:rPr>
        <w:t>The proposed rule is unnecessary given the existing hearsay exceptions</w:t>
      </w:r>
      <w:r w:rsidR="00E23D21">
        <w:rPr>
          <w:rFonts w:ascii="Times New Roman" w:hAnsi="Times New Roman"/>
          <w:b/>
          <w:bCs/>
          <w:sz w:val="28"/>
          <w:szCs w:val="28"/>
        </w:rPr>
        <w:t>.</w:t>
      </w:r>
    </w:p>
    <w:p w14:paraId="43CCDA8C" w14:textId="77777777" w:rsidR="0012759A" w:rsidRPr="0012759A" w:rsidRDefault="0012759A" w:rsidP="0012759A">
      <w:pPr>
        <w:pStyle w:val="ListParagraph"/>
        <w:spacing w:line="240" w:lineRule="auto"/>
        <w:ind w:left="1080"/>
        <w:jc w:val="both"/>
        <w:rPr>
          <w:rFonts w:ascii="Times New Roman" w:hAnsi="Times New Roman"/>
          <w:b/>
          <w:bCs/>
          <w:sz w:val="28"/>
          <w:szCs w:val="28"/>
        </w:rPr>
      </w:pPr>
    </w:p>
    <w:p w14:paraId="30DDC3E9" w14:textId="77777777" w:rsidR="003D37BE" w:rsidRDefault="00A7312B" w:rsidP="00A7312B">
      <w:pPr>
        <w:spacing w:line="480" w:lineRule="auto"/>
        <w:ind w:firstLine="720"/>
        <w:jc w:val="both"/>
        <w:rPr>
          <w:rFonts w:ascii="Times New Roman" w:hAnsi="Times New Roman"/>
          <w:sz w:val="28"/>
          <w:szCs w:val="28"/>
        </w:rPr>
      </w:pPr>
      <w:r w:rsidRPr="00A7312B">
        <w:rPr>
          <w:rFonts w:ascii="Times New Roman" w:hAnsi="Times New Roman"/>
          <w:sz w:val="28"/>
          <w:szCs w:val="28"/>
        </w:rPr>
        <w:t>The concerns that</w:t>
      </w:r>
      <w:r>
        <w:rPr>
          <w:rFonts w:ascii="Times New Roman" w:hAnsi="Times New Roman"/>
          <w:sz w:val="28"/>
          <w:szCs w:val="28"/>
        </w:rPr>
        <w:t xml:space="preserve"> proposed</w:t>
      </w:r>
      <w:r w:rsidRPr="00A7312B">
        <w:rPr>
          <w:rFonts w:ascii="Times New Roman" w:hAnsi="Times New Roman"/>
          <w:sz w:val="28"/>
          <w:szCs w:val="28"/>
        </w:rPr>
        <w:t xml:space="preserve"> Rule 807.01 seeks to address can be </w:t>
      </w:r>
      <w:r>
        <w:rPr>
          <w:rFonts w:ascii="Times New Roman" w:hAnsi="Times New Roman"/>
          <w:sz w:val="28"/>
          <w:szCs w:val="28"/>
        </w:rPr>
        <w:t>remedied</w:t>
      </w:r>
      <w:r w:rsidRPr="00A7312B">
        <w:rPr>
          <w:rFonts w:ascii="Times New Roman" w:hAnsi="Times New Roman"/>
          <w:sz w:val="28"/>
          <w:szCs w:val="28"/>
        </w:rPr>
        <w:t xml:space="preserve"> under the current Arizona Rules of Evidence without creating a new blanket exception. Courts can and do admit out-of-court statements of child victims when those statements satisfy established exceptions or other evidentiary principles. </w:t>
      </w:r>
    </w:p>
    <w:p w14:paraId="7968D0A9" w14:textId="68D7F94B" w:rsidR="00A7312B" w:rsidRDefault="00A7312B" w:rsidP="00A7312B">
      <w:pPr>
        <w:spacing w:line="480" w:lineRule="auto"/>
        <w:ind w:firstLine="720"/>
        <w:jc w:val="both"/>
        <w:rPr>
          <w:rFonts w:ascii="Times New Roman" w:hAnsi="Times New Roman"/>
          <w:sz w:val="28"/>
          <w:szCs w:val="28"/>
        </w:rPr>
      </w:pPr>
      <w:r>
        <w:rPr>
          <w:rFonts w:ascii="Times New Roman" w:hAnsi="Times New Roman"/>
          <w:sz w:val="28"/>
          <w:szCs w:val="28"/>
        </w:rPr>
        <w:t>For instance:</w:t>
      </w:r>
    </w:p>
    <w:p w14:paraId="714CCC41" w14:textId="264065CA" w:rsidR="00A7312B" w:rsidRDefault="00A7312B" w:rsidP="00A7312B">
      <w:pPr>
        <w:pStyle w:val="ListParagraph"/>
        <w:numPr>
          <w:ilvl w:val="0"/>
          <w:numId w:val="27"/>
        </w:numPr>
        <w:spacing w:line="276" w:lineRule="auto"/>
        <w:jc w:val="both"/>
        <w:rPr>
          <w:rFonts w:ascii="Times New Roman" w:hAnsi="Times New Roman"/>
          <w:sz w:val="28"/>
          <w:szCs w:val="28"/>
        </w:rPr>
      </w:pPr>
      <w:r w:rsidRPr="00A7312B">
        <w:rPr>
          <w:rFonts w:ascii="Times New Roman" w:hAnsi="Times New Roman"/>
          <w:b/>
          <w:bCs/>
          <w:sz w:val="28"/>
          <w:szCs w:val="28"/>
        </w:rPr>
        <w:t>Excited utterance</w:t>
      </w:r>
      <w:r>
        <w:rPr>
          <w:rFonts w:ascii="Times New Roman" w:hAnsi="Times New Roman"/>
          <w:sz w:val="28"/>
          <w:szCs w:val="28"/>
        </w:rPr>
        <w:t xml:space="preserve">: </w:t>
      </w:r>
      <w:r w:rsidRPr="00A7312B">
        <w:rPr>
          <w:rFonts w:ascii="Times New Roman" w:hAnsi="Times New Roman"/>
          <w:sz w:val="28"/>
          <w:szCs w:val="28"/>
        </w:rPr>
        <w:t>If a child’s disclosure of abuse was made in an excited state or under the stress of the event (</w:t>
      </w:r>
      <w:r w:rsidR="00E23D21">
        <w:rPr>
          <w:rFonts w:ascii="Times New Roman" w:hAnsi="Times New Roman"/>
          <w:i/>
          <w:iCs/>
          <w:sz w:val="28"/>
          <w:szCs w:val="28"/>
        </w:rPr>
        <w:t>i.e.</w:t>
      </w:r>
      <w:r w:rsidR="00E23D21">
        <w:rPr>
          <w:rFonts w:ascii="Times New Roman" w:hAnsi="Times New Roman"/>
          <w:sz w:val="28"/>
          <w:szCs w:val="28"/>
        </w:rPr>
        <w:t>,</w:t>
      </w:r>
      <w:r w:rsidRPr="00A7312B">
        <w:rPr>
          <w:rFonts w:ascii="Times New Roman" w:hAnsi="Times New Roman"/>
          <w:sz w:val="28"/>
          <w:szCs w:val="28"/>
        </w:rPr>
        <w:t xml:space="preserve"> immediately after an incident), it may be admitted as an excited utterance. Ariz. R. Evid. 803(2). </w:t>
      </w:r>
    </w:p>
    <w:p w14:paraId="1E84529B" w14:textId="77777777" w:rsidR="00A7312B" w:rsidRDefault="00A7312B" w:rsidP="00186F81">
      <w:pPr>
        <w:pStyle w:val="ListParagraph"/>
        <w:spacing w:line="240" w:lineRule="auto"/>
        <w:ind w:left="1440"/>
        <w:jc w:val="both"/>
        <w:rPr>
          <w:rFonts w:ascii="Times New Roman" w:hAnsi="Times New Roman"/>
          <w:sz w:val="28"/>
          <w:szCs w:val="28"/>
        </w:rPr>
      </w:pPr>
    </w:p>
    <w:p w14:paraId="59472B91" w14:textId="445EB989" w:rsidR="00A7312B" w:rsidRDefault="00A7312B" w:rsidP="00A7312B">
      <w:pPr>
        <w:pStyle w:val="ListParagraph"/>
        <w:numPr>
          <w:ilvl w:val="0"/>
          <w:numId w:val="27"/>
        </w:numPr>
        <w:spacing w:line="276" w:lineRule="auto"/>
        <w:jc w:val="both"/>
        <w:rPr>
          <w:rFonts w:ascii="Times New Roman" w:hAnsi="Times New Roman"/>
          <w:sz w:val="28"/>
          <w:szCs w:val="28"/>
        </w:rPr>
      </w:pPr>
      <w:r w:rsidRPr="00A7312B">
        <w:rPr>
          <w:rFonts w:ascii="Times New Roman" w:hAnsi="Times New Roman"/>
          <w:b/>
          <w:bCs/>
          <w:sz w:val="28"/>
          <w:szCs w:val="28"/>
        </w:rPr>
        <w:t>Statements made while seeking medical treatment</w:t>
      </w:r>
      <w:r>
        <w:rPr>
          <w:rFonts w:ascii="Times New Roman" w:hAnsi="Times New Roman"/>
          <w:sz w:val="28"/>
          <w:szCs w:val="28"/>
        </w:rPr>
        <w:t xml:space="preserve">: </w:t>
      </w:r>
      <w:r w:rsidRPr="00A7312B">
        <w:rPr>
          <w:rFonts w:ascii="Times New Roman" w:hAnsi="Times New Roman"/>
          <w:sz w:val="28"/>
          <w:szCs w:val="28"/>
        </w:rPr>
        <w:t>If the child spoke to a medical professional or counselor for purposes of diagnosis or treatment, those statements describing abuse may be admitted under the medical treatment exception. Ariz. R. Evid. 803(4).</w:t>
      </w:r>
    </w:p>
    <w:p w14:paraId="3F11DF0B" w14:textId="77777777" w:rsidR="00A7312B" w:rsidRPr="00A7312B" w:rsidRDefault="00A7312B" w:rsidP="00186F81">
      <w:pPr>
        <w:spacing w:line="240" w:lineRule="auto"/>
        <w:jc w:val="both"/>
        <w:rPr>
          <w:rFonts w:ascii="Times New Roman" w:hAnsi="Times New Roman"/>
          <w:sz w:val="28"/>
          <w:szCs w:val="28"/>
        </w:rPr>
      </w:pPr>
    </w:p>
    <w:p w14:paraId="1A5F3B76" w14:textId="703D5D0E" w:rsidR="00A7312B" w:rsidRDefault="00A7312B" w:rsidP="00A7312B">
      <w:pPr>
        <w:pStyle w:val="ListParagraph"/>
        <w:numPr>
          <w:ilvl w:val="0"/>
          <w:numId w:val="27"/>
        </w:numPr>
        <w:spacing w:line="276" w:lineRule="auto"/>
        <w:jc w:val="both"/>
        <w:rPr>
          <w:rFonts w:ascii="Times New Roman" w:hAnsi="Times New Roman"/>
          <w:sz w:val="28"/>
          <w:szCs w:val="28"/>
        </w:rPr>
      </w:pPr>
      <w:r>
        <w:rPr>
          <w:rFonts w:ascii="Times New Roman" w:hAnsi="Times New Roman"/>
          <w:b/>
          <w:bCs/>
          <w:sz w:val="28"/>
          <w:szCs w:val="28"/>
        </w:rPr>
        <w:t>Refresh recollection</w:t>
      </w:r>
      <w:r w:rsidRPr="00A7312B">
        <w:rPr>
          <w:rFonts w:ascii="Times New Roman" w:hAnsi="Times New Roman"/>
          <w:sz w:val="28"/>
          <w:szCs w:val="28"/>
        </w:rPr>
        <w:t>:</w:t>
      </w:r>
      <w:r>
        <w:rPr>
          <w:rFonts w:ascii="Times New Roman" w:hAnsi="Times New Roman"/>
          <w:sz w:val="28"/>
          <w:szCs w:val="28"/>
        </w:rPr>
        <w:t xml:space="preserve"> </w:t>
      </w:r>
      <w:r w:rsidRPr="00A7312B">
        <w:rPr>
          <w:rFonts w:ascii="Times New Roman" w:hAnsi="Times New Roman"/>
          <w:sz w:val="28"/>
          <w:szCs w:val="28"/>
        </w:rPr>
        <w:t xml:space="preserve">If the child testifies at trial but cannot fully recall the details (perhaps due to the young age or trauma), the </w:t>
      </w:r>
      <w:r w:rsidR="00E23D21">
        <w:rPr>
          <w:rFonts w:ascii="Times New Roman" w:hAnsi="Times New Roman"/>
          <w:sz w:val="28"/>
          <w:szCs w:val="28"/>
        </w:rPr>
        <w:t>State</w:t>
      </w:r>
      <w:r w:rsidR="00E23D21" w:rsidRPr="00A7312B">
        <w:rPr>
          <w:rFonts w:ascii="Times New Roman" w:hAnsi="Times New Roman"/>
          <w:sz w:val="28"/>
          <w:szCs w:val="28"/>
        </w:rPr>
        <w:t xml:space="preserve"> </w:t>
      </w:r>
      <w:r w:rsidRPr="00A7312B">
        <w:rPr>
          <w:rFonts w:ascii="Times New Roman" w:hAnsi="Times New Roman"/>
          <w:sz w:val="28"/>
          <w:szCs w:val="28"/>
        </w:rPr>
        <w:t xml:space="preserve">may use the child’s prior recorded statement to refresh recollection or as a recorded recollection under Rule 803(5). In fact, Arizona courts have held that a video-recorded interview can qualify as a recorded recollection, allowing it to be played to the jury when a child witness forgets, so long as proper foundation is laid. </w:t>
      </w:r>
      <w:r w:rsidR="00944C7C" w:rsidRPr="00186F81">
        <w:rPr>
          <w:rFonts w:ascii="Times New Roman" w:hAnsi="Times New Roman"/>
          <w:i/>
          <w:iCs/>
          <w:sz w:val="28"/>
          <w:szCs w:val="28"/>
        </w:rPr>
        <w:t>See State v. Martin</w:t>
      </w:r>
      <w:r w:rsidR="00944C7C">
        <w:rPr>
          <w:rFonts w:ascii="Times New Roman" w:hAnsi="Times New Roman"/>
          <w:sz w:val="28"/>
          <w:szCs w:val="28"/>
        </w:rPr>
        <w:t>, 225 Ariz. 162, 165</w:t>
      </w:r>
      <w:r w:rsidR="00AC3963">
        <w:rPr>
          <w:rFonts w:ascii="Times New Roman" w:hAnsi="Times New Roman"/>
          <w:sz w:val="28"/>
          <w:szCs w:val="28"/>
        </w:rPr>
        <w:t xml:space="preserve"> ¶ 12</w:t>
      </w:r>
      <w:r w:rsidR="00944C7C">
        <w:rPr>
          <w:rFonts w:ascii="Times New Roman" w:hAnsi="Times New Roman"/>
          <w:sz w:val="28"/>
          <w:szCs w:val="28"/>
        </w:rPr>
        <w:t xml:space="preserve"> (App. 2010). </w:t>
      </w:r>
      <w:r w:rsidRPr="00A7312B">
        <w:rPr>
          <w:rFonts w:ascii="Times New Roman" w:hAnsi="Times New Roman"/>
          <w:sz w:val="28"/>
          <w:szCs w:val="28"/>
        </w:rPr>
        <w:t>This addresses situations where a child’s memory has faded by the time of trial.</w:t>
      </w:r>
    </w:p>
    <w:p w14:paraId="0CCFF64B" w14:textId="77777777" w:rsidR="00A7312B" w:rsidRPr="00A7312B" w:rsidRDefault="00A7312B" w:rsidP="00AC3963">
      <w:pPr>
        <w:spacing w:line="240" w:lineRule="auto"/>
        <w:jc w:val="both"/>
        <w:rPr>
          <w:rFonts w:ascii="Times New Roman" w:hAnsi="Times New Roman"/>
          <w:sz w:val="28"/>
          <w:szCs w:val="28"/>
        </w:rPr>
      </w:pPr>
    </w:p>
    <w:p w14:paraId="2F31F5DA" w14:textId="4FF32FC1" w:rsidR="00A7312B" w:rsidRDefault="00A7312B" w:rsidP="00A7312B">
      <w:pPr>
        <w:pStyle w:val="ListParagraph"/>
        <w:numPr>
          <w:ilvl w:val="0"/>
          <w:numId w:val="27"/>
        </w:numPr>
        <w:spacing w:line="276" w:lineRule="auto"/>
        <w:jc w:val="both"/>
        <w:rPr>
          <w:rFonts w:ascii="Times New Roman" w:hAnsi="Times New Roman"/>
          <w:sz w:val="28"/>
          <w:szCs w:val="28"/>
        </w:rPr>
      </w:pPr>
      <w:r>
        <w:rPr>
          <w:rFonts w:ascii="Times New Roman" w:hAnsi="Times New Roman"/>
          <w:b/>
          <w:bCs/>
          <w:sz w:val="28"/>
          <w:szCs w:val="28"/>
        </w:rPr>
        <w:t>Prior consistent statements</w:t>
      </w:r>
      <w:r>
        <w:rPr>
          <w:rFonts w:ascii="Times New Roman" w:hAnsi="Times New Roman"/>
          <w:sz w:val="28"/>
          <w:szCs w:val="28"/>
        </w:rPr>
        <w:t xml:space="preserve">: </w:t>
      </w:r>
      <w:r w:rsidRPr="00A7312B">
        <w:rPr>
          <w:rFonts w:ascii="Times New Roman" w:hAnsi="Times New Roman"/>
          <w:sz w:val="28"/>
          <w:szCs w:val="28"/>
        </w:rPr>
        <w:t xml:space="preserve">If the child does testify, but the defense attacks the child’s credibility or suggests the story is a recent fabrication, the </w:t>
      </w:r>
      <w:r w:rsidR="00E23D21">
        <w:rPr>
          <w:rFonts w:ascii="Times New Roman" w:hAnsi="Times New Roman"/>
          <w:sz w:val="28"/>
          <w:szCs w:val="28"/>
        </w:rPr>
        <w:t>State</w:t>
      </w:r>
      <w:r w:rsidR="00E23D21" w:rsidRPr="00A7312B">
        <w:rPr>
          <w:rFonts w:ascii="Times New Roman" w:hAnsi="Times New Roman"/>
          <w:sz w:val="28"/>
          <w:szCs w:val="28"/>
        </w:rPr>
        <w:t xml:space="preserve"> </w:t>
      </w:r>
      <w:r w:rsidRPr="00A7312B">
        <w:rPr>
          <w:rFonts w:ascii="Times New Roman" w:hAnsi="Times New Roman"/>
          <w:sz w:val="28"/>
          <w:szCs w:val="28"/>
        </w:rPr>
        <w:t>may introduce portions of the prior interview as a prior consistent statement to rebut that charge</w:t>
      </w:r>
      <w:r w:rsidR="00E23D21">
        <w:rPr>
          <w:rFonts w:ascii="Times New Roman" w:hAnsi="Times New Roman"/>
          <w:sz w:val="28"/>
          <w:szCs w:val="28"/>
        </w:rPr>
        <w:t>,</w:t>
      </w:r>
      <w:r w:rsidRPr="00A7312B">
        <w:rPr>
          <w:rFonts w:ascii="Times New Roman" w:hAnsi="Times New Roman"/>
          <w:sz w:val="28"/>
          <w:szCs w:val="28"/>
        </w:rPr>
        <w:t xml:space="preserve"> but only after the child’s credibility has been challenged</w:t>
      </w:r>
      <w:r w:rsidR="00E23D21">
        <w:rPr>
          <w:rFonts w:ascii="Times New Roman" w:hAnsi="Times New Roman"/>
          <w:sz w:val="28"/>
          <w:szCs w:val="28"/>
        </w:rPr>
        <w:t>,</w:t>
      </w:r>
      <w:r w:rsidRPr="00A7312B">
        <w:rPr>
          <w:rFonts w:ascii="Times New Roman" w:hAnsi="Times New Roman"/>
          <w:sz w:val="28"/>
          <w:szCs w:val="28"/>
        </w:rPr>
        <w:t xml:space="preserve"> and only to the extent necessary to rehabilitate. Ariz. </w:t>
      </w:r>
      <w:r>
        <w:rPr>
          <w:rFonts w:ascii="Times New Roman" w:hAnsi="Times New Roman"/>
          <w:sz w:val="28"/>
          <w:szCs w:val="28"/>
        </w:rPr>
        <w:t>R</w:t>
      </w:r>
      <w:r w:rsidRPr="00A7312B">
        <w:rPr>
          <w:rFonts w:ascii="Times New Roman" w:hAnsi="Times New Roman"/>
          <w:sz w:val="28"/>
          <w:szCs w:val="28"/>
        </w:rPr>
        <w:t>. Evid. 801(d)(1)(B)</w:t>
      </w:r>
      <w:r>
        <w:rPr>
          <w:rFonts w:ascii="Times New Roman" w:hAnsi="Times New Roman"/>
          <w:sz w:val="28"/>
          <w:szCs w:val="28"/>
        </w:rPr>
        <w:t xml:space="preserve">. </w:t>
      </w:r>
      <w:r w:rsidRPr="00A7312B">
        <w:rPr>
          <w:rFonts w:ascii="Times New Roman" w:hAnsi="Times New Roman"/>
          <w:sz w:val="28"/>
          <w:szCs w:val="28"/>
        </w:rPr>
        <w:t>This limited use ensures the jury can hear the earlier statement to evaluate consistency, without wholesale admission of the entire interview in every case.</w:t>
      </w:r>
    </w:p>
    <w:p w14:paraId="1B5824F2" w14:textId="77777777" w:rsidR="00A7312B" w:rsidRPr="00A7312B" w:rsidRDefault="00A7312B" w:rsidP="00AC3963">
      <w:pPr>
        <w:spacing w:line="240" w:lineRule="auto"/>
        <w:jc w:val="both"/>
        <w:rPr>
          <w:rFonts w:ascii="Times New Roman" w:hAnsi="Times New Roman"/>
          <w:sz w:val="28"/>
          <w:szCs w:val="28"/>
        </w:rPr>
      </w:pPr>
    </w:p>
    <w:p w14:paraId="46E0A694" w14:textId="167C05A9" w:rsidR="00A7312B" w:rsidRDefault="00A7312B" w:rsidP="00A7312B">
      <w:pPr>
        <w:pStyle w:val="ListParagraph"/>
        <w:numPr>
          <w:ilvl w:val="0"/>
          <w:numId w:val="27"/>
        </w:numPr>
        <w:spacing w:line="276" w:lineRule="auto"/>
        <w:jc w:val="both"/>
        <w:rPr>
          <w:rFonts w:ascii="Times New Roman" w:hAnsi="Times New Roman"/>
          <w:sz w:val="28"/>
          <w:szCs w:val="28"/>
        </w:rPr>
      </w:pPr>
      <w:r>
        <w:rPr>
          <w:rFonts w:ascii="Times New Roman" w:hAnsi="Times New Roman"/>
          <w:b/>
          <w:bCs/>
          <w:sz w:val="28"/>
          <w:szCs w:val="28"/>
        </w:rPr>
        <w:t>Hearsay exception for unavailable witnesses</w:t>
      </w:r>
      <w:r w:rsidRPr="00A7312B">
        <w:rPr>
          <w:rFonts w:ascii="Times New Roman" w:hAnsi="Times New Roman"/>
          <w:sz w:val="28"/>
          <w:szCs w:val="28"/>
        </w:rPr>
        <w:t>:</w:t>
      </w:r>
      <w:r>
        <w:rPr>
          <w:rFonts w:ascii="Times New Roman" w:hAnsi="Times New Roman"/>
          <w:sz w:val="28"/>
          <w:szCs w:val="28"/>
        </w:rPr>
        <w:t xml:space="preserve"> </w:t>
      </w:r>
      <w:r w:rsidRPr="00A7312B">
        <w:rPr>
          <w:rFonts w:ascii="Times New Roman" w:hAnsi="Times New Roman"/>
          <w:sz w:val="28"/>
          <w:szCs w:val="28"/>
        </w:rPr>
        <w:t>If the child is truly unavailable to testify at trial (for example, due to significant trauma, incapacity, or other extraordinary circumstance), and the child made important statements about the abuse, those statements might be admissible through Rule 804(b) exceptions. The most fitting would be former testimony</w:t>
      </w:r>
      <w:r>
        <w:rPr>
          <w:rFonts w:ascii="Times New Roman" w:hAnsi="Times New Roman"/>
          <w:sz w:val="28"/>
          <w:szCs w:val="28"/>
        </w:rPr>
        <w:t xml:space="preserve"> </w:t>
      </w:r>
      <w:r w:rsidRPr="00A7312B">
        <w:rPr>
          <w:rFonts w:ascii="Times New Roman" w:hAnsi="Times New Roman"/>
          <w:sz w:val="28"/>
          <w:szCs w:val="28"/>
        </w:rPr>
        <w:t xml:space="preserve">if the child </w:t>
      </w:r>
      <w:r w:rsidR="00E23D21">
        <w:rPr>
          <w:rFonts w:ascii="Times New Roman" w:hAnsi="Times New Roman"/>
          <w:sz w:val="28"/>
          <w:szCs w:val="28"/>
        </w:rPr>
        <w:t xml:space="preserve">had previously </w:t>
      </w:r>
      <w:r w:rsidRPr="00A7312B">
        <w:rPr>
          <w:rFonts w:ascii="Times New Roman" w:hAnsi="Times New Roman"/>
          <w:sz w:val="28"/>
          <w:szCs w:val="28"/>
        </w:rPr>
        <w:t>testified under oath</w:t>
      </w:r>
      <w:r w:rsidR="00E23D21">
        <w:rPr>
          <w:rFonts w:ascii="Times New Roman" w:hAnsi="Times New Roman"/>
          <w:sz w:val="28"/>
          <w:szCs w:val="28"/>
        </w:rPr>
        <w:t xml:space="preserve"> and was subject to</w:t>
      </w:r>
      <w:r w:rsidRPr="00A7312B">
        <w:rPr>
          <w:rFonts w:ascii="Times New Roman" w:hAnsi="Times New Roman"/>
          <w:sz w:val="28"/>
          <w:szCs w:val="28"/>
        </w:rPr>
        <w:t xml:space="preserve"> cross-examination. Ariz. R. Evid. 804(b)(1)</w:t>
      </w:r>
      <w:r>
        <w:rPr>
          <w:rFonts w:ascii="Times New Roman" w:hAnsi="Times New Roman"/>
          <w:sz w:val="28"/>
          <w:szCs w:val="28"/>
        </w:rPr>
        <w:t xml:space="preserve">. </w:t>
      </w:r>
      <w:r w:rsidRPr="00A7312B">
        <w:rPr>
          <w:rFonts w:ascii="Times New Roman" w:hAnsi="Times New Roman"/>
          <w:sz w:val="28"/>
          <w:szCs w:val="28"/>
        </w:rPr>
        <w:t>If the prior opportunity for cross</w:t>
      </w:r>
      <w:r w:rsidR="00E23D21">
        <w:rPr>
          <w:rFonts w:ascii="Times New Roman" w:hAnsi="Times New Roman"/>
          <w:sz w:val="28"/>
          <w:szCs w:val="28"/>
        </w:rPr>
        <w:t>-examination</w:t>
      </w:r>
      <w:r w:rsidRPr="00A7312B">
        <w:rPr>
          <w:rFonts w:ascii="Times New Roman" w:hAnsi="Times New Roman"/>
          <w:sz w:val="28"/>
          <w:szCs w:val="28"/>
        </w:rPr>
        <w:t xml:space="preserve"> was adequate, this existing rule already permits use of that testimony (</w:t>
      </w:r>
      <w:r w:rsidR="00E23D21">
        <w:rPr>
          <w:rFonts w:ascii="Times New Roman" w:hAnsi="Times New Roman"/>
          <w:i/>
          <w:iCs/>
          <w:sz w:val="28"/>
          <w:szCs w:val="28"/>
        </w:rPr>
        <w:t>i.e.</w:t>
      </w:r>
      <w:r w:rsidR="00E23D21">
        <w:rPr>
          <w:rFonts w:ascii="Times New Roman" w:hAnsi="Times New Roman"/>
          <w:sz w:val="28"/>
          <w:szCs w:val="28"/>
        </w:rPr>
        <w:t xml:space="preserve">, </w:t>
      </w:r>
      <w:r w:rsidRPr="00A7312B">
        <w:rPr>
          <w:rFonts w:ascii="Times New Roman" w:hAnsi="Times New Roman"/>
          <w:sz w:val="28"/>
          <w:szCs w:val="28"/>
        </w:rPr>
        <w:t xml:space="preserve">reading a transcript or playing a video of a deposition). </w:t>
      </w:r>
    </w:p>
    <w:p w14:paraId="7B36D65D" w14:textId="77777777" w:rsidR="00A7312B" w:rsidRPr="00A7312B" w:rsidRDefault="00A7312B" w:rsidP="00AC3963">
      <w:pPr>
        <w:pStyle w:val="ListParagraph"/>
        <w:spacing w:line="240" w:lineRule="auto"/>
        <w:rPr>
          <w:rFonts w:ascii="Times New Roman" w:hAnsi="Times New Roman"/>
          <w:sz w:val="28"/>
          <w:szCs w:val="28"/>
        </w:rPr>
      </w:pPr>
    </w:p>
    <w:p w14:paraId="1AFB8E12" w14:textId="502FE527" w:rsidR="00A7312B" w:rsidRDefault="00A7312B" w:rsidP="00A7312B">
      <w:pPr>
        <w:pStyle w:val="ListParagraph"/>
        <w:numPr>
          <w:ilvl w:val="0"/>
          <w:numId w:val="27"/>
        </w:numPr>
        <w:spacing w:line="276" w:lineRule="auto"/>
        <w:jc w:val="both"/>
        <w:rPr>
          <w:rFonts w:ascii="Times New Roman" w:hAnsi="Times New Roman"/>
          <w:sz w:val="28"/>
          <w:szCs w:val="28"/>
        </w:rPr>
      </w:pPr>
      <w:r w:rsidRPr="00A7312B">
        <w:rPr>
          <w:rFonts w:ascii="Times New Roman" w:hAnsi="Times New Roman"/>
          <w:b/>
          <w:bCs/>
          <w:sz w:val="28"/>
          <w:szCs w:val="28"/>
        </w:rPr>
        <w:t>Residual hearsay exception</w:t>
      </w:r>
      <w:r>
        <w:rPr>
          <w:rFonts w:ascii="Times New Roman" w:hAnsi="Times New Roman"/>
          <w:sz w:val="28"/>
          <w:szCs w:val="28"/>
        </w:rPr>
        <w:t xml:space="preserve">: </w:t>
      </w:r>
      <w:r w:rsidRPr="00A7312B">
        <w:rPr>
          <w:rFonts w:ascii="Times New Roman" w:hAnsi="Times New Roman"/>
          <w:sz w:val="28"/>
          <w:szCs w:val="28"/>
        </w:rPr>
        <w:t xml:space="preserve">In the rare event a child’s statement does not squarely fit any specific hearsay exception, Arizona’s Residual </w:t>
      </w:r>
      <w:r w:rsidR="00BA7067">
        <w:rPr>
          <w:rFonts w:ascii="Times New Roman" w:hAnsi="Times New Roman"/>
          <w:sz w:val="28"/>
          <w:szCs w:val="28"/>
        </w:rPr>
        <w:t xml:space="preserve">Hearsay </w:t>
      </w:r>
      <w:r w:rsidRPr="00A7312B">
        <w:rPr>
          <w:rFonts w:ascii="Times New Roman" w:hAnsi="Times New Roman"/>
          <w:sz w:val="28"/>
          <w:szCs w:val="28"/>
        </w:rPr>
        <w:t>Exception may be invoked.</w:t>
      </w:r>
      <w:r>
        <w:rPr>
          <w:rFonts w:ascii="Times New Roman" w:hAnsi="Times New Roman"/>
          <w:sz w:val="28"/>
          <w:szCs w:val="28"/>
        </w:rPr>
        <w:t xml:space="preserve"> Ariz. R. Evid. 807.</w:t>
      </w:r>
      <w:r w:rsidRPr="00A7312B">
        <w:rPr>
          <w:rFonts w:ascii="Times New Roman" w:hAnsi="Times New Roman"/>
          <w:sz w:val="28"/>
          <w:szCs w:val="28"/>
        </w:rPr>
        <w:t xml:space="preserve"> This rule gives courts discretion to admit a hearsay statement with equivalent </w:t>
      </w:r>
      <w:r w:rsidRPr="00A7312B">
        <w:rPr>
          <w:rFonts w:ascii="Times New Roman" w:hAnsi="Times New Roman"/>
          <w:sz w:val="28"/>
          <w:szCs w:val="28"/>
        </w:rPr>
        <w:lastRenderedPageBreak/>
        <w:t xml:space="preserve">circumstantial guarantees of trustworthiness, if </w:t>
      </w:r>
      <w:r w:rsidR="00BA7067">
        <w:rPr>
          <w:rFonts w:ascii="Times New Roman" w:hAnsi="Times New Roman"/>
          <w:sz w:val="28"/>
          <w:szCs w:val="28"/>
        </w:rPr>
        <w:t>the statement</w:t>
      </w:r>
      <w:r w:rsidR="00BA7067" w:rsidRPr="00A7312B">
        <w:rPr>
          <w:rFonts w:ascii="Times New Roman" w:hAnsi="Times New Roman"/>
          <w:sz w:val="28"/>
          <w:szCs w:val="28"/>
        </w:rPr>
        <w:t xml:space="preserve"> </w:t>
      </w:r>
      <w:r w:rsidRPr="00A7312B">
        <w:rPr>
          <w:rFonts w:ascii="Times New Roman" w:hAnsi="Times New Roman"/>
          <w:sz w:val="28"/>
          <w:szCs w:val="28"/>
        </w:rPr>
        <w:t xml:space="preserve">is highly probative and justice so requires, provided advance notice is given. A genuinely reliable and crucial child statement from a forensic interview could be evaluated under this standard. The residual exception is deliberately used sparingly </w:t>
      </w:r>
      <w:r w:rsidR="00BA7067">
        <w:rPr>
          <w:rFonts w:ascii="Times New Roman" w:hAnsi="Times New Roman"/>
          <w:sz w:val="28"/>
          <w:szCs w:val="28"/>
        </w:rPr>
        <w:t xml:space="preserve">and </w:t>
      </w:r>
      <w:r w:rsidRPr="00A7312B">
        <w:rPr>
          <w:rFonts w:ascii="Times New Roman" w:hAnsi="Times New Roman"/>
          <w:sz w:val="28"/>
          <w:szCs w:val="28"/>
        </w:rPr>
        <w:t>on a case-by-case basis, which is appropriate for sensitive and variable evidence like child interviews.</w:t>
      </w:r>
    </w:p>
    <w:p w14:paraId="1392C9D6" w14:textId="77777777" w:rsidR="00A7312B" w:rsidRPr="00A7312B" w:rsidRDefault="00A7312B" w:rsidP="00A7312B">
      <w:pPr>
        <w:spacing w:line="276" w:lineRule="auto"/>
        <w:jc w:val="both"/>
        <w:rPr>
          <w:rFonts w:ascii="Times New Roman" w:hAnsi="Times New Roman"/>
          <w:sz w:val="28"/>
          <w:szCs w:val="28"/>
        </w:rPr>
      </w:pPr>
    </w:p>
    <w:p w14:paraId="774052E0" w14:textId="28C9C4EB" w:rsidR="00A7312B" w:rsidRDefault="00A7312B" w:rsidP="00A7312B">
      <w:pPr>
        <w:spacing w:line="480" w:lineRule="auto"/>
        <w:ind w:firstLine="720"/>
        <w:jc w:val="both"/>
        <w:rPr>
          <w:rFonts w:ascii="Times New Roman" w:hAnsi="Times New Roman"/>
          <w:sz w:val="28"/>
          <w:szCs w:val="28"/>
        </w:rPr>
      </w:pPr>
      <w:r w:rsidRPr="00A7312B">
        <w:rPr>
          <w:rFonts w:ascii="Times New Roman" w:hAnsi="Times New Roman"/>
          <w:sz w:val="28"/>
          <w:szCs w:val="28"/>
        </w:rPr>
        <w:t xml:space="preserve">The existing framework </w:t>
      </w:r>
      <w:r>
        <w:rPr>
          <w:rFonts w:ascii="Times New Roman" w:hAnsi="Times New Roman"/>
          <w:sz w:val="28"/>
          <w:szCs w:val="28"/>
        </w:rPr>
        <w:t>requires</w:t>
      </w:r>
      <w:r w:rsidRPr="00A7312B">
        <w:rPr>
          <w:rFonts w:ascii="Times New Roman" w:hAnsi="Times New Roman"/>
          <w:sz w:val="28"/>
          <w:szCs w:val="28"/>
        </w:rPr>
        <w:t xml:space="preserve"> the </w:t>
      </w:r>
      <w:r w:rsidR="00BA7067">
        <w:rPr>
          <w:rFonts w:ascii="Times New Roman" w:hAnsi="Times New Roman"/>
          <w:sz w:val="28"/>
          <w:szCs w:val="28"/>
        </w:rPr>
        <w:t>State</w:t>
      </w:r>
      <w:r w:rsidR="00BA7067" w:rsidRPr="00A7312B">
        <w:rPr>
          <w:rFonts w:ascii="Times New Roman" w:hAnsi="Times New Roman"/>
          <w:sz w:val="28"/>
          <w:szCs w:val="28"/>
        </w:rPr>
        <w:t xml:space="preserve"> </w:t>
      </w:r>
      <w:r w:rsidRPr="00A7312B">
        <w:rPr>
          <w:rFonts w:ascii="Times New Roman" w:hAnsi="Times New Roman"/>
          <w:sz w:val="28"/>
          <w:szCs w:val="28"/>
        </w:rPr>
        <w:t>to justify the admission of a child’s hearsay</w:t>
      </w:r>
      <w:r w:rsidR="00BA7067">
        <w:rPr>
          <w:rFonts w:ascii="Times New Roman" w:hAnsi="Times New Roman"/>
          <w:sz w:val="28"/>
          <w:szCs w:val="28"/>
        </w:rPr>
        <w:t xml:space="preserve"> statements</w:t>
      </w:r>
      <w:r w:rsidRPr="00A7312B">
        <w:rPr>
          <w:rFonts w:ascii="Times New Roman" w:hAnsi="Times New Roman"/>
          <w:sz w:val="28"/>
          <w:szCs w:val="28"/>
        </w:rPr>
        <w:t xml:space="preserve"> in each instance, showing why a particular statement is reliable and necessary under an established exception. This case-specific approach is a strength, not a weakness: it ensures that the jury will hear only statements meeting rigorous criteria (or carrying inherent guarantees of trustworthiness). Proposed Rule 807.01 would flip this approach, making recorded child interviews presumptively admissible across the board for certain crimes and ages, without requiring particularized guarantees of trustworthiness beyond the general conditions in the rule. </w:t>
      </w:r>
      <w:r w:rsidR="00B52A58">
        <w:rPr>
          <w:rFonts w:ascii="Times New Roman" w:hAnsi="Times New Roman"/>
          <w:sz w:val="28"/>
          <w:szCs w:val="28"/>
        </w:rPr>
        <w:t>T</w:t>
      </w:r>
      <w:r w:rsidRPr="00A7312B">
        <w:rPr>
          <w:rFonts w:ascii="Times New Roman" w:hAnsi="Times New Roman"/>
          <w:sz w:val="28"/>
          <w:szCs w:val="28"/>
        </w:rPr>
        <w:t xml:space="preserve">his broad brush is neither </w:t>
      </w:r>
      <w:r w:rsidR="00BA7067">
        <w:rPr>
          <w:rFonts w:ascii="Times New Roman" w:hAnsi="Times New Roman"/>
          <w:sz w:val="28"/>
          <w:szCs w:val="28"/>
        </w:rPr>
        <w:t>necessary</w:t>
      </w:r>
      <w:r w:rsidR="00BA7067" w:rsidRPr="00A7312B">
        <w:rPr>
          <w:rFonts w:ascii="Times New Roman" w:hAnsi="Times New Roman"/>
          <w:sz w:val="28"/>
          <w:szCs w:val="28"/>
        </w:rPr>
        <w:t xml:space="preserve"> </w:t>
      </w:r>
      <w:r w:rsidRPr="00A7312B">
        <w:rPr>
          <w:rFonts w:ascii="Times New Roman" w:hAnsi="Times New Roman"/>
          <w:sz w:val="28"/>
          <w:szCs w:val="28"/>
        </w:rPr>
        <w:t>nor prudent. Arizona’s trial courts have adequate tools to admit reliable evidence from child victims and to exclude or carefully limit unreliable or marginally relevant statements.</w:t>
      </w:r>
    </w:p>
    <w:p w14:paraId="7688E01C" w14:textId="1C846BCE" w:rsidR="0012759A" w:rsidRDefault="00BE1E22" w:rsidP="00BE1E22">
      <w:pPr>
        <w:pStyle w:val="ListParagraph"/>
        <w:numPr>
          <w:ilvl w:val="0"/>
          <w:numId w:val="28"/>
        </w:numPr>
        <w:spacing w:line="240" w:lineRule="auto"/>
        <w:ind w:left="720"/>
        <w:jc w:val="both"/>
        <w:rPr>
          <w:rFonts w:ascii="Times New Roman" w:hAnsi="Times New Roman"/>
          <w:b/>
          <w:bCs/>
          <w:sz w:val="28"/>
          <w:szCs w:val="28"/>
        </w:rPr>
      </w:pPr>
      <w:r>
        <w:rPr>
          <w:rFonts w:ascii="Times New Roman" w:hAnsi="Times New Roman"/>
          <w:b/>
          <w:bCs/>
          <w:sz w:val="28"/>
          <w:szCs w:val="28"/>
        </w:rPr>
        <w:t xml:space="preserve">The proposed rule relies on the presumed reliability of forensic interviews, ignoring the fact that such interviews are susceptible to error and child suggestibility. </w:t>
      </w:r>
      <w:r w:rsidR="00B52A58" w:rsidRPr="0012759A">
        <w:rPr>
          <w:rFonts w:ascii="Times New Roman" w:hAnsi="Times New Roman"/>
          <w:b/>
          <w:bCs/>
          <w:sz w:val="28"/>
          <w:szCs w:val="28"/>
        </w:rPr>
        <w:t xml:space="preserve"> </w:t>
      </w:r>
    </w:p>
    <w:p w14:paraId="6E62E15F" w14:textId="77777777" w:rsidR="008A54ED" w:rsidRPr="0012759A" w:rsidRDefault="008A54ED" w:rsidP="00BA7067">
      <w:pPr>
        <w:pStyle w:val="ListParagraph"/>
        <w:spacing w:line="240" w:lineRule="auto"/>
        <w:jc w:val="both"/>
        <w:rPr>
          <w:rFonts w:ascii="Times New Roman" w:hAnsi="Times New Roman"/>
          <w:b/>
          <w:bCs/>
          <w:sz w:val="28"/>
          <w:szCs w:val="28"/>
        </w:rPr>
      </w:pPr>
    </w:p>
    <w:p w14:paraId="5C429CCA" w14:textId="53C0A4FE" w:rsidR="0034677F" w:rsidRPr="00AC3963" w:rsidRDefault="0034677F" w:rsidP="00BA7067">
      <w:pPr>
        <w:spacing w:line="480" w:lineRule="auto"/>
        <w:ind w:firstLine="720"/>
        <w:jc w:val="both"/>
        <w:rPr>
          <w:rFonts w:ascii="Times New Roman" w:hAnsi="Times New Roman"/>
          <w:sz w:val="28"/>
          <w:szCs w:val="28"/>
        </w:rPr>
      </w:pPr>
      <w:r w:rsidRPr="00BA7067">
        <w:rPr>
          <w:rFonts w:ascii="Times New Roman" w:hAnsi="Times New Roman"/>
          <w:sz w:val="28"/>
          <w:szCs w:val="28"/>
        </w:rPr>
        <w:t xml:space="preserve">Although forensic interviews are a </w:t>
      </w:r>
      <w:r>
        <w:rPr>
          <w:rFonts w:ascii="Times New Roman" w:hAnsi="Times New Roman"/>
          <w:sz w:val="28"/>
          <w:szCs w:val="28"/>
        </w:rPr>
        <w:t>useful</w:t>
      </w:r>
      <w:r w:rsidRPr="00BA7067">
        <w:rPr>
          <w:rFonts w:ascii="Times New Roman" w:hAnsi="Times New Roman"/>
          <w:sz w:val="28"/>
          <w:szCs w:val="28"/>
        </w:rPr>
        <w:t xml:space="preserve"> investigative tool, they are only as reliable as the techniques and conditions under which they are conducted. Strict protocols exist to safeguard the accuracy of these interviews, but in practice, they </w:t>
      </w:r>
      <w:r w:rsidRPr="00BA7067">
        <w:rPr>
          <w:rFonts w:ascii="Times New Roman" w:hAnsi="Times New Roman"/>
          <w:sz w:val="28"/>
          <w:szCs w:val="28"/>
        </w:rPr>
        <w:lastRenderedPageBreak/>
        <w:t>are not always consistently followed. Compounding these concerns, the proposed rule seeks to replace the traditional safeguard of cross-examination with imperfect substitutes, increasing the risk that unreliable statements will be admitted without proper testing.</w:t>
      </w:r>
    </w:p>
    <w:p w14:paraId="4F0AB6F4" w14:textId="02666F42" w:rsidR="006D2DF3" w:rsidRPr="00AC3963" w:rsidRDefault="006D2DF3" w:rsidP="00AC3963">
      <w:pPr>
        <w:pStyle w:val="ListParagraph"/>
        <w:numPr>
          <w:ilvl w:val="0"/>
          <w:numId w:val="31"/>
        </w:numPr>
        <w:spacing w:line="480" w:lineRule="auto"/>
        <w:jc w:val="both"/>
        <w:rPr>
          <w:rFonts w:ascii="Times New Roman" w:hAnsi="Times New Roman"/>
          <w:b/>
          <w:bCs/>
          <w:sz w:val="28"/>
          <w:szCs w:val="28"/>
        </w:rPr>
      </w:pPr>
      <w:r w:rsidRPr="00BA7067">
        <w:rPr>
          <w:rFonts w:ascii="Times New Roman" w:hAnsi="Times New Roman"/>
          <w:b/>
          <w:bCs/>
          <w:sz w:val="28"/>
          <w:szCs w:val="28"/>
        </w:rPr>
        <w:t>Forensic interviews are not infallible</w:t>
      </w:r>
      <w:r w:rsidR="002947CE">
        <w:rPr>
          <w:rFonts w:ascii="Times New Roman" w:hAnsi="Times New Roman"/>
          <w:b/>
          <w:bCs/>
          <w:sz w:val="28"/>
          <w:szCs w:val="28"/>
        </w:rPr>
        <w:t>.</w:t>
      </w:r>
    </w:p>
    <w:p w14:paraId="66D92E8B" w14:textId="0BFAF17A" w:rsidR="00B52A58" w:rsidRDefault="00B52A58" w:rsidP="00B52A58">
      <w:pPr>
        <w:spacing w:line="480" w:lineRule="auto"/>
        <w:ind w:firstLine="720"/>
        <w:jc w:val="both"/>
        <w:rPr>
          <w:rFonts w:ascii="Times New Roman" w:hAnsi="Times New Roman"/>
          <w:sz w:val="28"/>
          <w:szCs w:val="28"/>
        </w:rPr>
      </w:pPr>
      <w:r w:rsidRPr="00B52A58">
        <w:rPr>
          <w:rFonts w:ascii="Times New Roman" w:hAnsi="Times New Roman"/>
          <w:sz w:val="28"/>
          <w:szCs w:val="28"/>
        </w:rPr>
        <w:t xml:space="preserve">While forensic interviews of children are a critical investigative tool and often conducted by trained professionals, they are only as reliable as the techniques employed and the child’s own consistency. </w:t>
      </w:r>
      <w:r w:rsidR="00BA7067">
        <w:rPr>
          <w:rFonts w:ascii="Times New Roman" w:hAnsi="Times New Roman"/>
          <w:sz w:val="28"/>
          <w:szCs w:val="28"/>
        </w:rPr>
        <w:t xml:space="preserve">Proposed </w:t>
      </w:r>
      <w:r w:rsidRPr="00B52A58">
        <w:rPr>
          <w:rFonts w:ascii="Times New Roman" w:hAnsi="Times New Roman"/>
          <w:sz w:val="28"/>
          <w:szCs w:val="28"/>
        </w:rPr>
        <w:t xml:space="preserve">Rule 807.01 assumes a level of reliability in recorded forensic interviews that is not scientifically or empirically justified. Even with the </w:t>
      </w:r>
      <w:r w:rsidR="00BA7067">
        <w:rPr>
          <w:rFonts w:ascii="Times New Roman" w:hAnsi="Times New Roman"/>
          <w:sz w:val="28"/>
          <w:szCs w:val="28"/>
        </w:rPr>
        <w:t>proposed</w:t>
      </w:r>
      <w:r w:rsidR="00BA7067" w:rsidRPr="00B52A58">
        <w:rPr>
          <w:rFonts w:ascii="Times New Roman" w:hAnsi="Times New Roman"/>
          <w:sz w:val="28"/>
          <w:szCs w:val="28"/>
        </w:rPr>
        <w:t xml:space="preserve"> </w:t>
      </w:r>
      <w:r w:rsidRPr="00B52A58">
        <w:rPr>
          <w:rFonts w:ascii="Times New Roman" w:hAnsi="Times New Roman"/>
          <w:sz w:val="28"/>
          <w:szCs w:val="28"/>
        </w:rPr>
        <w:t xml:space="preserve">safeguards </w:t>
      </w:r>
      <w:r w:rsidR="00BA7067">
        <w:rPr>
          <w:rFonts w:ascii="Times New Roman" w:hAnsi="Times New Roman"/>
          <w:sz w:val="28"/>
          <w:szCs w:val="28"/>
        </w:rPr>
        <w:t xml:space="preserve">in the rule </w:t>
      </w:r>
      <w:r w:rsidRPr="00B52A58">
        <w:rPr>
          <w:rFonts w:ascii="Times New Roman" w:hAnsi="Times New Roman"/>
          <w:sz w:val="28"/>
          <w:szCs w:val="28"/>
        </w:rPr>
        <w:t>(requiring that the interview be conducted to avoid undue influence,</w:t>
      </w:r>
      <w:r w:rsidR="00BA7067">
        <w:rPr>
          <w:rFonts w:ascii="Times New Roman" w:hAnsi="Times New Roman"/>
          <w:sz w:val="28"/>
          <w:szCs w:val="28"/>
        </w:rPr>
        <w:t xml:space="preserve"> that the recording is both visual and aural,</w:t>
      </w:r>
      <w:r w:rsidRPr="00B52A58">
        <w:rPr>
          <w:rFonts w:ascii="Times New Roman" w:hAnsi="Times New Roman"/>
          <w:sz w:val="28"/>
          <w:szCs w:val="28"/>
        </w:rPr>
        <w:t xml:space="preserve"> etc.), the reality is that interviews can and </w:t>
      </w:r>
      <w:r w:rsidR="00BA7067">
        <w:rPr>
          <w:rFonts w:ascii="Times New Roman" w:hAnsi="Times New Roman"/>
          <w:sz w:val="28"/>
          <w:szCs w:val="28"/>
        </w:rPr>
        <w:t xml:space="preserve">often </w:t>
      </w:r>
      <w:r w:rsidRPr="00B52A58">
        <w:rPr>
          <w:rFonts w:ascii="Times New Roman" w:hAnsi="Times New Roman"/>
          <w:sz w:val="28"/>
          <w:szCs w:val="28"/>
        </w:rPr>
        <w:t xml:space="preserve">do vary in quality. </w:t>
      </w:r>
    </w:p>
    <w:p w14:paraId="21972235" w14:textId="4BD7E9DB" w:rsidR="00C31934" w:rsidRPr="00AC3963" w:rsidRDefault="00EB2344" w:rsidP="0010243E">
      <w:pPr>
        <w:spacing w:line="480" w:lineRule="auto"/>
        <w:ind w:firstLine="720"/>
        <w:jc w:val="both"/>
        <w:rPr>
          <w:rFonts w:ascii="Times New Roman" w:hAnsi="Times New Roman"/>
          <w:b/>
          <w:bCs/>
          <w:sz w:val="28"/>
          <w:szCs w:val="28"/>
        </w:rPr>
      </w:pPr>
      <w:r>
        <w:rPr>
          <w:rFonts w:ascii="Times New Roman" w:hAnsi="Times New Roman"/>
          <w:sz w:val="28"/>
          <w:szCs w:val="28"/>
        </w:rPr>
        <w:t>Minor</w:t>
      </w:r>
      <w:r w:rsidR="00B52A58" w:rsidRPr="00B52A58">
        <w:rPr>
          <w:rFonts w:ascii="Times New Roman" w:hAnsi="Times New Roman"/>
          <w:sz w:val="28"/>
          <w:szCs w:val="28"/>
        </w:rPr>
        <w:t xml:space="preserve"> deviations from best practices can significantly affect the accuracy of a child’s account. For example, if an interviewer asks slightly leading questions, or if the child is interviewed multiple times about the same events, the child’s recollection can be altered or reinforced in inaccurate ways. Research in developmental psychology has repeatedly shown that children are susceptible to suggestion and may incorporate interviewers’ cues (even unintentional ones) into their narratives. </w:t>
      </w:r>
      <w:r w:rsidR="001D638F" w:rsidRPr="001D638F">
        <w:rPr>
          <w:rFonts w:ascii="Times New Roman" w:hAnsi="Times New Roman"/>
          <w:sz w:val="28"/>
          <w:szCs w:val="28"/>
        </w:rPr>
        <w:t xml:space="preserve">Amye R. Warren &amp; Dorothy F. </w:t>
      </w:r>
      <w:proofErr w:type="spellStart"/>
      <w:r w:rsidR="001D638F" w:rsidRPr="001D638F">
        <w:rPr>
          <w:rFonts w:ascii="Times New Roman" w:hAnsi="Times New Roman"/>
          <w:sz w:val="28"/>
          <w:szCs w:val="28"/>
        </w:rPr>
        <w:t>Marsil</w:t>
      </w:r>
      <w:proofErr w:type="spellEnd"/>
      <w:r w:rsidR="001D638F" w:rsidRPr="001D638F">
        <w:rPr>
          <w:rFonts w:ascii="Times New Roman" w:hAnsi="Times New Roman"/>
          <w:sz w:val="28"/>
          <w:szCs w:val="28"/>
        </w:rPr>
        <w:t xml:space="preserve">, </w:t>
      </w:r>
      <w:r w:rsidR="001D638F" w:rsidRPr="00AC3963">
        <w:rPr>
          <w:rFonts w:ascii="Times New Roman" w:hAnsi="Times New Roman"/>
          <w:i/>
          <w:iCs/>
          <w:sz w:val="28"/>
          <w:szCs w:val="28"/>
        </w:rPr>
        <w:t>Why Children</w:t>
      </w:r>
      <w:r w:rsidR="001D638F">
        <w:rPr>
          <w:rFonts w:ascii="Times New Roman" w:hAnsi="Times New Roman"/>
          <w:i/>
          <w:iCs/>
          <w:sz w:val="28"/>
          <w:szCs w:val="28"/>
        </w:rPr>
        <w:t>’</w:t>
      </w:r>
      <w:r w:rsidR="001D638F" w:rsidRPr="00AC3963">
        <w:rPr>
          <w:rFonts w:ascii="Times New Roman" w:hAnsi="Times New Roman"/>
          <w:i/>
          <w:iCs/>
          <w:sz w:val="28"/>
          <w:szCs w:val="28"/>
        </w:rPr>
        <w:t xml:space="preserve">s Suggestibility Remains </w:t>
      </w:r>
      <w:r w:rsidR="001D638F" w:rsidRPr="001D638F">
        <w:rPr>
          <w:rFonts w:ascii="Times New Roman" w:hAnsi="Times New Roman"/>
          <w:i/>
          <w:iCs/>
          <w:sz w:val="28"/>
          <w:szCs w:val="28"/>
        </w:rPr>
        <w:t>a</w:t>
      </w:r>
      <w:r w:rsidR="001D638F" w:rsidRPr="00AC3963">
        <w:rPr>
          <w:rFonts w:ascii="Times New Roman" w:hAnsi="Times New Roman"/>
          <w:i/>
          <w:iCs/>
          <w:sz w:val="28"/>
          <w:szCs w:val="28"/>
        </w:rPr>
        <w:t xml:space="preserve"> Serious Concern</w:t>
      </w:r>
      <w:r w:rsidR="001D638F" w:rsidRPr="001D638F">
        <w:rPr>
          <w:rFonts w:ascii="Times New Roman" w:hAnsi="Times New Roman"/>
          <w:sz w:val="28"/>
          <w:szCs w:val="28"/>
        </w:rPr>
        <w:t xml:space="preserve">, </w:t>
      </w:r>
      <w:r w:rsidR="001D638F" w:rsidRPr="00AC3963">
        <w:rPr>
          <w:rFonts w:ascii="Times New Roman" w:hAnsi="Times New Roman"/>
          <w:smallCaps/>
          <w:sz w:val="28"/>
          <w:szCs w:val="28"/>
        </w:rPr>
        <w:t>Law &amp; Contemp. Probs.</w:t>
      </w:r>
      <w:r w:rsidR="001D638F" w:rsidRPr="001D638F">
        <w:rPr>
          <w:rFonts w:ascii="Times New Roman" w:hAnsi="Times New Roman"/>
          <w:sz w:val="28"/>
          <w:szCs w:val="28"/>
        </w:rPr>
        <w:t>, Winter 2002</w:t>
      </w:r>
      <w:r w:rsidR="001D638F">
        <w:rPr>
          <w:rFonts w:ascii="Times New Roman" w:hAnsi="Times New Roman"/>
          <w:sz w:val="28"/>
          <w:szCs w:val="28"/>
        </w:rPr>
        <w:t xml:space="preserve">; </w:t>
      </w:r>
      <w:r w:rsidR="001D638F" w:rsidRPr="001D638F">
        <w:rPr>
          <w:rFonts w:ascii="Times New Roman" w:hAnsi="Times New Roman"/>
          <w:sz w:val="28"/>
          <w:szCs w:val="28"/>
        </w:rPr>
        <w:lastRenderedPageBreak/>
        <w:t xml:space="preserve">Stephen J. Ceci &amp; Richard D. Friedman, </w:t>
      </w:r>
      <w:r w:rsidR="001D638F" w:rsidRPr="00AC3963">
        <w:rPr>
          <w:rFonts w:ascii="Times New Roman" w:hAnsi="Times New Roman"/>
          <w:i/>
          <w:iCs/>
          <w:sz w:val="28"/>
          <w:szCs w:val="28"/>
        </w:rPr>
        <w:t>The Suggestibility of Children: Scientific Research and Legal Implications</w:t>
      </w:r>
      <w:r w:rsidR="001D638F" w:rsidRPr="001D638F">
        <w:rPr>
          <w:rFonts w:ascii="Times New Roman" w:hAnsi="Times New Roman"/>
          <w:sz w:val="28"/>
          <w:szCs w:val="28"/>
        </w:rPr>
        <w:t xml:space="preserve">, 86 </w:t>
      </w:r>
      <w:r w:rsidR="001D638F" w:rsidRPr="00AC3963">
        <w:rPr>
          <w:rFonts w:ascii="Times New Roman" w:hAnsi="Times New Roman"/>
          <w:smallCaps/>
          <w:sz w:val="28"/>
          <w:szCs w:val="28"/>
        </w:rPr>
        <w:t>Cornell L. Rev</w:t>
      </w:r>
      <w:r w:rsidR="001D638F" w:rsidRPr="001D638F">
        <w:rPr>
          <w:rFonts w:ascii="Times New Roman" w:hAnsi="Times New Roman"/>
          <w:sz w:val="28"/>
          <w:szCs w:val="28"/>
        </w:rPr>
        <w:t>. 33, 51 (2000)</w:t>
      </w:r>
      <w:r w:rsidR="007D0BE0">
        <w:rPr>
          <w:rFonts w:ascii="Times New Roman" w:hAnsi="Times New Roman"/>
          <w:sz w:val="28"/>
          <w:szCs w:val="28"/>
        </w:rPr>
        <w:t xml:space="preserve">; Maggie Bruck &amp; Stephen J. Ceci, </w:t>
      </w:r>
      <w:r w:rsidR="007D0BE0" w:rsidRPr="00AC3963">
        <w:rPr>
          <w:rFonts w:ascii="Times New Roman" w:hAnsi="Times New Roman"/>
          <w:i/>
          <w:iCs/>
          <w:sz w:val="28"/>
          <w:szCs w:val="28"/>
        </w:rPr>
        <w:t>The Suggestibility of Children’s Memory</w:t>
      </w:r>
      <w:r w:rsidR="007D0BE0">
        <w:rPr>
          <w:rFonts w:ascii="Times New Roman" w:hAnsi="Times New Roman"/>
          <w:sz w:val="28"/>
          <w:szCs w:val="28"/>
        </w:rPr>
        <w:t xml:space="preserve">, 50 </w:t>
      </w:r>
      <w:r w:rsidR="007D0BE0" w:rsidRPr="00AC3963">
        <w:rPr>
          <w:rFonts w:ascii="Times New Roman" w:hAnsi="Times New Roman"/>
          <w:smallCaps/>
          <w:sz w:val="28"/>
          <w:szCs w:val="28"/>
        </w:rPr>
        <w:t>Annu. Rev. Psychol.</w:t>
      </w:r>
      <w:r w:rsidR="007D0BE0">
        <w:rPr>
          <w:rFonts w:ascii="Times New Roman" w:hAnsi="Times New Roman"/>
          <w:sz w:val="28"/>
          <w:szCs w:val="28"/>
        </w:rPr>
        <w:t xml:space="preserve"> 419, 427 (1999). </w:t>
      </w:r>
      <w:r w:rsidR="001D638F">
        <w:rPr>
          <w:rFonts w:ascii="Times New Roman" w:hAnsi="Times New Roman"/>
          <w:sz w:val="28"/>
          <w:szCs w:val="28"/>
        </w:rPr>
        <w:t xml:space="preserve"> </w:t>
      </w:r>
      <w:r w:rsidR="00B52A58" w:rsidRPr="00B52A58">
        <w:rPr>
          <w:rFonts w:ascii="Times New Roman" w:hAnsi="Times New Roman"/>
          <w:sz w:val="28"/>
          <w:szCs w:val="28"/>
        </w:rPr>
        <w:t>Young children especially may have difficulty distinguishing between memory and suggestion, or may be eager to please the adult interviewer, resulting in unintended false or distorted statements.</w:t>
      </w:r>
      <w:r w:rsidR="007D0BE0">
        <w:rPr>
          <w:rFonts w:ascii="Times New Roman" w:hAnsi="Times New Roman"/>
          <w:sz w:val="28"/>
          <w:szCs w:val="28"/>
        </w:rPr>
        <w:t xml:space="preserve"> Bruck &amp; Ceci, </w:t>
      </w:r>
      <w:r w:rsidR="007D0BE0" w:rsidRPr="00AC3963">
        <w:rPr>
          <w:rFonts w:ascii="Times New Roman" w:hAnsi="Times New Roman"/>
          <w:i/>
          <w:iCs/>
          <w:sz w:val="28"/>
          <w:szCs w:val="28"/>
        </w:rPr>
        <w:t>supra</w:t>
      </w:r>
      <w:r w:rsidR="007D0BE0">
        <w:rPr>
          <w:rFonts w:ascii="Times New Roman" w:hAnsi="Times New Roman"/>
          <w:sz w:val="28"/>
          <w:szCs w:val="28"/>
        </w:rPr>
        <w:t xml:space="preserve"> at 427.</w:t>
      </w:r>
    </w:p>
    <w:p w14:paraId="7DE60809" w14:textId="5DCC9281" w:rsidR="00B52A58" w:rsidRDefault="00B52A58" w:rsidP="00B52A58">
      <w:pPr>
        <w:spacing w:line="480" w:lineRule="auto"/>
        <w:ind w:firstLine="720"/>
        <w:jc w:val="both"/>
        <w:rPr>
          <w:rFonts w:ascii="Times New Roman" w:hAnsi="Times New Roman"/>
          <w:sz w:val="28"/>
          <w:szCs w:val="28"/>
        </w:rPr>
      </w:pPr>
      <w:r>
        <w:rPr>
          <w:rFonts w:ascii="Times New Roman" w:hAnsi="Times New Roman"/>
          <w:sz w:val="28"/>
          <w:szCs w:val="28"/>
        </w:rPr>
        <w:t>Strict protocols are critical to ensuring the proper procedures for forensic interviews, yet they are not always followed.</w:t>
      </w:r>
      <w:r w:rsidRPr="00B52A58">
        <w:rPr>
          <w:rFonts w:ascii="Times New Roman" w:hAnsi="Times New Roman"/>
          <w:sz w:val="28"/>
          <w:szCs w:val="28"/>
        </w:rPr>
        <w:t xml:space="preserve"> Professional guidelines for child forensic interviews</w:t>
      </w:r>
      <w:r w:rsidR="00BA7067">
        <w:rPr>
          <w:rFonts w:ascii="Times New Roman" w:hAnsi="Times New Roman"/>
          <w:sz w:val="28"/>
          <w:szCs w:val="28"/>
        </w:rPr>
        <w:t xml:space="preserve"> </w:t>
      </w:r>
      <w:r w:rsidR="00BA7067" w:rsidRPr="00B52A58">
        <w:rPr>
          <w:rFonts w:ascii="Times New Roman" w:hAnsi="Times New Roman"/>
          <w:sz w:val="28"/>
          <w:szCs w:val="28"/>
        </w:rPr>
        <w:t>emphasize asking open-ended questions, avoiding repetition of questions on the same topic, and refraining from offering feedback or reactions that could influence the child.</w:t>
      </w:r>
      <w:r>
        <w:rPr>
          <w:rStyle w:val="FootnoteReference"/>
          <w:rFonts w:ascii="Times New Roman" w:hAnsi="Times New Roman"/>
          <w:sz w:val="28"/>
          <w:szCs w:val="28"/>
        </w:rPr>
        <w:footnoteReference w:id="1"/>
      </w:r>
      <w:r w:rsidRPr="00B52A58">
        <w:rPr>
          <w:rFonts w:ascii="Times New Roman" w:hAnsi="Times New Roman"/>
          <w:sz w:val="28"/>
          <w:szCs w:val="28"/>
        </w:rPr>
        <w:t xml:space="preserve"> These protocols were developed precisely because of past cases where poor interview techniques led to unreliable testimony.  If every forensic interview strictly adhered to best practices, the trustworthiness of the statements would be less variable. </w:t>
      </w:r>
    </w:p>
    <w:p w14:paraId="5D2C035A" w14:textId="65B932B3" w:rsidR="00B52A58" w:rsidRDefault="00B52A58" w:rsidP="00B52A58">
      <w:pPr>
        <w:spacing w:line="480" w:lineRule="auto"/>
        <w:ind w:firstLine="720"/>
        <w:jc w:val="both"/>
        <w:rPr>
          <w:rFonts w:ascii="Times New Roman" w:hAnsi="Times New Roman"/>
          <w:sz w:val="28"/>
          <w:szCs w:val="28"/>
        </w:rPr>
      </w:pPr>
      <w:r w:rsidRPr="00B52A58">
        <w:rPr>
          <w:rFonts w:ascii="Times New Roman" w:hAnsi="Times New Roman"/>
          <w:sz w:val="28"/>
          <w:szCs w:val="28"/>
        </w:rPr>
        <w:t xml:space="preserve">In practice, however, adherence can be uneven. Interviewers may diverge from the protocol due to inexperience, pressing time constraints, or the child’s </w:t>
      </w:r>
      <w:r w:rsidRPr="00B52A58">
        <w:rPr>
          <w:rFonts w:ascii="Times New Roman" w:hAnsi="Times New Roman"/>
          <w:sz w:val="28"/>
          <w:szCs w:val="28"/>
        </w:rPr>
        <w:lastRenderedPageBreak/>
        <w:t>behavior during the interview. Oversights happen</w:t>
      </w:r>
      <w:r>
        <w:rPr>
          <w:rFonts w:ascii="Times New Roman" w:hAnsi="Times New Roman"/>
          <w:sz w:val="28"/>
          <w:szCs w:val="28"/>
        </w:rPr>
        <w:t>;</w:t>
      </w:r>
      <w:r w:rsidRPr="00B52A58">
        <w:rPr>
          <w:rFonts w:ascii="Times New Roman" w:hAnsi="Times New Roman"/>
          <w:sz w:val="28"/>
          <w:szCs w:val="28"/>
        </w:rPr>
        <w:t xml:space="preserve"> an interviewer might ask a leading question in a moment of frustration, fail to clarify an ambiguous statement, or unconsciously prompt the child with feedback </w:t>
      </w:r>
      <w:r w:rsidR="00BA7067">
        <w:rPr>
          <w:rFonts w:ascii="Times New Roman" w:hAnsi="Times New Roman"/>
          <w:sz w:val="28"/>
          <w:szCs w:val="28"/>
        </w:rPr>
        <w:t>such as</w:t>
      </w:r>
      <w:r w:rsidR="00BA7067" w:rsidRPr="00B52A58">
        <w:rPr>
          <w:rFonts w:ascii="Times New Roman" w:hAnsi="Times New Roman"/>
          <w:sz w:val="28"/>
          <w:szCs w:val="28"/>
        </w:rPr>
        <w:t xml:space="preserve"> </w:t>
      </w:r>
      <w:r w:rsidRPr="00B52A58">
        <w:rPr>
          <w:rFonts w:ascii="Times New Roman" w:hAnsi="Times New Roman"/>
          <w:sz w:val="28"/>
          <w:szCs w:val="28"/>
        </w:rPr>
        <w:t>“we know something happened”</w:t>
      </w:r>
      <w:r w:rsidR="008A2B44">
        <w:rPr>
          <w:rFonts w:ascii="Times New Roman" w:hAnsi="Times New Roman"/>
          <w:sz w:val="28"/>
          <w:szCs w:val="28"/>
        </w:rPr>
        <w:t>—</w:t>
      </w:r>
      <w:r w:rsidRPr="00B52A58">
        <w:rPr>
          <w:rFonts w:ascii="Times New Roman" w:hAnsi="Times New Roman"/>
          <w:sz w:val="28"/>
          <w:szCs w:val="28"/>
        </w:rPr>
        <w:t xml:space="preserve">all of which can contaminate the child’s account. When such an interview is later presented via video in court, the nuances of what went wrong may not be apparent to </w:t>
      </w:r>
      <w:r w:rsidR="005928DA">
        <w:rPr>
          <w:rFonts w:ascii="Times New Roman" w:hAnsi="Times New Roman"/>
          <w:sz w:val="28"/>
          <w:szCs w:val="28"/>
        </w:rPr>
        <w:t xml:space="preserve">the </w:t>
      </w:r>
      <w:r w:rsidRPr="00B52A58">
        <w:rPr>
          <w:rFonts w:ascii="Times New Roman" w:hAnsi="Times New Roman"/>
          <w:sz w:val="28"/>
          <w:szCs w:val="28"/>
        </w:rPr>
        <w:t xml:space="preserve">judge or jury. The </w:t>
      </w:r>
      <w:r w:rsidR="007D0BE0" w:rsidRPr="00B52A58">
        <w:rPr>
          <w:rFonts w:ascii="Times New Roman" w:hAnsi="Times New Roman"/>
          <w:sz w:val="28"/>
          <w:szCs w:val="28"/>
        </w:rPr>
        <w:t>fact</w:t>
      </w:r>
      <w:r w:rsidR="007D0BE0">
        <w:rPr>
          <w:rFonts w:ascii="Times New Roman" w:hAnsi="Times New Roman"/>
          <w:sz w:val="28"/>
          <w:szCs w:val="28"/>
        </w:rPr>
        <w:t>finder</w:t>
      </w:r>
      <w:r w:rsidR="008A2B44">
        <w:rPr>
          <w:rFonts w:ascii="Times New Roman" w:hAnsi="Times New Roman"/>
          <w:sz w:val="28"/>
          <w:szCs w:val="28"/>
        </w:rPr>
        <w:t xml:space="preserve"> only</w:t>
      </w:r>
      <w:r w:rsidRPr="00B52A58">
        <w:rPr>
          <w:rFonts w:ascii="Times New Roman" w:hAnsi="Times New Roman"/>
          <w:sz w:val="28"/>
          <w:szCs w:val="28"/>
        </w:rPr>
        <w:t xml:space="preserve"> sees a coherent video and might assume it</w:t>
      </w:r>
      <w:r>
        <w:rPr>
          <w:rFonts w:ascii="Times New Roman" w:hAnsi="Times New Roman"/>
          <w:sz w:val="28"/>
          <w:szCs w:val="28"/>
        </w:rPr>
        <w:t xml:space="preserve"> is</w:t>
      </w:r>
      <w:r w:rsidRPr="00B52A58">
        <w:rPr>
          <w:rFonts w:ascii="Times New Roman" w:hAnsi="Times New Roman"/>
          <w:sz w:val="28"/>
          <w:szCs w:val="28"/>
        </w:rPr>
        <w:t xml:space="preserve"> a faithful </w:t>
      </w:r>
      <w:r>
        <w:rPr>
          <w:rFonts w:ascii="Times New Roman" w:hAnsi="Times New Roman"/>
          <w:sz w:val="28"/>
          <w:szCs w:val="28"/>
        </w:rPr>
        <w:t>description</w:t>
      </w:r>
      <w:r w:rsidRPr="00B52A58">
        <w:rPr>
          <w:rFonts w:ascii="Times New Roman" w:hAnsi="Times New Roman"/>
          <w:sz w:val="28"/>
          <w:szCs w:val="28"/>
        </w:rPr>
        <w:t xml:space="preserve"> of events, not realizing that certain answers may have been influenced by the way questions were posed.</w:t>
      </w:r>
    </w:p>
    <w:p w14:paraId="284DA047" w14:textId="209BBC63" w:rsidR="00C31934" w:rsidRDefault="00C862DD" w:rsidP="002947CE">
      <w:pPr>
        <w:pStyle w:val="ListParagraph"/>
        <w:numPr>
          <w:ilvl w:val="0"/>
          <w:numId w:val="31"/>
        </w:numPr>
        <w:spacing w:line="240" w:lineRule="auto"/>
        <w:jc w:val="both"/>
        <w:rPr>
          <w:rFonts w:ascii="Times New Roman" w:hAnsi="Times New Roman"/>
          <w:b/>
          <w:bCs/>
          <w:sz w:val="28"/>
          <w:szCs w:val="28"/>
        </w:rPr>
      </w:pPr>
      <w:r w:rsidRPr="00AC3963">
        <w:rPr>
          <w:rFonts w:ascii="Times New Roman" w:hAnsi="Times New Roman"/>
          <w:b/>
          <w:bCs/>
          <w:sz w:val="28"/>
          <w:szCs w:val="28"/>
        </w:rPr>
        <w:t>The proposed rule replaces cross-examination with imperfect proxies for reliabilit</w:t>
      </w:r>
      <w:r w:rsidR="00D200B6" w:rsidRPr="00AC3963">
        <w:rPr>
          <w:rFonts w:ascii="Times New Roman" w:hAnsi="Times New Roman"/>
          <w:b/>
          <w:bCs/>
          <w:sz w:val="28"/>
          <w:szCs w:val="28"/>
        </w:rPr>
        <w:t xml:space="preserve">y. </w:t>
      </w:r>
    </w:p>
    <w:p w14:paraId="0149A042" w14:textId="77777777" w:rsidR="00D200B6" w:rsidRPr="00AC3963" w:rsidRDefault="00D200B6" w:rsidP="00AC3963">
      <w:pPr>
        <w:pStyle w:val="ListParagraph"/>
        <w:spacing w:line="240" w:lineRule="auto"/>
        <w:jc w:val="both"/>
        <w:rPr>
          <w:rFonts w:ascii="Times New Roman" w:hAnsi="Times New Roman"/>
          <w:b/>
          <w:bCs/>
          <w:sz w:val="28"/>
          <w:szCs w:val="28"/>
        </w:rPr>
      </w:pPr>
    </w:p>
    <w:p w14:paraId="42C569B4" w14:textId="5967675F" w:rsidR="00B52A58" w:rsidRPr="00B52A58" w:rsidRDefault="00B52A58" w:rsidP="0012759A">
      <w:pPr>
        <w:spacing w:line="480" w:lineRule="auto"/>
        <w:ind w:firstLine="720"/>
        <w:jc w:val="both"/>
        <w:rPr>
          <w:rFonts w:ascii="Times New Roman" w:hAnsi="Times New Roman"/>
          <w:sz w:val="28"/>
          <w:szCs w:val="28"/>
        </w:rPr>
      </w:pPr>
      <w:r w:rsidRPr="00B52A58">
        <w:rPr>
          <w:rFonts w:ascii="Times New Roman" w:hAnsi="Times New Roman"/>
          <w:sz w:val="28"/>
          <w:szCs w:val="28"/>
        </w:rPr>
        <w:t xml:space="preserve">The traditional safeguard to test reliability is cross-examination of the declarant. With hearsay, that safeguard is absent. </w:t>
      </w:r>
      <w:r w:rsidR="0012759A">
        <w:rPr>
          <w:rFonts w:ascii="Times New Roman" w:hAnsi="Times New Roman"/>
          <w:sz w:val="28"/>
          <w:szCs w:val="28"/>
        </w:rPr>
        <w:t xml:space="preserve">Proposed </w:t>
      </w:r>
      <w:r w:rsidRPr="00B52A58">
        <w:rPr>
          <w:rFonts w:ascii="Times New Roman" w:hAnsi="Times New Roman"/>
          <w:sz w:val="28"/>
          <w:szCs w:val="28"/>
        </w:rPr>
        <w:t>Rule 807.01 attempts to substitute other conditions (recording, availability of the interviewer, etc.) as proxies for reliability</w:t>
      </w:r>
      <w:r w:rsidR="008A2B44">
        <w:rPr>
          <w:rFonts w:ascii="Times New Roman" w:hAnsi="Times New Roman"/>
          <w:sz w:val="28"/>
          <w:szCs w:val="28"/>
        </w:rPr>
        <w:t>; however,</w:t>
      </w:r>
      <w:r w:rsidRPr="00B52A58">
        <w:rPr>
          <w:rFonts w:ascii="Times New Roman" w:hAnsi="Times New Roman"/>
          <w:sz w:val="28"/>
          <w:szCs w:val="28"/>
        </w:rPr>
        <w:t xml:space="preserve"> these </w:t>
      </w:r>
      <w:r w:rsidR="008A2B44">
        <w:rPr>
          <w:rFonts w:ascii="Times New Roman" w:hAnsi="Times New Roman"/>
          <w:sz w:val="28"/>
          <w:szCs w:val="28"/>
        </w:rPr>
        <w:t xml:space="preserve">substitutes </w:t>
      </w:r>
      <w:r w:rsidRPr="00B52A58">
        <w:rPr>
          <w:rFonts w:ascii="Times New Roman" w:hAnsi="Times New Roman"/>
          <w:sz w:val="28"/>
          <w:szCs w:val="28"/>
        </w:rPr>
        <w:t xml:space="preserve">are imperfect. Cross-examining the interviewer is not the same as cross-examining the child who made the statements. The interviewer can testify about their </w:t>
      </w:r>
      <w:r w:rsidR="008A2B44">
        <w:rPr>
          <w:rFonts w:ascii="Times New Roman" w:hAnsi="Times New Roman"/>
          <w:sz w:val="28"/>
          <w:szCs w:val="28"/>
        </w:rPr>
        <w:t xml:space="preserve">interview </w:t>
      </w:r>
      <w:r w:rsidR="0012759A" w:rsidRPr="00B52A58">
        <w:rPr>
          <w:rFonts w:ascii="Times New Roman" w:hAnsi="Times New Roman"/>
          <w:sz w:val="28"/>
          <w:szCs w:val="28"/>
        </w:rPr>
        <w:t>technique</w:t>
      </w:r>
      <w:r w:rsidR="008A2B44">
        <w:rPr>
          <w:rFonts w:ascii="Times New Roman" w:hAnsi="Times New Roman"/>
          <w:sz w:val="28"/>
          <w:szCs w:val="28"/>
        </w:rPr>
        <w:t>(s)</w:t>
      </w:r>
      <w:r w:rsidR="0012759A" w:rsidRPr="00B52A58">
        <w:rPr>
          <w:rFonts w:ascii="Times New Roman" w:hAnsi="Times New Roman"/>
          <w:sz w:val="28"/>
          <w:szCs w:val="28"/>
        </w:rPr>
        <w:t xml:space="preserve"> but</w:t>
      </w:r>
      <w:r w:rsidRPr="00B52A58">
        <w:rPr>
          <w:rFonts w:ascii="Times New Roman" w:hAnsi="Times New Roman"/>
          <w:sz w:val="28"/>
          <w:szCs w:val="28"/>
        </w:rPr>
        <w:t xml:space="preserve"> cannot fully speak to what the child meant or whether the child’s statements were truthful. The defense also cannot effectively probe the child’s perception, memory, or honesty if the child is not on the stand. Playing the video skips the crucial step in testing the statement’s veracity in adversarial questioning. This raises the risk of wrongful convictions based on unchallenged assertions.</w:t>
      </w:r>
    </w:p>
    <w:p w14:paraId="6E83F18A" w14:textId="1FB1C50A" w:rsidR="0012759A" w:rsidRDefault="00B52A58" w:rsidP="0012759A">
      <w:pPr>
        <w:spacing w:line="480" w:lineRule="auto"/>
        <w:ind w:firstLine="720"/>
        <w:jc w:val="both"/>
        <w:rPr>
          <w:rFonts w:ascii="Times New Roman" w:hAnsi="Times New Roman"/>
          <w:sz w:val="28"/>
          <w:szCs w:val="28"/>
        </w:rPr>
      </w:pPr>
      <w:r w:rsidRPr="00B52A58">
        <w:rPr>
          <w:rFonts w:ascii="Times New Roman" w:hAnsi="Times New Roman"/>
          <w:sz w:val="28"/>
          <w:szCs w:val="28"/>
        </w:rPr>
        <w:lastRenderedPageBreak/>
        <w:t>The fact that a statement is recorded on video can give a false aura of accuracy. Viewers tend to trust what they see and hear on a recording more than second-hand reports. But a video is not immune to containing falsehoods</w:t>
      </w:r>
      <w:r w:rsidR="0012759A">
        <w:rPr>
          <w:rFonts w:ascii="Times New Roman" w:hAnsi="Times New Roman"/>
          <w:sz w:val="28"/>
          <w:szCs w:val="28"/>
        </w:rPr>
        <w:t>;</w:t>
      </w:r>
      <w:r w:rsidRPr="00B52A58">
        <w:rPr>
          <w:rFonts w:ascii="Times New Roman" w:hAnsi="Times New Roman"/>
          <w:sz w:val="28"/>
          <w:szCs w:val="28"/>
        </w:rPr>
        <w:t xml:space="preserve"> it simply captures them in real time. Jurors </w:t>
      </w:r>
      <w:r w:rsidR="0012759A">
        <w:rPr>
          <w:rFonts w:ascii="Times New Roman" w:hAnsi="Times New Roman"/>
          <w:sz w:val="28"/>
          <w:szCs w:val="28"/>
        </w:rPr>
        <w:t>may</w:t>
      </w:r>
      <w:r w:rsidRPr="00B52A58">
        <w:rPr>
          <w:rFonts w:ascii="Times New Roman" w:hAnsi="Times New Roman"/>
          <w:sz w:val="28"/>
          <w:szCs w:val="28"/>
        </w:rPr>
        <w:t xml:space="preserve"> be tempted to think, “We saw the child say it, therefore it must be true,” </w:t>
      </w:r>
      <w:r w:rsidR="008A2B44">
        <w:rPr>
          <w:rFonts w:ascii="Times New Roman" w:hAnsi="Times New Roman"/>
          <w:sz w:val="28"/>
          <w:szCs w:val="28"/>
        </w:rPr>
        <w:t xml:space="preserve">thus </w:t>
      </w:r>
      <w:r w:rsidRPr="00B52A58">
        <w:rPr>
          <w:rFonts w:ascii="Times New Roman" w:hAnsi="Times New Roman"/>
          <w:sz w:val="28"/>
          <w:szCs w:val="28"/>
        </w:rPr>
        <w:t>overlooking the possibility that the child’s mind was influenced or that the child’s recollection is mistaken. The</w:t>
      </w:r>
      <w:r w:rsidR="008A2B44">
        <w:rPr>
          <w:rFonts w:ascii="Times New Roman" w:hAnsi="Times New Roman"/>
          <w:sz w:val="28"/>
          <w:szCs w:val="28"/>
        </w:rPr>
        <w:t xml:space="preserve"> proposed</w:t>
      </w:r>
      <w:r w:rsidRPr="00B52A58">
        <w:rPr>
          <w:rFonts w:ascii="Times New Roman" w:hAnsi="Times New Roman"/>
          <w:sz w:val="28"/>
          <w:szCs w:val="28"/>
        </w:rPr>
        <w:t xml:space="preserve"> rule does allow a judge to excise parts of an interview that are overtly leading or irrelevant, but if the entire interview is admitted by default, the judge may not catch every subtle instance of unreliability. </w:t>
      </w:r>
    </w:p>
    <w:p w14:paraId="2A7DD201" w14:textId="424388F7" w:rsidR="00B52A58" w:rsidRDefault="00111273" w:rsidP="00AC3963">
      <w:pPr>
        <w:spacing w:line="480" w:lineRule="auto"/>
        <w:ind w:firstLine="720"/>
        <w:jc w:val="both"/>
        <w:rPr>
          <w:rFonts w:ascii="Times New Roman" w:hAnsi="Times New Roman"/>
          <w:sz w:val="28"/>
          <w:szCs w:val="28"/>
        </w:rPr>
      </w:pPr>
      <w:r>
        <w:rPr>
          <w:rFonts w:ascii="Times New Roman" w:hAnsi="Times New Roman"/>
          <w:sz w:val="28"/>
          <w:szCs w:val="28"/>
        </w:rPr>
        <w:t>R</w:t>
      </w:r>
      <w:r w:rsidR="00B52A58" w:rsidRPr="00B52A58">
        <w:rPr>
          <w:rFonts w:ascii="Times New Roman" w:hAnsi="Times New Roman"/>
          <w:sz w:val="28"/>
          <w:szCs w:val="28"/>
        </w:rPr>
        <w:t>eliability must be firmly established, not presumed. Existing law places that burden on the proponent of the evidence</w:t>
      </w:r>
      <w:r w:rsidR="008A2B44">
        <w:rPr>
          <w:rFonts w:ascii="Times New Roman" w:hAnsi="Times New Roman"/>
          <w:sz w:val="28"/>
          <w:szCs w:val="28"/>
        </w:rPr>
        <w:t>,</w:t>
      </w:r>
      <w:r w:rsidR="00B52A58" w:rsidRPr="00B52A58">
        <w:rPr>
          <w:rFonts w:ascii="Times New Roman" w:hAnsi="Times New Roman"/>
          <w:sz w:val="28"/>
          <w:szCs w:val="28"/>
        </w:rPr>
        <w:t xml:space="preserve"> </w:t>
      </w:r>
      <w:r w:rsidR="008A2B44">
        <w:rPr>
          <w:rFonts w:ascii="Times New Roman" w:hAnsi="Times New Roman"/>
          <w:sz w:val="28"/>
          <w:szCs w:val="28"/>
        </w:rPr>
        <w:t xml:space="preserve">and </w:t>
      </w:r>
      <w:r w:rsidR="00B52A58" w:rsidRPr="00B52A58">
        <w:rPr>
          <w:rFonts w:ascii="Times New Roman" w:hAnsi="Times New Roman"/>
          <w:sz w:val="28"/>
          <w:szCs w:val="28"/>
        </w:rPr>
        <w:t xml:space="preserve">the proposed rule would </w:t>
      </w:r>
      <w:r w:rsidR="008A2B44">
        <w:rPr>
          <w:rFonts w:ascii="Times New Roman" w:hAnsi="Times New Roman"/>
          <w:sz w:val="28"/>
          <w:szCs w:val="28"/>
        </w:rPr>
        <w:t>lessen</w:t>
      </w:r>
      <w:r w:rsidR="008A2B44" w:rsidRPr="00B52A58">
        <w:rPr>
          <w:rFonts w:ascii="Times New Roman" w:hAnsi="Times New Roman"/>
          <w:sz w:val="28"/>
          <w:szCs w:val="28"/>
        </w:rPr>
        <w:t xml:space="preserve"> </w:t>
      </w:r>
      <w:r w:rsidR="00B52A58" w:rsidRPr="00B52A58">
        <w:rPr>
          <w:rFonts w:ascii="Times New Roman" w:hAnsi="Times New Roman"/>
          <w:sz w:val="28"/>
          <w:szCs w:val="28"/>
        </w:rPr>
        <w:t>that burden in a way that could let unreliable statements slip through</w:t>
      </w:r>
      <w:r w:rsidR="008A2B44">
        <w:rPr>
          <w:rFonts w:ascii="Times New Roman" w:hAnsi="Times New Roman"/>
          <w:sz w:val="28"/>
          <w:szCs w:val="28"/>
        </w:rPr>
        <w:t xml:space="preserve"> too easily</w:t>
      </w:r>
      <w:r w:rsidR="00B52A58" w:rsidRPr="00B52A58">
        <w:rPr>
          <w:rFonts w:ascii="Times New Roman" w:hAnsi="Times New Roman"/>
          <w:sz w:val="28"/>
          <w:szCs w:val="28"/>
        </w:rPr>
        <w:t>. The better practice is to continue requiring prosecutors to demonstrate in each case why a child’s out-of-court statement is reliable enough to be heard in court, rather than presuming reliability based on a checklist.</w:t>
      </w:r>
    </w:p>
    <w:p w14:paraId="43546C26" w14:textId="2671A6F2" w:rsidR="0012759A" w:rsidRPr="0012759A" w:rsidRDefault="0012759A" w:rsidP="008A2B44">
      <w:pPr>
        <w:pStyle w:val="ListParagraph"/>
        <w:numPr>
          <w:ilvl w:val="0"/>
          <w:numId w:val="28"/>
        </w:numPr>
        <w:spacing w:line="240" w:lineRule="auto"/>
        <w:ind w:left="720"/>
        <w:jc w:val="both"/>
        <w:rPr>
          <w:rFonts w:ascii="Times New Roman" w:hAnsi="Times New Roman"/>
          <w:b/>
          <w:bCs/>
          <w:sz w:val="28"/>
          <w:szCs w:val="28"/>
        </w:rPr>
      </w:pPr>
      <w:r w:rsidRPr="0012759A">
        <w:rPr>
          <w:rFonts w:ascii="Times New Roman" w:hAnsi="Times New Roman"/>
          <w:b/>
          <w:bCs/>
          <w:sz w:val="28"/>
          <w:szCs w:val="28"/>
        </w:rPr>
        <w:t xml:space="preserve">The ultimate concern: unreliable and prejudicial evidence increases the likelihood of wrongful convictions. </w:t>
      </w:r>
    </w:p>
    <w:p w14:paraId="1A3ACF4A" w14:textId="77777777" w:rsidR="0012759A" w:rsidRPr="0012759A" w:rsidRDefault="0012759A" w:rsidP="0012759A">
      <w:pPr>
        <w:spacing w:line="240" w:lineRule="auto"/>
        <w:jc w:val="both"/>
        <w:rPr>
          <w:rFonts w:ascii="Times New Roman" w:hAnsi="Times New Roman"/>
          <w:b/>
          <w:bCs/>
          <w:sz w:val="28"/>
          <w:szCs w:val="28"/>
        </w:rPr>
      </w:pPr>
    </w:p>
    <w:p w14:paraId="5605E5C2" w14:textId="0882BB14" w:rsidR="008A2B44" w:rsidRDefault="0012759A" w:rsidP="004866D9">
      <w:pPr>
        <w:spacing w:line="480" w:lineRule="auto"/>
        <w:ind w:firstLine="720"/>
        <w:jc w:val="both"/>
        <w:rPr>
          <w:rFonts w:ascii="Times New Roman" w:hAnsi="Times New Roman"/>
          <w:sz w:val="28"/>
          <w:szCs w:val="28"/>
        </w:rPr>
      </w:pPr>
      <w:r>
        <w:rPr>
          <w:rFonts w:ascii="Times New Roman" w:hAnsi="Times New Roman"/>
          <w:sz w:val="28"/>
          <w:szCs w:val="28"/>
        </w:rPr>
        <w:t>T</w:t>
      </w:r>
      <w:r w:rsidR="00236F3B">
        <w:rPr>
          <w:rFonts w:ascii="Times New Roman" w:hAnsi="Times New Roman"/>
          <w:sz w:val="28"/>
          <w:szCs w:val="28"/>
        </w:rPr>
        <w:t xml:space="preserve">he proposed rule increases the likelihood of wrongful convictions. Child testimony is easily manipulated. While it is understandable and perhaps noble that the State and victims’ rights organizations would want to shield legitimate victims from the trauma of appearing in court and being subjected to </w:t>
      </w:r>
      <w:r w:rsidR="00E6511E">
        <w:rPr>
          <w:rFonts w:ascii="Times New Roman" w:hAnsi="Times New Roman"/>
          <w:sz w:val="28"/>
          <w:szCs w:val="28"/>
        </w:rPr>
        <w:t>cross-examination</w:t>
      </w:r>
      <w:r w:rsidR="00236F3B">
        <w:rPr>
          <w:rFonts w:ascii="Times New Roman" w:hAnsi="Times New Roman"/>
          <w:sz w:val="28"/>
          <w:szCs w:val="28"/>
        </w:rPr>
        <w:t xml:space="preserve"> to </w:t>
      </w:r>
      <w:r w:rsidR="00236F3B">
        <w:rPr>
          <w:rFonts w:ascii="Times New Roman" w:hAnsi="Times New Roman"/>
          <w:sz w:val="28"/>
          <w:szCs w:val="28"/>
        </w:rPr>
        <w:lastRenderedPageBreak/>
        <w:t>the greatest extent possible,</w:t>
      </w:r>
      <w:r w:rsidR="008A2B44">
        <w:rPr>
          <w:rFonts w:ascii="Times New Roman" w:hAnsi="Times New Roman"/>
          <w:sz w:val="28"/>
          <w:szCs w:val="28"/>
        </w:rPr>
        <w:t xml:space="preserve"> that desire must be balanced against the rights of a person who stands accused.</w:t>
      </w:r>
      <w:r w:rsidR="00236F3B">
        <w:rPr>
          <w:rStyle w:val="FootnoteReference"/>
          <w:rFonts w:ascii="Times New Roman" w:hAnsi="Times New Roman"/>
          <w:sz w:val="28"/>
          <w:szCs w:val="28"/>
        </w:rPr>
        <w:footnoteReference w:id="2"/>
      </w:r>
      <w:r w:rsidR="00ED20DC">
        <w:rPr>
          <w:rFonts w:ascii="Times New Roman" w:hAnsi="Times New Roman"/>
          <w:sz w:val="28"/>
          <w:szCs w:val="28"/>
        </w:rPr>
        <w:t xml:space="preserve"> Stripping away opportunities to challenge the veracity of a child’s story</w:t>
      </w:r>
      <w:r w:rsidR="008A2B44">
        <w:rPr>
          <w:rFonts w:ascii="Times New Roman" w:hAnsi="Times New Roman"/>
          <w:sz w:val="28"/>
          <w:szCs w:val="28"/>
        </w:rPr>
        <w:t>—</w:t>
      </w:r>
      <w:r w:rsidR="00ED20DC">
        <w:rPr>
          <w:rFonts w:ascii="Times New Roman" w:hAnsi="Times New Roman"/>
          <w:sz w:val="28"/>
          <w:szCs w:val="28"/>
        </w:rPr>
        <w:t>particularly where defense rights are already limited by victims’ rights, rape shield</w:t>
      </w:r>
      <w:r w:rsidR="004866D9">
        <w:rPr>
          <w:rFonts w:ascii="Times New Roman" w:hAnsi="Times New Roman"/>
          <w:sz w:val="28"/>
          <w:szCs w:val="28"/>
        </w:rPr>
        <w:t xml:space="preserve"> laws</w:t>
      </w:r>
      <w:r w:rsidR="00ED20DC">
        <w:rPr>
          <w:rFonts w:ascii="Times New Roman" w:hAnsi="Times New Roman"/>
          <w:sz w:val="28"/>
          <w:szCs w:val="28"/>
        </w:rPr>
        <w:t>, and Rule 404(c), among other provisions of law</w:t>
      </w:r>
      <w:r w:rsidR="008A2B44">
        <w:rPr>
          <w:rFonts w:ascii="Times New Roman" w:hAnsi="Times New Roman"/>
          <w:sz w:val="28"/>
          <w:szCs w:val="28"/>
        </w:rPr>
        <w:t>—</w:t>
      </w:r>
      <w:r w:rsidR="00ED20DC">
        <w:rPr>
          <w:rFonts w:ascii="Times New Roman" w:hAnsi="Times New Roman"/>
          <w:sz w:val="28"/>
          <w:szCs w:val="28"/>
        </w:rPr>
        <w:t xml:space="preserve">while allowing the State to present unchallenged, one-sided, and misleading </w:t>
      </w:r>
      <w:r w:rsidR="00ED20DC" w:rsidRPr="00AF2DEE">
        <w:rPr>
          <w:rFonts w:ascii="Times New Roman" w:hAnsi="Times New Roman"/>
          <w:sz w:val="28"/>
          <w:szCs w:val="28"/>
        </w:rPr>
        <w:t>interviews i</w:t>
      </w:r>
      <w:r w:rsidR="00ED20DC">
        <w:rPr>
          <w:rFonts w:ascii="Times New Roman" w:hAnsi="Times New Roman"/>
          <w:sz w:val="28"/>
          <w:szCs w:val="28"/>
        </w:rPr>
        <w:t>s a veritable invitation to wrongful convictions. When dealing with cases involving allegations of sexual abuse of a child, we must always be mindful that while these are generally considered among the worst crimes, they are also the worst crimes of which a person can be falsely accused, and often the most difficult crimes against which to defend given the general predisposition of most jurors to believe children.</w:t>
      </w:r>
    </w:p>
    <w:p w14:paraId="41CD2C92" w14:textId="25909AD1" w:rsidR="004866D9" w:rsidRDefault="004866D9" w:rsidP="004866D9">
      <w:pPr>
        <w:spacing w:line="480" w:lineRule="auto"/>
        <w:ind w:firstLine="720"/>
        <w:jc w:val="both"/>
        <w:rPr>
          <w:rFonts w:ascii="Times New Roman" w:hAnsi="Times New Roman"/>
          <w:sz w:val="28"/>
          <w:szCs w:val="28"/>
        </w:rPr>
      </w:pPr>
      <w:r>
        <w:rPr>
          <w:rFonts w:ascii="Times New Roman" w:hAnsi="Times New Roman"/>
          <w:sz w:val="28"/>
          <w:szCs w:val="28"/>
        </w:rPr>
        <w:t>//</w:t>
      </w:r>
    </w:p>
    <w:p w14:paraId="0ECEFF10" w14:textId="00C3D08C" w:rsidR="004866D9" w:rsidRDefault="004866D9" w:rsidP="004866D9">
      <w:pPr>
        <w:spacing w:line="480" w:lineRule="auto"/>
        <w:ind w:firstLine="720"/>
        <w:jc w:val="both"/>
        <w:rPr>
          <w:rFonts w:ascii="Times New Roman" w:hAnsi="Times New Roman"/>
          <w:sz w:val="28"/>
          <w:szCs w:val="28"/>
        </w:rPr>
      </w:pPr>
      <w:r>
        <w:rPr>
          <w:rFonts w:ascii="Times New Roman" w:hAnsi="Times New Roman"/>
          <w:sz w:val="28"/>
          <w:szCs w:val="28"/>
        </w:rPr>
        <w:t>//</w:t>
      </w:r>
    </w:p>
    <w:p w14:paraId="1ABD47D5" w14:textId="77777777" w:rsidR="004866D9" w:rsidRDefault="004866D9">
      <w:pPr>
        <w:spacing w:line="240" w:lineRule="auto"/>
        <w:rPr>
          <w:rFonts w:ascii="Times New Roman" w:hAnsi="Times New Roman"/>
          <w:b/>
          <w:bCs/>
          <w:sz w:val="28"/>
          <w:szCs w:val="28"/>
        </w:rPr>
      </w:pPr>
      <w:r>
        <w:rPr>
          <w:rFonts w:ascii="Times New Roman" w:hAnsi="Times New Roman"/>
          <w:b/>
          <w:bCs/>
          <w:sz w:val="28"/>
          <w:szCs w:val="28"/>
        </w:rPr>
        <w:br w:type="page"/>
      </w:r>
    </w:p>
    <w:p w14:paraId="38EE8259" w14:textId="6A50042E" w:rsidR="00E77396" w:rsidRDefault="008A2B44" w:rsidP="004866D9">
      <w:pPr>
        <w:spacing w:line="240" w:lineRule="auto"/>
        <w:jc w:val="center"/>
        <w:rPr>
          <w:rFonts w:ascii="Times New Roman" w:hAnsi="Times New Roman"/>
          <w:b/>
          <w:bCs/>
          <w:sz w:val="28"/>
          <w:szCs w:val="28"/>
        </w:rPr>
      </w:pPr>
      <w:r w:rsidRPr="008F7AA9">
        <w:rPr>
          <w:rFonts w:ascii="Times New Roman" w:hAnsi="Times New Roman"/>
          <w:b/>
          <w:bCs/>
          <w:sz w:val="28"/>
          <w:szCs w:val="28"/>
        </w:rPr>
        <w:lastRenderedPageBreak/>
        <w:t>CONCLUSION</w:t>
      </w:r>
    </w:p>
    <w:p w14:paraId="715BFD36" w14:textId="77777777" w:rsidR="008F7AA9" w:rsidRDefault="008F7AA9" w:rsidP="00AC3963">
      <w:pPr>
        <w:spacing w:line="240" w:lineRule="auto"/>
        <w:ind w:firstLine="720"/>
        <w:jc w:val="center"/>
        <w:rPr>
          <w:rFonts w:ascii="Times New Roman" w:hAnsi="Times New Roman"/>
          <w:b/>
          <w:bCs/>
          <w:sz w:val="28"/>
          <w:szCs w:val="28"/>
        </w:rPr>
      </w:pPr>
    </w:p>
    <w:p w14:paraId="7E83631E" w14:textId="77063B9B" w:rsidR="00AC7D48" w:rsidRDefault="008F7AA9" w:rsidP="00E77396">
      <w:pPr>
        <w:spacing w:line="480" w:lineRule="auto"/>
        <w:ind w:firstLine="720"/>
        <w:jc w:val="both"/>
        <w:rPr>
          <w:rFonts w:ascii="Times New Roman" w:hAnsi="Times New Roman"/>
          <w:sz w:val="28"/>
          <w:szCs w:val="28"/>
        </w:rPr>
      </w:pPr>
      <w:r>
        <w:rPr>
          <w:rFonts w:ascii="Times New Roman" w:hAnsi="Times New Roman"/>
          <w:sz w:val="28"/>
          <w:szCs w:val="28"/>
        </w:rPr>
        <w:t xml:space="preserve">For the </w:t>
      </w:r>
      <w:r w:rsidR="00E77396">
        <w:rPr>
          <w:rFonts w:ascii="Times New Roman" w:hAnsi="Times New Roman"/>
          <w:sz w:val="28"/>
          <w:szCs w:val="28"/>
        </w:rPr>
        <w:t>foregoing</w:t>
      </w:r>
      <w:r>
        <w:rPr>
          <w:rFonts w:ascii="Times New Roman" w:hAnsi="Times New Roman"/>
          <w:sz w:val="28"/>
          <w:szCs w:val="28"/>
        </w:rPr>
        <w:t xml:space="preserve"> reasons, AACJ respectfully recommends that this </w:t>
      </w:r>
      <w:r w:rsidR="00E77396">
        <w:rPr>
          <w:rFonts w:ascii="Times New Roman" w:hAnsi="Times New Roman"/>
          <w:sz w:val="28"/>
          <w:szCs w:val="28"/>
        </w:rPr>
        <w:t>proposed amendment to the Arizona Rules of Evidence</w:t>
      </w:r>
      <w:r w:rsidR="004866D9">
        <w:rPr>
          <w:rFonts w:ascii="Times New Roman" w:hAnsi="Times New Roman"/>
          <w:sz w:val="28"/>
          <w:szCs w:val="28"/>
        </w:rPr>
        <w:t xml:space="preserve"> be denied</w:t>
      </w:r>
      <w:r>
        <w:rPr>
          <w:rFonts w:ascii="Times New Roman" w:hAnsi="Times New Roman"/>
          <w:sz w:val="28"/>
          <w:szCs w:val="28"/>
        </w:rPr>
        <w:t xml:space="preserve">.  </w:t>
      </w:r>
    </w:p>
    <w:p w14:paraId="268AB80E" w14:textId="4423F9B5" w:rsidR="00DC38DE" w:rsidRPr="004866D9" w:rsidRDefault="00AC7D48" w:rsidP="00CA5689">
      <w:pPr>
        <w:spacing w:line="480" w:lineRule="auto"/>
        <w:ind w:firstLine="720"/>
        <w:jc w:val="both"/>
        <w:rPr>
          <w:rFonts w:ascii="Times New Roman" w:hAnsi="Times New Roman"/>
          <w:sz w:val="28"/>
          <w:szCs w:val="28"/>
        </w:rPr>
      </w:pPr>
      <w:r>
        <w:rPr>
          <w:rFonts w:ascii="Times New Roman" w:hAnsi="Times New Roman"/>
          <w:sz w:val="28"/>
          <w:szCs w:val="28"/>
        </w:rPr>
        <w:t>Respectfully submitted, th</w:t>
      </w:r>
      <w:r w:rsidR="005A2EAD">
        <w:rPr>
          <w:rFonts w:ascii="Times New Roman" w:hAnsi="Times New Roman"/>
          <w:sz w:val="28"/>
          <w:szCs w:val="28"/>
        </w:rPr>
        <w:t>e 1st day of</w:t>
      </w:r>
      <w:r w:rsidR="005A2EAD" w:rsidRPr="005A2EAD">
        <w:rPr>
          <w:rFonts w:ascii="Times New Roman" w:hAnsi="Times New Roman"/>
          <w:sz w:val="28"/>
          <w:szCs w:val="28"/>
        </w:rPr>
        <w:t xml:space="preserve"> May</w:t>
      </w:r>
      <w:r w:rsidR="004866D9">
        <w:rPr>
          <w:rFonts w:ascii="Times New Roman" w:hAnsi="Times New Roman"/>
          <w:sz w:val="28"/>
          <w:szCs w:val="28"/>
        </w:rPr>
        <w:t>,</w:t>
      </w:r>
      <w:r w:rsidR="005A2EAD">
        <w:rPr>
          <w:rFonts w:ascii="Times New Roman" w:hAnsi="Times New Roman"/>
          <w:sz w:val="28"/>
          <w:szCs w:val="28"/>
        </w:rPr>
        <w:t xml:space="preserve"> 2025</w:t>
      </w:r>
      <w:r w:rsidR="00DC38DE" w:rsidRPr="004866D9">
        <w:rPr>
          <w:rFonts w:ascii="Times New Roman" w:hAnsi="Times New Roman"/>
          <w:sz w:val="28"/>
          <w:szCs w:val="28"/>
        </w:rPr>
        <w:t>.</w:t>
      </w:r>
    </w:p>
    <w:p w14:paraId="2E1B2396" w14:textId="6ECEECDB" w:rsidR="007D0BE0" w:rsidRPr="004866D9" w:rsidRDefault="00DC38DE" w:rsidP="004866D9">
      <w:pPr>
        <w:spacing w:line="240" w:lineRule="auto"/>
        <w:rPr>
          <w:rFonts w:ascii="Times New Roman" w:hAnsi="Times New Roman"/>
          <w:sz w:val="28"/>
          <w:szCs w:val="28"/>
        </w:rPr>
      </w:pPr>
      <w:bookmarkStart w:id="3" w:name="_Hlk196819432"/>
      <w:r w:rsidRPr="004866D9">
        <w:rPr>
          <w:rFonts w:ascii="Times New Roman" w:hAnsi="Times New Roman"/>
          <w:sz w:val="28"/>
          <w:szCs w:val="28"/>
        </w:rPr>
        <w:t>By</w:t>
      </w:r>
      <w:r w:rsidR="00973C53" w:rsidRPr="004866D9">
        <w:rPr>
          <w:rFonts w:ascii="Times New Roman" w:hAnsi="Times New Roman"/>
          <w:sz w:val="28"/>
          <w:szCs w:val="28"/>
        </w:rPr>
        <w:t>:</w:t>
      </w:r>
      <w:r w:rsidRPr="004866D9">
        <w:rPr>
          <w:rFonts w:ascii="Times New Roman" w:hAnsi="Times New Roman"/>
          <w:sz w:val="28"/>
          <w:szCs w:val="28"/>
        </w:rPr>
        <w:t xml:space="preserve"> </w:t>
      </w:r>
      <w:r w:rsidR="00973C53" w:rsidRPr="004866D9">
        <w:rPr>
          <w:rFonts w:ascii="Times New Roman" w:hAnsi="Times New Roman"/>
          <w:sz w:val="28"/>
          <w:szCs w:val="28"/>
        </w:rPr>
        <w:tab/>
      </w:r>
      <w:r w:rsidRPr="004866D9">
        <w:rPr>
          <w:rFonts w:ascii="Times New Roman" w:hAnsi="Times New Roman"/>
          <w:sz w:val="28"/>
          <w:szCs w:val="28"/>
          <w:u w:val="single"/>
        </w:rPr>
        <w:t>/s/</w:t>
      </w:r>
      <w:r w:rsidR="00785725" w:rsidRPr="004866D9">
        <w:rPr>
          <w:rFonts w:ascii="Times New Roman" w:hAnsi="Times New Roman"/>
          <w:sz w:val="28"/>
          <w:szCs w:val="28"/>
          <w:u w:val="single"/>
        </w:rPr>
        <w:t xml:space="preserve"> </w:t>
      </w:r>
      <w:r w:rsidR="008D205F">
        <w:rPr>
          <w:rFonts w:ascii="Times New Roman" w:hAnsi="Times New Roman"/>
          <w:sz w:val="28"/>
          <w:szCs w:val="28"/>
          <w:u w:val="single"/>
        </w:rPr>
        <w:tab/>
      </w:r>
      <w:r w:rsidR="007D0BE0" w:rsidRPr="004866D9">
        <w:rPr>
          <w:rFonts w:ascii="Times New Roman" w:hAnsi="Times New Roman"/>
          <w:i/>
          <w:iCs/>
          <w:sz w:val="28"/>
          <w:szCs w:val="28"/>
          <w:u w:val="single"/>
        </w:rPr>
        <w:t>Kristen Reller</w:t>
      </w:r>
      <w:r w:rsidR="00AC7D48" w:rsidRPr="004866D9">
        <w:rPr>
          <w:rFonts w:ascii="Times New Roman" w:hAnsi="Times New Roman"/>
          <w:i/>
          <w:iCs/>
          <w:sz w:val="28"/>
          <w:szCs w:val="28"/>
          <w:u w:val="single"/>
        </w:rPr>
        <w:t>, Elyssa Creary-Scher, and Seth Apfel</w:t>
      </w:r>
      <w:r w:rsidR="00AE0F9E" w:rsidRPr="004866D9">
        <w:rPr>
          <w:rFonts w:ascii="Times New Roman" w:hAnsi="Times New Roman"/>
          <w:sz w:val="28"/>
          <w:szCs w:val="28"/>
          <w:u w:val="single"/>
        </w:rPr>
        <w:tab/>
      </w:r>
      <w:r w:rsidR="00AE0F9E" w:rsidRPr="004866D9">
        <w:rPr>
          <w:rFonts w:ascii="Times New Roman" w:hAnsi="Times New Roman"/>
          <w:sz w:val="28"/>
          <w:szCs w:val="28"/>
          <w:u w:val="single"/>
        </w:rPr>
        <w:tab/>
      </w:r>
      <w:r w:rsidRPr="004866D9">
        <w:rPr>
          <w:rFonts w:ascii="Times New Roman" w:hAnsi="Times New Roman"/>
          <w:sz w:val="28"/>
          <w:szCs w:val="28"/>
        </w:rPr>
        <w:tab/>
      </w:r>
      <w:bookmarkEnd w:id="3"/>
    </w:p>
    <w:p w14:paraId="313A2C02" w14:textId="69212B09" w:rsidR="007D0BE0" w:rsidRDefault="008D205F" w:rsidP="008D205F">
      <w:pPr>
        <w:spacing w:line="240" w:lineRule="auto"/>
        <w:ind w:left="720" w:firstLine="720"/>
        <w:rPr>
          <w:rFonts w:ascii="Times New Roman" w:hAnsi="Times New Roman"/>
          <w:sz w:val="28"/>
          <w:szCs w:val="28"/>
        </w:rPr>
      </w:pPr>
      <w:r w:rsidRPr="004866D9">
        <w:rPr>
          <w:rFonts w:ascii="Times New Roman" w:hAnsi="Times New Roman"/>
          <w:sz w:val="28"/>
          <w:szCs w:val="28"/>
        </w:rPr>
        <w:t>Kristen Reller, Elyssa Creary-Scher, and Seth Apfel</w:t>
      </w:r>
    </w:p>
    <w:p w14:paraId="5485C497" w14:textId="00680F96" w:rsidR="008D205F" w:rsidRPr="004866D9" w:rsidRDefault="008D205F" w:rsidP="004866D9">
      <w:pPr>
        <w:spacing w:line="240" w:lineRule="auto"/>
        <w:ind w:left="720" w:firstLine="720"/>
        <w:rPr>
          <w:rFonts w:ascii="Times New Roman" w:hAnsi="Times New Roman"/>
          <w:sz w:val="28"/>
          <w:szCs w:val="28"/>
        </w:rPr>
      </w:pPr>
      <w:r>
        <w:rPr>
          <w:rFonts w:ascii="Times New Roman" w:hAnsi="Times New Roman"/>
          <w:sz w:val="28"/>
          <w:szCs w:val="28"/>
        </w:rPr>
        <w:t>Arizona Attorneys for Criminal Justice</w:t>
      </w:r>
    </w:p>
    <w:p w14:paraId="1C47B7D3" w14:textId="77777777" w:rsidR="00AD3DC3" w:rsidRPr="00ED20DC" w:rsidRDefault="00AD3DC3">
      <w:pPr>
        <w:spacing w:line="240" w:lineRule="auto"/>
        <w:rPr>
          <w:rFonts w:ascii="Times New Roman" w:hAnsi="Times New Roman"/>
          <w:sz w:val="28"/>
          <w:szCs w:val="28"/>
          <w:highlight w:val="yellow"/>
        </w:rPr>
      </w:pPr>
    </w:p>
    <w:p w14:paraId="4F1C28F0" w14:textId="47F1A4AF" w:rsidR="00AD3DC3" w:rsidRPr="004866D9" w:rsidRDefault="00AD3DC3">
      <w:pPr>
        <w:spacing w:line="240" w:lineRule="auto"/>
        <w:rPr>
          <w:rFonts w:ascii="Times New Roman" w:hAnsi="Times New Roman"/>
          <w:sz w:val="28"/>
          <w:szCs w:val="28"/>
        </w:rPr>
      </w:pPr>
      <w:r w:rsidRPr="004866D9">
        <w:rPr>
          <w:rFonts w:ascii="Times New Roman" w:hAnsi="Times New Roman"/>
          <w:sz w:val="28"/>
          <w:szCs w:val="28"/>
        </w:rPr>
        <w:t>Copy delivered to:</w:t>
      </w:r>
    </w:p>
    <w:p w14:paraId="17DAF771" w14:textId="77777777" w:rsidR="00AD3DC3" w:rsidRPr="004866D9" w:rsidRDefault="00AD3DC3">
      <w:pPr>
        <w:spacing w:line="240" w:lineRule="auto"/>
        <w:rPr>
          <w:rFonts w:ascii="Times New Roman" w:hAnsi="Times New Roman"/>
          <w:sz w:val="28"/>
          <w:szCs w:val="28"/>
        </w:rPr>
      </w:pPr>
    </w:p>
    <w:p w14:paraId="2093911F" w14:textId="39D3F731" w:rsidR="008D205F" w:rsidRPr="004866D9" w:rsidRDefault="008D205F">
      <w:pPr>
        <w:spacing w:line="240" w:lineRule="auto"/>
        <w:rPr>
          <w:rFonts w:ascii="Times New Roman" w:hAnsi="Times New Roman"/>
          <w:sz w:val="28"/>
          <w:szCs w:val="28"/>
        </w:rPr>
      </w:pPr>
      <w:r w:rsidRPr="004866D9">
        <w:rPr>
          <w:rFonts w:ascii="Times New Roman" w:hAnsi="Times New Roman"/>
          <w:sz w:val="28"/>
          <w:szCs w:val="28"/>
        </w:rPr>
        <w:t>Michael A. Minicozzi</w:t>
      </w:r>
      <w:r w:rsidR="004866D9">
        <w:rPr>
          <w:rFonts w:ascii="Times New Roman" w:hAnsi="Times New Roman"/>
          <w:sz w:val="28"/>
          <w:szCs w:val="28"/>
        </w:rPr>
        <w:t xml:space="preserve"> and </w:t>
      </w:r>
      <w:r w:rsidRPr="004866D9">
        <w:rPr>
          <w:rFonts w:ascii="Times New Roman" w:hAnsi="Times New Roman"/>
          <w:sz w:val="28"/>
          <w:szCs w:val="28"/>
        </w:rPr>
        <w:t>Joseph Hinrichsen</w:t>
      </w:r>
    </w:p>
    <w:p w14:paraId="05049673" w14:textId="283A9A0A" w:rsidR="008D205F" w:rsidRPr="004866D9" w:rsidRDefault="008D205F">
      <w:pPr>
        <w:spacing w:line="240" w:lineRule="auto"/>
        <w:rPr>
          <w:rFonts w:ascii="Times New Roman" w:hAnsi="Times New Roman"/>
          <w:sz w:val="28"/>
          <w:szCs w:val="28"/>
        </w:rPr>
      </w:pPr>
      <w:r w:rsidRPr="004866D9">
        <w:rPr>
          <w:rFonts w:ascii="Times New Roman" w:hAnsi="Times New Roman"/>
          <w:sz w:val="28"/>
          <w:szCs w:val="28"/>
        </w:rPr>
        <w:t>Maricopa County Attorney’s Office</w:t>
      </w:r>
    </w:p>
    <w:p w14:paraId="33B3AE99" w14:textId="30FDA3C1" w:rsidR="008D205F" w:rsidRPr="004866D9" w:rsidRDefault="008D205F">
      <w:pPr>
        <w:spacing w:line="240" w:lineRule="auto"/>
        <w:rPr>
          <w:rFonts w:ascii="Times New Roman" w:hAnsi="Times New Roman"/>
          <w:sz w:val="28"/>
          <w:szCs w:val="28"/>
        </w:rPr>
      </w:pPr>
      <w:r w:rsidRPr="004866D9">
        <w:rPr>
          <w:rFonts w:ascii="Times New Roman" w:hAnsi="Times New Roman"/>
          <w:sz w:val="28"/>
          <w:szCs w:val="28"/>
        </w:rPr>
        <w:t>225 West Madison Street</w:t>
      </w:r>
    </w:p>
    <w:p w14:paraId="2EBEA140" w14:textId="5D9A84C7" w:rsidR="008D205F" w:rsidRDefault="008D205F">
      <w:pPr>
        <w:spacing w:line="240" w:lineRule="auto"/>
        <w:rPr>
          <w:rFonts w:ascii="Times New Roman" w:hAnsi="Times New Roman"/>
          <w:sz w:val="28"/>
          <w:szCs w:val="28"/>
        </w:rPr>
      </w:pPr>
      <w:r w:rsidRPr="004866D9">
        <w:rPr>
          <w:rFonts w:ascii="Times New Roman" w:hAnsi="Times New Roman"/>
          <w:sz w:val="28"/>
          <w:szCs w:val="28"/>
        </w:rPr>
        <w:t>Phoenix, AZ 85003</w:t>
      </w:r>
    </w:p>
    <w:p w14:paraId="20492198" w14:textId="6D7D5D24" w:rsidR="004866D9" w:rsidRPr="004866D9" w:rsidRDefault="004866D9">
      <w:pPr>
        <w:spacing w:line="240" w:lineRule="auto"/>
        <w:rPr>
          <w:rFonts w:ascii="Times New Roman" w:hAnsi="Times New Roman"/>
          <w:sz w:val="28"/>
          <w:szCs w:val="28"/>
        </w:rPr>
      </w:pPr>
      <w:hyperlink r:id="rId14" w:history="1">
        <w:r w:rsidRPr="00126214">
          <w:rPr>
            <w:rStyle w:val="Hyperlink"/>
            <w:rFonts w:ascii="Times New Roman" w:hAnsi="Times New Roman"/>
            <w:sz w:val="28"/>
            <w:szCs w:val="28"/>
          </w:rPr>
          <w:t>minicozm@mcao.maricopa.gov</w:t>
        </w:r>
      </w:hyperlink>
      <w:r>
        <w:rPr>
          <w:rFonts w:ascii="Times New Roman" w:hAnsi="Times New Roman"/>
          <w:sz w:val="28"/>
          <w:szCs w:val="28"/>
        </w:rPr>
        <w:t xml:space="preserve"> </w:t>
      </w:r>
    </w:p>
    <w:p w14:paraId="27F4BD8F" w14:textId="77777777" w:rsidR="008D205F" w:rsidRPr="004866D9" w:rsidRDefault="008D205F">
      <w:pPr>
        <w:spacing w:line="240" w:lineRule="auto"/>
        <w:rPr>
          <w:rFonts w:ascii="Times New Roman" w:hAnsi="Times New Roman"/>
          <w:sz w:val="28"/>
          <w:szCs w:val="28"/>
        </w:rPr>
      </w:pPr>
    </w:p>
    <w:p w14:paraId="24C5C430" w14:textId="31B05662" w:rsidR="008D205F" w:rsidRPr="004866D9" w:rsidRDefault="008D205F">
      <w:pPr>
        <w:spacing w:line="240" w:lineRule="auto"/>
        <w:rPr>
          <w:rFonts w:ascii="Times New Roman" w:hAnsi="Times New Roman"/>
          <w:sz w:val="28"/>
          <w:szCs w:val="28"/>
        </w:rPr>
      </w:pPr>
      <w:r w:rsidRPr="004866D9">
        <w:rPr>
          <w:rFonts w:ascii="Times New Roman" w:hAnsi="Times New Roman"/>
          <w:sz w:val="28"/>
          <w:szCs w:val="28"/>
        </w:rPr>
        <w:t>Colleen Clase</w:t>
      </w:r>
    </w:p>
    <w:p w14:paraId="5B559AC1" w14:textId="3B2287F5" w:rsidR="008D205F" w:rsidRPr="004866D9" w:rsidRDefault="008D205F">
      <w:pPr>
        <w:spacing w:line="240" w:lineRule="auto"/>
        <w:rPr>
          <w:rFonts w:ascii="Times New Roman" w:hAnsi="Times New Roman"/>
          <w:sz w:val="28"/>
          <w:szCs w:val="28"/>
        </w:rPr>
      </w:pPr>
      <w:r w:rsidRPr="004866D9">
        <w:rPr>
          <w:rFonts w:ascii="Times New Roman" w:hAnsi="Times New Roman"/>
          <w:sz w:val="28"/>
          <w:szCs w:val="28"/>
        </w:rPr>
        <w:t>Arizona Voice for Crime Victims</w:t>
      </w:r>
    </w:p>
    <w:p w14:paraId="24B4B804" w14:textId="3E56F256" w:rsidR="008D205F" w:rsidRPr="004866D9" w:rsidRDefault="008D205F">
      <w:pPr>
        <w:spacing w:line="240" w:lineRule="auto"/>
        <w:rPr>
          <w:rFonts w:ascii="Times New Roman" w:hAnsi="Times New Roman"/>
          <w:sz w:val="28"/>
          <w:szCs w:val="28"/>
        </w:rPr>
      </w:pPr>
      <w:r w:rsidRPr="004866D9">
        <w:rPr>
          <w:rFonts w:ascii="Times New Roman" w:hAnsi="Times New Roman"/>
          <w:sz w:val="28"/>
          <w:szCs w:val="28"/>
        </w:rPr>
        <w:t>111 East Taylor Street</w:t>
      </w:r>
    </w:p>
    <w:p w14:paraId="01B379CF" w14:textId="28C75E3A" w:rsidR="008D205F" w:rsidRPr="004866D9" w:rsidRDefault="008D205F">
      <w:pPr>
        <w:spacing w:line="240" w:lineRule="auto"/>
        <w:rPr>
          <w:rFonts w:ascii="Times New Roman" w:hAnsi="Times New Roman"/>
          <w:sz w:val="28"/>
          <w:szCs w:val="28"/>
        </w:rPr>
      </w:pPr>
      <w:r w:rsidRPr="004866D9">
        <w:rPr>
          <w:rFonts w:ascii="Times New Roman" w:hAnsi="Times New Roman"/>
          <w:sz w:val="28"/>
          <w:szCs w:val="28"/>
        </w:rPr>
        <w:t>Phoenix, AZ 85004</w:t>
      </w:r>
    </w:p>
    <w:p w14:paraId="5CC93670" w14:textId="496DCB50" w:rsidR="00F261DD" w:rsidRDefault="008D205F" w:rsidP="00DC38DE">
      <w:pPr>
        <w:spacing w:line="240" w:lineRule="auto"/>
        <w:rPr>
          <w:rFonts w:ascii="Times New Roman" w:hAnsi="Times New Roman"/>
          <w:sz w:val="28"/>
          <w:szCs w:val="28"/>
        </w:rPr>
      </w:pPr>
      <w:r w:rsidRPr="004866D9">
        <w:rPr>
          <w:rFonts w:ascii="Times New Roman" w:hAnsi="Times New Roman"/>
          <w:sz w:val="28"/>
          <w:szCs w:val="28"/>
        </w:rPr>
        <w:t>cclase@voiceforvictims.org</w:t>
      </w:r>
    </w:p>
    <w:sectPr w:rsidR="00F261DD" w:rsidSect="00F54AAE">
      <w:footerReference w:type="even"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A131" w14:textId="77777777" w:rsidR="00261037" w:rsidRDefault="00261037">
      <w:r>
        <w:separator/>
      </w:r>
    </w:p>
  </w:endnote>
  <w:endnote w:type="continuationSeparator" w:id="0">
    <w:p w14:paraId="408BC7DA" w14:textId="77777777" w:rsidR="00261037" w:rsidRDefault="0026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53BE" w14:textId="77777777" w:rsidR="00261037" w:rsidRDefault="00261037">
      <w:r>
        <w:separator/>
      </w:r>
    </w:p>
  </w:footnote>
  <w:footnote w:type="continuationSeparator" w:id="0">
    <w:p w14:paraId="1325D028" w14:textId="77777777" w:rsidR="00261037" w:rsidRDefault="00261037">
      <w:r>
        <w:continuationSeparator/>
      </w:r>
    </w:p>
  </w:footnote>
  <w:footnote w:id="1">
    <w:p w14:paraId="5953F06F" w14:textId="5E2A41DC" w:rsidR="00B52A58" w:rsidRDefault="00B52A58" w:rsidP="00797EAC">
      <w:pPr>
        <w:pStyle w:val="FootnoteText"/>
        <w:spacing w:line="240" w:lineRule="auto"/>
        <w:jc w:val="both"/>
      </w:pPr>
      <w:r w:rsidRPr="00797EAC">
        <w:rPr>
          <w:rStyle w:val="FootnoteReference"/>
          <w:rFonts w:ascii="Times New Roman" w:hAnsi="Times New Roman"/>
          <w:sz w:val="28"/>
          <w:szCs w:val="28"/>
        </w:rPr>
        <w:footnoteRef/>
      </w:r>
      <w:r>
        <w:t xml:space="preserve"> </w:t>
      </w:r>
      <w:r w:rsidR="00011910" w:rsidRPr="00BA7067">
        <w:rPr>
          <w:rFonts w:ascii="Times New Roman" w:hAnsi="Times New Roman"/>
          <w:i/>
          <w:iCs/>
          <w:sz w:val="28"/>
          <w:szCs w:val="28"/>
        </w:rPr>
        <w:t>See</w:t>
      </w:r>
      <w:r w:rsidR="00011910">
        <w:rPr>
          <w:rFonts w:ascii="Times New Roman" w:hAnsi="Times New Roman"/>
          <w:sz w:val="28"/>
          <w:szCs w:val="28"/>
        </w:rPr>
        <w:t xml:space="preserve"> </w:t>
      </w:r>
      <w:r w:rsidR="00441C5D">
        <w:rPr>
          <w:rFonts w:ascii="Times New Roman" w:hAnsi="Times New Roman"/>
          <w:sz w:val="28"/>
          <w:szCs w:val="28"/>
        </w:rPr>
        <w:t xml:space="preserve">National Institute of Justice, </w:t>
      </w:r>
      <w:r w:rsidR="00441C5D" w:rsidRPr="00BA7067">
        <w:rPr>
          <w:rFonts w:ascii="Times New Roman" w:hAnsi="Times New Roman"/>
          <w:i/>
          <w:iCs/>
          <w:sz w:val="28"/>
          <w:szCs w:val="28"/>
        </w:rPr>
        <w:t>Program Profile: NICHD Investigative Interview Protocol</w:t>
      </w:r>
      <w:r w:rsidR="003D0ADA">
        <w:rPr>
          <w:rFonts w:ascii="Times New Roman" w:hAnsi="Times New Roman"/>
          <w:sz w:val="28"/>
          <w:szCs w:val="28"/>
        </w:rPr>
        <w:t xml:space="preserve"> (2012),</w:t>
      </w:r>
      <w:r w:rsidR="00441C5D">
        <w:rPr>
          <w:rFonts w:ascii="Times New Roman" w:hAnsi="Times New Roman"/>
          <w:sz w:val="28"/>
          <w:szCs w:val="28"/>
        </w:rPr>
        <w:t xml:space="preserve"> </w:t>
      </w:r>
      <w:r w:rsidR="006C4B00" w:rsidRPr="00BA7067">
        <w:rPr>
          <w:rFonts w:ascii="Times New Roman" w:hAnsi="Times New Roman"/>
          <w:sz w:val="28"/>
          <w:szCs w:val="28"/>
        </w:rPr>
        <w:t>https://crimesolutions.ojp.gov/ratedprograms/nichd-investigative-interview-protocol#1-0</w:t>
      </w:r>
      <w:r w:rsidR="006C4B00">
        <w:rPr>
          <w:rFonts w:ascii="Times New Roman" w:hAnsi="Times New Roman"/>
          <w:sz w:val="28"/>
          <w:szCs w:val="28"/>
        </w:rPr>
        <w:t xml:space="preserve">; The Professional Society on the Abuse of Children, </w:t>
      </w:r>
      <w:r w:rsidR="006C4B00" w:rsidRPr="00AC3963">
        <w:rPr>
          <w:rFonts w:ascii="Times New Roman" w:hAnsi="Times New Roman"/>
          <w:i/>
          <w:iCs/>
          <w:sz w:val="28"/>
          <w:szCs w:val="28"/>
        </w:rPr>
        <w:t>Practice Guidelines</w:t>
      </w:r>
      <w:r w:rsidR="003D0ADA">
        <w:rPr>
          <w:rFonts w:ascii="Times New Roman" w:hAnsi="Times New Roman"/>
          <w:sz w:val="28"/>
          <w:szCs w:val="28"/>
        </w:rPr>
        <w:t xml:space="preserve"> (2023)</w:t>
      </w:r>
      <w:r w:rsidR="00E6511E" w:rsidRPr="00E6511E">
        <w:rPr>
          <w:rFonts w:ascii="Times New Roman" w:hAnsi="Times New Roman"/>
          <w:sz w:val="28"/>
          <w:szCs w:val="28"/>
        </w:rPr>
        <w:t xml:space="preserve"> </w:t>
      </w:r>
      <w:r w:rsidR="00E6511E" w:rsidRPr="00BA7067">
        <w:rPr>
          <w:rFonts w:ascii="Times New Roman" w:hAnsi="Times New Roman"/>
          <w:sz w:val="28"/>
          <w:szCs w:val="28"/>
        </w:rPr>
        <w:t>https://www.apsac.org/guidelines</w:t>
      </w:r>
      <w:r w:rsidR="00E6511E">
        <w:rPr>
          <w:rFonts w:ascii="Times New Roman" w:hAnsi="Times New Roman"/>
          <w:sz w:val="28"/>
          <w:szCs w:val="28"/>
        </w:rPr>
        <w:t xml:space="preserve">. </w:t>
      </w:r>
    </w:p>
  </w:footnote>
  <w:footnote w:id="2">
    <w:p w14:paraId="2E2447DF" w14:textId="44A26F39" w:rsidR="00236F3B" w:rsidRPr="00236F3B" w:rsidRDefault="00236F3B" w:rsidP="00236F3B">
      <w:pPr>
        <w:pStyle w:val="FootnoteText"/>
        <w:spacing w:line="240" w:lineRule="auto"/>
        <w:jc w:val="both"/>
        <w:rPr>
          <w:rFonts w:ascii="Times New Roman" w:hAnsi="Times New Roman"/>
          <w:sz w:val="28"/>
          <w:szCs w:val="28"/>
        </w:rPr>
      </w:pPr>
      <w:r w:rsidRPr="00236F3B">
        <w:rPr>
          <w:rStyle w:val="FootnoteReference"/>
          <w:rFonts w:ascii="Times New Roman" w:hAnsi="Times New Roman"/>
          <w:sz w:val="28"/>
          <w:szCs w:val="28"/>
        </w:rPr>
        <w:footnoteRef/>
      </w:r>
      <w:r w:rsidRPr="00236F3B">
        <w:rPr>
          <w:rFonts w:ascii="Times New Roman" w:hAnsi="Times New Roman"/>
          <w:sz w:val="28"/>
          <w:szCs w:val="28"/>
        </w:rPr>
        <w:t xml:space="preserve"> Every defense attorney would agree that the most difficult part of the job is knowing that at times, </w:t>
      </w:r>
      <w:r w:rsidR="004866D9">
        <w:rPr>
          <w:rFonts w:ascii="Times New Roman" w:hAnsi="Times New Roman"/>
          <w:sz w:val="28"/>
          <w:szCs w:val="28"/>
        </w:rPr>
        <w:t>counsel must</w:t>
      </w:r>
      <w:r w:rsidRPr="00236F3B">
        <w:rPr>
          <w:rFonts w:ascii="Times New Roman" w:hAnsi="Times New Roman"/>
          <w:sz w:val="28"/>
          <w:szCs w:val="28"/>
        </w:rPr>
        <w:t xml:space="preserve"> challenge victims in a manner that will be very upsetting to them. But no matter how deep our sympathy may run, the criminal justice system simply cannot function unless defense attorneys do their jobs as necessary in defending</w:t>
      </w:r>
      <w:r w:rsidR="008A2B44">
        <w:rPr>
          <w:rFonts w:ascii="Times New Roman" w:hAnsi="Times New Roman"/>
          <w:sz w:val="28"/>
          <w:szCs w:val="28"/>
        </w:rPr>
        <w:t xml:space="preserve"> the constitutional rights of</w:t>
      </w:r>
      <w:r w:rsidRPr="00236F3B">
        <w:rPr>
          <w:rFonts w:ascii="Times New Roman" w:hAnsi="Times New Roman"/>
          <w:sz w:val="28"/>
          <w:szCs w:val="28"/>
        </w:rPr>
        <w:t xml:space="preserve"> their clients.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9779CE"/>
    <w:multiLevelType w:val="hybridMultilevel"/>
    <w:tmpl w:val="BE541DBA"/>
    <w:lvl w:ilvl="0" w:tplc="76064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1C4073"/>
    <w:multiLevelType w:val="hybridMultilevel"/>
    <w:tmpl w:val="6A663A20"/>
    <w:lvl w:ilvl="0" w:tplc="69FC5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0"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D24D2C"/>
    <w:multiLevelType w:val="hybridMultilevel"/>
    <w:tmpl w:val="8772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4AF07DD"/>
    <w:multiLevelType w:val="hybridMultilevel"/>
    <w:tmpl w:val="84F085C8"/>
    <w:lvl w:ilvl="0" w:tplc="0E287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B8C2530"/>
    <w:multiLevelType w:val="hybridMultilevel"/>
    <w:tmpl w:val="5D62D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3"/>
  </w:num>
  <w:num w:numId="2" w16cid:durableId="469400166">
    <w:abstractNumId w:val="2"/>
  </w:num>
  <w:num w:numId="3" w16cid:durableId="626275486">
    <w:abstractNumId w:val="8"/>
  </w:num>
  <w:num w:numId="4" w16cid:durableId="1237518553">
    <w:abstractNumId w:val="6"/>
  </w:num>
  <w:num w:numId="5" w16cid:durableId="1732536459">
    <w:abstractNumId w:val="23"/>
  </w:num>
  <w:num w:numId="6" w16cid:durableId="1378436400">
    <w:abstractNumId w:val="29"/>
  </w:num>
  <w:num w:numId="7" w16cid:durableId="991374513">
    <w:abstractNumId w:val="13"/>
  </w:num>
  <w:num w:numId="8" w16cid:durableId="1700660638">
    <w:abstractNumId w:val="16"/>
  </w:num>
  <w:num w:numId="9" w16cid:durableId="372001553">
    <w:abstractNumId w:val="26"/>
  </w:num>
  <w:num w:numId="10" w16cid:durableId="398214401">
    <w:abstractNumId w:val="22"/>
  </w:num>
  <w:num w:numId="11" w16cid:durableId="1932085538">
    <w:abstractNumId w:val="24"/>
  </w:num>
  <w:num w:numId="12" w16cid:durableId="212810470">
    <w:abstractNumId w:val="30"/>
  </w:num>
  <w:num w:numId="13" w16cid:durableId="154299559">
    <w:abstractNumId w:val="15"/>
  </w:num>
  <w:num w:numId="14" w16cid:durableId="2139762203">
    <w:abstractNumId w:val="27"/>
  </w:num>
  <w:num w:numId="15" w16cid:durableId="1779134998">
    <w:abstractNumId w:val="14"/>
  </w:num>
  <w:num w:numId="16" w16cid:durableId="1601137933">
    <w:abstractNumId w:val="5"/>
  </w:num>
  <w:num w:numId="17" w16cid:durableId="15499093">
    <w:abstractNumId w:val="20"/>
  </w:num>
  <w:num w:numId="18" w16cid:durableId="358897891">
    <w:abstractNumId w:val="9"/>
  </w:num>
  <w:num w:numId="19" w16cid:durableId="1631091077">
    <w:abstractNumId w:val="17"/>
  </w:num>
  <w:num w:numId="20" w16cid:durableId="1133525758">
    <w:abstractNumId w:val="25"/>
  </w:num>
  <w:num w:numId="21" w16cid:durableId="2047636258">
    <w:abstractNumId w:val="12"/>
  </w:num>
  <w:num w:numId="22" w16cid:durableId="1701322166">
    <w:abstractNumId w:val="10"/>
  </w:num>
  <w:num w:numId="23" w16cid:durableId="316150137">
    <w:abstractNumId w:val="0"/>
  </w:num>
  <w:num w:numId="24" w16cid:durableId="1405369219">
    <w:abstractNumId w:val="21"/>
  </w:num>
  <w:num w:numId="25" w16cid:durableId="976688191">
    <w:abstractNumId w:val="18"/>
  </w:num>
  <w:num w:numId="26" w16cid:durableId="793911626">
    <w:abstractNumId w:val="4"/>
  </w:num>
  <w:num w:numId="27" w16cid:durableId="323749124">
    <w:abstractNumId w:val="11"/>
  </w:num>
  <w:num w:numId="28" w16cid:durableId="1946381740">
    <w:abstractNumId w:val="7"/>
  </w:num>
  <w:num w:numId="29" w16cid:durableId="1119491184">
    <w:abstractNumId w:val="1"/>
  </w:num>
  <w:num w:numId="30" w16cid:durableId="1365787612">
    <w:abstractNumId w:val="19"/>
  </w:num>
  <w:num w:numId="31" w16cid:durableId="19692364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0592"/>
    <w:rsid w:val="00003247"/>
    <w:rsid w:val="00006D9B"/>
    <w:rsid w:val="00010B33"/>
    <w:rsid w:val="00011910"/>
    <w:rsid w:val="00012044"/>
    <w:rsid w:val="00015A49"/>
    <w:rsid w:val="000170EA"/>
    <w:rsid w:val="00030DFC"/>
    <w:rsid w:val="00033485"/>
    <w:rsid w:val="000347CF"/>
    <w:rsid w:val="00036CF2"/>
    <w:rsid w:val="000431A5"/>
    <w:rsid w:val="000506CE"/>
    <w:rsid w:val="00050775"/>
    <w:rsid w:val="000539C9"/>
    <w:rsid w:val="00054624"/>
    <w:rsid w:val="000574A7"/>
    <w:rsid w:val="00057960"/>
    <w:rsid w:val="00071B11"/>
    <w:rsid w:val="000759BB"/>
    <w:rsid w:val="000763D7"/>
    <w:rsid w:val="00076CBE"/>
    <w:rsid w:val="00080A10"/>
    <w:rsid w:val="00083D10"/>
    <w:rsid w:val="00092D1D"/>
    <w:rsid w:val="00094BC9"/>
    <w:rsid w:val="00095786"/>
    <w:rsid w:val="000966E2"/>
    <w:rsid w:val="00097D48"/>
    <w:rsid w:val="000A1FB4"/>
    <w:rsid w:val="000A3743"/>
    <w:rsid w:val="000B15C4"/>
    <w:rsid w:val="000B1D0D"/>
    <w:rsid w:val="000B3D5C"/>
    <w:rsid w:val="000B58EF"/>
    <w:rsid w:val="000B6489"/>
    <w:rsid w:val="000B7ACB"/>
    <w:rsid w:val="000D50D4"/>
    <w:rsid w:val="000D6BB1"/>
    <w:rsid w:val="000E2821"/>
    <w:rsid w:val="000E477A"/>
    <w:rsid w:val="000E6C47"/>
    <w:rsid w:val="000E7FAC"/>
    <w:rsid w:val="000F6163"/>
    <w:rsid w:val="0010243E"/>
    <w:rsid w:val="00111273"/>
    <w:rsid w:val="00111A1A"/>
    <w:rsid w:val="00117CB3"/>
    <w:rsid w:val="0012054D"/>
    <w:rsid w:val="00125A1E"/>
    <w:rsid w:val="00125CA9"/>
    <w:rsid w:val="001269D9"/>
    <w:rsid w:val="0012759A"/>
    <w:rsid w:val="001279AC"/>
    <w:rsid w:val="0013019E"/>
    <w:rsid w:val="00141C61"/>
    <w:rsid w:val="00142D09"/>
    <w:rsid w:val="001452F3"/>
    <w:rsid w:val="00147D21"/>
    <w:rsid w:val="00147D30"/>
    <w:rsid w:val="001515A0"/>
    <w:rsid w:val="001516C5"/>
    <w:rsid w:val="001551D3"/>
    <w:rsid w:val="00160425"/>
    <w:rsid w:val="0016125C"/>
    <w:rsid w:val="00170A1F"/>
    <w:rsid w:val="00171C46"/>
    <w:rsid w:val="0017448D"/>
    <w:rsid w:val="00175B0A"/>
    <w:rsid w:val="00176A8B"/>
    <w:rsid w:val="0017761F"/>
    <w:rsid w:val="001841BF"/>
    <w:rsid w:val="00185A34"/>
    <w:rsid w:val="00186903"/>
    <w:rsid w:val="00186F81"/>
    <w:rsid w:val="001942E5"/>
    <w:rsid w:val="001B057A"/>
    <w:rsid w:val="001B1196"/>
    <w:rsid w:val="001B24C6"/>
    <w:rsid w:val="001B3667"/>
    <w:rsid w:val="001B408E"/>
    <w:rsid w:val="001B76E0"/>
    <w:rsid w:val="001C015F"/>
    <w:rsid w:val="001C02C6"/>
    <w:rsid w:val="001C2BDE"/>
    <w:rsid w:val="001C30CE"/>
    <w:rsid w:val="001C5FF7"/>
    <w:rsid w:val="001C60A4"/>
    <w:rsid w:val="001D0E6C"/>
    <w:rsid w:val="001D386D"/>
    <w:rsid w:val="001D4A80"/>
    <w:rsid w:val="001D5D81"/>
    <w:rsid w:val="001D638F"/>
    <w:rsid w:val="001E74E4"/>
    <w:rsid w:val="001F54B7"/>
    <w:rsid w:val="001F6288"/>
    <w:rsid w:val="001F6564"/>
    <w:rsid w:val="00205E43"/>
    <w:rsid w:val="002076F9"/>
    <w:rsid w:val="00221A90"/>
    <w:rsid w:val="00221BCC"/>
    <w:rsid w:val="002222D2"/>
    <w:rsid w:val="00230545"/>
    <w:rsid w:val="00235C89"/>
    <w:rsid w:val="0023620C"/>
    <w:rsid w:val="00236BF8"/>
    <w:rsid w:val="00236F3B"/>
    <w:rsid w:val="00252BB8"/>
    <w:rsid w:val="002549CE"/>
    <w:rsid w:val="00255E07"/>
    <w:rsid w:val="00261037"/>
    <w:rsid w:val="00261AF6"/>
    <w:rsid w:val="00264A6D"/>
    <w:rsid w:val="002669F3"/>
    <w:rsid w:val="0027258D"/>
    <w:rsid w:val="002763F8"/>
    <w:rsid w:val="00283A7C"/>
    <w:rsid w:val="00284416"/>
    <w:rsid w:val="00284E5B"/>
    <w:rsid w:val="00285283"/>
    <w:rsid w:val="002866FC"/>
    <w:rsid w:val="002901A9"/>
    <w:rsid w:val="002910BC"/>
    <w:rsid w:val="002947CE"/>
    <w:rsid w:val="002A179F"/>
    <w:rsid w:val="002A24BA"/>
    <w:rsid w:val="002A3420"/>
    <w:rsid w:val="002A4DD3"/>
    <w:rsid w:val="002B5B1B"/>
    <w:rsid w:val="002B62C2"/>
    <w:rsid w:val="002B7481"/>
    <w:rsid w:val="002C0EDD"/>
    <w:rsid w:val="002C54D2"/>
    <w:rsid w:val="002C660A"/>
    <w:rsid w:val="002D0E9E"/>
    <w:rsid w:val="002D17D1"/>
    <w:rsid w:val="002D1E61"/>
    <w:rsid w:val="002D54B4"/>
    <w:rsid w:val="002D6A6A"/>
    <w:rsid w:val="002E1232"/>
    <w:rsid w:val="002E545E"/>
    <w:rsid w:val="002F14E4"/>
    <w:rsid w:val="002F1F6C"/>
    <w:rsid w:val="002F1FBD"/>
    <w:rsid w:val="002F2876"/>
    <w:rsid w:val="002F33EF"/>
    <w:rsid w:val="002F3B52"/>
    <w:rsid w:val="0030088E"/>
    <w:rsid w:val="00301411"/>
    <w:rsid w:val="00304745"/>
    <w:rsid w:val="00304EAE"/>
    <w:rsid w:val="003055A7"/>
    <w:rsid w:val="00305778"/>
    <w:rsid w:val="00305CB1"/>
    <w:rsid w:val="00311280"/>
    <w:rsid w:val="00311552"/>
    <w:rsid w:val="00313AAF"/>
    <w:rsid w:val="00316FBD"/>
    <w:rsid w:val="00320C7A"/>
    <w:rsid w:val="003231B0"/>
    <w:rsid w:val="00323F32"/>
    <w:rsid w:val="00324C20"/>
    <w:rsid w:val="00325AFE"/>
    <w:rsid w:val="0033108E"/>
    <w:rsid w:val="0033167F"/>
    <w:rsid w:val="00331802"/>
    <w:rsid w:val="003353C5"/>
    <w:rsid w:val="003358ED"/>
    <w:rsid w:val="003412D9"/>
    <w:rsid w:val="00345960"/>
    <w:rsid w:val="0034677F"/>
    <w:rsid w:val="00350551"/>
    <w:rsid w:val="00351280"/>
    <w:rsid w:val="00356079"/>
    <w:rsid w:val="00357C78"/>
    <w:rsid w:val="003658B4"/>
    <w:rsid w:val="003659B5"/>
    <w:rsid w:val="003732CB"/>
    <w:rsid w:val="0037686D"/>
    <w:rsid w:val="00380B0B"/>
    <w:rsid w:val="003812FE"/>
    <w:rsid w:val="00393846"/>
    <w:rsid w:val="00393B24"/>
    <w:rsid w:val="00397013"/>
    <w:rsid w:val="003A115D"/>
    <w:rsid w:val="003A2343"/>
    <w:rsid w:val="003A346F"/>
    <w:rsid w:val="003A63AE"/>
    <w:rsid w:val="003A66E3"/>
    <w:rsid w:val="003C15EA"/>
    <w:rsid w:val="003C4E9C"/>
    <w:rsid w:val="003C6246"/>
    <w:rsid w:val="003D0ADA"/>
    <w:rsid w:val="003D0EEC"/>
    <w:rsid w:val="003D37BE"/>
    <w:rsid w:val="003D3FC5"/>
    <w:rsid w:val="003D6070"/>
    <w:rsid w:val="003E0313"/>
    <w:rsid w:val="003E3701"/>
    <w:rsid w:val="003E5547"/>
    <w:rsid w:val="003E5927"/>
    <w:rsid w:val="0040482A"/>
    <w:rsid w:val="0041282A"/>
    <w:rsid w:val="0041704C"/>
    <w:rsid w:val="00420CBC"/>
    <w:rsid w:val="0042164C"/>
    <w:rsid w:val="00421E9E"/>
    <w:rsid w:val="004328CD"/>
    <w:rsid w:val="00441C5D"/>
    <w:rsid w:val="004434F1"/>
    <w:rsid w:val="00444BE7"/>
    <w:rsid w:val="004503FC"/>
    <w:rsid w:val="00451F00"/>
    <w:rsid w:val="004520F5"/>
    <w:rsid w:val="00454AE0"/>
    <w:rsid w:val="004711E3"/>
    <w:rsid w:val="0047133B"/>
    <w:rsid w:val="004724AE"/>
    <w:rsid w:val="0047497F"/>
    <w:rsid w:val="004835B0"/>
    <w:rsid w:val="00485FAA"/>
    <w:rsid w:val="004866D9"/>
    <w:rsid w:val="00492362"/>
    <w:rsid w:val="00493A61"/>
    <w:rsid w:val="004963BA"/>
    <w:rsid w:val="004A0E49"/>
    <w:rsid w:val="004A10AA"/>
    <w:rsid w:val="004A1B67"/>
    <w:rsid w:val="004A2829"/>
    <w:rsid w:val="004A590C"/>
    <w:rsid w:val="004B3410"/>
    <w:rsid w:val="004B6D4E"/>
    <w:rsid w:val="004B74D0"/>
    <w:rsid w:val="004B7790"/>
    <w:rsid w:val="004C2066"/>
    <w:rsid w:val="004C7133"/>
    <w:rsid w:val="004D010E"/>
    <w:rsid w:val="004D3C86"/>
    <w:rsid w:val="004D6A51"/>
    <w:rsid w:val="004D72A3"/>
    <w:rsid w:val="004E26B2"/>
    <w:rsid w:val="004E66AE"/>
    <w:rsid w:val="004E6839"/>
    <w:rsid w:val="004E6EF6"/>
    <w:rsid w:val="004F2D0B"/>
    <w:rsid w:val="004F3B51"/>
    <w:rsid w:val="004F456D"/>
    <w:rsid w:val="004F5419"/>
    <w:rsid w:val="00502211"/>
    <w:rsid w:val="00512EB9"/>
    <w:rsid w:val="005140B4"/>
    <w:rsid w:val="00515CB2"/>
    <w:rsid w:val="0052085E"/>
    <w:rsid w:val="005252FB"/>
    <w:rsid w:val="00542196"/>
    <w:rsid w:val="0054468B"/>
    <w:rsid w:val="005453BE"/>
    <w:rsid w:val="00553515"/>
    <w:rsid w:val="005552C9"/>
    <w:rsid w:val="00556A2D"/>
    <w:rsid w:val="00564A77"/>
    <w:rsid w:val="00565858"/>
    <w:rsid w:val="00567D92"/>
    <w:rsid w:val="00570AF9"/>
    <w:rsid w:val="00571152"/>
    <w:rsid w:val="00584A77"/>
    <w:rsid w:val="005924A7"/>
    <w:rsid w:val="005928DA"/>
    <w:rsid w:val="0059751C"/>
    <w:rsid w:val="005A2EAD"/>
    <w:rsid w:val="005A51D7"/>
    <w:rsid w:val="005A5826"/>
    <w:rsid w:val="005A7B1C"/>
    <w:rsid w:val="005B0C4F"/>
    <w:rsid w:val="005B2350"/>
    <w:rsid w:val="005B53BE"/>
    <w:rsid w:val="005B7899"/>
    <w:rsid w:val="005C0B08"/>
    <w:rsid w:val="005C109B"/>
    <w:rsid w:val="005C3BDC"/>
    <w:rsid w:val="005C6E61"/>
    <w:rsid w:val="005D06D5"/>
    <w:rsid w:val="005D21EF"/>
    <w:rsid w:val="005D441D"/>
    <w:rsid w:val="005D7DCC"/>
    <w:rsid w:val="005E0339"/>
    <w:rsid w:val="005E11F3"/>
    <w:rsid w:val="005E162E"/>
    <w:rsid w:val="005E2629"/>
    <w:rsid w:val="005E40C0"/>
    <w:rsid w:val="005F0195"/>
    <w:rsid w:val="005F145E"/>
    <w:rsid w:val="005F4669"/>
    <w:rsid w:val="00600CD0"/>
    <w:rsid w:val="0060208D"/>
    <w:rsid w:val="00603578"/>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0F42"/>
    <w:rsid w:val="006876D6"/>
    <w:rsid w:val="00692962"/>
    <w:rsid w:val="0069446D"/>
    <w:rsid w:val="006A1923"/>
    <w:rsid w:val="006A2E18"/>
    <w:rsid w:val="006A3EB6"/>
    <w:rsid w:val="006A78C5"/>
    <w:rsid w:val="006B2E5E"/>
    <w:rsid w:val="006C0F08"/>
    <w:rsid w:val="006C2808"/>
    <w:rsid w:val="006C4B00"/>
    <w:rsid w:val="006C5B68"/>
    <w:rsid w:val="006C648E"/>
    <w:rsid w:val="006D1C00"/>
    <w:rsid w:val="006D2DF3"/>
    <w:rsid w:val="006D30E7"/>
    <w:rsid w:val="006D4397"/>
    <w:rsid w:val="006D4E43"/>
    <w:rsid w:val="006E34AB"/>
    <w:rsid w:val="006F12DA"/>
    <w:rsid w:val="006F5562"/>
    <w:rsid w:val="006F594D"/>
    <w:rsid w:val="006F6CD5"/>
    <w:rsid w:val="006F794B"/>
    <w:rsid w:val="00701CE7"/>
    <w:rsid w:val="00701DAA"/>
    <w:rsid w:val="0070604A"/>
    <w:rsid w:val="007109BB"/>
    <w:rsid w:val="00714CCA"/>
    <w:rsid w:val="00716D4F"/>
    <w:rsid w:val="00720596"/>
    <w:rsid w:val="00722DCF"/>
    <w:rsid w:val="007232A9"/>
    <w:rsid w:val="007320B0"/>
    <w:rsid w:val="00734F6C"/>
    <w:rsid w:val="00741690"/>
    <w:rsid w:val="00744748"/>
    <w:rsid w:val="0075005A"/>
    <w:rsid w:val="00753D22"/>
    <w:rsid w:val="007547EE"/>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97EAC"/>
    <w:rsid w:val="007A2304"/>
    <w:rsid w:val="007A3B11"/>
    <w:rsid w:val="007A5AD8"/>
    <w:rsid w:val="007A6AC6"/>
    <w:rsid w:val="007B3529"/>
    <w:rsid w:val="007B3BF6"/>
    <w:rsid w:val="007B4B94"/>
    <w:rsid w:val="007C17AC"/>
    <w:rsid w:val="007D0BE0"/>
    <w:rsid w:val="007D2D04"/>
    <w:rsid w:val="007D3933"/>
    <w:rsid w:val="007D7A55"/>
    <w:rsid w:val="007E229C"/>
    <w:rsid w:val="007F091F"/>
    <w:rsid w:val="007F35A8"/>
    <w:rsid w:val="007F4280"/>
    <w:rsid w:val="007F4450"/>
    <w:rsid w:val="00802B79"/>
    <w:rsid w:val="00806D9C"/>
    <w:rsid w:val="00807277"/>
    <w:rsid w:val="008107F7"/>
    <w:rsid w:val="00810D75"/>
    <w:rsid w:val="0081372C"/>
    <w:rsid w:val="00814F81"/>
    <w:rsid w:val="0081534B"/>
    <w:rsid w:val="008163D1"/>
    <w:rsid w:val="0082668C"/>
    <w:rsid w:val="008272AA"/>
    <w:rsid w:val="00830B14"/>
    <w:rsid w:val="00831FE6"/>
    <w:rsid w:val="0083406F"/>
    <w:rsid w:val="00836008"/>
    <w:rsid w:val="008367DA"/>
    <w:rsid w:val="008375B4"/>
    <w:rsid w:val="008409ED"/>
    <w:rsid w:val="00840EFC"/>
    <w:rsid w:val="00841349"/>
    <w:rsid w:val="00841AB1"/>
    <w:rsid w:val="008420BD"/>
    <w:rsid w:val="008425DB"/>
    <w:rsid w:val="00845781"/>
    <w:rsid w:val="0084744C"/>
    <w:rsid w:val="0085222A"/>
    <w:rsid w:val="00852F68"/>
    <w:rsid w:val="00854B4F"/>
    <w:rsid w:val="008579E3"/>
    <w:rsid w:val="00857D5C"/>
    <w:rsid w:val="0086347A"/>
    <w:rsid w:val="008639C1"/>
    <w:rsid w:val="00864C1F"/>
    <w:rsid w:val="0086599B"/>
    <w:rsid w:val="00871FC2"/>
    <w:rsid w:val="00876503"/>
    <w:rsid w:val="008801E7"/>
    <w:rsid w:val="008828FB"/>
    <w:rsid w:val="00893FA4"/>
    <w:rsid w:val="008940B3"/>
    <w:rsid w:val="008A079D"/>
    <w:rsid w:val="008A2B44"/>
    <w:rsid w:val="008A54ED"/>
    <w:rsid w:val="008B54C8"/>
    <w:rsid w:val="008B72A9"/>
    <w:rsid w:val="008B7D55"/>
    <w:rsid w:val="008C0DF8"/>
    <w:rsid w:val="008C1A9A"/>
    <w:rsid w:val="008C3E22"/>
    <w:rsid w:val="008C682F"/>
    <w:rsid w:val="008D1F4D"/>
    <w:rsid w:val="008D205F"/>
    <w:rsid w:val="008D26C0"/>
    <w:rsid w:val="008D4E4D"/>
    <w:rsid w:val="008D575C"/>
    <w:rsid w:val="008D6170"/>
    <w:rsid w:val="008D75BF"/>
    <w:rsid w:val="008E04BA"/>
    <w:rsid w:val="008E3AD2"/>
    <w:rsid w:val="008F7AA9"/>
    <w:rsid w:val="009029F6"/>
    <w:rsid w:val="009040C7"/>
    <w:rsid w:val="009049C6"/>
    <w:rsid w:val="00911858"/>
    <w:rsid w:val="00917829"/>
    <w:rsid w:val="00921C3D"/>
    <w:rsid w:val="00923420"/>
    <w:rsid w:val="00936450"/>
    <w:rsid w:val="00943146"/>
    <w:rsid w:val="00943B75"/>
    <w:rsid w:val="00944C7C"/>
    <w:rsid w:val="00952A62"/>
    <w:rsid w:val="00956F98"/>
    <w:rsid w:val="009577CF"/>
    <w:rsid w:val="009637B1"/>
    <w:rsid w:val="00963B50"/>
    <w:rsid w:val="00964D71"/>
    <w:rsid w:val="00971CE9"/>
    <w:rsid w:val="00972189"/>
    <w:rsid w:val="00972DF1"/>
    <w:rsid w:val="00973C53"/>
    <w:rsid w:val="00975B5C"/>
    <w:rsid w:val="009815B4"/>
    <w:rsid w:val="009823DE"/>
    <w:rsid w:val="00983974"/>
    <w:rsid w:val="00984935"/>
    <w:rsid w:val="00987A13"/>
    <w:rsid w:val="00987ECE"/>
    <w:rsid w:val="009923CC"/>
    <w:rsid w:val="00992887"/>
    <w:rsid w:val="0099409D"/>
    <w:rsid w:val="009A0FA6"/>
    <w:rsid w:val="009A1074"/>
    <w:rsid w:val="009B090F"/>
    <w:rsid w:val="009B2672"/>
    <w:rsid w:val="009B5BAF"/>
    <w:rsid w:val="009C0A94"/>
    <w:rsid w:val="009C525E"/>
    <w:rsid w:val="009C5D36"/>
    <w:rsid w:val="009C79C4"/>
    <w:rsid w:val="009D6065"/>
    <w:rsid w:val="009E5FD2"/>
    <w:rsid w:val="009F0094"/>
    <w:rsid w:val="009F0CE6"/>
    <w:rsid w:val="009F189B"/>
    <w:rsid w:val="009F697C"/>
    <w:rsid w:val="00A00B20"/>
    <w:rsid w:val="00A03454"/>
    <w:rsid w:val="00A0443C"/>
    <w:rsid w:val="00A05C99"/>
    <w:rsid w:val="00A066BB"/>
    <w:rsid w:val="00A25E18"/>
    <w:rsid w:val="00A26A82"/>
    <w:rsid w:val="00A275A0"/>
    <w:rsid w:val="00A32130"/>
    <w:rsid w:val="00A409D3"/>
    <w:rsid w:val="00A41AA3"/>
    <w:rsid w:val="00A41C4A"/>
    <w:rsid w:val="00A42EAA"/>
    <w:rsid w:val="00A51530"/>
    <w:rsid w:val="00A5317D"/>
    <w:rsid w:val="00A610E3"/>
    <w:rsid w:val="00A629F8"/>
    <w:rsid w:val="00A716AE"/>
    <w:rsid w:val="00A729B8"/>
    <w:rsid w:val="00A7312B"/>
    <w:rsid w:val="00A73B82"/>
    <w:rsid w:val="00A74317"/>
    <w:rsid w:val="00A85363"/>
    <w:rsid w:val="00A86C90"/>
    <w:rsid w:val="00A90961"/>
    <w:rsid w:val="00AA2C8A"/>
    <w:rsid w:val="00AA42CF"/>
    <w:rsid w:val="00AB0F3B"/>
    <w:rsid w:val="00AB1A5A"/>
    <w:rsid w:val="00AB2212"/>
    <w:rsid w:val="00AB4F91"/>
    <w:rsid w:val="00AB547C"/>
    <w:rsid w:val="00AB5BD4"/>
    <w:rsid w:val="00AC1F4E"/>
    <w:rsid w:val="00AC3538"/>
    <w:rsid w:val="00AC3963"/>
    <w:rsid w:val="00AC7D48"/>
    <w:rsid w:val="00AD043A"/>
    <w:rsid w:val="00AD0EAB"/>
    <w:rsid w:val="00AD3DC3"/>
    <w:rsid w:val="00AD40E9"/>
    <w:rsid w:val="00AD6744"/>
    <w:rsid w:val="00AE0F9E"/>
    <w:rsid w:val="00AE1EC2"/>
    <w:rsid w:val="00AF2DEE"/>
    <w:rsid w:val="00AF6D8A"/>
    <w:rsid w:val="00B0310B"/>
    <w:rsid w:val="00B04D60"/>
    <w:rsid w:val="00B13CAB"/>
    <w:rsid w:val="00B16084"/>
    <w:rsid w:val="00B16F3E"/>
    <w:rsid w:val="00B20150"/>
    <w:rsid w:val="00B20758"/>
    <w:rsid w:val="00B233C2"/>
    <w:rsid w:val="00B25F2B"/>
    <w:rsid w:val="00B262C5"/>
    <w:rsid w:val="00B306CF"/>
    <w:rsid w:val="00B40EF1"/>
    <w:rsid w:val="00B4395E"/>
    <w:rsid w:val="00B43E0F"/>
    <w:rsid w:val="00B465F4"/>
    <w:rsid w:val="00B515D5"/>
    <w:rsid w:val="00B521D5"/>
    <w:rsid w:val="00B52A58"/>
    <w:rsid w:val="00B54832"/>
    <w:rsid w:val="00B67D5C"/>
    <w:rsid w:val="00B81136"/>
    <w:rsid w:val="00B86E8D"/>
    <w:rsid w:val="00B8700C"/>
    <w:rsid w:val="00B90C53"/>
    <w:rsid w:val="00B90D16"/>
    <w:rsid w:val="00B916BE"/>
    <w:rsid w:val="00B9276B"/>
    <w:rsid w:val="00B95D31"/>
    <w:rsid w:val="00BA1451"/>
    <w:rsid w:val="00BA4B2B"/>
    <w:rsid w:val="00BA59FD"/>
    <w:rsid w:val="00BA7067"/>
    <w:rsid w:val="00BA7D16"/>
    <w:rsid w:val="00BB1D01"/>
    <w:rsid w:val="00BB2A3A"/>
    <w:rsid w:val="00BB39E6"/>
    <w:rsid w:val="00BB652F"/>
    <w:rsid w:val="00BC2277"/>
    <w:rsid w:val="00BC2358"/>
    <w:rsid w:val="00BC64C3"/>
    <w:rsid w:val="00BD20AB"/>
    <w:rsid w:val="00BE03A0"/>
    <w:rsid w:val="00BE1E22"/>
    <w:rsid w:val="00BE4C96"/>
    <w:rsid w:val="00BE622B"/>
    <w:rsid w:val="00BE6F77"/>
    <w:rsid w:val="00BF0341"/>
    <w:rsid w:val="00BF265F"/>
    <w:rsid w:val="00BF346E"/>
    <w:rsid w:val="00BF3991"/>
    <w:rsid w:val="00BF6973"/>
    <w:rsid w:val="00C015D8"/>
    <w:rsid w:val="00C0694F"/>
    <w:rsid w:val="00C076FD"/>
    <w:rsid w:val="00C10845"/>
    <w:rsid w:val="00C12F09"/>
    <w:rsid w:val="00C205F1"/>
    <w:rsid w:val="00C30A6D"/>
    <w:rsid w:val="00C3108B"/>
    <w:rsid w:val="00C31934"/>
    <w:rsid w:val="00C347AE"/>
    <w:rsid w:val="00C37271"/>
    <w:rsid w:val="00C40941"/>
    <w:rsid w:val="00C44CA0"/>
    <w:rsid w:val="00C51151"/>
    <w:rsid w:val="00C516BC"/>
    <w:rsid w:val="00C55A45"/>
    <w:rsid w:val="00C60CF3"/>
    <w:rsid w:val="00C61585"/>
    <w:rsid w:val="00C654DC"/>
    <w:rsid w:val="00C667CE"/>
    <w:rsid w:val="00C71726"/>
    <w:rsid w:val="00C73788"/>
    <w:rsid w:val="00C76BAA"/>
    <w:rsid w:val="00C838EB"/>
    <w:rsid w:val="00C8556E"/>
    <w:rsid w:val="00C859FD"/>
    <w:rsid w:val="00C862DD"/>
    <w:rsid w:val="00C919C7"/>
    <w:rsid w:val="00C91DE4"/>
    <w:rsid w:val="00C92919"/>
    <w:rsid w:val="00C940C1"/>
    <w:rsid w:val="00C97315"/>
    <w:rsid w:val="00C9771B"/>
    <w:rsid w:val="00CA18B8"/>
    <w:rsid w:val="00CA5449"/>
    <w:rsid w:val="00CA5689"/>
    <w:rsid w:val="00CA5735"/>
    <w:rsid w:val="00CB1A60"/>
    <w:rsid w:val="00CB3D52"/>
    <w:rsid w:val="00CB4F3A"/>
    <w:rsid w:val="00CC3610"/>
    <w:rsid w:val="00CC4F84"/>
    <w:rsid w:val="00CC6718"/>
    <w:rsid w:val="00CD0255"/>
    <w:rsid w:val="00CD0A41"/>
    <w:rsid w:val="00CD45E7"/>
    <w:rsid w:val="00CD7EFC"/>
    <w:rsid w:val="00CE08E0"/>
    <w:rsid w:val="00CE2022"/>
    <w:rsid w:val="00CE40C7"/>
    <w:rsid w:val="00CE78D6"/>
    <w:rsid w:val="00D01B23"/>
    <w:rsid w:val="00D0294B"/>
    <w:rsid w:val="00D05ECB"/>
    <w:rsid w:val="00D14041"/>
    <w:rsid w:val="00D145C4"/>
    <w:rsid w:val="00D16827"/>
    <w:rsid w:val="00D16EA4"/>
    <w:rsid w:val="00D200B6"/>
    <w:rsid w:val="00D20F69"/>
    <w:rsid w:val="00D22777"/>
    <w:rsid w:val="00D23014"/>
    <w:rsid w:val="00D26ED2"/>
    <w:rsid w:val="00D337D5"/>
    <w:rsid w:val="00D3557D"/>
    <w:rsid w:val="00D37836"/>
    <w:rsid w:val="00D4044E"/>
    <w:rsid w:val="00D407F7"/>
    <w:rsid w:val="00D40965"/>
    <w:rsid w:val="00D433F3"/>
    <w:rsid w:val="00D43EF2"/>
    <w:rsid w:val="00D44447"/>
    <w:rsid w:val="00D50F96"/>
    <w:rsid w:val="00D53865"/>
    <w:rsid w:val="00D54E73"/>
    <w:rsid w:val="00D551D6"/>
    <w:rsid w:val="00D570E0"/>
    <w:rsid w:val="00D60861"/>
    <w:rsid w:val="00D6098E"/>
    <w:rsid w:val="00D629C5"/>
    <w:rsid w:val="00D65E59"/>
    <w:rsid w:val="00D774DA"/>
    <w:rsid w:val="00D77E36"/>
    <w:rsid w:val="00D80776"/>
    <w:rsid w:val="00D83738"/>
    <w:rsid w:val="00D83F58"/>
    <w:rsid w:val="00D877B2"/>
    <w:rsid w:val="00D9004B"/>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25A0"/>
    <w:rsid w:val="00DD44AF"/>
    <w:rsid w:val="00DD518B"/>
    <w:rsid w:val="00DD519E"/>
    <w:rsid w:val="00DD78A4"/>
    <w:rsid w:val="00DE69F4"/>
    <w:rsid w:val="00DF2F5D"/>
    <w:rsid w:val="00DF3E1F"/>
    <w:rsid w:val="00E05C19"/>
    <w:rsid w:val="00E126BB"/>
    <w:rsid w:val="00E16B5B"/>
    <w:rsid w:val="00E2055B"/>
    <w:rsid w:val="00E212C5"/>
    <w:rsid w:val="00E23568"/>
    <w:rsid w:val="00E23D21"/>
    <w:rsid w:val="00E3060D"/>
    <w:rsid w:val="00E31A1A"/>
    <w:rsid w:val="00E33388"/>
    <w:rsid w:val="00E34337"/>
    <w:rsid w:val="00E379BB"/>
    <w:rsid w:val="00E45F50"/>
    <w:rsid w:val="00E56748"/>
    <w:rsid w:val="00E6511E"/>
    <w:rsid w:val="00E6637E"/>
    <w:rsid w:val="00E67D5A"/>
    <w:rsid w:val="00E7085F"/>
    <w:rsid w:val="00E70AE1"/>
    <w:rsid w:val="00E72B8D"/>
    <w:rsid w:val="00E7666E"/>
    <w:rsid w:val="00E77396"/>
    <w:rsid w:val="00E82BBA"/>
    <w:rsid w:val="00E833FA"/>
    <w:rsid w:val="00E837DD"/>
    <w:rsid w:val="00E84051"/>
    <w:rsid w:val="00E84532"/>
    <w:rsid w:val="00E85CE5"/>
    <w:rsid w:val="00E92880"/>
    <w:rsid w:val="00E9409C"/>
    <w:rsid w:val="00E959B3"/>
    <w:rsid w:val="00EA467E"/>
    <w:rsid w:val="00EB2344"/>
    <w:rsid w:val="00EB36F1"/>
    <w:rsid w:val="00ED20DC"/>
    <w:rsid w:val="00ED2D12"/>
    <w:rsid w:val="00EF5061"/>
    <w:rsid w:val="00EF7C20"/>
    <w:rsid w:val="00F01BD2"/>
    <w:rsid w:val="00F03F5F"/>
    <w:rsid w:val="00F05072"/>
    <w:rsid w:val="00F12038"/>
    <w:rsid w:val="00F16ADA"/>
    <w:rsid w:val="00F220B8"/>
    <w:rsid w:val="00F261DD"/>
    <w:rsid w:val="00F306C9"/>
    <w:rsid w:val="00F308FB"/>
    <w:rsid w:val="00F32C7C"/>
    <w:rsid w:val="00F32CE6"/>
    <w:rsid w:val="00F33774"/>
    <w:rsid w:val="00F33A8F"/>
    <w:rsid w:val="00F36004"/>
    <w:rsid w:val="00F4743E"/>
    <w:rsid w:val="00F50B0F"/>
    <w:rsid w:val="00F54AAE"/>
    <w:rsid w:val="00F648B7"/>
    <w:rsid w:val="00F71322"/>
    <w:rsid w:val="00F72E82"/>
    <w:rsid w:val="00F75DC5"/>
    <w:rsid w:val="00F770BC"/>
    <w:rsid w:val="00F81718"/>
    <w:rsid w:val="00F82A1D"/>
    <w:rsid w:val="00F83535"/>
    <w:rsid w:val="00F83BF1"/>
    <w:rsid w:val="00F83D96"/>
    <w:rsid w:val="00F87825"/>
    <w:rsid w:val="00F94624"/>
    <w:rsid w:val="00FA1691"/>
    <w:rsid w:val="00FA3DAA"/>
    <w:rsid w:val="00FA7136"/>
    <w:rsid w:val="00FB23BC"/>
    <w:rsid w:val="00FB58D4"/>
    <w:rsid w:val="00FB6218"/>
    <w:rsid w:val="00FB734C"/>
    <w:rsid w:val="00FB756E"/>
    <w:rsid w:val="00FC15AB"/>
    <w:rsid w:val="00FD07AB"/>
    <w:rsid w:val="00FD6E8C"/>
    <w:rsid w:val="00FD7015"/>
    <w:rsid w:val="00FE1586"/>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BE0"/>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uiPriority w:val="99"/>
    <w:rsid w:val="007F091F"/>
    <w:rPr>
      <w:color w:val="0000FF"/>
      <w:u w:val="single"/>
    </w:rPr>
  </w:style>
  <w:style w:type="paragraph" w:styleId="FootnoteText">
    <w:name w:val="footnote text"/>
    <w:basedOn w:val="Normal"/>
    <w:link w:val="FootnoteTextChar"/>
    <w:rsid w:val="000B1D0D"/>
    <w:rPr>
      <w:sz w:val="20"/>
    </w:rPr>
  </w:style>
  <w:style w:type="character" w:styleId="FootnoteReference">
    <w:name w:val="footnote reference"/>
    <w:basedOn w:val="DefaultParagraphFont"/>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unhideWhenUsed/>
    <w:rsid w:val="005D7DCC"/>
    <w:pPr>
      <w:spacing w:line="240" w:lineRule="auto"/>
    </w:pPr>
    <w:rPr>
      <w:sz w:val="20"/>
    </w:rPr>
  </w:style>
  <w:style w:type="character" w:customStyle="1" w:styleId="CommentTextChar">
    <w:name w:val="Comment Text Char"/>
    <w:basedOn w:val="DefaultParagraphFont"/>
    <w:link w:val="CommentText"/>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 w:type="character" w:customStyle="1" w:styleId="FootnoteTextChar">
    <w:name w:val="Footnote Text Char"/>
    <w:basedOn w:val="DefaultParagraphFont"/>
    <w:link w:val="FootnoteText"/>
    <w:rsid w:val="004A10AA"/>
    <w:rPr>
      <w:rFonts w:ascii="Courier New" w:hAnsi="Courier New"/>
    </w:rPr>
  </w:style>
  <w:style w:type="table" w:styleId="TableGrid">
    <w:name w:val="Table Grid"/>
    <w:basedOn w:val="TableNormal"/>
    <w:rsid w:val="004D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1934">
      <w:bodyDiv w:val="1"/>
      <w:marLeft w:val="0"/>
      <w:marRight w:val="0"/>
      <w:marTop w:val="0"/>
      <w:marBottom w:val="0"/>
      <w:divBdr>
        <w:top w:val="none" w:sz="0" w:space="0" w:color="auto"/>
        <w:left w:val="none" w:sz="0" w:space="0" w:color="auto"/>
        <w:bottom w:val="none" w:sz="0" w:space="0" w:color="auto"/>
        <w:right w:val="none" w:sz="0" w:space="0" w:color="auto"/>
      </w:divBdr>
      <w:divsChild>
        <w:div w:id="1478305094">
          <w:marLeft w:val="0"/>
          <w:marRight w:val="0"/>
          <w:marTop w:val="0"/>
          <w:marBottom w:val="0"/>
          <w:divBdr>
            <w:top w:val="none" w:sz="0" w:space="0" w:color="3D3D3D"/>
            <w:left w:val="none" w:sz="0" w:space="0" w:color="3D3D3D"/>
            <w:bottom w:val="none" w:sz="0" w:space="0" w:color="3D3D3D"/>
            <w:right w:val="none" w:sz="0" w:space="0" w:color="3D3D3D"/>
          </w:divBdr>
          <w:divsChild>
            <w:div w:id="14591039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5697261">
      <w:bodyDiv w:val="1"/>
      <w:marLeft w:val="0"/>
      <w:marRight w:val="0"/>
      <w:marTop w:val="0"/>
      <w:marBottom w:val="0"/>
      <w:divBdr>
        <w:top w:val="none" w:sz="0" w:space="0" w:color="auto"/>
        <w:left w:val="none" w:sz="0" w:space="0" w:color="auto"/>
        <w:bottom w:val="none" w:sz="0" w:space="0" w:color="auto"/>
        <w:right w:val="none" w:sz="0" w:space="0" w:color="auto"/>
      </w:divBdr>
      <w:divsChild>
        <w:div w:id="1088883843">
          <w:marLeft w:val="0"/>
          <w:marRight w:val="0"/>
          <w:marTop w:val="0"/>
          <w:marBottom w:val="0"/>
          <w:divBdr>
            <w:top w:val="none" w:sz="0" w:space="0" w:color="3D3D3D"/>
            <w:left w:val="none" w:sz="0" w:space="0" w:color="3D3D3D"/>
            <w:bottom w:val="none" w:sz="0" w:space="0" w:color="3D3D3D"/>
            <w:right w:val="none" w:sz="0" w:space="0" w:color="3D3D3D"/>
          </w:divBdr>
          <w:divsChild>
            <w:div w:id="11259985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th@apfellawgrou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yssa.Creary-Scher@pim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Reller@proton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icozm@mcao.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26260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5</cp:revision>
  <cp:lastPrinted>2025-04-28T16:00:00Z</cp:lastPrinted>
  <dcterms:created xsi:type="dcterms:W3CDTF">2025-05-01T12:37:00Z</dcterms:created>
  <dcterms:modified xsi:type="dcterms:W3CDTF">2025-05-01T22:15:00Z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y fmtid="{D5CDD505-2E9C-101B-9397-08002B2CF9AE}" pid="5" name="GrammarlyDocumentId">
    <vt:lpwstr>1fdae35e-28ff-4065-9668-cf60c541e3a4</vt:lpwstr>
  </property>
</Properties>
</file>