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2DCA9666" w:rsidR="00000C35" w:rsidRDefault="00FD67F7" w:rsidP="00000C35">
            <w:pPr>
              <w:pStyle w:val="FirmInformation"/>
              <w:spacing w:line="240" w:lineRule="auto"/>
              <w:rPr>
                <w:sz w:val="28"/>
                <w:szCs w:val="28"/>
              </w:rPr>
            </w:pPr>
            <w:bookmarkStart w:id="0" w:name="_zzmpFIXED_CounselTable"/>
            <w:r>
              <w:rPr>
                <w:sz w:val="28"/>
                <w:szCs w:val="28"/>
              </w:rPr>
              <w:t>Hon. Christopher Staring</w:t>
            </w:r>
          </w:p>
          <w:p w14:paraId="179035EC" w14:textId="4653E7E5" w:rsidR="00FD67F7" w:rsidRDefault="00FD67F7" w:rsidP="00000C35">
            <w:pPr>
              <w:pStyle w:val="FirmInformation"/>
              <w:spacing w:line="240" w:lineRule="auto"/>
              <w:rPr>
                <w:sz w:val="28"/>
                <w:szCs w:val="28"/>
              </w:rPr>
            </w:pPr>
            <w:r>
              <w:rPr>
                <w:sz w:val="28"/>
                <w:szCs w:val="28"/>
              </w:rPr>
              <w:t>Chair, Ethics Advisory Committee</w:t>
            </w:r>
          </w:p>
          <w:p w14:paraId="327788CA" w14:textId="598014D2" w:rsidR="00494BDF" w:rsidRPr="006F63FD" w:rsidRDefault="00FD67F7" w:rsidP="00FD67F7">
            <w:pPr>
              <w:pStyle w:val="FirmInformation"/>
              <w:spacing w:line="240" w:lineRule="auto"/>
              <w:ind w:right="132"/>
              <w:rPr>
                <w:sz w:val="28"/>
                <w:szCs w:val="28"/>
              </w:rPr>
            </w:pPr>
            <w:r>
              <w:rPr>
                <w:sz w:val="28"/>
                <w:szCs w:val="28"/>
              </w:rPr>
              <w:t>Judge, Arizona Court of Appeals, Division 2</w:t>
            </w:r>
          </w:p>
          <w:p w14:paraId="2EC76B5A" w14:textId="568643AC" w:rsidR="00357F4D" w:rsidRPr="006F63FD" w:rsidRDefault="00FD67F7" w:rsidP="00000C35">
            <w:pPr>
              <w:pStyle w:val="FirmInformation"/>
              <w:spacing w:line="240" w:lineRule="auto"/>
              <w:rPr>
                <w:sz w:val="28"/>
                <w:szCs w:val="28"/>
              </w:rPr>
            </w:pPr>
            <w:r>
              <w:rPr>
                <w:sz w:val="28"/>
                <w:szCs w:val="28"/>
              </w:rPr>
              <w:t>400 W. Congress, Ste. 200</w:t>
            </w:r>
          </w:p>
          <w:p w14:paraId="336E177D" w14:textId="20F8DB68" w:rsidR="00357F4D" w:rsidRPr="006F63FD" w:rsidRDefault="00FD67F7" w:rsidP="00000C35">
            <w:pPr>
              <w:pStyle w:val="FirmInformation"/>
              <w:spacing w:line="240" w:lineRule="auto"/>
              <w:rPr>
                <w:sz w:val="28"/>
                <w:szCs w:val="28"/>
              </w:rPr>
            </w:pPr>
            <w:r>
              <w:rPr>
                <w:sz w:val="28"/>
                <w:szCs w:val="28"/>
              </w:rPr>
              <w:t>Tucson, AZ 85701</w:t>
            </w:r>
          </w:p>
          <w:p w14:paraId="4593C538" w14:textId="77777777" w:rsidR="006F63FD" w:rsidRDefault="00FD67F7" w:rsidP="00735659">
            <w:pPr>
              <w:pStyle w:val="FirmInformation"/>
              <w:spacing w:line="240" w:lineRule="auto"/>
              <w:rPr>
                <w:sz w:val="28"/>
                <w:szCs w:val="28"/>
              </w:rPr>
            </w:pPr>
            <w:r>
              <w:rPr>
                <w:sz w:val="28"/>
                <w:szCs w:val="28"/>
              </w:rPr>
              <w:t>Telephone: (602) 452-3378</w:t>
            </w:r>
          </w:p>
          <w:p w14:paraId="2187EE4E" w14:textId="01985FC9" w:rsidR="00FD67F7" w:rsidRPr="00735659" w:rsidRDefault="00FD67F7" w:rsidP="00735659">
            <w:pPr>
              <w:pStyle w:val="FirmInformation"/>
              <w:spacing w:line="240" w:lineRule="auto"/>
              <w:rPr>
                <w:sz w:val="28"/>
                <w:szCs w:val="28"/>
              </w:rPr>
            </w:pPr>
            <w:r>
              <w:rPr>
                <w:sz w:val="28"/>
                <w:szCs w:val="28"/>
              </w:rPr>
              <w:t>Email: EAC@courts.az.gov</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846AB00" w14:textId="10107815" w:rsidR="00FD67F7" w:rsidRPr="00FD67F7" w:rsidRDefault="00E67511" w:rsidP="00FD67F7">
            <w:pPr>
              <w:pStyle w:val="Caption"/>
              <w:spacing w:before="240" w:line="260" w:lineRule="exact"/>
              <w:rPr>
                <w:b/>
                <w:sz w:val="28"/>
                <w:szCs w:val="28"/>
              </w:rPr>
            </w:pPr>
            <w:r w:rsidRPr="00732169">
              <w:rPr>
                <w:b/>
                <w:sz w:val="28"/>
                <w:szCs w:val="28"/>
              </w:rPr>
              <w:t xml:space="preserve">PETITION TO </w:t>
            </w:r>
            <w:r w:rsidR="00FD67F7">
              <w:rPr>
                <w:b/>
                <w:sz w:val="28"/>
                <w:szCs w:val="28"/>
              </w:rPr>
              <w:t>AMEND RULE 42 (ER 4.2), ARIZ. R. SUP. CT.</w:t>
            </w:r>
          </w:p>
          <w:p w14:paraId="5443EA06"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4C75C8D6" w14:textId="055DB032"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FD67F7">
              <w:rPr>
                <w:sz w:val="28"/>
                <w:szCs w:val="28"/>
              </w:rPr>
              <w:t>5-0033</w:t>
            </w:r>
          </w:p>
          <w:p w14:paraId="5C4A37D9" w14:textId="15D3A847" w:rsidR="00357F4D" w:rsidRPr="00FD67F7" w:rsidRDefault="00FD67F7" w:rsidP="00E321C5">
            <w:pPr>
              <w:pStyle w:val="DocumentTitle"/>
              <w:rPr>
                <w:b/>
                <w:bCs/>
                <w:szCs w:val="26"/>
              </w:rPr>
            </w:pPr>
            <w:r w:rsidRPr="00FD67F7">
              <w:rPr>
                <w:b/>
                <w:bCs/>
                <w:szCs w:val="26"/>
              </w:rPr>
              <w:t>COMMENT</w:t>
            </w: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77E06669" w14:textId="003B3FC1" w:rsidR="00FD67F7" w:rsidRPr="00974D9E" w:rsidRDefault="00FD67F7" w:rsidP="00FD67F7">
      <w:pPr>
        <w:spacing w:line="480" w:lineRule="auto"/>
        <w:ind w:firstLine="720"/>
        <w:rPr>
          <w:rFonts w:eastAsia="Calibri"/>
          <w:sz w:val="28"/>
          <w:szCs w:val="28"/>
        </w:rPr>
      </w:pPr>
      <w:r w:rsidRPr="00974D9E">
        <w:rPr>
          <w:sz w:val="28"/>
          <w:szCs w:val="28"/>
        </w:rPr>
        <w:t>The Ethics Advisory Committee (EAC)</w:t>
      </w:r>
      <w:r>
        <w:rPr>
          <w:sz w:val="28"/>
          <w:szCs w:val="28"/>
        </w:rPr>
        <w:t>,</w:t>
      </w:r>
      <w:r w:rsidRPr="00FD67F7">
        <w:rPr>
          <w:sz w:val="28"/>
          <w:szCs w:val="28"/>
        </w:rPr>
        <w:t xml:space="preserve"> by and through its Chair, the Honorable Christopher Staring,</w:t>
      </w:r>
      <w:r w:rsidRPr="00974D9E">
        <w:rPr>
          <w:sz w:val="28"/>
          <w:szCs w:val="28"/>
        </w:rPr>
        <w:t xml:space="preserve"> supports the State Bar of Arizona’s Petition R-25-0033 to amend </w:t>
      </w:r>
      <w:r w:rsidRPr="00974D9E">
        <w:rPr>
          <w:rFonts w:eastAsia="Calibri"/>
          <w:sz w:val="28"/>
          <w:szCs w:val="28"/>
        </w:rPr>
        <w:t xml:space="preserve">Comment [1] to ER 4.2. This amendment will clarify that lawyers </w:t>
      </w:r>
      <w:r>
        <w:rPr>
          <w:rFonts w:eastAsia="Calibri"/>
          <w:sz w:val="28"/>
          <w:szCs w:val="28"/>
        </w:rPr>
        <w:t>are allowed</w:t>
      </w:r>
      <w:r w:rsidRPr="00974D9E">
        <w:rPr>
          <w:rFonts w:eastAsia="Calibri"/>
          <w:sz w:val="28"/>
          <w:szCs w:val="28"/>
        </w:rPr>
        <w:t xml:space="preserve"> </w:t>
      </w:r>
      <w:r>
        <w:rPr>
          <w:rFonts w:eastAsia="Calibri"/>
          <w:sz w:val="28"/>
          <w:szCs w:val="28"/>
        </w:rPr>
        <w:t xml:space="preserve">to </w:t>
      </w:r>
      <w:r w:rsidRPr="00974D9E">
        <w:rPr>
          <w:rFonts w:eastAsia="Calibri"/>
          <w:sz w:val="28"/>
          <w:szCs w:val="28"/>
        </w:rPr>
        <w:t xml:space="preserve">advise their clients on communications that their clients are lawfully permitted to make, </w:t>
      </w:r>
      <w:r>
        <w:rPr>
          <w:rFonts w:eastAsia="Calibri"/>
          <w:sz w:val="28"/>
          <w:szCs w:val="28"/>
        </w:rPr>
        <w:t>including</w:t>
      </w:r>
      <w:r w:rsidRPr="00974D9E">
        <w:rPr>
          <w:rFonts w:eastAsia="Calibri"/>
          <w:sz w:val="28"/>
          <w:szCs w:val="28"/>
        </w:rPr>
        <w:t xml:space="preserve"> communications with a represented </w:t>
      </w:r>
      <w:r>
        <w:rPr>
          <w:rFonts w:eastAsia="Calibri"/>
          <w:sz w:val="28"/>
          <w:szCs w:val="28"/>
        </w:rPr>
        <w:t>party</w:t>
      </w:r>
      <w:r w:rsidRPr="00974D9E">
        <w:rPr>
          <w:rFonts w:eastAsia="Calibri"/>
          <w:sz w:val="28"/>
          <w:szCs w:val="28"/>
        </w:rPr>
        <w:t xml:space="preserve">. The EAC agrees with the State Bar’s </w:t>
      </w:r>
      <w:r>
        <w:rPr>
          <w:rFonts w:eastAsia="Calibri"/>
          <w:sz w:val="28"/>
          <w:szCs w:val="28"/>
        </w:rPr>
        <w:t>thorough explanation of the need for this amendment</w:t>
      </w:r>
      <w:r w:rsidRPr="00974D9E">
        <w:rPr>
          <w:rFonts w:eastAsia="Calibri"/>
          <w:sz w:val="28"/>
          <w:szCs w:val="28"/>
        </w:rPr>
        <w:t xml:space="preserve">. The EAC submits this comment to address potential objections to the </w:t>
      </w:r>
      <w:r>
        <w:rPr>
          <w:rFonts w:eastAsia="Calibri"/>
          <w:sz w:val="28"/>
          <w:szCs w:val="28"/>
        </w:rPr>
        <w:t>proposal.</w:t>
      </w:r>
    </w:p>
    <w:p w14:paraId="76C5B896" w14:textId="7C099132" w:rsidR="00FD67F7" w:rsidRPr="00974D9E" w:rsidRDefault="00FD67F7" w:rsidP="00FD67F7">
      <w:pPr>
        <w:spacing w:line="480" w:lineRule="auto"/>
        <w:rPr>
          <w:rFonts w:eastAsia="Calibri"/>
          <w:sz w:val="28"/>
          <w:szCs w:val="28"/>
        </w:rPr>
      </w:pPr>
      <w:r w:rsidRPr="00974D9E">
        <w:rPr>
          <w:rFonts w:eastAsia="Calibri"/>
          <w:sz w:val="28"/>
          <w:szCs w:val="28"/>
        </w:rPr>
        <w:t xml:space="preserve">     </w:t>
      </w:r>
      <w:r>
        <w:rPr>
          <w:rFonts w:eastAsia="Calibri"/>
          <w:sz w:val="28"/>
          <w:szCs w:val="28"/>
        </w:rPr>
        <w:tab/>
      </w:r>
      <w:proofErr w:type="gramStart"/>
      <w:r w:rsidRPr="00974D9E">
        <w:rPr>
          <w:rFonts w:eastAsia="Calibri"/>
          <w:sz w:val="28"/>
          <w:szCs w:val="28"/>
        </w:rPr>
        <w:t>In the course of</w:t>
      </w:r>
      <w:proofErr w:type="gramEnd"/>
      <w:r w:rsidRPr="00974D9E">
        <w:rPr>
          <w:rFonts w:eastAsia="Calibri"/>
          <w:sz w:val="28"/>
          <w:szCs w:val="28"/>
        </w:rPr>
        <w:t xml:space="preserve"> providing competent representation to a client as required by ER 1.1, lawyers may need to advise their clients regarding their lawful </w:t>
      </w:r>
      <w:r w:rsidRPr="00974D9E">
        <w:rPr>
          <w:rFonts w:eastAsia="Calibri"/>
          <w:sz w:val="28"/>
          <w:szCs w:val="28"/>
        </w:rPr>
        <w:lastRenderedPageBreak/>
        <w:t>communications. In its current version. ER 4.2, Comment [1], reinforces that “parties to a matter may communicate directly with each other.” The amendment to Comment [1] will clarify that lawyers may “</w:t>
      </w:r>
      <w:proofErr w:type="spellStart"/>
      <w:r w:rsidRPr="00974D9E">
        <w:rPr>
          <w:rFonts w:eastAsia="Calibri"/>
          <w:sz w:val="28"/>
          <w:szCs w:val="28"/>
        </w:rPr>
        <w:t>advis</w:t>
      </w:r>
      <w:proofErr w:type="spellEnd"/>
      <w:r w:rsidRPr="00974D9E">
        <w:rPr>
          <w:rFonts w:eastAsia="Calibri"/>
          <w:sz w:val="28"/>
          <w:szCs w:val="28"/>
        </w:rPr>
        <w:t xml:space="preserve">[e] a client concerning a communication that the client is legally entitled to make,” including those between parties. </w:t>
      </w:r>
    </w:p>
    <w:p w14:paraId="1A4748A8" w14:textId="16143350" w:rsidR="00FD67F7" w:rsidRPr="00974D9E" w:rsidRDefault="00FD67F7" w:rsidP="00FD67F7">
      <w:pPr>
        <w:spacing w:line="480" w:lineRule="auto"/>
        <w:rPr>
          <w:rFonts w:eastAsia="Calibri"/>
          <w:sz w:val="28"/>
          <w:szCs w:val="28"/>
        </w:rPr>
      </w:pPr>
      <w:r w:rsidRPr="00974D9E">
        <w:rPr>
          <w:rFonts w:eastAsia="Calibri"/>
          <w:sz w:val="28"/>
          <w:szCs w:val="28"/>
        </w:rPr>
        <w:t xml:space="preserve">     </w:t>
      </w:r>
      <w:r>
        <w:rPr>
          <w:rFonts w:eastAsia="Calibri"/>
          <w:sz w:val="28"/>
          <w:szCs w:val="28"/>
        </w:rPr>
        <w:tab/>
      </w:r>
      <w:r w:rsidRPr="00974D9E">
        <w:rPr>
          <w:rFonts w:eastAsia="Calibri"/>
          <w:sz w:val="28"/>
          <w:szCs w:val="28"/>
        </w:rPr>
        <w:t xml:space="preserve">As the Petition notes, this language appears in the American Bar Association Model Rule of Professional Conduct 4.2, Comment [1], and has been adopted by </w:t>
      </w:r>
      <w:r>
        <w:rPr>
          <w:rFonts w:eastAsia="Calibri"/>
          <w:sz w:val="28"/>
          <w:szCs w:val="28"/>
        </w:rPr>
        <w:t>thirty-two</w:t>
      </w:r>
      <w:r w:rsidRPr="00974D9E">
        <w:rPr>
          <w:rFonts w:eastAsia="Calibri"/>
          <w:sz w:val="28"/>
          <w:szCs w:val="28"/>
        </w:rPr>
        <w:t xml:space="preserve"> states. Thus, this proposal is neither novel nor unprecedented.</w:t>
      </w:r>
    </w:p>
    <w:p w14:paraId="3BBB19BE" w14:textId="2001476D" w:rsidR="00FD67F7" w:rsidRPr="00974D9E" w:rsidRDefault="00FD67F7" w:rsidP="00FD67F7">
      <w:pPr>
        <w:spacing w:line="480" w:lineRule="auto"/>
        <w:rPr>
          <w:rFonts w:eastAsia="Calibri"/>
          <w:sz w:val="28"/>
          <w:szCs w:val="28"/>
        </w:rPr>
      </w:pPr>
      <w:r w:rsidRPr="00974D9E">
        <w:rPr>
          <w:rFonts w:eastAsia="Calibri"/>
          <w:sz w:val="28"/>
          <w:szCs w:val="28"/>
        </w:rPr>
        <w:t xml:space="preserve">     </w:t>
      </w:r>
      <w:r>
        <w:rPr>
          <w:rFonts w:eastAsia="Calibri"/>
          <w:sz w:val="28"/>
          <w:szCs w:val="28"/>
        </w:rPr>
        <w:tab/>
      </w:r>
      <w:r w:rsidRPr="00974D9E">
        <w:rPr>
          <w:rFonts w:eastAsia="Calibri"/>
          <w:sz w:val="28"/>
          <w:szCs w:val="28"/>
        </w:rPr>
        <w:t xml:space="preserve">Concerns that a lawyer may overreach by using a client as a conduit for communications prohibited by ER 4.2 are not unfounded. However, the ERs already prohibit this. ER 8.4(a) states, “It is professional misconduct for a lawyer to: (a) violate or attempt to violate the Rules of Professional Conduct, knowingly assist or induce another to do so, or do so through the acts of another . . . .” The proposed amendment to ER 4.2, Comment [1], will not alter this rule. Lawyers will still be prohibited from using their clients (or any other person) to violate ER 4.2. </w:t>
      </w:r>
    </w:p>
    <w:p w14:paraId="13D75728" w14:textId="6C1DDF63" w:rsidR="00FD67F7" w:rsidRPr="00974D9E" w:rsidRDefault="00FD67F7" w:rsidP="00FD67F7">
      <w:pPr>
        <w:spacing w:line="480" w:lineRule="auto"/>
        <w:rPr>
          <w:rFonts w:eastAsia="Calibri"/>
          <w:sz w:val="28"/>
          <w:szCs w:val="28"/>
        </w:rPr>
      </w:pPr>
      <w:r w:rsidRPr="00974D9E">
        <w:rPr>
          <w:rFonts w:eastAsia="Calibri"/>
          <w:sz w:val="28"/>
          <w:szCs w:val="28"/>
        </w:rPr>
        <w:t xml:space="preserve">     </w:t>
      </w:r>
      <w:r>
        <w:rPr>
          <w:rFonts w:eastAsia="Calibri"/>
          <w:sz w:val="28"/>
          <w:szCs w:val="28"/>
        </w:rPr>
        <w:tab/>
      </w:r>
      <w:r w:rsidRPr="00974D9E">
        <w:rPr>
          <w:rFonts w:eastAsia="Calibri"/>
          <w:sz w:val="28"/>
          <w:szCs w:val="28"/>
        </w:rPr>
        <w:t>Therefore, as in countless other instances, lawyers are entrusted to exercise their professional judgment and discretion. Situations may arise where lawyers are uncertain whether their advice to a client goes beyond what the Rules of Professional Conduct permit. In those situations, lawyers may draw upon many resources for assistance: their own</w:t>
      </w:r>
      <w:r>
        <w:rPr>
          <w:rFonts w:eastAsia="Calibri"/>
          <w:sz w:val="28"/>
          <w:szCs w:val="28"/>
        </w:rPr>
        <w:t xml:space="preserve"> experience and</w:t>
      </w:r>
      <w:r w:rsidRPr="00974D9E">
        <w:rPr>
          <w:rFonts w:eastAsia="Calibri"/>
          <w:sz w:val="28"/>
          <w:szCs w:val="28"/>
        </w:rPr>
        <w:t xml:space="preserve"> research, consultation with other </w:t>
      </w:r>
      <w:r w:rsidRPr="00974D9E">
        <w:rPr>
          <w:rFonts w:eastAsia="Calibri"/>
          <w:sz w:val="28"/>
          <w:szCs w:val="28"/>
        </w:rPr>
        <w:lastRenderedPageBreak/>
        <w:t xml:space="preserve">lawyers, ethics opinions, the State Bar of Arizona’s ethics hotline, or </w:t>
      </w:r>
      <w:r>
        <w:rPr>
          <w:rFonts w:eastAsia="Calibri"/>
          <w:sz w:val="28"/>
          <w:szCs w:val="28"/>
        </w:rPr>
        <w:t>advice from</w:t>
      </w:r>
      <w:r w:rsidRPr="00974D9E">
        <w:rPr>
          <w:rFonts w:eastAsia="Calibri"/>
          <w:sz w:val="28"/>
          <w:szCs w:val="28"/>
        </w:rPr>
        <w:t xml:space="preserve"> an ethics </w:t>
      </w:r>
      <w:r>
        <w:rPr>
          <w:rFonts w:eastAsia="Calibri"/>
          <w:sz w:val="28"/>
          <w:szCs w:val="28"/>
        </w:rPr>
        <w:t>attorney</w:t>
      </w:r>
      <w:r w:rsidRPr="00974D9E">
        <w:rPr>
          <w:rFonts w:eastAsia="Calibri"/>
          <w:sz w:val="28"/>
          <w:szCs w:val="28"/>
        </w:rPr>
        <w:t xml:space="preserve">.  </w:t>
      </w:r>
    </w:p>
    <w:p w14:paraId="473757CC" w14:textId="510FBB0C" w:rsidR="00FD67F7" w:rsidRPr="00974D9E" w:rsidRDefault="00FD67F7" w:rsidP="00FD67F7">
      <w:pPr>
        <w:spacing w:line="480" w:lineRule="auto"/>
        <w:rPr>
          <w:rFonts w:eastAsia="Calibri"/>
          <w:sz w:val="28"/>
          <w:szCs w:val="28"/>
        </w:rPr>
      </w:pPr>
      <w:r w:rsidRPr="00974D9E">
        <w:rPr>
          <w:rFonts w:eastAsia="Calibri"/>
          <w:sz w:val="28"/>
          <w:szCs w:val="28"/>
        </w:rPr>
        <w:t xml:space="preserve">     </w:t>
      </w:r>
      <w:r>
        <w:rPr>
          <w:rFonts w:eastAsia="Calibri"/>
          <w:sz w:val="28"/>
          <w:szCs w:val="28"/>
        </w:rPr>
        <w:tab/>
      </w:r>
      <w:r w:rsidRPr="00974D9E">
        <w:rPr>
          <w:rFonts w:eastAsia="Calibri"/>
          <w:sz w:val="28"/>
          <w:szCs w:val="28"/>
        </w:rPr>
        <w:t xml:space="preserve">Indeed, the EAC is in the process of drafting an ethics opinion on this topic, EO-24-0002. The EAC has paused its work on this opinion pending the outcome of this Petition. Should the Supreme Court amend Comment [1] as </w:t>
      </w:r>
      <w:r>
        <w:rPr>
          <w:rFonts w:eastAsia="Calibri"/>
          <w:sz w:val="28"/>
          <w:szCs w:val="28"/>
        </w:rPr>
        <w:t>proposed</w:t>
      </w:r>
      <w:r w:rsidRPr="00974D9E">
        <w:rPr>
          <w:rFonts w:eastAsia="Calibri"/>
          <w:sz w:val="28"/>
          <w:szCs w:val="28"/>
        </w:rPr>
        <w:t>, the EAC is prepared to revise its opinion and resubmit it for public comment.</w:t>
      </w:r>
    </w:p>
    <w:p w14:paraId="313004C7" w14:textId="63878C5B" w:rsidR="00FD67F7" w:rsidRPr="00974D9E" w:rsidRDefault="00FD67F7" w:rsidP="00FD67F7">
      <w:pPr>
        <w:spacing w:line="480" w:lineRule="auto"/>
        <w:rPr>
          <w:rFonts w:eastAsia="Calibri"/>
          <w:sz w:val="28"/>
          <w:szCs w:val="28"/>
        </w:rPr>
      </w:pPr>
      <w:r w:rsidRPr="00974D9E">
        <w:rPr>
          <w:rFonts w:eastAsia="Calibri"/>
          <w:sz w:val="28"/>
          <w:szCs w:val="28"/>
        </w:rPr>
        <w:t xml:space="preserve">     </w:t>
      </w:r>
      <w:r>
        <w:rPr>
          <w:rFonts w:eastAsia="Calibri"/>
          <w:sz w:val="28"/>
          <w:szCs w:val="28"/>
        </w:rPr>
        <w:tab/>
      </w:r>
      <w:r w:rsidRPr="00974D9E">
        <w:rPr>
          <w:rFonts w:eastAsia="Calibri"/>
          <w:sz w:val="28"/>
          <w:szCs w:val="28"/>
        </w:rPr>
        <w:t xml:space="preserve">Moreover, the State Bar of Arizona’s Ethics Advisory Group (EAG) can assist lawyers with understanding the boundaries of the proposed amendment. The EAG routinely provides continuing legal education programs on the Rules of Professional Conduct. The EAG also publishes “Best Practices” on the State Bar website. </w:t>
      </w:r>
    </w:p>
    <w:p w14:paraId="1A340DB4" w14:textId="62206675" w:rsidR="00FD67F7" w:rsidRPr="00974D9E" w:rsidRDefault="00FD67F7" w:rsidP="00FD67F7">
      <w:pPr>
        <w:spacing w:line="480" w:lineRule="auto"/>
        <w:rPr>
          <w:rFonts w:eastAsia="Calibri"/>
          <w:sz w:val="28"/>
          <w:szCs w:val="28"/>
        </w:rPr>
      </w:pPr>
      <w:r>
        <w:rPr>
          <w:rFonts w:eastAsia="Calibri"/>
          <w:sz w:val="28"/>
          <w:szCs w:val="28"/>
        </w:rPr>
        <w:t xml:space="preserve">     </w:t>
      </w:r>
      <w:r>
        <w:rPr>
          <w:rFonts w:eastAsia="Calibri"/>
          <w:sz w:val="28"/>
          <w:szCs w:val="28"/>
        </w:rPr>
        <w:tab/>
        <w:t>As aptly stated in the Preamble to the Arizona’s ERs, “</w:t>
      </w:r>
      <w:r w:rsidRPr="00927849">
        <w:rPr>
          <w:rFonts w:eastAsia="Calibri"/>
          <w:sz w:val="28"/>
          <w:szCs w:val="28"/>
        </w:rPr>
        <w:t>The Rules of Professional Conduct are rules of reason. They should be interpreted with reference to the purposes of legal representation and of the law itself.</w:t>
      </w:r>
      <w:r>
        <w:rPr>
          <w:rFonts w:eastAsia="Calibri"/>
          <w:sz w:val="28"/>
          <w:szCs w:val="28"/>
        </w:rPr>
        <w:t>” The proposed amendment to ER 4.2, Comment [1], provides reasonable guidance to Arizona lawyers without placing unreasonable restrictions on their clients’ ability to fully benefit from the advice of counsel. Adopting this amendment will allow the Court to demonstrate its trust in Arizona lawyers to represent their clients professionally, competently, and ethically.</w:t>
      </w:r>
    </w:p>
    <w:p w14:paraId="748B1AD1" w14:textId="59FE69D6" w:rsidR="004331B2" w:rsidRPr="00FD67F7" w:rsidRDefault="004331B2" w:rsidP="006766BF">
      <w:pPr>
        <w:pStyle w:val="Body"/>
        <w:widowControl w:val="0"/>
        <w:spacing w:line="480" w:lineRule="auto"/>
        <w:ind w:firstLine="720"/>
        <w:jc w:val="both"/>
        <w:rPr>
          <w:rStyle w:val="BodyTextChar"/>
          <w:sz w:val="28"/>
          <w:szCs w:val="28"/>
        </w:rPr>
      </w:pPr>
    </w:p>
    <w:p w14:paraId="1D6B6A97" w14:textId="77777777" w:rsidR="000F7A7F" w:rsidRPr="000F7A7F" w:rsidRDefault="000F7A7F" w:rsidP="000F7C13">
      <w:pPr>
        <w:pStyle w:val="Body"/>
        <w:widowControl w:val="0"/>
        <w:tabs>
          <w:tab w:val="left" w:pos="720"/>
        </w:tabs>
        <w:ind w:firstLine="0"/>
        <w:rPr>
          <w:szCs w:val="26"/>
        </w:rPr>
      </w:pPr>
    </w:p>
    <w:p w14:paraId="3CE4EDDC" w14:textId="578302A0" w:rsidR="000C48A9" w:rsidRPr="006F63FD" w:rsidRDefault="006F63FD" w:rsidP="000C48A9">
      <w:pPr>
        <w:pStyle w:val="Body"/>
        <w:widowControl w:val="0"/>
        <w:tabs>
          <w:tab w:val="left" w:pos="720"/>
        </w:tabs>
        <w:ind w:firstLine="0"/>
        <w:rPr>
          <w:sz w:val="28"/>
          <w:szCs w:val="28"/>
        </w:rPr>
      </w:pPr>
      <w:r>
        <w:t xml:space="preserve">       </w:t>
      </w:r>
      <w:r w:rsidR="00FD67F7" w:rsidRPr="4CFF1383">
        <w:rPr>
          <w:sz w:val="28"/>
          <w:szCs w:val="28"/>
        </w:rPr>
        <w:t>DATED</w:t>
      </w:r>
      <w:r w:rsidR="000C48A9" w:rsidRPr="4CFF1383">
        <w:rPr>
          <w:sz w:val="28"/>
          <w:szCs w:val="28"/>
        </w:rPr>
        <w:t xml:space="preserve"> this </w:t>
      </w:r>
      <w:r w:rsidR="10168EFA" w:rsidRPr="4CFF1383">
        <w:rPr>
          <w:sz w:val="28"/>
          <w:szCs w:val="28"/>
        </w:rPr>
        <w:t>29</w:t>
      </w:r>
      <w:r w:rsidR="10168EFA" w:rsidRPr="4CFF1383">
        <w:rPr>
          <w:sz w:val="28"/>
          <w:szCs w:val="28"/>
          <w:vertAlign w:val="superscript"/>
        </w:rPr>
        <w:t>th</w:t>
      </w:r>
      <w:r w:rsidR="10168EFA" w:rsidRPr="4CFF1383">
        <w:rPr>
          <w:sz w:val="28"/>
          <w:szCs w:val="28"/>
        </w:rPr>
        <w:t xml:space="preserve"> </w:t>
      </w:r>
      <w:r w:rsidR="000C48A9" w:rsidRPr="4CFF1383">
        <w:rPr>
          <w:sz w:val="28"/>
          <w:szCs w:val="28"/>
        </w:rPr>
        <w:t>day of</w:t>
      </w:r>
      <w:r w:rsidR="79EABAD8" w:rsidRPr="4CFF1383">
        <w:rPr>
          <w:sz w:val="28"/>
          <w:szCs w:val="28"/>
        </w:rPr>
        <w:t xml:space="preserve"> </w:t>
      </w:r>
      <w:proofErr w:type="gramStart"/>
      <w:r w:rsidR="79EABAD8" w:rsidRPr="4CFF1383">
        <w:rPr>
          <w:sz w:val="28"/>
          <w:szCs w:val="28"/>
        </w:rPr>
        <w:t>April</w:t>
      </w:r>
      <w:r w:rsidR="00D60D9B" w:rsidRPr="4CFF1383">
        <w:rPr>
          <w:sz w:val="28"/>
          <w:szCs w:val="28"/>
        </w:rPr>
        <w:t>,</w:t>
      </w:r>
      <w:proofErr w:type="gramEnd"/>
      <w:r w:rsidR="00D60D9B" w:rsidRPr="4CFF1383">
        <w:rPr>
          <w:sz w:val="28"/>
          <w:szCs w:val="28"/>
        </w:rPr>
        <w:t xml:space="preserve"> 20</w:t>
      </w:r>
      <w:r w:rsidR="005845AE" w:rsidRPr="4CFF1383">
        <w:rPr>
          <w:sz w:val="28"/>
          <w:szCs w:val="28"/>
        </w:rPr>
        <w:t>2</w:t>
      </w:r>
      <w:r w:rsidR="00FD67F7" w:rsidRPr="4CFF1383">
        <w:rPr>
          <w:sz w:val="28"/>
          <w:szCs w:val="28"/>
        </w:rPr>
        <w:t>5</w:t>
      </w:r>
      <w:r w:rsidR="000C48A9" w:rsidRPr="4CFF1383">
        <w:rPr>
          <w:sz w:val="28"/>
          <w:szCs w:val="28"/>
        </w:rPr>
        <w:t>.</w:t>
      </w:r>
    </w:p>
    <w:p w14:paraId="3585E3F2" w14:textId="77777777" w:rsidR="000C48A9" w:rsidRPr="000F7A7F" w:rsidRDefault="000C48A9" w:rsidP="000C48A9">
      <w:pPr>
        <w:pStyle w:val="Body"/>
        <w:widowControl w:val="0"/>
        <w:tabs>
          <w:tab w:val="left" w:pos="720"/>
        </w:tabs>
        <w:ind w:firstLine="0"/>
        <w:rPr>
          <w:szCs w:val="26"/>
        </w:rPr>
      </w:pPr>
    </w:p>
    <w:p w14:paraId="6C867847" w14:textId="683880DF" w:rsidR="000C48A9" w:rsidRPr="000F7A7F" w:rsidRDefault="6CF2E11D" w:rsidP="45968C84">
      <w:pPr>
        <w:widowControl w:val="0"/>
        <w:tabs>
          <w:tab w:val="left" w:pos="720"/>
        </w:tabs>
      </w:pPr>
      <w:r>
        <w:t xml:space="preserve">                                                                                                          </w:t>
      </w:r>
      <w:r>
        <w:rPr>
          <w:noProof/>
        </w:rPr>
        <w:drawing>
          <wp:inline distT="0" distB="0" distL="0" distR="0" wp14:anchorId="5C253C27" wp14:editId="56269A28">
            <wp:extent cx="2523352" cy="598487"/>
            <wp:effectExtent l="0" t="0" r="0" b="0"/>
            <wp:docPr id="327184202" name="Picture 32718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3352" cy="598487"/>
                    </a:xfrm>
                    <a:prstGeom prst="rect">
                      <a:avLst/>
                    </a:prstGeom>
                  </pic:spPr>
                </pic:pic>
              </a:graphicData>
            </a:graphic>
          </wp:inline>
        </w:drawing>
      </w:r>
    </w:p>
    <w:p w14:paraId="7DC132ED" w14:textId="1E23D40C" w:rsidR="000C48A9" w:rsidRPr="006F63FD" w:rsidRDefault="00FD67F7" w:rsidP="45968C84">
      <w:pPr>
        <w:pStyle w:val="PleadingSignature"/>
        <w:keepNext w:val="0"/>
        <w:keepLines w:val="0"/>
        <w:pBdr>
          <w:top w:val="single" w:sz="4" w:space="1" w:color="auto"/>
        </w:pBdr>
        <w:spacing w:line="240" w:lineRule="auto"/>
        <w:ind w:left="5070"/>
        <w:rPr>
          <w:sz w:val="28"/>
          <w:szCs w:val="28"/>
        </w:rPr>
      </w:pPr>
      <w:r w:rsidRPr="45968C84">
        <w:rPr>
          <w:sz w:val="28"/>
          <w:szCs w:val="28"/>
        </w:rPr>
        <w:t>Honorable Ch</w:t>
      </w:r>
      <w:r w:rsidR="6828963B" w:rsidRPr="45968C84">
        <w:rPr>
          <w:sz w:val="28"/>
          <w:szCs w:val="28"/>
        </w:rPr>
        <w:t>r</w:t>
      </w:r>
      <w:r w:rsidRPr="45968C84">
        <w:rPr>
          <w:sz w:val="28"/>
          <w:szCs w:val="28"/>
        </w:rPr>
        <w:t>istopher Staring</w:t>
      </w:r>
    </w:p>
    <w:p w14:paraId="77CBA71B" w14:textId="2670A9F2" w:rsidR="000C48A9" w:rsidRPr="006F63FD" w:rsidRDefault="00FD67F7" w:rsidP="000C48A9">
      <w:pPr>
        <w:pStyle w:val="PleadingSignature"/>
        <w:keepNext w:val="0"/>
        <w:keepLines w:val="0"/>
        <w:spacing w:line="240" w:lineRule="auto"/>
        <w:ind w:left="5070"/>
        <w:rPr>
          <w:sz w:val="28"/>
          <w:szCs w:val="28"/>
        </w:rPr>
      </w:pPr>
      <w:r>
        <w:rPr>
          <w:sz w:val="28"/>
          <w:szCs w:val="28"/>
        </w:rPr>
        <w:t>Chair, Ethics Advisory Committee</w:t>
      </w:r>
    </w:p>
    <w:p w14:paraId="5AD69E22" w14:textId="77777777" w:rsidR="000C48A9" w:rsidRPr="000F7A7F" w:rsidRDefault="000C48A9" w:rsidP="000C48A9">
      <w:pPr>
        <w:pStyle w:val="PleadingSignature"/>
        <w:keepNext w:val="0"/>
        <w:keepLines w:val="0"/>
        <w:spacing w:line="240" w:lineRule="auto"/>
        <w:ind w:left="5070"/>
        <w:rPr>
          <w:szCs w:val="26"/>
        </w:rPr>
      </w:pPr>
    </w:p>
    <w:p w14:paraId="767D6AC5" w14:textId="77777777" w:rsidR="000C48A9" w:rsidRPr="006F63FD" w:rsidRDefault="000C48A9" w:rsidP="000C48A9">
      <w:pPr>
        <w:pStyle w:val="PleadingSignature"/>
        <w:keepNext w:val="0"/>
        <w:keepLines w:val="0"/>
        <w:spacing w:line="240" w:lineRule="auto"/>
        <w:ind w:left="5070"/>
        <w:rPr>
          <w:sz w:val="28"/>
          <w:szCs w:val="28"/>
        </w:rPr>
      </w:pPr>
    </w:p>
    <w:p w14:paraId="44760166" w14:textId="77777777" w:rsidR="00C52E56" w:rsidRDefault="00C52E56" w:rsidP="004331B2">
      <w:pPr>
        <w:widowControl w:val="0"/>
        <w:spacing w:line="240" w:lineRule="auto"/>
        <w:ind w:right="4140"/>
        <w:rPr>
          <w:sz w:val="28"/>
          <w:szCs w:val="28"/>
        </w:rPr>
      </w:pPr>
    </w:p>
    <w:p w14:paraId="7E208D61" w14:textId="77777777" w:rsidR="00C52E56" w:rsidRDefault="00C52E56" w:rsidP="004331B2">
      <w:pPr>
        <w:widowControl w:val="0"/>
        <w:spacing w:line="240" w:lineRule="auto"/>
        <w:ind w:right="4140"/>
        <w:rPr>
          <w:sz w:val="28"/>
          <w:szCs w:val="28"/>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069DEE26" w:rsidR="000C48A9" w:rsidRPr="00C52E56" w:rsidRDefault="000C48A9" w:rsidP="00C52E56">
      <w:pPr>
        <w:tabs>
          <w:tab w:val="left" w:pos="4836"/>
        </w:tabs>
        <w:spacing w:line="240" w:lineRule="auto"/>
        <w:ind w:right="3870"/>
        <w:rPr>
          <w:sz w:val="28"/>
          <w:szCs w:val="28"/>
        </w:rPr>
      </w:pPr>
      <w:r w:rsidRPr="4CFF1383">
        <w:rPr>
          <w:sz w:val="28"/>
          <w:szCs w:val="28"/>
        </w:rPr>
        <w:t>t</w:t>
      </w:r>
      <w:r w:rsidR="000F7A7F" w:rsidRPr="4CFF1383">
        <w:rPr>
          <w:sz w:val="28"/>
          <w:szCs w:val="28"/>
        </w:rPr>
        <w:t xml:space="preserve">his </w:t>
      </w:r>
      <w:r w:rsidR="13DC919D" w:rsidRPr="4CFF1383">
        <w:rPr>
          <w:sz w:val="28"/>
          <w:szCs w:val="28"/>
        </w:rPr>
        <w:t>29th</w:t>
      </w:r>
      <w:r w:rsidR="000F7A7F" w:rsidRPr="4CFF1383">
        <w:rPr>
          <w:sz w:val="28"/>
          <w:szCs w:val="28"/>
        </w:rPr>
        <w:t xml:space="preserve"> day of </w:t>
      </w:r>
      <w:proofErr w:type="gramStart"/>
      <w:r w:rsidR="2E35AC27" w:rsidRPr="4CFF1383">
        <w:rPr>
          <w:sz w:val="28"/>
          <w:szCs w:val="28"/>
        </w:rPr>
        <w:t>April</w:t>
      </w:r>
      <w:r w:rsidR="006F63FD" w:rsidRPr="4CFF1383">
        <w:rPr>
          <w:sz w:val="28"/>
          <w:szCs w:val="28"/>
        </w:rPr>
        <w:t>,</w:t>
      </w:r>
      <w:proofErr w:type="gramEnd"/>
      <w:r w:rsidR="006F63FD" w:rsidRPr="4CFF1383">
        <w:rPr>
          <w:sz w:val="28"/>
          <w:szCs w:val="28"/>
        </w:rPr>
        <w:t xml:space="preserve"> </w:t>
      </w:r>
      <w:r w:rsidR="00D60D9B" w:rsidRPr="4CFF1383">
        <w:rPr>
          <w:sz w:val="28"/>
          <w:szCs w:val="28"/>
        </w:rPr>
        <w:t>20</w:t>
      </w:r>
      <w:r w:rsidR="005845AE" w:rsidRPr="4CFF1383">
        <w:rPr>
          <w:sz w:val="28"/>
          <w:szCs w:val="28"/>
        </w:rPr>
        <w:t>2</w:t>
      </w:r>
      <w:r w:rsidR="00FD67F7" w:rsidRPr="4CFF1383">
        <w:rPr>
          <w:sz w:val="28"/>
          <w:szCs w:val="28"/>
        </w:rPr>
        <w:t>5</w:t>
      </w:r>
      <w:r w:rsidR="000F7A7F" w:rsidRPr="4CFF1383">
        <w:rPr>
          <w:sz w:val="28"/>
          <w:szCs w:val="28"/>
        </w:rPr>
        <w:t>.</w:t>
      </w:r>
    </w:p>
    <w:p w14:paraId="19161DDC" w14:textId="77777777" w:rsidR="000F7A7F" w:rsidRPr="00C52E56" w:rsidRDefault="000F7A7F" w:rsidP="000C48A9">
      <w:pPr>
        <w:spacing w:line="240" w:lineRule="auto"/>
        <w:ind w:right="4572"/>
        <w:rPr>
          <w:sz w:val="28"/>
          <w:szCs w:val="28"/>
        </w:rPr>
      </w:pPr>
    </w:p>
    <w:p w14:paraId="0FEDC553" w14:textId="31213837" w:rsidR="000C48A9" w:rsidRPr="00C52E56" w:rsidRDefault="000C48A9" w:rsidP="4CFF1383">
      <w:pPr>
        <w:spacing w:line="240" w:lineRule="auto"/>
        <w:ind w:right="4572"/>
        <w:rPr>
          <w:sz w:val="28"/>
          <w:szCs w:val="28"/>
        </w:rPr>
      </w:pPr>
      <w:r w:rsidRPr="4CFF1383">
        <w:rPr>
          <w:sz w:val="28"/>
          <w:szCs w:val="28"/>
        </w:rPr>
        <w:t>by:</w:t>
      </w:r>
    </w:p>
    <w:p w14:paraId="17780065" w14:textId="4DAF9F27" w:rsidR="000C48A9" w:rsidRPr="00C52E56" w:rsidRDefault="000C48A9" w:rsidP="4CFF1383">
      <w:pPr>
        <w:spacing w:line="240" w:lineRule="auto"/>
        <w:ind w:right="4572"/>
        <w:rPr>
          <w:sz w:val="28"/>
          <w:szCs w:val="28"/>
        </w:rPr>
      </w:pPr>
    </w:p>
    <w:p w14:paraId="00843394" w14:textId="03DB7F5B" w:rsidR="000C48A9" w:rsidRPr="00C52E56" w:rsidRDefault="6CCB6CEA" w:rsidP="000C48A9">
      <w:pPr>
        <w:spacing w:line="240" w:lineRule="auto"/>
        <w:ind w:right="4572"/>
        <w:rPr>
          <w:sz w:val="28"/>
          <w:szCs w:val="28"/>
        </w:rPr>
      </w:pPr>
      <w:r w:rsidRPr="45968C84">
        <w:rPr>
          <w:sz w:val="28"/>
          <w:szCs w:val="28"/>
        </w:rPr>
        <w:t>C Acree</w:t>
      </w:r>
      <w:r w:rsidR="000C48A9" w:rsidRPr="45968C84">
        <w:rPr>
          <w:sz w:val="28"/>
          <w:szCs w:val="28"/>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12"/>
      <w:footerReference w:type="even" r:id="rId13"/>
      <w:footerReference w:type="default" r:id="rId14"/>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8EEB" w14:textId="77777777" w:rsidR="00C31CCB" w:rsidRDefault="00C31CCB">
      <w:r>
        <w:separator/>
      </w:r>
    </w:p>
  </w:endnote>
  <w:endnote w:type="continuationSeparator" w:id="0">
    <w:p w14:paraId="1CA79562" w14:textId="77777777" w:rsidR="00C31CCB" w:rsidRDefault="00C3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C1F4" w14:textId="77777777" w:rsidR="00C31CCB" w:rsidRDefault="00C31CCB">
      <w:r>
        <w:separator/>
      </w:r>
    </w:p>
  </w:footnote>
  <w:footnote w:type="continuationSeparator" w:id="0">
    <w:p w14:paraId="4D06D32C" w14:textId="77777777" w:rsidR="00C31CCB" w:rsidRDefault="00C3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w14:anchorId="5CD58452">
            <v:line id="RightBorder"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472.5pt,0" to="472.5pt,11in" w14:anchorId="262EA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w14:anchorId="2F08C07A">
            <v:line id="LeftBorder2"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7.2pt,0" to="-7.2pt,11in" w14:anchorId="49B0F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w14:anchorId="660A2186">
            <v:line id="LeftBorder1"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3.6pt,0" to="-3.6pt,11in" w14:anchorId="6084C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w14:anchorId="0B98A4CD">
            <v:shapetype id="_x0000_t202" coordsize="21600,21600" o:spt="202" path="m,l,21600r21600,l21600,xe" w14:anchorId="37335438">
              <v:stroke joinstyle="miter"/>
              <v:path gradientshapeok="t" o:connecttype="rect"/>
            </v:shapetype>
            <v:shape id="LineNumbers"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">
              <v:textbox inset="0,0,0,0">
                <w:txbxContent>
                  <w:p w:rsidRPr="00000C35" w:rsidR="007870CB" w:rsidRDefault="007870CB" w14:paraId="649841BE" w14:textId="77777777">
                    <w:pPr>
                      <w:jc w:val="right"/>
                      <w:rPr>
                        <w:sz w:val="28"/>
                        <w:szCs w:val="28"/>
                      </w:rPr>
                    </w:pPr>
                    <w:r w:rsidRPr="00000C35">
                      <w:rPr>
                        <w:sz w:val="28"/>
                        <w:szCs w:val="28"/>
                      </w:rPr>
                      <w:t>1</w:t>
                    </w:r>
                  </w:p>
                  <w:p w:rsidRPr="00000C35" w:rsidR="007870CB" w:rsidRDefault="007870CB" w14:paraId="18F999B5" w14:textId="77777777">
                    <w:pPr>
                      <w:jc w:val="right"/>
                      <w:rPr>
                        <w:sz w:val="28"/>
                        <w:szCs w:val="28"/>
                      </w:rPr>
                    </w:pPr>
                    <w:r w:rsidRPr="00000C35">
                      <w:rPr>
                        <w:sz w:val="28"/>
                        <w:szCs w:val="28"/>
                      </w:rPr>
                      <w:t>2</w:t>
                    </w:r>
                  </w:p>
                  <w:p w:rsidRPr="00000C35" w:rsidR="007870CB" w:rsidRDefault="007870CB" w14:paraId="5FCD5EC4" w14:textId="77777777">
                    <w:pPr>
                      <w:jc w:val="right"/>
                      <w:rPr>
                        <w:sz w:val="28"/>
                        <w:szCs w:val="28"/>
                      </w:rPr>
                    </w:pPr>
                    <w:r w:rsidRPr="00000C35">
                      <w:rPr>
                        <w:sz w:val="28"/>
                        <w:szCs w:val="28"/>
                      </w:rPr>
                      <w:t>3</w:t>
                    </w:r>
                  </w:p>
                  <w:p w:rsidRPr="00000C35" w:rsidR="007870CB" w:rsidRDefault="007870CB" w14:paraId="2598DEE6" w14:textId="77777777">
                    <w:pPr>
                      <w:jc w:val="right"/>
                      <w:rPr>
                        <w:sz w:val="28"/>
                        <w:szCs w:val="28"/>
                      </w:rPr>
                    </w:pPr>
                    <w:r w:rsidRPr="00000C35">
                      <w:rPr>
                        <w:sz w:val="28"/>
                        <w:szCs w:val="28"/>
                      </w:rPr>
                      <w:t>4</w:t>
                    </w:r>
                  </w:p>
                  <w:p w:rsidRPr="00000C35" w:rsidR="007870CB" w:rsidRDefault="007870CB" w14:paraId="78941E47" w14:textId="77777777">
                    <w:pPr>
                      <w:jc w:val="right"/>
                      <w:rPr>
                        <w:sz w:val="28"/>
                        <w:szCs w:val="28"/>
                      </w:rPr>
                    </w:pPr>
                    <w:r w:rsidRPr="00000C35">
                      <w:rPr>
                        <w:sz w:val="28"/>
                        <w:szCs w:val="28"/>
                      </w:rPr>
                      <w:t>5</w:t>
                    </w:r>
                  </w:p>
                  <w:p w:rsidRPr="00000C35" w:rsidR="007870CB" w:rsidRDefault="007870CB" w14:paraId="29B4EA11" w14:textId="77777777">
                    <w:pPr>
                      <w:jc w:val="right"/>
                      <w:rPr>
                        <w:sz w:val="28"/>
                        <w:szCs w:val="28"/>
                      </w:rPr>
                    </w:pPr>
                    <w:r w:rsidRPr="00000C35">
                      <w:rPr>
                        <w:sz w:val="28"/>
                        <w:szCs w:val="28"/>
                      </w:rPr>
                      <w:t>6</w:t>
                    </w:r>
                  </w:p>
                  <w:p w:rsidRPr="00000C35" w:rsidR="007870CB" w:rsidRDefault="007870CB" w14:paraId="75697EEC" w14:textId="77777777">
                    <w:pPr>
                      <w:jc w:val="right"/>
                      <w:rPr>
                        <w:sz w:val="28"/>
                        <w:szCs w:val="28"/>
                      </w:rPr>
                    </w:pPr>
                    <w:r w:rsidRPr="00000C35">
                      <w:rPr>
                        <w:sz w:val="28"/>
                        <w:szCs w:val="28"/>
                      </w:rPr>
                      <w:t>7</w:t>
                    </w:r>
                  </w:p>
                  <w:p w:rsidRPr="00000C35" w:rsidR="007870CB" w:rsidRDefault="007870CB" w14:paraId="44B0A208" w14:textId="77777777">
                    <w:pPr>
                      <w:jc w:val="right"/>
                      <w:rPr>
                        <w:sz w:val="28"/>
                        <w:szCs w:val="28"/>
                      </w:rPr>
                    </w:pPr>
                    <w:r w:rsidRPr="00000C35">
                      <w:rPr>
                        <w:sz w:val="28"/>
                        <w:szCs w:val="28"/>
                      </w:rPr>
                      <w:t>8</w:t>
                    </w:r>
                  </w:p>
                  <w:p w:rsidRPr="00000C35" w:rsidR="007870CB" w:rsidRDefault="007870CB" w14:paraId="2B2B7304" w14:textId="77777777">
                    <w:pPr>
                      <w:jc w:val="right"/>
                      <w:rPr>
                        <w:sz w:val="28"/>
                        <w:szCs w:val="28"/>
                      </w:rPr>
                    </w:pPr>
                    <w:r w:rsidRPr="00000C35">
                      <w:rPr>
                        <w:sz w:val="28"/>
                        <w:szCs w:val="28"/>
                      </w:rPr>
                      <w:t>9</w:t>
                    </w:r>
                  </w:p>
                  <w:p w:rsidRPr="00000C35" w:rsidR="007870CB" w:rsidRDefault="007870CB" w14:paraId="5D369756" w14:textId="77777777">
                    <w:pPr>
                      <w:jc w:val="right"/>
                      <w:rPr>
                        <w:sz w:val="28"/>
                        <w:szCs w:val="28"/>
                      </w:rPr>
                    </w:pPr>
                    <w:r w:rsidRPr="00000C35">
                      <w:rPr>
                        <w:sz w:val="28"/>
                        <w:szCs w:val="28"/>
                      </w:rPr>
                      <w:t>10</w:t>
                    </w:r>
                  </w:p>
                  <w:p w:rsidRPr="00000C35" w:rsidR="007870CB" w:rsidRDefault="007870CB" w14:paraId="4737E36C" w14:textId="77777777">
                    <w:pPr>
                      <w:jc w:val="right"/>
                      <w:rPr>
                        <w:sz w:val="28"/>
                        <w:szCs w:val="28"/>
                      </w:rPr>
                    </w:pPr>
                    <w:r w:rsidRPr="00000C35">
                      <w:rPr>
                        <w:sz w:val="28"/>
                        <w:szCs w:val="28"/>
                      </w:rPr>
                      <w:t>11</w:t>
                    </w:r>
                  </w:p>
                  <w:p w:rsidRPr="00000C35" w:rsidR="007870CB" w:rsidRDefault="007870CB" w14:paraId="4B73E586" w14:textId="77777777">
                    <w:pPr>
                      <w:jc w:val="right"/>
                      <w:rPr>
                        <w:sz w:val="28"/>
                        <w:szCs w:val="28"/>
                      </w:rPr>
                    </w:pPr>
                    <w:r w:rsidRPr="00000C35">
                      <w:rPr>
                        <w:sz w:val="28"/>
                        <w:szCs w:val="28"/>
                      </w:rPr>
                      <w:t>12</w:t>
                    </w:r>
                  </w:p>
                  <w:p w:rsidRPr="00000C35" w:rsidR="007870CB" w:rsidRDefault="007870CB" w14:paraId="39F18D26" w14:textId="77777777">
                    <w:pPr>
                      <w:jc w:val="right"/>
                      <w:rPr>
                        <w:sz w:val="28"/>
                        <w:szCs w:val="28"/>
                      </w:rPr>
                    </w:pPr>
                    <w:r w:rsidRPr="00000C35">
                      <w:rPr>
                        <w:sz w:val="28"/>
                        <w:szCs w:val="28"/>
                      </w:rPr>
                      <w:t>13</w:t>
                    </w:r>
                  </w:p>
                  <w:p w:rsidRPr="00000C35" w:rsidR="007870CB" w:rsidRDefault="007870CB" w14:paraId="4E1E336A" w14:textId="77777777">
                    <w:pPr>
                      <w:jc w:val="right"/>
                      <w:rPr>
                        <w:sz w:val="28"/>
                        <w:szCs w:val="28"/>
                      </w:rPr>
                    </w:pPr>
                    <w:r w:rsidRPr="00000C35">
                      <w:rPr>
                        <w:sz w:val="28"/>
                        <w:szCs w:val="28"/>
                      </w:rPr>
                      <w:t>14</w:t>
                    </w:r>
                  </w:p>
                  <w:p w:rsidRPr="00000C35" w:rsidR="007870CB" w:rsidRDefault="007870CB" w14:paraId="33CFEC6B" w14:textId="77777777">
                    <w:pPr>
                      <w:jc w:val="right"/>
                      <w:rPr>
                        <w:sz w:val="28"/>
                        <w:szCs w:val="28"/>
                      </w:rPr>
                    </w:pPr>
                    <w:r w:rsidRPr="00000C35">
                      <w:rPr>
                        <w:sz w:val="28"/>
                        <w:szCs w:val="28"/>
                      </w:rPr>
                      <w:t>15</w:t>
                    </w:r>
                  </w:p>
                  <w:p w:rsidRPr="00000C35" w:rsidR="007870CB" w:rsidRDefault="007870CB" w14:paraId="0EB5E791" w14:textId="77777777">
                    <w:pPr>
                      <w:jc w:val="right"/>
                      <w:rPr>
                        <w:sz w:val="28"/>
                        <w:szCs w:val="28"/>
                      </w:rPr>
                    </w:pPr>
                    <w:r w:rsidRPr="00000C35">
                      <w:rPr>
                        <w:sz w:val="28"/>
                        <w:szCs w:val="28"/>
                      </w:rPr>
                      <w:t>16</w:t>
                    </w:r>
                  </w:p>
                  <w:p w:rsidRPr="00000C35" w:rsidR="007870CB" w:rsidRDefault="007870CB" w14:paraId="111B77A1" w14:textId="77777777">
                    <w:pPr>
                      <w:jc w:val="right"/>
                      <w:rPr>
                        <w:sz w:val="28"/>
                        <w:szCs w:val="28"/>
                      </w:rPr>
                    </w:pPr>
                    <w:r w:rsidRPr="00000C35">
                      <w:rPr>
                        <w:sz w:val="28"/>
                        <w:szCs w:val="28"/>
                      </w:rPr>
                      <w:t>17</w:t>
                    </w:r>
                  </w:p>
                  <w:p w:rsidRPr="00000C35" w:rsidR="007870CB" w:rsidRDefault="007870CB" w14:paraId="526D80A2" w14:textId="77777777">
                    <w:pPr>
                      <w:jc w:val="right"/>
                      <w:rPr>
                        <w:sz w:val="28"/>
                        <w:szCs w:val="28"/>
                      </w:rPr>
                    </w:pPr>
                    <w:r w:rsidRPr="00000C35">
                      <w:rPr>
                        <w:sz w:val="28"/>
                        <w:szCs w:val="28"/>
                      </w:rPr>
                      <w:t>18</w:t>
                    </w:r>
                  </w:p>
                  <w:p w:rsidRPr="00000C35" w:rsidR="007870CB" w:rsidRDefault="007870CB" w14:paraId="2847A633" w14:textId="77777777">
                    <w:pPr>
                      <w:jc w:val="right"/>
                      <w:rPr>
                        <w:sz w:val="28"/>
                        <w:szCs w:val="28"/>
                      </w:rPr>
                    </w:pPr>
                    <w:r w:rsidRPr="00000C35">
                      <w:rPr>
                        <w:sz w:val="28"/>
                        <w:szCs w:val="28"/>
                      </w:rPr>
                      <w:t>19</w:t>
                    </w:r>
                  </w:p>
                  <w:p w:rsidRPr="00000C35" w:rsidR="007870CB" w:rsidRDefault="007870CB" w14:paraId="5007C906" w14:textId="77777777">
                    <w:pPr>
                      <w:jc w:val="right"/>
                      <w:rPr>
                        <w:sz w:val="28"/>
                        <w:szCs w:val="28"/>
                      </w:rPr>
                    </w:pPr>
                    <w:r w:rsidRPr="00000C35">
                      <w:rPr>
                        <w:sz w:val="28"/>
                        <w:szCs w:val="28"/>
                      </w:rPr>
                      <w:t>20</w:t>
                    </w:r>
                  </w:p>
                  <w:p w:rsidRPr="00000C35" w:rsidR="007870CB" w:rsidRDefault="007870CB" w14:paraId="7B568215" w14:textId="77777777">
                    <w:pPr>
                      <w:jc w:val="right"/>
                      <w:rPr>
                        <w:sz w:val="28"/>
                        <w:szCs w:val="28"/>
                      </w:rPr>
                    </w:pPr>
                    <w:r w:rsidRPr="00000C35">
                      <w:rPr>
                        <w:sz w:val="28"/>
                        <w:szCs w:val="28"/>
                      </w:rPr>
                      <w:t>21</w:t>
                    </w:r>
                  </w:p>
                  <w:p w:rsidRPr="00000C35" w:rsidR="007870CB" w:rsidRDefault="007870CB" w14:paraId="44C26413" w14:textId="77777777">
                    <w:pPr>
                      <w:jc w:val="right"/>
                      <w:rPr>
                        <w:sz w:val="28"/>
                        <w:szCs w:val="28"/>
                      </w:rPr>
                    </w:pPr>
                    <w:r w:rsidRPr="00000C35">
                      <w:rPr>
                        <w:sz w:val="28"/>
                        <w:szCs w:val="28"/>
                      </w:rPr>
                      <w:t>22</w:t>
                    </w:r>
                  </w:p>
                  <w:p w:rsidRPr="00000C35" w:rsidR="007870CB" w:rsidRDefault="007870CB" w14:paraId="72E4F76D" w14:textId="77777777">
                    <w:pPr>
                      <w:jc w:val="right"/>
                      <w:rPr>
                        <w:sz w:val="28"/>
                        <w:szCs w:val="28"/>
                      </w:rPr>
                    </w:pPr>
                    <w:r w:rsidRPr="00000C35">
                      <w:rPr>
                        <w:sz w:val="28"/>
                        <w:szCs w:val="28"/>
                      </w:rPr>
                      <w:t>23</w:t>
                    </w:r>
                  </w:p>
                  <w:p w:rsidRPr="00000C35" w:rsidR="007870CB" w:rsidRDefault="007870CB" w14:paraId="1D8EB8EE" w14:textId="77777777">
                    <w:pPr>
                      <w:jc w:val="right"/>
                      <w:rPr>
                        <w:sz w:val="28"/>
                        <w:szCs w:val="28"/>
                      </w:rPr>
                    </w:pPr>
                    <w:r w:rsidRPr="00000C35">
                      <w:rPr>
                        <w:sz w:val="28"/>
                        <w:szCs w:val="28"/>
                      </w:rPr>
                      <w:t>24</w:t>
                    </w:r>
                  </w:p>
                  <w:p w:rsidRPr="00000C35" w:rsidR="007870CB" w:rsidRDefault="007870CB" w14:paraId="4BFDD700" w14:textId="77777777">
                    <w:pPr>
                      <w:jc w:val="right"/>
                      <w:rPr>
                        <w:sz w:val="28"/>
                        <w:szCs w:val="28"/>
                      </w:rPr>
                    </w:pPr>
                    <w:r w:rsidRPr="00000C35">
                      <w:rPr>
                        <w:sz w:val="28"/>
                        <w:szCs w:val="28"/>
                      </w:rPr>
                      <w:t>25</w:t>
                    </w:r>
                  </w:p>
                  <w:p w:rsidRPr="00000C35" w:rsidR="007870CB" w:rsidRDefault="007870CB" w14:paraId="672A6659" w14:textId="77777777">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3215869">
    <w:abstractNumId w:val="11"/>
  </w:num>
  <w:num w:numId="2" w16cid:durableId="75979588">
    <w:abstractNumId w:val="12"/>
  </w:num>
  <w:num w:numId="3" w16cid:durableId="25369804">
    <w:abstractNumId w:val="0"/>
  </w:num>
  <w:num w:numId="4" w16cid:durableId="1199389954">
    <w:abstractNumId w:val="4"/>
  </w:num>
  <w:num w:numId="5" w16cid:durableId="76169219">
    <w:abstractNumId w:val="6"/>
  </w:num>
  <w:num w:numId="6" w16cid:durableId="1760714747">
    <w:abstractNumId w:val="7"/>
  </w:num>
  <w:num w:numId="7" w16cid:durableId="32851210">
    <w:abstractNumId w:val="1"/>
  </w:num>
  <w:num w:numId="8" w16cid:durableId="411514916">
    <w:abstractNumId w:val="13"/>
  </w:num>
  <w:num w:numId="9" w16cid:durableId="979457207">
    <w:abstractNumId w:val="8"/>
  </w:num>
  <w:num w:numId="10" w16cid:durableId="2014333810">
    <w:abstractNumId w:val="10"/>
  </w:num>
  <w:num w:numId="11" w16cid:durableId="978848343">
    <w:abstractNumId w:val="9"/>
  </w:num>
  <w:num w:numId="12" w16cid:durableId="135539333">
    <w:abstractNumId w:val="5"/>
  </w:num>
  <w:num w:numId="13" w16cid:durableId="1875536879">
    <w:abstractNumId w:val="2"/>
  </w:num>
  <w:num w:numId="14" w16cid:durableId="1049763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4CB8"/>
    <w:rsid w:val="000410B3"/>
    <w:rsid w:val="00043D4D"/>
    <w:rsid w:val="00052372"/>
    <w:rsid w:val="000666D1"/>
    <w:rsid w:val="0008003D"/>
    <w:rsid w:val="000917C0"/>
    <w:rsid w:val="000A1D6B"/>
    <w:rsid w:val="000C48A9"/>
    <w:rsid w:val="000F6DC6"/>
    <w:rsid w:val="000F7A7F"/>
    <w:rsid w:val="000F7C13"/>
    <w:rsid w:val="00135326"/>
    <w:rsid w:val="001A2520"/>
    <w:rsid w:val="001F591C"/>
    <w:rsid w:val="00274D6A"/>
    <w:rsid w:val="00352347"/>
    <w:rsid w:val="003566D6"/>
    <w:rsid w:val="00357F4D"/>
    <w:rsid w:val="003617D1"/>
    <w:rsid w:val="00377199"/>
    <w:rsid w:val="003A28AC"/>
    <w:rsid w:val="003D61E1"/>
    <w:rsid w:val="00407E2D"/>
    <w:rsid w:val="004331B2"/>
    <w:rsid w:val="00440E4C"/>
    <w:rsid w:val="00463734"/>
    <w:rsid w:val="00494BDF"/>
    <w:rsid w:val="004C3AE3"/>
    <w:rsid w:val="004C47BC"/>
    <w:rsid w:val="004D2A79"/>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C6735"/>
    <w:rsid w:val="007D5C49"/>
    <w:rsid w:val="007D73FF"/>
    <w:rsid w:val="007E3CCB"/>
    <w:rsid w:val="008006ED"/>
    <w:rsid w:val="00822598"/>
    <w:rsid w:val="008360A1"/>
    <w:rsid w:val="008566DF"/>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07AD7"/>
    <w:rsid w:val="00C31CCB"/>
    <w:rsid w:val="00C52E56"/>
    <w:rsid w:val="00C5407A"/>
    <w:rsid w:val="00C662B0"/>
    <w:rsid w:val="00C84FD4"/>
    <w:rsid w:val="00C958EE"/>
    <w:rsid w:val="00CD21FB"/>
    <w:rsid w:val="00D35DC6"/>
    <w:rsid w:val="00D423FE"/>
    <w:rsid w:val="00D442E4"/>
    <w:rsid w:val="00D60D9B"/>
    <w:rsid w:val="00D80EDC"/>
    <w:rsid w:val="00DF4F15"/>
    <w:rsid w:val="00E047D3"/>
    <w:rsid w:val="00E266B7"/>
    <w:rsid w:val="00E321C5"/>
    <w:rsid w:val="00E5772B"/>
    <w:rsid w:val="00E67511"/>
    <w:rsid w:val="00E81026"/>
    <w:rsid w:val="00E82D0F"/>
    <w:rsid w:val="00E84292"/>
    <w:rsid w:val="00E950B5"/>
    <w:rsid w:val="00E96924"/>
    <w:rsid w:val="00F05879"/>
    <w:rsid w:val="00F06F5B"/>
    <w:rsid w:val="00F2485D"/>
    <w:rsid w:val="00F33926"/>
    <w:rsid w:val="00F60C61"/>
    <w:rsid w:val="00F64B52"/>
    <w:rsid w:val="00F850BE"/>
    <w:rsid w:val="00FB5291"/>
    <w:rsid w:val="00FB5E84"/>
    <w:rsid w:val="00FD67F7"/>
    <w:rsid w:val="05641F6A"/>
    <w:rsid w:val="10168EFA"/>
    <w:rsid w:val="13DC919D"/>
    <w:rsid w:val="268B5FBC"/>
    <w:rsid w:val="2D91AF07"/>
    <w:rsid w:val="2E35AC27"/>
    <w:rsid w:val="45968C84"/>
    <w:rsid w:val="4CFF1383"/>
    <w:rsid w:val="6828963B"/>
    <w:rsid w:val="6CCB6CEA"/>
    <w:rsid w:val="6CF2E11D"/>
    <w:rsid w:val="79EAB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24E253BD646E42B7BF957CEC81C8F4" ma:contentTypeVersion="12" ma:contentTypeDescription="Create a new document." ma:contentTypeScope="" ma:versionID="9d40314cf5c2d4e78a522153e6824938">
  <xsd:schema xmlns:xsd="http://www.w3.org/2001/XMLSchema" xmlns:xs="http://www.w3.org/2001/XMLSchema" xmlns:p="http://schemas.microsoft.com/office/2006/metadata/properties" xmlns:ns2="5c97b29a-b9d2-47a5-aff4-cf44f8b15afa" xmlns:ns3="6d76796b-54a2-4e13-b7be-c6ee71b1dcd6" targetNamespace="http://schemas.microsoft.com/office/2006/metadata/properties" ma:root="true" ma:fieldsID="c515110208c4ebf0078ed9f38729df7b" ns2:_="" ns3:_="">
    <xsd:import namespace="5c97b29a-b9d2-47a5-aff4-cf44f8b15afa"/>
    <xsd:import namespace="6d76796b-54a2-4e13-b7be-c6ee71b1dc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b29a-b9d2-47a5-aff4-cf44f8b15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6796b-54a2-4e13-b7be-c6ee71b1dc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a75732-3b72-4034-ad2a-6367ce558084}" ma:internalName="TaxCatchAll" ma:showField="CatchAllData" ma:web="6d76796b-54a2-4e13-b7be-c6ee71b1d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d76796b-54a2-4e13-b7be-c6ee71b1dcd6" xsi:nil="true"/>
    <lcf76f155ced4ddcb4097134ff3c332f xmlns="5c97b29a-b9d2-47a5-aff4-cf44f8b15af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DBD3E-0FAF-41E6-A4A4-DB9F9F08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b29a-b9d2-47a5-aff4-cf44f8b15afa"/>
    <ds:schemaRef ds:uri="6d76796b-54a2-4e13-b7be-c6ee71b1d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1F54A-08FA-4AC0-AB4E-5A05B60F1BE2}">
  <ds:schemaRefs>
    <ds:schemaRef ds:uri="http://schemas.openxmlformats.org/officeDocument/2006/bibliography"/>
  </ds:schemaRefs>
</ds:datastoreItem>
</file>

<file path=customXml/itemProps3.xml><?xml version="1.0" encoding="utf-8"?>
<ds:datastoreItem xmlns:ds="http://schemas.openxmlformats.org/officeDocument/2006/customXml" ds:itemID="{1A9A4564-84D6-48F5-B71A-8CD3DF050BCA}">
  <ds:schemaRefs>
    <ds:schemaRef ds:uri="http://schemas.microsoft.com/office/2006/metadata/properties"/>
    <ds:schemaRef ds:uri="http://schemas.microsoft.com/office/infopath/2007/PartnerControls"/>
    <ds:schemaRef ds:uri="6d76796b-54a2-4e13-b7be-c6ee71b1dcd6"/>
    <ds:schemaRef ds:uri="5c97b29a-b9d2-47a5-aff4-cf44f8b15afa"/>
  </ds:schemaRefs>
</ds:datastoreItem>
</file>

<file path=customXml/itemProps4.xml><?xml version="1.0" encoding="utf-8"?>
<ds:datastoreItem xmlns:ds="http://schemas.openxmlformats.org/officeDocument/2006/customXml" ds:itemID="{13E38073-C103-4623-B1A3-A6929DCD8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4</Pages>
  <Words>635</Words>
  <Characters>3622</Characters>
  <Application>Microsoft Office Word</Application>
  <DocSecurity>0</DocSecurity>
  <Lines>30</Lines>
  <Paragraphs>8</Paragraphs>
  <ScaleCrop>false</ScaleCrop>
  <Company>State Bar of Arizona</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2</cp:revision>
  <cp:lastPrinted>2014-04-30T16:27:00Z</cp:lastPrinted>
  <dcterms:created xsi:type="dcterms:W3CDTF">2025-05-01T22:05:00Z</dcterms:created>
  <dcterms:modified xsi:type="dcterms:W3CDTF">2025-05-01T22:05:00Z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0x0101008F24E253BD646E42B7BF957CEC81C8F4</vt:lpwstr>
  </property>
  <property fmtid="{D5CDD505-2E9C-101B-9397-08002B2CF9AE}" pid="7" name="MediaServiceImageTags">
    <vt:lpwstr/>
  </property>
</Properties>
</file>