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A9D5B" w14:textId="548C7E83" w:rsidR="00F46959" w:rsidRDefault="00F46959" w:rsidP="00482FCB">
      <w:pPr>
        <w:pStyle w:val="SinglePara"/>
        <w:ind w:firstLine="0"/>
        <w:jc w:val="center"/>
        <w:rPr>
          <w:b/>
          <w:bCs/>
        </w:rPr>
      </w:pPr>
    </w:p>
    <w:p w14:paraId="639636FC" w14:textId="67806E40" w:rsidR="00AA13FC" w:rsidRPr="00F46959" w:rsidRDefault="00AA13FC" w:rsidP="00482FCB">
      <w:pPr>
        <w:pStyle w:val="SinglePara"/>
        <w:ind w:firstLine="0"/>
        <w:jc w:val="center"/>
        <w:rPr>
          <w:b/>
          <w:bCs/>
          <w:caps/>
        </w:rPr>
      </w:pPr>
      <w:r w:rsidRPr="00F46959">
        <w:rPr>
          <w:b/>
          <w:bCs/>
          <w:caps/>
        </w:rPr>
        <w:t>Comment</w:t>
      </w:r>
      <w:r w:rsidR="00F46959" w:rsidRPr="00F46959">
        <w:rPr>
          <w:b/>
          <w:bCs/>
          <w:caps/>
        </w:rPr>
        <w:t>s</w:t>
      </w:r>
      <w:r w:rsidRPr="00F46959">
        <w:rPr>
          <w:b/>
          <w:bCs/>
          <w:caps/>
        </w:rPr>
        <w:t xml:space="preserve"> </w:t>
      </w:r>
      <w:r w:rsidR="00F46959" w:rsidRPr="00F46959">
        <w:rPr>
          <w:b/>
          <w:bCs/>
          <w:caps/>
        </w:rPr>
        <w:t>on</w:t>
      </w:r>
      <w:r w:rsidRPr="00F46959">
        <w:rPr>
          <w:b/>
          <w:bCs/>
          <w:caps/>
        </w:rPr>
        <w:t xml:space="preserve"> </w:t>
      </w:r>
      <w:r w:rsidR="00482FCB" w:rsidRPr="00F46959">
        <w:rPr>
          <w:b/>
          <w:bCs/>
          <w:caps/>
        </w:rPr>
        <w:t>R-25-0003 Petition to Amend Rule 8, Rules of Civil Procedure</w:t>
      </w:r>
    </w:p>
    <w:p w14:paraId="65198C15" w14:textId="3BDB18C0" w:rsidR="00AA13FC" w:rsidRPr="00F46959" w:rsidRDefault="009A5B26" w:rsidP="00F46959">
      <w:pPr>
        <w:pStyle w:val="SinglePara"/>
        <w:rPr>
          <w:rFonts w:asciiTheme="majorBidi" w:hAnsiTheme="majorBidi" w:cstheme="majorBidi"/>
        </w:rPr>
      </w:pPr>
      <w:r>
        <w:t>T</w:t>
      </w:r>
      <w:r w:rsidRPr="005D017B">
        <w:t>he U.S. Chamber of Commerce Institute for Legal Reform (</w:t>
      </w:r>
      <w:r w:rsidR="00F71C95">
        <w:t>“</w:t>
      </w:r>
      <w:r w:rsidRPr="005D017B">
        <w:t>ILR</w:t>
      </w:r>
      <w:r w:rsidR="00F71C95">
        <w:t>”</w:t>
      </w:r>
      <w:r w:rsidRPr="005D017B">
        <w:t>)</w:t>
      </w:r>
      <w:r>
        <w:rPr>
          <w:rStyle w:val="FootnoteReference"/>
        </w:rPr>
        <w:footnoteReference w:id="2"/>
      </w:r>
      <w:r>
        <w:t xml:space="preserve"> </w:t>
      </w:r>
      <w:r w:rsidR="00F46959" w:rsidRPr="00553E1B">
        <w:rPr>
          <w:rFonts w:asciiTheme="majorBidi" w:hAnsiTheme="majorBidi" w:cstheme="majorBidi"/>
        </w:rPr>
        <w:t>re</w:t>
      </w:r>
      <w:r w:rsidR="00F46959" w:rsidRPr="00AE20FA">
        <w:rPr>
          <w:rFonts w:asciiTheme="majorBidi" w:hAnsiTheme="majorBidi" w:cstheme="majorBidi"/>
        </w:rPr>
        <w:t>spectfully submits t</w:t>
      </w:r>
      <w:r w:rsidR="00F46959">
        <w:rPr>
          <w:rFonts w:asciiTheme="majorBidi" w:hAnsiTheme="majorBidi" w:cstheme="majorBidi"/>
        </w:rPr>
        <w:t xml:space="preserve">hese comments </w:t>
      </w:r>
      <w:r w:rsidR="002231F6">
        <w:rPr>
          <w:rFonts w:asciiTheme="majorBidi" w:hAnsiTheme="majorBidi" w:cstheme="majorBidi"/>
        </w:rPr>
        <w:t>regarding</w:t>
      </w:r>
      <w:r w:rsidR="00F46959">
        <w:rPr>
          <w:rFonts w:asciiTheme="majorBidi" w:hAnsiTheme="majorBidi" w:cstheme="majorBidi"/>
        </w:rPr>
        <w:t xml:space="preserve"> the Petition to Amend Rule 8, Rules of Civil Procedure to a</w:t>
      </w:r>
      <w:r w:rsidR="00F46959" w:rsidRPr="00F46959">
        <w:rPr>
          <w:rFonts w:asciiTheme="majorBidi" w:hAnsiTheme="majorBidi" w:cstheme="majorBidi"/>
        </w:rPr>
        <w:t xml:space="preserve">dd a new subsection (j) </w:t>
      </w:r>
      <w:r w:rsidR="00E01601">
        <w:rPr>
          <w:rFonts w:asciiTheme="majorBidi" w:hAnsiTheme="majorBidi" w:cstheme="majorBidi"/>
        </w:rPr>
        <w:t>that would</w:t>
      </w:r>
      <w:r w:rsidR="00F46959" w:rsidRPr="00F46959">
        <w:rPr>
          <w:rFonts w:asciiTheme="majorBidi" w:hAnsiTheme="majorBidi" w:cstheme="majorBidi"/>
        </w:rPr>
        <w:t xml:space="preserve"> require certain disclosures when </w:t>
      </w:r>
      <w:r w:rsidR="00E01601">
        <w:rPr>
          <w:rFonts w:asciiTheme="majorBidi" w:hAnsiTheme="majorBidi" w:cstheme="majorBidi"/>
        </w:rPr>
        <w:t>a civil ac</w:t>
      </w:r>
      <w:r w:rsidR="00D23E32">
        <w:rPr>
          <w:rFonts w:asciiTheme="majorBidi" w:hAnsiTheme="majorBidi" w:cstheme="majorBidi"/>
        </w:rPr>
        <w:t>tion</w:t>
      </w:r>
      <w:r w:rsidR="00F46959" w:rsidRPr="00F46959">
        <w:rPr>
          <w:rFonts w:asciiTheme="majorBidi" w:hAnsiTheme="majorBidi" w:cstheme="majorBidi"/>
        </w:rPr>
        <w:t xml:space="preserve"> is subject to a litigation fundin</w:t>
      </w:r>
      <w:r w:rsidR="00F46959" w:rsidRPr="00C04FB9">
        <w:rPr>
          <w:rFonts w:asciiTheme="majorBidi" w:hAnsiTheme="majorBidi" w:cstheme="majorBidi"/>
        </w:rPr>
        <w:t xml:space="preserve">g agreement.  </w:t>
      </w:r>
      <w:r w:rsidR="00AA13FC" w:rsidRPr="00C04FB9">
        <w:rPr>
          <w:rFonts w:cstheme="minorHAnsi"/>
        </w:rPr>
        <w:t xml:space="preserve">For the reasons explained below, </w:t>
      </w:r>
      <w:r>
        <w:rPr>
          <w:rFonts w:cstheme="minorHAnsi"/>
        </w:rPr>
        <w:t>ILR</w:t>
      </w:r>
      <w:r w:rsidR="00AA13FC" w:rsidRPr="00C04FB9">
        <w:rPr>
          <w:rFonts w:cstheme="minorHAnsi"/>
        </w:rPr>
        <w:t xml:space="preserve"> wishes </w:t>
      </w:r>
      <w:r w:rsidR="00121C8B">
        <w:rPr>
          <w:rFonts w:cstheme="minorHAnsi"/>
        </w:rPr>
        <w:t xml:space="preserve">(a) </w:t>
      </w:r>
      <w:r w:rsidR="00AA13FC" w:rsidRPr="00C04FB9">
        <w:rPr>
          <w:rFonts w:cstheme="minorHAnsi"/>
        </w:rPr>
        <w:t xml:space="preserve">to express </w:t>
      </w:r>
      <w:r w:rsidR="00F46959" w:rsidRPr="00C04FB9">
        <w:rPr>
          <w:rFonts w:cstheme="minorHAnsi"/>
        </w:rPr>
        <w:t xml:space="preserve">its general </w:t>
      </w:r>
      <w:r w:rsidR="00AA13FC" w:rsidRPr="00C04FB9">
        <w:rPr>
          <w:rFonts w:cstheme="minorHAnsi"/>
        </w:rPr>
        <w:t xml:space="preserve">support </w:t>
      </w:r>
      <w:r w:rsidR="00664DA2">
        <w:rPr>
          <w:rFonts w:cstheme="minorHAnsi"/>
        </w:rPr>
        <w:t xml:space="preserve">for </w:t>
      </w:r>
      <w:r w:rsidR="00AA13FC" w:rsidRPr="00C04FB9">
        <w:rPr>
          <w:rFonts w:cstheme="minorHAnsi"/>
        </w:rPr>
        <w:t>transparency of third-party litigation funding (</w:t>
      </w:r>
      <w:r w:rsidR="00F71C95">
        <w:rPr>
          <w:rFonts w:cstheme="minorHAnsi"/>
        </w:rPr>
        <w:t>“</w:t>
      </w:r>
      <w:r w:rsidR="00AA13FC" w:rsidRPr="00C04FB9">
        <w:rPr>
          <w:rFonts w:cstheme="minorHAnsi"/>
        </w:rPr>
        <w:t>TPLF</w:t>
      </w:r>
      <w:r w:rsidR="00F71C95">
        <w:rPr>
          <w:rFonts w:cstheme="minorHAnsi"/>
        </w:rPr>
        <w:t>”</w:t>
      </w:r>
      <w:r w:rsidR="00AA13FC" w:rsidRPr="00C04FB9">
        <w:rPr>
          <w:rFonts w:cstheme="minorHAnsi"/>
        </w:rPr>
        <w:t xml:space="preserve">) </w:t>
      </w:r>
      <w:r w:rsidR="00664DA2">
        <w:rPr>
          <w:rFonts w:cstheme="minorHAnsi"/>
        </w:rPr>
        <w:t>agreements</w:t>
      </w:r>
      <w:r w:rsidR="00F46959" w:rsidRPr="00C04FB9">
        <w:rPr>
          <w:rFonts w:cstheme="minorHAnsi"/>
        </w:rPr>
        <w:t xml:space="preserve"> </w:t>
      </w:r>
      <w:r w:rsidR="00121C8B">
        <w:rPr>
          <w:rFonts w:cstheme="minorHAnsi"/>
        </w:rPr>
        <w:t>and (b) to</w:t>
      </w:r>
      <w:r w:rsidR="00F46959" w:rsidRPr="00C04FB9">
        <w:rPr>
          <w:rFonts w:cstheme="minorHAnsi"/>
        </w:rPr>
        <w:t xml:space="preserve"> </w:t>
      </w:r>
      <w:r w:rsidR="00091DBF">
        <w:rPr>
          <w:rFonts w:cstheme="minorHAnsi"/>
        </w:rPr>
        <w:t xml:space="preserve">urge </w:t>
      </w:r>
      <w:r w:rsidR="0021154D">
        <w:rPr>
          <w:rFonts w:cstheme="minorHAnsi"/>
        </w:rPr>
        <w:t xml:space="preserve">that </w:t>
      </w:r>
      <w:r w:rsidR="00C04FB9" w:rsidRPr="00C04FB9">
        <w:rPr>
          <w:rFonts w:cstheme="minorHAnsi"/>
        </w:rPr>
        <w:t xml:space="preserve">two revisions </w:t>
      </w:r>
      <w:r w:rsidR="0021154D">
        <w:rPr>
          <w:rFonts w:cstheme="minorHAnsi"/>
        </w:rPr>
        <w:t xml:space="preserve">be made </w:t>
      </w:r>
      <w:r w:rsidR="00C04FB9" w:rsidRPr="00C04FB9">
        <w:rPr>
          <w:rFonts w:cstheme="minorHAnsi"/>
        </w:rPr>
        <w:t xml:space="preserve">to the </w:t>
      </w:r>
      <w:r w:rsidR="00A37E78">
        <w:rPr>
          <w:rFonts w:cstheme="minorHAnsi"/>
        </w:rPr>
        <w:t xml:space="preserve">proposed </w:t>
      </w:r>
      <w:r w:rsidR="00C04FB9" w:rsidRPr="00C04FB9">
        <w:rPr>
          <w:rFonts w:cstheme="minorHAnsi"/>
        </w:rPr>
        <w:t xml:space="preserve">text of </w:t>
      </w:r>
      <w:r w:rsidR="00F46959" w:rsidRPr="00C04FB9">
        <w:rPr>
          <w:rFonts w:cstheme="minorHAnsi"/>
        </w:rPr>
        <w:t>subsection (j)</w:t>
      </w:r>
      <w:r w:rsidR="00DA620F" w:rsidRPr="00C04FB9">
        <w:rPr>
          <w:rFonts w:cstheme="minorHAnsi"/>
        </w:rPr>
        <w:t xml:space="preserve"> </w:t>
      </w:r>
      <w:r w:rsidR="00664DA2">
        <w:rPr>
          <w:rFonts w:cstheme="minorHAnsi"/>
        </w:rPr>
        <w:t xml:space="preserve">of the proposed amendment to Rule 8 </w:t>
      </w:r>
      <w:r w:rsidR="00DA620F" w:rsidRPr="00C04FB9">
        <w:rPr>
          <w:rFonts w:cstheme="minorHAnsi"/>
        </w:rPr>
        <w:t xml:space="preserve">to </w:t>
      </w:r>
      <w:r w:rsidR="00C04FB9" w:rsidRPr="00C04FB9">
        <w:rPr>
          <w:rFonts w:cstheme="minorHAnsi"/>
        </w:rPr>
        <w:t xml:space="preserve">better effectuate the policies </w:t>
      </w:r>
      <w:r w:rsidR="00055BEB">
        <w:rPr>
          <w:rFonts w:cstheme="minorHAnsi"/>
        </w:rPr>
        <w:t>underlying</w:t>
      </w:r>
      <w:r w:rsidR="00C04FB9" w:rsidRPr="00C04FB9">
        <w:rPr>
          <w:rFonts w:cstheme="minorHAnsi"/>
        </w:rPr>
        <w:t xml:space="preserve"> the</w:t>
      </w:r>
      <w:r w:rsidR="00C04FB9">
        <w:rPr>
          <w:rFonts w:cstheme="minorHAnsi"/>
        </w:rPr>
        <w:t xml:space="preserve"> amendment. </w:t>
      </w:r>
    </w:p>
    <w:p w14:paraId="201FE01E" w14:textId="1ACDEF2E" w:rsidR="00AA13FC" w:rsidRPr="00F46959" w:rsidRDefault="00F46959" w:rsidP="00F46959">
      <w:pPr>
        <w:pStyle w:val="SinglePara"/>
        <w:ind w:firstLine="0"/>
        <w:jc w:val="center"/>
        <w:rPr>
          <w:rFonts w:cstheme="minorHAnsi"/>
          <w:b/>
          <w:bCs/>
        </w:rPr>
      </w:pPr>
      <w:r>
        <w:rPr>
          <w:rFonts w:cstheme="minorHAnsi"/>
          <w:b/>
          <w:bCs/>
        </w:rPr>
        <w:t>Introduction</w:t>
      </w:r>
    </w:p>
    <w:p w14:paraId="01E59440" w14:textId="50EEAF89" w:rsidR="00AA13FC" w:rsidRDefault="00AA13FC" w:rsidP="006D0185">
      <w:pPr>
        <w:pStyle w:val="SinglePara"/>
        <w:rPr>
          <w:rFonts w:cstheme="minorHAnsi"/>
        </w:rPr>
      </w:pPr>
      <w:r>
        <w:rPr>
          <w:rFonts w:cstheme="minorHAnsi"/>
        </w:rPr>
        <w:t xml:space="preserve">TPLF is a rapidly growing </w:t>
      </w:r>
      <w:r w:rsidRPr="00154C5A">
        <w:rPr>
          <w:rFonts w:cstheme="minorHAnsi"/>
        </w:rPr>
        <w:t xml:space="preserve">business model in which </w:t>
      </w:r>
      <w:r>
        <w:rPr>
          <w:rFonts w:cstheme="minorHAnsi"/>
        </w:rPr>
        <w:t>non-</w:t>
      </w:r>
      <w:r w:rsidRPr="00154C5A">
        <w:rPr>
          <w:rFonts w:cstheme="minorHAnsi"/>
        </w:rPr>
        <w:t xml:space="preserve">parties </w:t>
      </w:r>
      <w:r>
        <w:rPr>
          <w:rFonts w:cstheme="minorHAnsi"/>
        </w:rPr>
        <w:t xml:space="preserve">invest in litigation by </w:t>
      </w:r>
      <w:r w:rsidRPr="00154C5A">
        <w:rPr>
          <w:rFonts w:cstheme="minorHAnsi"/>
        </w:rPr>
        <w:t>pay</w:t>
      </w:r>
      <w:r>
        <w:rPr>
          <w:rFonts w:cstheme="minorHAnsi"/>
        </w:rPr>
        <w:t>ing</w:t>
      </w:r>
      <w:r w:rsidRPr="00154C5A">
        <w:rPr>
          <w:rFonts w:cstheme="minorHAnsi"/>
        </w:rPr>
        <w:t xml:space="preserve"> money to a </w:t>
      </w:r>
      <w:r>
        <w:rPr>
          <w:rFonts w:cstheme="minorHAnsi"/>
        </w:rPr>
        <w:t>plaintiff</w:t>
      </w:r>
      <w:r w:rsidRPr="00154C5A">
        <w:rPr>
          <w:rFonts w:cstheme="minorHAnsi"/>
        </w:rPr>
        <w:t xml:space="preserve"> or his/her counsel in exchange for a</w:t>
      </w:r>
      <w:r w:rsidR="00D17749">
        <w:rPr>
          <w:rFonts w:cstheme="minorHAnsi"/>
        </w:rPr>
        <w:t>n</w:t>
      </w:r>
      <w:r w:rsidRPr="00154C5A">
        <w:rPr>
          <w:rFonts w:cstheme="minorHAnsi"/>
        </w:rPr>
        <w:t xml:space="preserve"> interest in proceeds from </w:t>
      </w:r>
      <w:r>
        <w:rPr>
          <w:rFonts w:cstheme="minorHAnsi"/>
        </w:rPr>
        <w:t>the lawsuit</w:t>
      </w:r>
      <w:r w:rsidRPr="00154C5A">
        <w:rPr>
          <w:rFonts w:cstheme="minorHAnsi"/>
        </w:rPr>
        <w:t>.</w:t>
      </w:r>
      <w:r>
        <w:rPr>
          <w:rFonts w:cstheme="minorHAnsi"/>
        </w:rPr>
        <w:t xml:space="preserve">  </w:t>
      </w:r>
      <w:r w:rsidRPr="00712DA7">
        <w:rPr>
          <w:rFonts w:cstheme="minorHAnsi"/>
        </w:rPr>
        <w:t xml:space="preserve">At present, virtually all TPLF activity </w:t>
      </w:r>
      <w:r>
        <w:rPr>
          <w:rFonts w:cstheme="minorHAnsi"/>
        </w:rPr>
        <w:t>in U.S. courts</w:t>
      </w:r>
      <w:r w:rsidR="006D0185">
        <w:rPr>
          <w:rFonts w:cstheme="minorHAnsi"/>
        </w:rPr>
        <w:t>, including in Arizona,</w:t>
      </w:r>
      <w:r>
        <w:rPr>
          <w:rFonts w:cstheme="minorHAnsi"/>
        </w:rPr>
        <w:t xml:space="preserve"> </w:t>
      </w:r>
      <w:r w:rsidRPr="00712DA7">
        <w:rPr>
          <w:rFonts w:cstheme="minorHAnsi"/>
        </w:rPr>
        <w:t>occur</w:t>
      </w:r>
      <w:r>
        <w:rPr>
          <w:rFonts w:cstheme="minorHAnsi"/>
        </w:rPr>
        <w:t>s</w:t>
      </w:r>
      <w:r w:rsidRPr="00712DA7">
        <w:rPr>
          <w:rFonts w:cstheme="minorHAnsi"/>
        </w:rPr>
        <w:t xml:space="preserve"> in secrecy because there is</w:t>
      </w:r>
      <w:r>
        <w:rPr>
          <w:rFonts w:cstheme="minorHAnsi"/>
        </w:rPr>
        <w:t xml:space="preserve"> </w:t>
      </w:r>
      <w:r w:rsidRPr="00712DA7">
        <w:rPr>
          <w:rFonts w:cstheme="minorHAnsi"/>
        </w:rPr>
        <w:t xml:space="preserve">no </w:t>
      </w:r>
      <w:r>
        <w:rPr>
          <w:rFonts w:cstheme="minorHAnsi"/>
        </w:rPr>
        <w:t>generally applicable</w:t>
      </w:r>
      <w:r w:rsidRPr="00712DA7">
        <w:rPr>
          <w:rFonts w:cstheme="minorHAnsi"/>
        </w:rPr>
        <w:t xml:space="preserve"> </w:t>
      </w:r>
      <w:r w:rsidR="00CF1848">
        <w:rPr>
          <w:rFonts w:cstheme="minorHAnsi"/>
        </w:rPr>
        <w:t xml:space="preserve">national </w:t>
      </w:r>
      <w:r>
        <w:rPr>
          <w:rFonts w:cstheme="minorHAnsi"/>
        </w:rPr>
        <w:t xml:space="preserve">statute or </w:t>
      </w:r>
      <w:r w:rsidRPr="00712DA7">
        <w:rPr>
          <w:rFonts w:cstheme="minorHAnsi"/>
        </w:rPr>
        <w:t>rule requiring disclosure.</w:t>
      </w:r>
      <w:r>
        <w:rPr>
          <w:rStyle w:val="FootnoteReference"/>
          <w:rFonts w:cstheme="minorHAnsi"/>
        </w:rPr>
        <w:footnoteReference w:id="3"/>
      </w:r>
      <w:r>
        <w:rPr>
          <w:rFonts w:cstheme="minorHAnsi"/>
        </w:rPr>
        <w:t xml:space="preserve">  </w:t>
      </w:r>
      <w:r w:rsidRPr="00712DA7">
        <w:rPr>
          <w:rFonts w:cstheme="minorHAnsi"/>
        </w:rPr>
        <w:t>Moreover, to the extent defendants seek this information through ordinary discovery, plaintiffs</w:t>
      </w:r>
      <w:r w:rsidR="00EB7A05">
        <w:rPr>
          <w:rFonts w:cstheme="minorHAnsi"/>
        </w:rPr>
        <w:t xml:space="preserve"> (and their funders)</w:t>
      </w:r>
      <w:r w:rsidRPr="00712DA7">
        <w:rPr>
          <w:rFonts w:cstheme="minorHAnsi"/>
        </w:rPr>
        <w:t xml:space="preserve"> generally </w:t>
      </w:r>
      <w:r>
        <w:rPr>
          <w:rFonts w:cstheme="minorHAnsi"/>
        </w:rPr>
        <w:t>resist strenuously</w:t>
      </w:r>
      <w:r w:rsidRPr="00712DA7">
        <w:rPr>
          <w:rFonts w:cstheme="minorHAnsi"/>
        </w:rPr>
        <w:t>, and courts often do not compel production of the requested information.</w:t>
      </w:r>
      <w:r>
        <w:rPr>
          <w:rFonts w:cstheme="minorHAnsi"/>
        </w:rPr>
        <w:t xml:space="preserve">  Thus, the existence of TPLF in a particular civil action typically becomes known to the court and the parties only if there is compliance with a local rule or standing order requiring disclosure (or a public dispute emerges between the plaintiff and the funder).  </w:t>
      </w:r>
      <w:r w:rsidRPr="00BF7605">
        <w:rPr>
          <w:rFonts w:cstheme="minorHAnsi"/>
        </w:rPr>
        <w:t xml:space="preserve">  </w:t>
      </w:r>
    </w:p>
    <w:p w14:paraId="5F751B50" w14:textId="6BDC114F" w:rsidR="00AA13FC" w:rsidRDefault="00AA13FC" w:rsidP="00AA13FC">
      <w:pPr>
        <w:pStyle w:val="SinglePara"/>
      </w:pPr>
      <w:r>
        <w:t xml:space="preserve">Despite this secrecy, it is clear that the amount of litigation being funded by non-party investors has grown by leaps and bounds over the last decade.  </w:t>
      </w:r>
      <w:r w:rsidRPr="0047748E">
        <w:rPr>
          <w:rFonts w:eastAsia="Times New Roman"/>
          <w:lang w:bidi="ar-SA"/>
        </w:rPr>
        <w:t xml:space="preserve">According to one industry report, during </w:t>
      </w:r>
      <w:r w:rsidR="0047748E">
        <w:rPr>
          <w:rFonts w:eastAsia="Times New Roman"/>
          <w:lang w:bidi="ar-SA"/>
        </w:rPr>
        <w:t>2024</w:t>
      </w:r>
      <w:r w:rsidRPr="0047748E">
        <w:rPr>
          <w:rFonts w:eastAsia="Times New Roman"/>
          <w:lang w:bidi="ar-SA"/>
        </w:rPr>
        <w:t>, litigation funders had $</w:t>
      </w:r>
      <w:r w:rsidR="0047748E">
        <w:rPr>
          <w:rFonts w:eastAsia="Times New Roman"/>
          <w:lang w:bidi="ar-SA"/>
        </w:rPr>
        <w:t>16.1</w:t>
      </w:r>
      <w:r w:rsidRPr="0047748E">
        <w:rPr>
          <w:rFonts w:eastAsia="Times New Roman"/>
          <w:lang w:bidi="ar-SA"/>
        </w:rPr>
        <w:t xml:space="preserve"> billion in assets under management in the U.S.</w:t>
      </w:r>
      <w:r w:rsidRPr="002D306A">
        <w:rPr>
          <w:rFonts w:eastAsia="Times New Roman"/>
          <w:vertAlign w:val="superscript"/>
          <w:lang w:bidi="ar-SA"/>
        </w:rPr>
        <w:footnoteReference w:id="4"/>
      </w:r>
      <w:r w:rsidRPr="002D306A">
        <w:rPr>
          <w:rFonts w:eastAsia="Times New Roman"/>
          <w:lang w:bidi="ar-SA"/>
        </w:rPr>
        <w:t xml:space="preserve">  </w:t>
      </w:r>
      <w:r>
        <w:t xml:space="preserve">An </w:t>
      </w:r>
      <w:r w:rsidRPr="00773EDB">
        <w:t xml:space="preserve">analysis conducted </w:t>
      </w:r>
      <w:r>
        <w:t xml:space="preserve">in 2022 </w:t>
      </w:r>
      <w:r w:rsidRPr="00773EDB">
        <w:t>by Texas A&amp;M University shows that from 2015-2021, at minimum, almost 25% of patent lawsuits in the U</w:t>
      </w:r>
      <w:r w:rsidR="00A25013">
        <w:t>.</w:t>
      </w:r>
      <w:r w:rsidRPr="00773EDB">
        <w:t>S</w:t>
      </w:r>
      <w:r w:rsidR="00A25013">
        <w:t>.</w:t>
      </w:r>
      <w:r w:rsidRPr="00773EDB">
        <w:t xml:space="preserve"> were funded by third parties.</w:t>
      </w:r>
      <w:r>
        <w:rPr>
          <w:rStyle w:val="FootnoteReference"/>
        </w:rPr>
        <w:footnoteReference w:id="5"/>
      </w:r>
      <w:r w:rsidRPr="00773EDB">
        <w:t xml:space="preserve"> </w:t>
      </w:r>
      <w:r>
        <w:t xml:space="preserve"> </w:t>
      </w:r>
      <w:r w:rsidR="001333DB">
        <w:t>A</w:t>
      </w:r>
      <w:r w:rsidR="00A1606C">
        <w:t xml:space="preserve">nd a </w:t>
      </w:r>
      <w:r w:rsidR="001333DB">
        <w:t xml:space="preserve">study conducted </w:t>
      </w:r>
      <w:r w:rsidR="001333DB">
        <w:lastRenderedPageBreak/>
        <w:t xml:space="preserve">by the </w:t>
      </w:r>
      <w:r w:rsidR="005D4990">
        <w:t>Government Accountability Office (“</w:t>
      </w:r>
      <w:r w:rsidR="001333DB">
        <w:t>GAO</w:t>
      </w:r>
      <w:r w:rsidR="005D4990">
        <w:t>”)</w:t>
      </w:r>
      <w:r w:rsidR="001333DB">
        <w:t xml:space="preserve"> suggests that the number could be </w:t>
      </w:r>
      <w:r w:rsidR="00B8155C">
        <w:t xml:space="preserve">significantly </w:t>
      </w:r>
      <w:r w:rsidR="001333DB">
        <w:t>high</w:t>
      </w:r>
      <w:r w:rsidR="00B8155C">
        <w:t>er.</w:t>
      </w:r>
      <w:r w:rsidR="003B183F">
        <w:rPr>
          <w:rStyle w:val="FootnoteReference"/>
        </w:rPr>
        <w:footnoteReference w:id="6"/>
      </w:r>
      <w:r w:rsidR="001333DB">
        <w:t xml:space="preserve">  </w:t>
      </w:r>
    </w:p>
    <w:p w14:paraId="2AA5B185" w14:textId="51F7CA35" w:rsidR="00AA13FC" w:rsidRDefault="00AA13FC" w:rsidP="00AA13FC">
      <w:pPr>
        <w:ind w:firstLine="720"/>
      </w:pPr>
      <w:r>
        <w:t xml:space="preserve">While public attention to TPLF has </w:t>
      </w:r>
      <w:r w:rsidR="00DB178E">
        <w:t xml:space="preserve">often </w:t>
      </w:r>
      <w:r>
        <w:t xml:space="preserve">focused on the patent </w:t>
      </w:r>
      <w:r w:rsidR="00750B7D">
        <w:t>and business</w:t>
      </w:r>
      <w:r w:rsidR="009737D3">
        <w:t>-to-business</w:t>
      </w:r>
      <w:r w:rsidR="00750B7D">
        <w:t xml:space="preserve"> litigation </w:t>
      </w:r>
      <w:r>
        <w:t>space, litigation investors have increasingly become entrenched in other aspects of our civil justice system, including the mass torts arena</w:t>
      </w:r>
      <w:r w:rsidR="00325C44">
        <w:t xml:space="preserve"> in bo</w:t>
      </w:r>
      <w:r w:rsidR="004A028A">
        <w:t>th federal and state courts</w:t>
      </w:r>
      <w:r>
        <w:t>.</w:t>
      </w:r>
      <w:r w:rsidRPr="003F1458">
        <w:rPr>
          <w:rFonts w:eastAsia="DengXian"/>
          <w:color w:val="000000"/>
          <w:vertAlign w:val="superscript"/>
          <w:lang w:eastAsia="en-US"/>
        </w:rPr>
        <w:footnoteReference w:id="7"/>
      </w:r>
      <w:r>
        <w:t xml:space="preserve">  </w:t>
      </w:r>
      <w:r w:rsidRPr="000E2372">
        <w:rPr>
          <w:rFonts w:eastAsia="Times New Roman"/>
        </w:rPr>
        <w:t>Flush with cash, plaintiffs</w:t>
      </w:r>
      <w:r w:rsidR="00F71C95">
        <w:rPr>
          <w:rFonts w:eastAsia="Times New Roman"/>
        </w:rPr>
        <w:t>’</w:t>
      </w:r>
      <w:r w:rsidRPr="000E2372">
        <w:rPr>
          <w:rFonts w:eastAsia="Times New Roman"/>
        </w:rPr>
        <w:t xml:space="preserve"> lawyers and their investors are able to work with claim </w:t>
      </w:r>
      <w:r w:rsidRPr="000E2372">
        <w:t>aggregators (also known as lead generators) to drum up clients and claim</w:t>
      </w:r>
      <w:r w:rsidRPr="009F7040">
        <w:t xml:space="preserve">s.  </w:t>
      </w:r>
      <w:r w:rsidR="00F71C95">
        <w:t>“</w:t>
      </w:r>
      <w:r w:rsidRPr="009F7040">
        <w:t>Advertising is the main method to find claimants, and it</w:t>
      </w:r>
      <w:r w:rsidR="00F71C95">
        <w:t>’</w:t>
      </w:r>
      <w:r w:rsidRPr="009F7040">
        <w:t>s handled by an ecosystem of lawyer-specific ad agencies . .</w:t>
      </w:r>
      <w:r>
        <w:t> . .</w:t>
      </w:r>
      <w:r w:rsidR="00F71C95">
        <w:t>”</w:t>
      </w:r>
      <w:r w:rsidRPr="000E2372">
        <w:rPr>
          <w:rStyle w:val="FootnoteReference"/>
        </w:rPr>
        <w:footnoteReference w:id="8"/>
      </w:r>
      <w:r w:rsidRPr="000E2372">
        <w:t xml:space="preserve">  These companies engage in aggressive marketing and sell the names of potential claimants to plaintiffs</w:t>
      </w:r>
      <w:r w:rsidR="00F71C95">
        <w:t>’</w:t>
      </w:r>
      <w:r w:rsidRPr="000E2372">
        <w:t xml:space="preserve"> counsel.</w:t>
      </w:r>
      <w:r w:rsidRPr="000E2372">
        <w:rPr>
          <w:vertAlign w:val="superscript"/>
        </w:rPr>
        <w:footnoteReference w:id="9"/>
      </w:r>
      <w:r w:rsidRPr="000E2372">
        <w:t xml:space="preserve">  Millions of dollars have been spent on such efforts to fuel litigation involving </w:t>
      </w:r>
      <w:r>
        <w:t xml:space="preserve">a wide array of topics, including </w:t>
      </w:r>
      <w:r w:rsidRPr="000E2372">
        <w:t>talcum powder, military earplugs</w:t>
      </w:r>
      <w:r>
        <w:t>, baby formula</w:t>
      </w:r>
      <w:r w:rsidRPr="000E2372">
        <w:t xml:space="preserve"> and weedkiller</w:t>
      </w:r>
      <w:r>
        <w:t>s</w:t>
      </w:r>
      <w:r w:rsidRPr="000E2372">
        <w:t>.</w:t>
      </w:r>
      <w:r w:rsidRPr="000E2372">
        <w:rPr>
          <w:rStyle w:val="FootnoteReference"/>
        </w:rPr>
        <w:footnoteReference w:id="10"/>
      </w:r>
      <w:r w:rsidRPr="000E2372">
        <w:t xml:space="preserve"> </w:t>
      </w:r>
      <w:r>
        <w:t xml:space="preserve"> </w:t>
      </w:r>
      <w:r w:rsidRPr="000E2372">
        <w:t xml:space="preserve">For example, litigation funding and aggressive advertising on television, radio and social media effectively turned the 3M Combat Arms Earplug litigation into the largest mass tort in U.S. history, </w:t>
      </w:r>
      <w:r>
        <w:t>generating</w:t>
      </w:r>
      <w:r w:rsidRPr="000E2372">
        <w:t xml:space="preserve"> close to 300,000 claimants.</w:t>
      </w:r>
      <w:r w:rsidRPr="000E2372">
        <w:rPr>
          <w:rStyle w:val="FootnoteReference"/>
        </w:rPr>
        <w:footnoteReference w:id="11"/>
      </w:r>
      <w:r>
        <w:t xml:space="preserve">  </w:t>
      </w:r>
      <w:r w:rsidRPr="0061419D">
        <w:t xml:space="preserve">As </w:t>
      </w:r>
      <w:r w:rsidRPr="00E91E05">
        <w:t>one member of the plaintiffs</w:t>
      </w:r>
      <w:r w:rsidR="00F71C95">
        <w:t>’</w:t>
      </w:r>
      <w:r w:rsidRPr="00E91E05">
        <w:t xml:space="preserve"> bar put it, </w:t>
      </w:r>
      <w:r w:rsidR="00F71C95">
        <w:t>“</w:t>
      </w:r>
      <w:r w:rsidRPr="00E91E05">
        <w:t>[f]ive or seven years ago, a tort like 3M would have been 50,000 claimants . . . . Now it</w:t>
      </w:r>
      <w:r w:rsidR="00F71C95">
        <w:t>’</w:t>
      </w:r>
      <w:r w:rsidRPr="00E91E05">
        <w:t>s [more than] 275,000 claimants because of innovations around digital marketing and origination, the technology to absorb that type of volume, and capi</w:t>
      </w:r>
      <w:r w:rsidRPr="0061419D">
        <w:t>tal.</w:t>
      </w:r>
      <w:r w:rsidR="00F71C95">
        <w:t>”</w:t>
      </w:r>
      <w:r w:rsidRPr="0061419D">
        <w:rPr>
          <w:rStyle w:val="FootnoteReference"/>
        </w:rPr>
        <w:footnoteReference w:id="12"/>
      </w:r>
      <w:r w:rsidRPr="0061419D">
        <w:t xml:space="preserve">  Because hearing loss and tinnitus have many causes and become increasingly common with</w:t>
      </w:r>
      <w:r>
        <w:t xml:space="preserve"> advancing</w:t>
      </w:r>
      <w:r w:rsidRPr="0061419D">
        <w:t xml:space="preserve"> age,</w:t>
      </w:r>
      <w:r>
        <w:rPr>
          <w:rStyle w:val="FootnoteReference"/>
        </w:rPr>
        <w:footnoteReference w:id="13"/>
      </w:r>
      <w:r w:rsidRPr="0061419D">
        <w:t xml:space="preserve"> plaintiffs</w:t>
      </w:r>
      <w:r w:rsidR="00F71C95">
        <w:t>’</w:t>
      </w:r>
      <w:r w:rsidRPr="0061419D">
        <w:t xml:space="preserve"> lawyers </w:t>
      </w:r>
      <w:r>
        <w:t xml:space="preserve">were </w:t>
      </w:r>
      <w:r w:rsidRPr="0061419D">
        <w:t>able to amass a large volume of claims and exert</w:t>
      </w:r>
      <w:r w:rsidRPr="000E2372">
        <w:t xml:space="preserve"> enormous settlement pressure </w:t>
      </w:r>
      <w:r>
        <w:t>on</w:t>
      </w:r>
      <w:r w:rsidRPr="000E2372">
        <w:t xml:space="preserve"> the defendant.</w:t>
      </w:r>
    </w:p>
    <w:p w14:paraId="64107CF9" w14:textId="77777777" w:rsidR="00AA13FC" w:rsidRDefault="00AA13FC" w:rsidP="009A5B26"/>
    <w:p w14:paraId="01F19CAE" w14:textId="63C88AA8" w:rsidR="00C8239F" w:rsidRDefault="00315E17" w:rsidP="001B2DBB">
      <w:pPr>
        <w:ind w:firstLine="720"/>
      </w:pPr>
      <w:r>
        <w:lastRenderedPageBreak/>
        <w:t xml:space="preserve">In light of the increasingly pervasive usage of TPLF, </w:t>
      </w:r>
      <w:r w:rsidR="005B010F">
        <w:t>an increas</w:t>
      </w:r>
      <w:r w:rsidR="00AB1A35">
        <w:t xml:space="preserve">ing number of </w:t>
      </w:r>
      <w:r w:rsidR="00C8239F">
        <w:t>s</w:t>
      </w:r>
      <w:r w:rsidR="00C8239F" w:rsidRPr="00C8239F">
        <w:t xml:space="preserve">tates are enacting laws that require disclosure of TPLF agreements. </w:t>
      </w:r>
      <w:r w:rsidR="00C8239F">
        <w:t xml:space="preserve"> </w:t>
      </w:r>
      <w:r w:rsidR="00664DA2">
        <w:t>In 2023,</w:t>
      </w:r>
      <w:r w:rsidR="00054BF4">
        <w:t xml:space="preserve"> for example, </w:t>
      </w:r>
      <w:r w:rsidR="00C8239F" w:rsidRPr="00894CC4">
        <w:t xml:space="preserve">Montana </w:t>
      </w:r>
      <w:r w:rsidR="00C8239F">
        <w:t xml:space="preserve">enacted a TPLF law that </w:t>
      </w:r>
      <w:r w:rsidR="00C8239F" w:rsidRPr="00894CC4">
        <w:t>require</w:t>
      </w:r>
      <w:r w:rsidR="00C8239F">
        <w:t>s</w:t>
      </w:r>
      <w:r w:rsidR="00C8239F" w:rsidRPr="00894CC4">
        <w:t xml:space="preserve"> d</w:t>
      </w:r>
      <w:r w:rsidR="00C8239F">
        <w:t xml:space="preserve">isclosure of all </w:t>
      </w:r>
      <w:r w:rsidR="00C8239F" w:rsidRPr="00894CC4">
        <w:t>TPLF agreements in civil cases</w:t>
      </w:r>
      <w:r w:rsidR="00C8239F">
        <w:t xml:space="preserve">, requires </w:t>
      </w:r>
      <w:r w:rsidR="00C8239F" w:rsidRPr="00894CC4">
        <w:t>TPLF companies to register with the Secretary of State, prohibi</w:t>
      </w:r>
      <w:r w:rsidR="00C8239F">
        <w:t>ts</w:t>
      </w:r>
      <w:r w:rsidR="00C8239F" w:rsidRPr="00894CC4">
        <w:t xml:space="preserve"> usury fees, </w:t>
      </w:r>
      <w:r w:rsidR="00C8239F">
        <w:t xml:space="preserve">and </w:t>
      </w:r>
      <w:r w:rsidR="00C8239F" w:rsidRPr="00894CC4">
        <w:t>limit</w:t>
      </w:r>
      <w:r w:rsidR="00C8239F">
        <w:t>s</w:t>
      </w:r>
      <w:r w:rsidR="00C8239F" w:rsidRPr="00894CC4">
        <w:t xml:space="preserve"> the funders</w:t>
      </w:r>
      <w:r w:rsidR="00F71C95">
        <w:t>’</w:t>
      </w:r>
      <w:r w:rsidR="00C8239F" w:rsidRPr="00894CC4">
        <w:t xml:space="preserve"> share of a plaintiff</w:t>
      </w:r>
      <w:r w:rsidR="00F71C95">
        <w:t>’</w:t>
      </w:r>
      <w:r w:rsidR="00C8239F" w:rsidRPr="00894CC4">
        <w:t>s recovery</w:t>
      </w:r>
      <w:r w:rsidR="00C8239F">
        <w:t>.</w:t>
      </w:r>
      <w:r w:rsidR="00C8239F">
        <w:rPr>
          <w:rStyle w:val="FootnoteReference"/>
        </w:rPr>
        <w:footnoteReference w:id="14"/>
      </w:r>
      <w:r w:rsidR="00C8239F">
        <w:t xml:space="preserve">  </w:t>
      </w:r>
      <w:r w:rsidR="00C8239F" w:rsidRPr="00894CC4">
        <w:t>West Virginia and Wisconsin likewise mandate automatic disclosure of TPLF agreements</w:t>
      </w:r>
      <w:r w:rsidR="00C8239F">
        <w:t xml:space="preserve"> in all civil cases</w:t>
      </w:r>
      <w:r w:rsidR="00C8239F" w:rsidRPr="00894CC4">
        <w:t>.</w:t>
      </w:r>
      <w:r w:rsidR="00C8239F">
        <w:rPr>
          <w:rStyle w:val="FootnoteReference"/>
        </w:rPr>
        <w:footnoteReference w:id="15"/>
      </w:r>
      <w:r w:rsidR="00C8239F">
        <w:t xml:space="preserve"> </w:t>
      </w:r>
      <w:r w:rsidR="00C8239F" w:rsidRPr="00894CC4">
        <w:t xml:space="preserve"> </w:t>
      </w:r>
      <w:r w:rsidR="00C8239F">
        <w:t xml:space="preserve">Indiana enacted a law that </w:t>
      </w:r>
      <w:r w:rsidR="00746595">
        <w:t>dictates</w:t>
      </w:r>
      <w:r w:rsidR="00C8239F" w:rsidRPr="00315E17">
        <w:t xml:space="preserve"> the disclosure of </w:t>
      </w:r>
      <w:r w:rsidR="00F1158D">
        <w:t>TPLF usage</w:t>
      </w:r>
      <w:r w:rsidR="00C8239F" w:rsidRPr="00315E17">
        <w:t>, prohibits funders from accessing proprietary data, and bans them from influencing or controlling lawsuits.</w:t>
      </w:r>
      <w:r w:rsidR="00C8239F">
        <w:rPr>
          <w:rStyle w:val="FootnoteReference"/>
        </w:rPr>
        <w:footnoteReference w:id="16"/>
      </w:r>
      <w:r w:rsidR="00C8239F" w:rsidRPr="00315E17">
        <w:t xml:space="preserve"> </w:t>
      </w:r>
      <w:r w:rsidR="00C8239F">
        <w:t xml:space="preserve"> </w:t>
      </w:r>
      <w:r w:rsidR="0057278D">
        <w:t xml:space="preserve">And </w:t>
      </w:r>
      <w:r w:rsidR="00A50E6E">
        <w:t xml:space="preserve">most recently, </w:t>
      </w:r>
      <w:r w:rsidR="00DA7050">
        <w:t xml:space="preserve">Georgia </w:t>
      </w:r>
      <w:r w:rsidR="00A50E6E">
        <w:t xml:space="preserve">passed legislation that </w:t>
      </w:r>
      <w:r w:rsidR="00A50E6E" w:rsidRPr="005D4990">
        <w:rPr>
          <w:rFonts w:cstheme="minorHAnsi"/>
        </w:rPr>
        <w:t>require</w:t>
      </w:r>
      <w:r w:rsidR="00A50E6E">
        <w:rPr>
          <w:rFonts w:cstheme="minorHAnsi"/>
        </w:rPr>
        <w:t>s</w:t>
      </w:r>
      <w:r w:rsidR="00A50E6E" w:rsidRPr="005D4990">
        <w:rPr>
          <w:rFonts w:cstheme="minorHAnsi"/>
        </w:rPr>
        <w:t xml:space="preserve"> the funder to register, restrict</w:t>
      </w:r>
      <w:r w:rsidR="00A50E6E">
        <w:rPr>
          <w:rFonts w:cstheme="minorHAnsi"/>
        </w:rPr>
        <w:t>s</w:t>
      </w:r>
      <w:r w:rsidR="00A50E6E" w:rsidRPr="005D4990">
        <w:rPr>
          <w:rFonts w:cstheme="minorHAnsi"/>
        </w:rPr>
        <w:t xml:space="preserve"> the influence of the funder in actions where the funder provided funding and make</w:t>
      </w:r>
      <w:r w:rsidR="00A50E6E">
        <w:rPr>
          <w:rFonts w:cstheme="minorHAnsi"/>
        </w:rPr>
        <w:t>s</w:t>
      </w:r>
      <w:r w:rsidR="00A50E6E" w:rsidRPr="005D4990">
        <w:rPr>
          <w:rFonts w:cstheme="minorHAnsi"/>
        </w:rPr>
        <w:t xml:space="preserve"> </w:t>
      </w:r>
      <w:r w:rsidR="00A50E6E">
        <w:rPr>
          <w:rFonts w:cstheme="minorHAnsi"/>
        </w:rPr>
        <w:t>any</w:t>
      </w:r>
      <w:r w:rsidR="00A50E6E" w:rsidRPr="005D4990">
        <w:rPr>
          <w:rFonts w:cstheme="minorHAnsi"/>
        </w:rPr>
        <w:t xml:space="preserve"> litigation financing agreement</w:t>
      </w:r>
      <w:r w:rsidR="00A50E6E">
        <w:rPr>
          <w:rFonts w:cstheme="minorHAnsi"/>
        </w:rPr>
        <w:t>s</w:t>
      </w:r>
      <w:r w:rsidR="00A50E6E" w:rsidRPr="005D4990">
        <w:rPr>
          <w:rFonts w:cstheme="minorHAnsi"/>
        </w:rPr>
        <w:t xml:space="preserve"> discoverable in the underlying lawsuit</w:t>
      </w:r>
      <w:r w:rsidR="0025412F">
        <w:t>.</w:t>
      </w:r>
      <w:r w:rsidR="00C8239F">
        <w:rPr>
          <w:rStyle w:val="FootnoteReference"/>
        </w:rPr>
        <w:footnoteReference w:id="17"/>
      </w:r>
      <w:r w:rsidR="00C8239F" w:rsidRPr="00894CC4">
        <w:t xml:space="preserve"> </w:t>
      </w:r>
      <w:r w:rsidR="00493CD0">
        <w:t xml:space="preserve"> </w:t>
      </w:r>
      <w:r w:rsidR="00235BE6">
        <w:t xml:space="preserve">In sum, </w:t>
      </w:r>
      <w:r w:rsidR="00591331">
        <w:t xml:space="preserve">states have become active in adopting </w:t>
      </w:r>
      <w:r w:rsidR="000E7A6A">
        <w:t xml:space="preserve">policies intended to increase the transparency of TPLF </w:t>
      </w:r>
      <w:r w:rsidR="007C287D">
        <w:t xml:space="preserve">agreements and </w:t>
      </w:r>
      <w:r w:rsidR="000E7A6A">
        <w:t>usage</w:t>
      </w:r>
      <w:r w:rsidR="0066195E">
        <w:t>.</w:t>
      </w:r>
      <w:r>
        <w:rPr>
          <w:rStyle w:val="FootnoteReference"/>
        </w:rPr>
        <w:footnoteReference w:id="18"/>
      </w:r>
    </w:p>
    <w:p w14:paraId="769934DA" w14:textId="77777777" w:rsidR="00AA13FC" w:rsidRDefault="00AA13FC" w:rsidP="00DA620F"/>
    <w:p w14:paraId="462AE02A" w14:textId="6BE635C2" w:rsidR="00AA13FC" w:rsidRDefault="009A5B26" w:rsidP="00DA620F">
      <w:pPr>
        <w:ind w:firstLine="720"/>
        <w:rPr>
          <w:rFonts w:cstheme="minorHAnsi"/>
        </w:rPr>
      </w:pPr>
      <w:r>
        <w:t xml:space="preserve">ILR </w:t>
      </w:r>
      <w:r w:rsidR="00E66C67">
        <w:t xml:space="preserve">supports </w:t>
      </w:r>
      <w:r w:rsidR="00AA13FC">
        <w:t>disclosure requirement</w:t>
      </w:r>
      <w:r w:rsidR="00664DA2">
        <w:t>s</w:t>
      </w:r>
      <w:r w:rsidR="00AA13FC">
        <w:t xml:space="preserve"> that would make TPLF arrangements more transparent.  </w:t>
      </w:r>
      <w:r w:rsidR="00D87EA4">
        <w:t>However, t</w:t>
      </w:r>
      <w:r w:rsidR="00E66C67">
        <w:t>o</w:t>
      </w:r>
      <w:r w:rsidR="00AA13FC">
        <w:t xml:space="preserve"> be effective, any such </w:t>
      </w:r>
      <w:r w:rsidR="00664DA2">
        <w:t>rule</w:t>
      </w:r>
      <w:r w:rsidR="00AA13FC">
        <w:t xml:space="preserve"> should require disclosure of the existence of funding, the identity of the investors, the identity of any foreign funding sources, </w:t>
      </w:r>
      <w:r w:rsidR="00AA13FC">
        <w:rPr>
          <w:b/>
          <w:bCs/>
          <w:i/>
          <w:iCs/>
        </w:rPr>
        <w:t>as well as the production of the underlying TPLF agreements</w:t>
      </w:r>
      <w:r w:rsidR="00AA13FC">
        <w:t xml:space="preserve">.  </w:t>
      </w:r>
      <w:r w:rsidR="00AA13FC" w:rsidRPr="00D272AD">
        <w:rPr>
          <w:rFonts w:cstheme="minorHAnsi"/>
        </w:rPr>
        <w:t xml:space="preserve">Absent </w:t>
      </w:r>
      <w:r w:rsidR="001B5CA4">
        <w:rPr>
          <w:rFonts w:cstheme="minorHAnsi"/>
        </w:rPr>
        <w:t xml:space="preserve">the </w:t>
      </w:r>
      <w:r w:rsidR="0043192B">
        <w:rPr>
          <w:rFonts w:cstheme="minorHAnsi"/>
        </w:rPr>
        <w:t xml:space="preserve">revelation </w:t>
      </w:r>
      <w:r w:rsidR="001B5CA4">
        <w:rPr>
          <w:rFonts w:cstheme="minorHAnsi"/>
        </w:rPr>
        <w:t>of this</w:t>
      </w:r>
      <w:r w:rsidR="00AA13FC">
        <w:rPr>
          <w:rFonts w:cstheme="minorHAnsi"/>
        </w:rPr>
        <w:t xml:space="preserve"> most basic </w:t>
      </w:r>
      <w:r w:rsidR="0043192B">
        <w:rPr>
          <w:rFonts w:cstheme="minorHAnsi"/>
        </w:rPr>
        <w:t>information</w:t>
      </w:r>
      <w:r w:rsidR="00AA13FC" w:rsidRPr="00D272AD">
        <w:rPr>
          <w:rFonts w:cstheme="minorHAnsi"/>
        </w:rPr>
        <w:t xml:space="preserve">, TPLF will continue to operate </w:t>
      </w:r>
      <w:r w:rsidR="00AA13FC">
        <w:rPr>
          <w:rFonts w:cstheme="minorHAnsi"/>
        </w:rPr>
        <w:t>sub rosa</w:t>
      </w:r>
      <w:r w:rsidR="00AA13FC" w:rsidRPr="00D272AD">
        <w:rPr>
          <w:rFonts w:cstheme="minorHAnsi"/>
        </w:rPr>
        <w:t xml:space="preserve">, </w:t>
      </w:r>
      <w:r w:rsidR="00AA13FC">
        <w:rPr>
          <w:rFonts w:cstheme="minorHAnsi"/>
        </w:rPr>
        <w:t xml:space="preserve">hiding potential </w:t>
      </w:r>
      <w:r w:rsidR="00AA13FC" w:rsidRPr="00D272AD">
        <w:rPr>
          <w:rFonts w:cstheme="minorHAnsi"/>
        </w:rPr>
        <w:t>conflicts of interest</w:t>
      </w:r>
      <w:r w:rsidR="00AA13FC">
        <w:rPr>
          <w:rFonts w:cstheme="minorHAnsi"/>
        </w:rPr>
        <w:t xml:space="preserve"> and other ethical issues, such as improper fee-splitting between lawyers and non-lawyers.  Further, unless TPLF becomes more transparent, courts will continue to be left in the dark about whether an outside entity is steering a plaintiff</w:t>
      </w:r>
      <w:r w:rsidR="00F71C95">
        <w:rPr>
          <w:rFonts w:cstheme="minorHAnsi"/>
        </w:rPr>
        <w:t>’</w:t>
      </w:r>
      <w:r w:rsidR="00AA13FC">
        <w:rPr>
          <w:rFonts w:cstheme="minorHAnsi"/>
        </w:rPr>
        <w:t>s litigation and settlement decisions—a dynamic that is highly relevant to settlement negotiations, the adequacy of counsel in class actions and potential cost-shifting obligations.  And absent a disclosure rule, there remains a real risk that foreign competitors (indeed, potential adversaries) may be</w:t>
      </w:r>
      <w:r w:rsidR="001472DD">
        <w:rPr>
          <w:rFonts w:cstheme="minorHAnsi"/>
        </w:rPr>
        <w:t xml:space="preserve"> engaging in clandestine efforts</w:t>
      </w:r>
      <w:r w:rsidR="00AA13FC">
        <w:rPr>
          <w:rFonts w:cstheme="minorHAnsi"/>
        </w:rPr>
        <w:t xml:space="preserve"> to use U.S. courts to undermine U.S. national or economic security.   </w:t>
      </w:r>
    </w:p>
    <w:p w14:paraId="2FC1AF82" w14:textId="77777777" w:rsidR="00DA620F" w:rsidRDefault="00DA620F" w:rsidP="00DA620F">
      <w:pPr>
        <w:ind w:firstLine="720"/>
        <w:rPr>
          <w:rFonts w:cstheme="minorHAnsi"/>
        </w:rPr>
      </w:pPr>
    </w:p>
    <w:p w14:paraId="75E6956E" w14:textId="4B7743D9" w:rsidR="00AA13FC" w:rsidRPr="00C04FB9" w:rsidRDefault="00DA620F" w:rsidP="00DA620F">
      <w:pPr>
        <w:ind w:firstLine="720"/>
        <w:rPr>
          <w:rFonts w:cstheme="minorHAnsi"/>
        </w:rPr>
      </w:pPr>
      <w:r w:rsidRPr="004249C1">
        <w:rPr>
          <w:rFonts w:cstheme="minorHAnsi"/>
        </w:rPr>
        <w:t>To lessen these serious risks and for multiple additional reasons, a TPLF disclosure rule</w:t>
      </w:r>
      <w:r w:rsidRPr="00C04FB9">
        <w:rPr>
          <w:rFonts w:cstheme="minorHAnsi"/>
        </w:rPr>
        <w:t xml:space="preserve"> is essential to the fair, efficient and ethical functioning of Arizona civil litigation. </w:t>
      </w:r>
      <w:r w:rsidR="00493CD0">
        <w:rPr>
          <w:rFonts w:cstheme="minorHAnsi"/>
        </w:rPr>
        <w:t xml:space="preserve"> </w:t>
      </w:r>
      <w:r w:rsidR="0052635E">
        <w:t xml:space="preserve">The </w:t>
      </w:r>
      <w:r w:rsidR="007561EA">
        <w:t>reasons why ILR believes that the proposed Rule 8(j) should be ado</w:t>
      </w:r>
      <w:r w:rsidR="00ED4455">
        <w:t xml:space="preserve">pted (with two </w:t>
      </w:r>
      <w:r w:rsidR="00A225E7">
        <w:t xml:space="preserve">important </w:t>
      </w:r>
      <w:r w:rsidR="00ED4455">
        <w:t>amendments) are as follows:</w:t>
      </w:r>
    </w:p>
    <w:p w14:paraId="342C4960" w14:textId="63F68ED4" w:rsidR="00AA13FC" w:rsidRPr="00FD5C78" w:rsidRDefault="00D87EA4" w:rsidP="00FD5C78">
      <w:pPr>
        <w:pStyle w:val="Heading1"/>
        <w:numPr>
          <w:ilvl w:val="0"/>
          <w:numId w:val="35"/>
        </w:numPr>
        <w:tabs>
          <w:tab w:val="num" w:pos="360"/>
        </w:tabs>
        <w:spacing w:before="100" w:beforeAutospacing="1" w:after="240"/>
        <w:ind w:left="0" w:firstLine="0"/>
        <w:rPr>
          <w:rFonts w:eastAsia="Times New Roman"/>
          <w:color w:val="000000" w:themeColor="text1"/>
          <w:sz w:val="24"/>
          <w:szCs w:val="24"/>
          <w:u w:val="single"/>
        </w:rPr>
      </w:pPr>
      <w:r w:rsidRPr="00C04FB9">
        <w:rPr>
          <w:rFonts w:eastAsia="Times New Roman"/>
          <w:color w:val="000000" w:themeColor="text1"/>
          <w:sz w:val="24"/>
          <w:szCs w:val="24"/>
          <w:u w:val="single"/>
        </w:rPr>
        <w:lastRenderedPageBreak/>
        <w:t>The Court Should Amend Rule 8</w:t>
      </w:r>
      <w:r w:rsidR="00DA620F" w:rsidRPr="00C04FB9">
        <w:rPr>
          <w:rFonts w:eastAsia="Times New Roman"/>
          <w:color w:val="000000" w:themeColor="text1"/>
          <w:sz w:val="24"/>
          <w:szCs w:val="24"/>
          <w:u w:val="single"/>
        </w:rPr>
        <w:t xml:space="preserve"> To Require TP</w:t>
      </w:r>
      <w:r w:rsidR="00DA620F">
        <w:rPr>
          <w:rFonts w:eastAsia="Times New Roman"/>
          <w:color w:val="000000" w:themeColor="text1"/>
          <w:sz w:val="24"/>
          <w:szCs w:val="24"/>
          <w:u w:val="single"/>
        </w:rPr>
        <w:t>LF Disclosure</w:t>
      </w:r>
    </w:p>
    <w:p w14:paraId="2207B9B3" w14:textId="77777777" w:rsidR="00AA13FC" w:rsidRPr="00DD64FC" w:rsidRDefault="00AA13FC" w:rsidP="00D87EA4">
      <w:pPr>
        <w:pStyle w:val="Heading1"/>
        <w:numPr>
          <w:ilvl w:val="1"/>
          <w:numId w:val="35"/>
        </w:numPr>
        <w:tabs>
          <w:tab w:val="num" w:pos="360"/>
        </w:tabs>
        <w:spacing w:before="100" w:beforeAutospacing="1" w:after="100" w:afterAutospacing="1"/>
        <w:rPr>
          <w:rFonts w:eastAsia="Times New Roman"/>
          <w:u w:val="single"/>
        </w:rPr>
      </w:pPr>
      <w:r w:rsidRPr="00D87EA4">
        <w:rPr>
          <w:rFonts w:eastAsia="Times New Roman"/>
          <w:b w:val="0"/>
          <w:bCs w:val="0"/>
          <w:color w:val="000000" w:themeColor="text1"/>
          <w:sz w:val="24"/>
          <w:szCs w:val="24"/>
          <w:u w:val="single"/>
        </w:rPr>
        <w:t>Enabling Assessment Of Who May Exercise Control Or Influence Over Litigation</w:t>
      </w:r>
    </w:p>
    <w:p w14:paraId="41024030" w14:textId="7E9715E8" w:rsidR="00750A64" w:rsidRDefault="00AA13FC" w:rsidP="00AA13FC">
      <w:pPr>
        <w:suppressAutoHyphens/>
        <w:spacing w:after="240"/>
        <w:ind w:firstLine="720"/>
        <w:rPr>
          <w:rFonts w:eastAsia="Times New Roman"/>
        </w:rPr>
      </w:pPr>
      <w:r>
        <w:rPr>
          <w:rFonts w:eastAsia="Times New Roman"/>
        </w:rPr>
        <w:t xml:space="preserve">A disclosure requirement would provide </w:t>
      </w:r>
      <w:r w:rsidR="00695A75">
        <w:rPr>
          <w:rFonts w:eastAsia="Times New Roman"/>
        </w:rPr>
        <w:t xml:space="preserve">Arizona </w:t>
      </w:r>
      <w:r>
        <w:rPr>
          <w:rFonts w:eastAsia="Times New Roman"/>
        </w:rPr>
        <w:t xml:space="preserve">courts and parties information about whether TPLF companies are exercising control or influence over litigation.  </w:t>
      </w:r>
      <w:r w:rsidR="00750A64">
        <w:t xml:space="preserve">As </w:t>
      </w:r>
      <w:r w:rsidR="00CD7BED">
        <w:t>our judiciary has</w:t>
      </w:r>
      <w:r w:rsidR="00750A64">
        <w:t xml:space="preserve"> explained, </w:t>
      </w:r>
      <w:r w:rsidR="00F71C95">
        <w:t>“</w:t>
      </w:r>
      <w:r w:rsidR="00750A64">
        <w:t>[t]</w:t>
      </w:r>
      <w:r w:rsidR="00750A64" w:rsidRPr="00F8661F">
        <w:t>he public has an interest in knowing the names of the litigants, and disclosing the parties</w:t>
      </w:r>
      <w:r w:rsidR="00F71C95">
        <w:t>’</w:t>
      </w:r>
      <w:r w:rsidR="00750A64" w:rsidRPr="00F8661F">
        <w:t xml:space="preserve"> identities furthers openness of judicial proceedings.</w:t>
      </w:r>
      <w:r w:rsidR="00F71C95">
        <w:t>”</w:t>
      </w:r>
      <w:r w:rsidR="00750A64" w:rsidRPr="00F8661F">
        <w:t xml:space="preserve"> </w:t>
      </w:r>
      <w:r w:rsidR="00750A64">
        <w:rPr>
          <w:i/>
          <w:iCs/>
        </w:rPr>
        <w:t xml:space="preserve"> </w:t>
      </w:r>
      <w:r w:rsidR="00750A64" w:rsidRPr="00F8661F">
        <w:rPr>
          <w:i/>
          <w:iCs/>
        </w:rPr>
        <w:t>Doe v. Pub. Citizen</w:t>
      </w:r>
      <w:r w:rsidR="00750A64" w:rsidRPr="00F8661F">
        <w:t xml:space="preserve">, </w:t>
      </w:r>
      <w:bookmarkStart w:id="3" w:name="_Hlk195524137"/>
      <w:r w:rsidR="00750A64" w:rsidRPr="00F8661F">
        <w:t>7</w:t>
      </w:r>
      <w:r w:rsidR="00750A64" w:rsidRPr="00031D0D">
        <w:t>49 F.3d 246</w:t>
      </w:r>
      <w:bookmarkEnd w:id="3"/>
      <w:r w:rsidR="00750A64" w:rsidRPr="00031D0D">
        <w:t>, 273 (4th Cir. 2014) (citations om</w:t>
      </w:r>
      <w:r w:rsidR="00750A64" w:rsidRPr="00F8661F">
        <w:t xml:space="preserve">itted). </w:t>
      </w:r>
      <w:r w:rsidR="00750A64">
        <w:t xml:space="preserve"> </w:t>
      </w:r>
      <w:r w:rsidR="00750A64" w:rsidRPr="00F8661F">
        <w:t xml:space="preserve">This is why courts </w:t>
      </w:r>
      <w:r w:rsidR="00DF0494">
        <w:t>have a</w:t>
      </w:r>
      <w:r w:rsidR="00750A64" w:rsidRPr="00F8661F">
        <w:t xml:space="preserve"> high bar for </w:t>
      </w:r>
      <w:r w:rsidR="00DF0494">
        <w:t xml:space="preserve">permitting parties to litigate </w:t>
      </w:r>
      <w:r w:rsidR="00750A64" w:rsidRPr="00F8661F">
        <w:t>under pseudonym</w:t>
      </w:r>
      <w:r w:rsidR="00731EC8">
        <w:t>s</w:t>
      </w:r>
      <w:r w:rsidR="00750A64" w:rsidRPr="00F8661F">
        <w:t xml:space="preserve"> and one reason why </w:t>
      </w:r>
      <w:r w:rsidR="00731EC8" w:rsidRPr="009A6E6E">
        <w:t>Ariz. R. Civ. P.</w:t>
      </w:r>
      <w:r w:rsidR="00750A64" w:rsidRPr="009A6E6E">
        <w:t xml:space="preserve"> 17(</w:t>
      </w:r>
      <w:r w:rsidR="009A6E6E">
        <w:t>b</w:t>
      </w:r>
      <w:r w:rsidR="00750A64" w:rsidRPr="009A6E6E">
        <w:t>)(1) requ</w:t>
      </w:r>
      <w:r w:rsidR="00750A64" w:rsidRPr="00F8661F">
        <w:t>ire</w:t>
      </w:r>
      <w:r w:rsidR="00513846">
        <w:t>s</w:t>
      </w:r>
      <w:r w:rsidR="00750A64" w:rsidRPr="00F8661F">
        <w:t xml:space="preserve"> that </w:t>
      </w:r>
      <w:r w:rsidR="00F71C95">
        <w:t>“</w:t>
      </w:r>
      <w:r w:rsidR="00750A64" w:rsidRPr="00F8661F">
        <w:t>[a]n action must be prosecuted in the name of the real party in interest.</w:t>
      </w:r>
      <w:r w:rsidR="00F71C95">
        <w:t>”</w:t>
      </w:r>
      <w:r w:rsidR="003F65BC">
        <w:rPr>
          <w:rStyle w:val="FootnoteReference"/>
        </w:rPr>
        <w:footnoteReference w:id="19"/>
      </w:r>
      <w:r w:rsidR="00750A64">
        <w:t xml:space="preserve">  As discussed above, </w:t>
      </w:r>
      <w:r w:rsidR="00750A64" w:rsidRPr="00F8661F">
        <w:t>TPLF contracts</w:t>
      </w:r>
      <w:r w:rsidR="00750A64">
        <w:t xml:space="preserve"> can </w:t>
      </w:r>
      <w:r w:rsidR="00750A64" w:rsidRPr="00F8661F">
        <w:t xml:space="preserve">give non-parties control over litigation decisions and </w:t>
      </w:r>
      <w:r w:rsidR="00750A64">
        <w:t>a portion of any settlement or other payout</w:t>
      </w:r>
      <w:r w:rsidR="00DF0494">
        <w:t xml:space="preserve">, essentially making the funder a party in interest.  The court and defendants are entitled to know the identity of these players.  </w:t>
      </w:r>
    </w:p>
    <w:p w14:paraId="1D6BC8FE" w14:textId="5CFDFA42" w:rsidR="00AA13FC" w:rsidRDefault="00AA13FC" w:rsidP="00AA13FC">
      <w:pPr>
        <w:suppressAutoHyphens/>
        <w:spacing w:after="240"/>
        <w:ind w:firstLine="720"/>
        <w:rPr>
          <w:rFonts w:eastAsia="Times New Roman"/>
        </w:rPr>
      </w:pPr>
      <w:r w:rsidRPr="00813D93">
        <w:rPr>
          <w:rFonts w:eastAsia="Times New Roman"/>
        </w:rPr>
        <w:t xml:space="preserve">TPLF companies frequently dismiss such concerns by asserting that they do not control litigation strategy.  </w:t>
      </w:r>
      <w:r>
        <w:rPr>
          <w:rFonts w:eastAsia="Times New Roman"/>
        </w:rPr>
        <w:t>However, t</w:t>
      </w:r>
      <w:r w:rsidRPr="00813D93">
        <w:rPr>
          <w:rFonts w:eastAsia="Times New Roman"/>
        </w:rPr>
        <w:t xml:space="preserve">he few TPLF agreements that have come to light demonstrate that, unsurprisingly, TPLF entities actually </w:t>
      </w:r>
      <w:r w:rsidR="00395C7A">
        <w:rPr>
          <w:rFonts w:eastAsia="Times New Roman"/>
        </w:rPr>
        <w:t xml:space="preserve">can and </w:t>
      </w:r>
      <w:r w:rsidRPr="00813D93">
        <w:rPr>
          <w:rFonts w:eastAsia="Times New Roman"/>
        </w:rPr>
        <w:t>do exercise various forms of control and influence over the litigation matters in which they invest</w:t>
      </w:r>
      <w:r>
        <w:rPr>
          <w:rFonts w:eastAsia="Times New Roman"/>
        </w:rPr>
        <w:t>.</w:t>
      </w:r>
    </w:p>
    <w:p w14:paraId="4B0A7E42" w14:textId="11E72374" w:rsidR="00AA13FC" w:rsidRDefault="00AA13FC" w:rsidP="00AA13FC">
      <w:pPr>
        <w:ind w:firstLine="720"/>
        <w:rPr>
          <w:rFonts w:eastAsia="Times New Roman"/>
          <w:lang w:eastAsia="en-US"/>
        </w:rPr>
      </w:pPr>
      <w:r>
        <w:rPr>
          <w:rFonts w:eastAsia="Times New Roman"/>
          <w:lang w:eastAsia="en-US"/>
        </w:rPr>
        <w:t>For example</w:t>
      </w:r>
      <w:r w:rsidRPr="00ED5FC9">
        <w:rPr>
          <w:rFonts w:eastAsia="Times New Roman"/>
          <w:lang w:eastAsia="en-US"/>
        </w:rPr>
        <w:t xml:space="preserve">, </w:t>
      </w:r>
      <w:r>
        <w:rPr>
          <w:rFonts w:eastAsia="Times New Roman"/>
          <w:lang w:eastAsia="en-US"/>
        </w:rPr>
        <w:t xml:space="preserve">in </w:t>
      </w:r>
      <w:r w:rsidRPr="00031D0D">
        <w:rPr>
          <w:rFonts w:eastAsia="Times New Roman"/>
          <w:i/>
          <w:lang w:eastAsia="en-US"/>
        </w:rPr>
        <w:t>Boling v. Prospect Funding Holdings, LLC</w:t>
      </w:r>
      <w:r w:rsidRPr="00031D0D">
        <w:rPr>
          <w:rFonts w:eastAsia="Times New Roman"/>
          <w:lang w:eastAsia="en-US"/>
        </w:rPr>
        <w:t>, the U.S. Co</w:t>
      </w:r>
      <w:r>
        <w:rPr>
          <w:rFonts w:eastAsia="Times New Roman"/>
          <w:lang w:eastAsia="en-US"/>
        </w:rPr>
        <w:t>urt of Appeals for the Sixth Circuit c</w:t>
      </w:r>
      <w:r w:rsidRPr="00ED5FC9">
        <w:rPr>
          <w:rFonts w:eastAsia="Times New Roman"/>
          <w:lang w:eastAsia="en-US"/>
        </w:rPr>
        <w:t xml:space="preserve">oncluded that the terms of the funding agreements involved in </w:t>
      </w:r>
      <w:r w:rsidR="00962BDB">
        <w:rPr>
          <w:rFonts w:eastAsia="Times New Roman"/>
          <w:lang w:eastAsia="en-US"/>
        </w:rPr>
        <w:t>a</w:t>
      </w:r>
      <w:r w:rsidRPr="00ED5FC9">
        <w:rPr>
          <w:rFonts w:eastAsia="Times New Roman"/>
          <w:lang w:eastAsia="en-US"/>
        </w:rPr>
        <w:t xml:space="preserve"> </w:t>
      </w:r>
      <w:r>
        <w:rPr>
          <w:rFonts w:eastAsia="Times New Roman"/>
          <w:lang w:eastAsia="en-US"/>
        </w:rPr>
        <w:t xml:space="preserve">personal injury </w:t>
      </w:r>
      <w:r w:rsidR="009B6CEF">
        <w:rPr>
          <w:rFonts w:eastAsia="Times New Roman"/>
          <w:lang w:eastAsia="en-US"/>
        </w:rPr>
        <w:t>lawsuit</w:t>
      </w:r>
      <w:r w:rsidRPr="00ED5FC9">
        <w:rPr>
          <w:rFonts w:eastAsia="Times New Roman"/>
          <w:lang w:eastAsia="en-US"/>
        </w:rPr>
        <w:t xml:space="preserve"> </w:t>
      </w:r>
      <w:r w:rsidR="00F71C95">
        <w:rPr>
          <w:rFonts w:eastAsia="Times New Roman"/>
          <w:lang w:eastAsia="en-US"/>
        </w:rPr>
        <w:t>“</w:t>
      </w:r>
      <w:r w:rsidRPr="00ED5FC9">
        <w:rPr>
          <w:rFonts w:eastAsia="Times New Roman"/>
          <w:lang w:eastAsia="en-US"/>
        </w:rPr>
        <w:t>effectively g</w:t>
      </w:r>
      <w:r>
        <w:rPr>
          <w:rFonts w:eastAsia="Times New Roman"/>
          <w:lang w:eastAsia="en-US"/>
        </w:rPr>
        <w:t>[a]</w:t>
      </w:r>
      <w:r w:rsidRPr="00ED5FC9">
        <w:rPr>
          <w:rFonts w:eastAsia="Times New Roman"/>
          <w:lang w:eastAsia="en-US"/>
        </w:rPr>
        <w:t>ve [the TPLF ent</w:t>
      </w:r>
      <w:r>
        <w:rPr>
          <w:rFonts w:eastAsia="Times New Roman"/>
          <w:lang w:eastAsia="en-US"/>
        </w:rPr>
        <w:t>ity</w:t>
      </w:r>
      <w:r w:rsidRPr="00ED5FC9">
        <w:rPr>
          <w:rFonts w:eastAsia="Times New Roman"/>
          <w:lang w:eastAsia="en-US"/>
        </w:rPr>
        <w:t>] substantial control over the litigation</w:t>
      </w:r>
      <w:r>
        <w:rPr>
          <w:rFonts w:eastAsia="Times New Roman"/>
          <w:lang w:eastAsia="en-US"/>
        </w:rPr>
        <w:t>.</w:t>
      </w:r>
      <w:r w:rsidR="00F71C95">
        <w:rPr>
          <w:rFonts w:eastAsia="Times New Roman"/>
          <w:lang w:eastAsia="en-US"/>
        </w:rPr>
        <w:t>”</w:t>
      </w:r>
      <w:r>
        <w:rPr>
          <w:rStyle w:val="FootnoteReference"/>
          <w:rFonts w:eastAsia="Times New Roman"/>
          <w:lang w:eastAsia="en-US"/>
        </w:rPr>
        <w:footnoteReference w:id="20"/>
      </w:r>
      <w:r>
        <w:rPr>
          <w:rFonts w:eastAsia="Times New Roman"/>
          <w:lang w:eastAsia="en-US"/>
        </w:rPr>
        <w:t xml:space="preserve">  In particular, two of the agreements permitted the funder to require the plaintiff to execute documents or pay filing fees to protect the funder</w:t>
      </w:r>
      <w:r w:rsidR="00F71C95">
        <w:rPr>
          <w:rFonts w:eastAsia="Times New Roman"/>
          <w:lang w:eastAsia="en-US"/>
        </w:rPr>
        <w:t>’</w:t>
      </w:r>
      <w:r>
        <w:rPr>
          <w:rFonts w:eastAsia="Times New Roman"/>
          <w:lang w:eastAsia="en-US"/>
        </w:rPr>
        <w:t xml:space="preserve">s interest.  Another agreement provided that </w:t>
      </w:r>
      <w:r w:rsidR="00F71C95">
        <w:rPr>
          <w:rFonts w:eastAsia="Times New Roman"/>
          <w:lang w:eastAsia="en-US"/>
        </w:rPr>
        <w:t>“</w:t>
      </w:r>
      <w:r w:rsidRPr="00394230">
        <w:rPr>
          <w:rFonts w:eastAsia="Times New Roman"/>
          <w:lang w:eastAsia="en-US"/>
        </w:rPr>
        <w:t>[i]f the Proceeds [from settlement] are insufficient to pay the Prospect Ownership Amount in full, [Prospect] shall receive all of the Proceeds.</w:t>
      </w:r>
      <w:r w:rsidR="00F71C95">
        <w:rPr>
          <w:rFonts w:eastAsia="Times New Roman"/>
          <w:lang w:eastAsia="en-US"/>
        </w:rPr>
        <w:t>”</w:t>
      </w:r>
      <w:r>
        <w:rPr>
          <w:rStyle w:val="FootnoteReference"/>
          <w:rFonts w:eastAsia="Times New Roman"/>
          <w:lang w:eastAsia="en-US"/>
        </w:rPr>
        <w:footnoteReference w:id="21"/>
      </w:r>
      <w:r w:rsidRPr="00394230">
        <w:t xml:space="preserve"> </w:t>
      </w:r>
      <w:r>
        <w:t xml:space="preserve"> </w:t>
      </w:r>
      <w:r w:rsidRPr="00394230">
        <w:rPr>
          <w:rFonts w:eastAsia="Times New Roman"/>
          <w:lang w:eastAsia="en-US"/>
        </w:rPr>
        <w:t>Such a provision undoubtedly influenced the plaintiff</w:t>
      </w:r>
      <w:r w:rsidR="00F71C95">
        <w:rPr>
          <w:rFonts w:eastAsia="Times New Roman"/>
          <w:lang w:eastAsia="en-US"/>
        </w:rPr>
        <w:t>’</w:t>
      </w:r>
      <w:r w:rsidRPr="00394230">
        <w:rPr>
          <w:rFonts w:eastAsia="Times New Roman"/>
          <w:lang w:eastAsia="en-US"/>
        </w:rPr>
        <w:t xml:space="preserve">s ability to settle his case since he was required to accommodate </w:t>
      </w:r>
      <w:r>
        <w:rPr>
          <w:rFonts w:eastAsia="Times New Roman"/>
          <w:lang w:eastAsia="en-US"/>
        </w:rPr>
        <w:t>[the funder</w:t>
      </w:r>
      <w:r w:rsidR="00F71C95">
        <w:rPr>
          <w:rFonts w:eastAsia="Times New Roman"/>
          <w:lang w:eastAsia="en-US"/>
        </w:rPr>
        <w:t>’</w:t>
      </w:r>
      <w:r>
        <w:rPr>
          <w:rFonts w:eastAsia="Times New Roman"/>
          <w:lang w:eastAsia="en-US"/>
        </w:rPr>
        <w:t xml:space="preserve">s] </w:t>
      </w:r>
      <w:r w:rsidRPr="00394230">
        <w:rPr>
          <w:rFonts w:eastAsia="Times New Roman"/>
          <w:lang w:eastAsia="en-US"/>
        </w:rPr>
        <w:t>flat fee, which accrued with interest.</w:t>
      </w:r>
      <w:r>
        <w:rPr>
          <w:rStyle w:val="FootnoteReference"/>
          <w:rFonts w:eastAsia="Times New Roman"/>
          <w:lang w:eastAsia="en-US"/>
        </w:rPr>
        <w:footnoteReference w:id="22"/>
      </w:r>
      <w:r>
        <w:rPr>
          <w:rFonts w:eastAsia="Times New Roman"/>
          <w:lang w:eastAsia="en-US"/>
        </w:rPr>
        <w:t xml:space="preserve">  And </w:t>
      </w:r>
      <w:r w:rsidR="00F71C95">
        <w:rPr>
          <w:rFonts w:eastAsia="Times New Roman"/>
          <w:lang w:eastAsia="en-US"/>
        </w:rPr>
        <w:t>“</w:t>
      </w:r>
      <w:r>
        <w:rPr>
          <w:rFonts w:eastAsia="Times New Roman"/>
          <w:lang w:eastAsia="en-US"/>
        </w:rPr>
        <w:t>[a]</w:t>
      </w:r>
      <w:r w:rsidRPr="002C0CF4">
        <w:rPr>
          <w:rFonts w:eastAsia="Times New Roman"/>
          <w:lang w:eastAsia="en-US"/>
        </w:rPr>
        <w:t xml:space="preserve">ll four Agreements limited </w:t>
      </w:r>
      <w:r>
        <w:rPr>
          <w:rFonts w:eastAsia="Times New Roman"/>
          <w:lang w:eastAsia="en-US"/>
        </w:rPr>
        <w:t>[the plaintiff</w:t>
      </w:r>
      <w:r w:rsidR="00F71C95">
        <w:rPr>
          <w:rFonts w:eastAsia="Times New Roman"/>
          <w:lang w:eastAsia="en-US"/>
        </w:rPr>
        <w:t>’</w:t>
      </w:r>
      <w:r>
        <w:rPr>
          <w:rFonts w:eastAsia="Times New Roman"/>
          <w:lang w:eastAsia="en-US"/>
        </w:rPr>
        <w:t>s]</w:t>
      </w:r>
      <w:r w:rsidRPr="002C0CF4">
        <w:rPr>
          <w:rFonts w:eastAsia="Times New Roman"/>
          <w:lang w:eastAsia="en-US"/>
        </w:rPr>
        <w:t xml:space="preserve"> right to change attorneys without </w:t>
      </w:r>
      <w:r>
        <w:rPr>
          <w:rFonts w:eastAsia="Times New Roman"/>
          <w:lang w:eastAsia="en-US"/>
        </w:rPr>
        <w:t>[the funder</w:t>
      </w:r>
      <w:r w:rsidR="00F71C95">
        <w:rPr>
          <w:rFonts w:eastAsia="Times New Roman"/>
          <w:lang w:eastAsia="en-US"/>
        </w:rPr>
        <w:t>’</w:t>
      </w:r>
      <w:r>
        <w:rPr>
          <w:rFonts w:eastAsia="Times New Roman"/>
          <w:lang w:eastAsia="en-US"/>
        </w:rPr>
        <w:t xml:space="preserve">s] </w:t>
      </w:r>
      <w:r w:rsidRPr="002C0CF4">
        <w:rPr>
          <w:rFonts w:eastAsia="Times New Roman"/>
          <w:lang w:eastAsia="en-US"/>
        </w:rPr>
        <w:t xml:space="preserve">consent, otherwise </w:t>
      </w:r>
      <w:r>
        <w:rPr>
          <w:rFonts w:eastAsia="Times New Roman"/>
          <w:lang w:eastAsia="en-US"/>
        </w:rPr>
        <w:t>[</w:t>
      </w:r>
      <w:r w:rsidR="003F65BC">
        <w:rPr>
          <w:rFonts w:eastAsia="Times New Roman"/>
          <w:lang w:eastAsia="en-US"/>
        </w:rPr>
        <w:t xml:space="preserve">the </w:t>
      </w:r>
      <w:r>
        <w:rPr>
          <w:rFonts w:eastAsia="Times New Roman"/>
          <w:lang w:eastAsia="en-US"/>
        </w:rPr>
        <w:t>plaintiff]</w:t>
      </w:r>
      <w:r w:rsidRPr="002C0CF4">
        <w:rPr>
          <w:rFonts w:eastAsia="Times New Roman"/>
          <w:lang w:eastAsia="en-US"/>
        </w:rPr>
        <w:t xml:space="preserve"> would be required to repay </w:t>
      </w:r>
      <w:r>
        <w:rPr>
          <w:rFonts w:eastAsia="Times New Roman"/>
          <w:lang w:eastAsia="en-US"/>
        </w:rPr>
        <w:t xml:space="preserve">[the funder] </w:t>
      </w:r>
      <w:r w:rsidRPr="002C0CF4">
        <w:rPr>
          <w:rFonts w:eastAsia="Times New Roman"/>
          <w:lang w:eastAsia="en-US"/>
        </w:rPr>
        <w:t>immediately.</w:t>
      </w:r>
      <w:r w:rsidR="00F71C95">
        <w:rPr>
          <w:rFonts w:eastAsia="Times New Roman"/>
          <w:lang w:eastAsia="en-US"/>
        </w:rPr>
        <w:t>”</w:t>
      </w:r>
      <w:r>
        <w:rPr>
          <w:rStyle w:val="FootnoteReference"/>
          <w:rFonts w:eastAsia="Times New Roman"/>
          <w:lang w:eastAsia="en-US"/>
        </w:rPr>
        <w:footnoteReference w:id="23"/>
      </w:r>
    </w:p>
    <w:p w14:paraId="6C9A767A" w14:textId="77777777" w:rsidR="00AA13FC" w:rsidRDefault="00AA13FC" w:rsidP="00AA13FC">
      <w:pPr>
        <w:ind w:firstLine="720"/>
        <w:rPr>
          <w:rFonts w:eastAsia="Times New Roman"/>
          <w:lang w:eastAsia="en-US"/>
        </w:rPr>
      </w:pPr>
    </w:p>
    <w:p w14:paraId="7CC0119D" w14:textId="1363F4AD" w:rsidR="00AA13FC" w:rsidRDefault="00AA13FC" w:rsidP="00AA13FC">
      <w:pPr>
        <w:suppressAutoHyphens/>
        <w:spacing w:after="240"/>
        <w:ind w:firstLine="720"/>
        <w:rPr>
          <w:rFonts w:eastAsia="Times New Roman"/>
        </w:rPr>
      </w:pPr>
      <w:r w:rsidRPr="00ED5FC9">
        <w:rPr>
          <w:rFonts w:eastAsia="Times New Roman"/>
        </w:rPr>
        <w:t>Notably, a report by the American Bar Association</w:t>
      </w:r>
      <w:r w:rsidR="00F71C95">
        <w:rPr>
          <w:rFonts w:eastAsia="Times New Roman"/>
        </w:rPr>
        <w:t>’</w:t>
      </w:r>
      <w:r w:rsidRPr="00ED5FC9">
        <w:rPr>
          <w:rFonts w:eastAsia="Times New Roman"/>
        </w:rPr>
        <w:t xml:space="preserve">s House of Delegates repeatedly recognizes and emphasizes the inherent risk of funder control, warning against such control over </w:t>
      </w:r>
      <w:r w:rsidRPr="00ED5FC9">
        <w:rPr>
          <w:rFonts w:eastAsia="Times New Roman"/>
        </w:rPr>
        <w:lastRenderedPageBreak/>
        <w:t>the litigation itself and even over expenses associated with the lawsuit.</w:t>
      </w:r>
      <w:r>
        <w:rPr>
          <w:rStyle w:val="FootnoteReference"/>
          <w:rFonts w:eastAsia="Times New Roman"/>
        </w:rPr>
        <w:footnoteReference w:id="24"/>
      </w:r>
      <w:r w:rsidRPr="00ED5FC9">
        <w:rPr>
          <w:rFonts w:eastAsia="Times New Roman"/>
        </w:rPr>
        <w:t xml:space="preserve">  Indeed, </w:t>
      </w:r>
      <w:r>
        <w:rPr>
          <w:rFonts w:eastAsia="Times New Roman"/>
        </w:rPr>
        <w:t>e</w:t>
      </w:r>
      <w:r w:rsidRPr="00400B9F">
        <w:rPr>
          <w:rFonts w:eastAsia="Times New Roman"/>
        </w:rPr>
        <w:t xml:space="preserve">ven when </w:t>
      </w:r>
      <w:r>
        <w:rPr>
          <w:rFonts w:eastAsia="Times New Roman"/>
        </w:rPr>
        <w:t>a funder</w:t>
      </w:r>
      <w:r w:rsidR="00F71C95">
        <w:rPr>
          <w:rFonts w:eastAsia="Times New Roman"/>
        </w:rPr>
        <w:t>’</w:t>
      </w:r>
      <w:r>
        <w:rPr>
          <w:rFonts w:eastAsia="Times New Roman"/>
        </w:rPr>
        <w:t xml:space="preserve">s </w:t>
      </w:r>
      <w:r w:rsidRPr="00400B9F">
        <w:rPr>
          <w:rFonts w:eastAsia="Times New Roman"/>
        </w:rPr>
        <w:t>efforts to control a plaintiff</w:t>
      </w:r>
      <w:r w:rsidR="00F71C95">
        <w:rPr>
          <w:rFonts w:eastAsia="Times New Roman"/>
        </w:rPr>
        <w:t>’</w:t>
      </w:r>
      <w:r w:rsidRPr="00400B9F">
        <w:rPr>
          <w:rFonts w:eastAsia="Times New Roman"/>
        </w:rPr>
        <w:t xml:space="preserve">s case are not overt, the existence of TPLF funding </w:t>
      </w:r>
      <w:r>
        <w:rPr>
          <w:rFonts w:eastAsia="Times New Roman"/>
        </w:rPr>
        <w:t xml:space="preserve">may </w:t>
      </w:r>
      <w:r w:rsidRPr="00400B9F">
        <w:rPr>
          <w:rFonts w:eastAsia="Times New Roman"/>
        </w:rPr>
        <w:t>subordinate the plaintiff</w:t>
      </w:r>
      <w:r w:rsidR="00F71C95">
        <w:rPr>
          <w:rFonts w:eastAsia="Times New Roman"/>
        </w:rPr>
        <w:t>’</w:t>
      </w:r>
      <w:r w:rsidRPr="00400B9F">
        <w:rPr>
          <w:rFonts w:eastAsia="Times New Roman"/>
        </w:rPr>
        <w:t>s own interests in the resolution of the litigation to the interests of the TPLF investor.</w:t>
      </w:r>
      <w:r>
        <w:rPr>
          <w:rFonts w:eastAsia="Times New Roman"/>
        </w:rPr>
        <w:t xml:space="preserve">  </w:t>
      </w:r>
      <w:r w:rsidRPr="00813D93">
        <w:rPr>
          <w:rFonts w:eastAsia="Times New Roman"/>
        </w:rPr>
        <w:t>Disclosure</w:t>
      </w:r>
      <w:r>
        <w:rPr>
          <w:rFonts w:eastAsia="Times New Roman"/>
        </w:rPr>
        <w:t xml:space="preserve"> of the existence of funding, the nature of the funding, and the circumstances surrounding any right of the funder to approve litigation decisions or settlement would simply give courts the necessary information to assess who actually controls a civil action. </w:t>
      </w:r>
      <w:r w:rsidR="003B183F">
        <w:rPr>
          <w:rFonts w:eastAsia="Times New Roman"/>
        </w:rPr>
        <w:t xml:space="preserve"> Notably, </w:t>
      </w:r>
      <w:r w:rsidR="0046642C">
        <w:rPr>
          <w:rFonts w:eastAsia="Times New Roman"/>
        </w:rPr>
        <w:t>these aspects of disclosure, and particularly the circumstances surrounding any right of the funder to approve litigation decisions or settlement, could only be discovered through the disclosure of the funding agreement itself.</w:t>
      </w:r>
      <w:r w:rsidR="00A50E6E">
        <w:rPr>
          <w:rStyle w:val="FootnoteReference"/>
          <w:rFonts w:eastAsia="Times New Roman"/>
        </w:rPr>
        <w:footnoteReference w:id="25"/>
      </w:r>
      <w:r w:rsidR="0046642C">
        <w:rPr>
          <w:rFonts w:eastAsia="Times New Roman"/>
        </w:rPr>
        <w:t xml:space="preserve"> </w:t>
      </w:r>
    </w:p>
    <w:p w14:paraId="6F70B86E" w14:textId="7910CD32" w:rsidR="00AA13FC" w:rsidRDefault="00AA13FC" w:rsidP="00AA13FC">
      <w:pPr>
        <w:ind w:firstLine="720"/>
        <w:rPr>
          <w:rFonts w:cstheme="minorHAnsi"/>
        </w:rPr>
      </w:pPr>
      <w:r>
        <w:rPr>
          <w:rFonts w:cstheme="minorHAnsi"/>
        </w:rPr>
        <w:t>More recent case</w:t>
      </w:r>
      <w:r w:rsidRPr="00A42A1C">
        <w:rPr>
          <w:rFonts w:cstheme="minorHAnsi"/>
        </w:rPr>
        <w:t>s continue to reinforce this trend.  Most notably, Sysco Corporation filed a series of antitrust class actions against various poultry and meat suppliers that it financed with more than $140 million provided by Burford</w:t>
      </w:r>
      <w:r w:rsidR="00197492">
        <w:rPr>
          <w:rFonts w:cstheme="minorHAnsi"/>
        </w:rPr>
        <w:t xml:space="preserve"> Capital (</w:t>
      </w:r>
      <w:r w:rsidR="00F71C95">
        <w:rPr>
          <w:rFonts w:cstheme="minorHAnsi"/>
        </w:rPr>
        <w:t>“</w:t>
      </w:r>
      <w:r w:rsidR="00197492">
        <w:rPr>
          <w:rFonts w:cstheme="minorHAnsi"/>
        </w:rPr>
        <w:t>Burford</w:t>
      </w:r>
      <w:r w:rsidR="00F71C95">
        <w:rPr>
          <w:rFonts w:cstheme="minorHAnsi"/>
        </w:rPr>
        <w:t>”</w:t>
      </w:r>
      <w:r w:rsidR="00197492">
        <w:rPr>
          <w:rFonts w:cstheme="minorHAnsi"/>
        </w:rPr>
        <w:t>)</w:t>
      </w:r>
      <w:r w:rsidRPr="00A42A1C">
        <w:rPr>
          <w:rFonts w:cstheme="minorHAnsi"/>
        </w:rPr>
        <w:t>.</w:t>
      </w:r>
      <w:r w:rsidRPr="00A42A1C">
        <w:rPr>
          <w:rStyle w:val="FootnoteReference"/>
          <w:rFonts w:cstheme="minorHAnsi"/>
        </w:rPr>
        <w:footnoteReference w:id="26"/>
      </w:r>
      <w:r w:rsidRPr="00A42A1C">
        <w:rPr>
          <w:rFonts w:cstheme="minorHAnsi"/>
        </w:rPr>
        <w:t xml:space="preserve">  When Sysco agreed to give its customers a piece of the antitrust claims in 2022, however, Burford allegedly objected and required that the funding agreement be changed to give Burford th</w:t>
      </w:r>
      <w:r>
        <w:rPr>
          <w:rFonts w:cstheme="minorHAnsi"/>
        </w:rPr>
        <w:t>e right to review and reject settlement offers, provided Burford</w:t>
      </w:r>
      <w:r w:rsidR="00F71C95">
        <w:rPr>
          <w:rFonts w:cstheme="minorHAnsi"/>
        </w:rPr>
        <w:t>’</w:t>
      </w:r>
      <w:r>
        <w:rPr>
          <w:rFonts w:cstheme="minorHAnsi"/>
        </w:rPr>
        <w:t xml:space="preserve">s consent is not </w:t>
      </w:r>
      <w:r w:rsidR="00F71C95">
        <w:rPr>
          <w:rFonts w:cstheme="minorHAnsi"/>
        </w:rPr>
        <w:t>“</w:t>
      </w:r>
      <w:r>
        <w:rPr>
          <w:rFonts w:cstheme="minorHAnsi"/>
        </w:rPr>
        <w:t>unreasonably withheld.</w:t>
      </w:r>
      <w:r w:rsidR="00F71C95">
        <w:rPr>
          <w:rFonts w:cstheme="minorHAnsi"/>
        </w:rPr>
        <w:t>”</w:t>
      </w:r>
      <w:r>
        <w:rPr>
          <w:rStyle w:val="FootnoteReference"/>
          <w:rFonts w:cstheme="minorHAnsi"/>
        </w:rPr>
        <w:footnoteReference w:id="27"/>
      </w:r>
      <w:r>
        <w:rPr>
          <w:rFonts w:cstheme="minorHAnsi"/>
        </w:rPr>
        <w:t xml:space="preserve">  Once Sysco began receiving settlement offers it found to be reasonable, Burford allegedly sought to obstruct further settlement negotiations, fearing the amounts were too low.</w:t>
      </w:r>
      <w:r>
        <w:rPr>
          <w:rStyle w:val="FootnoteReference"/>
          <w:rFonts w:cstheme="minorHAnsi"/>
        </w:rPr>
        <w:footnoteReference w:id="28"/>
      </w:r>
      <w:r>
        <w:rPr>
          <w:rFonts w:cstheme="minorHAnsi"/>
        </w:rPr>
        <w:t xml:space="preserve">  Burford instituted proceedings to enjoin Sysco from finalizing settlements, and an arbitral panel granted an </w:t>
      </w:r>
      <w:r>
        <w:rPr>
          <w:rFonts w:cstheme="minorHAnsi"/>
          <w:i/>
          <w:iCs/>
        </w:rPr>
        <w:t>ex parte</w:t>
      </w:r>
      <w:r>
        <w:rPr>
          <w:rFonts w:cstheme="minorHAnsi"/>
        </w:rPr>
        <w:t xml:space="preserve"> temporary restraining order in Burford</w:t>
      </w:r>
      <w:r w:rsidR="00F71C95">
        <w:rPr>
          <w:rFonts w:cstheme="minorHAnsi"/>
        </w:rPr>
        <w:t>’</w:t>
      </w:r>
      <w:r>
        <w:rPr>
          <w:rFonts w:cstheme="minorHAnsi"/>
        </w:rPr>
        <w:t>s favor.</w:t>
      </w:r>
      <w:r>
        <w:rPr>
          <w:rStyle w:val="FootnoteReference"/>
          <w:rFonts w:cstheme="minorHAnsi"/>
        </w:rPr>
        <w:footnoteReference w:id="29"/>
      </w:r>
      <w:r>
        <w:rPr>
          <w:rFonts w:cstheme="minorHAnsi"/>
        </w:rPr>
        <w:t xml:space="preserve">  </w:t>
      </w:r>
    </w:p>
    <w:p w14:paraId="526052AA" w14:textId="77777777" w:rsidR="00AA13FC" w:rsidRDefault="00AA13FC" w:rsidP="00AA13FC">
      <w:pPr>
        <w:ind w:firstLine="720"/>
        <w:rPr>
          <w:rFonts w:cstheme="minorHAnsi"/>
        </w:rPr>
      </w:pPr>
    </w:p>
    <w:p w14:paraId="54502397" w14:textId="123F546C" w:rsidR="00AA13FC" w:rsidRDefault="00AA13FC" w:rsidP="00AA13FC">
      <w:pPr>
        <w:ind w:firstLine="720"/>
        <w:rPr>
          <w:rFonts w:cstheme="minorHAnsi"/>
        </w:rPr>
      </w:pPr>
      <w:r>
        <w:rPr>
          <w:rFonts w:cstheme="minorHAnsi"/>
        </w:rPr>
        <w:t>These allegations, if true, contradict Burford</w:t>
      </w:r>
      <w:r w:rsidR="00F71C95">
        <w:rPr>
          <w:rFonts w:cstheme="minorHAnsi"/>
        </w:rPr>
        <w:t>’</w:t>
      </w:r>
      <w:r>
        <w:rPr>
          <w:rFonts w:cstheme="minorHAnsi"/>
        </w:rPr>
        <w:t>s repeated public statement</w:t>
      </w:r>
      <w:r w:rsidR="00390943">
        <w:rPr>
          <w:rFonts w:cstheme="minorHAnsi"/>
        </w:rPr>
        <w:t>s</w:t>
      </w:r>
      <w:r>
        <w:rPr>
          <w:rFonts w:cstheme="minorHAnsi"/>
        </w:rPr>
        <w:t xml:space="preserve"> that it does </w:t>
      </w:r>
      <w:r w:rsidRPr="00FE455A">
        <w:rPr>
          <w:rFonts w:cstheme="minorHAnsi"/>
          <w:b/>
          <w:bCs/>
          <w:i/>
          <w:iCs/>
        </w:rPr>
        <w:t xml:space="preserve">not </w:t>
      </w:r>
      <w:r w:rsidRPr="00DC1AB4">
        <w:rPr>
          <w:rFonts w:cstheme="minorHAnsi"/>
        </w:rPr>
        <w:t xml:space="preserve">exercise </w:t>
      </w:r>
      <w:r>
        <w:rPr>
          <w:rFonts w:cstheme="minorHAnsi"/>
        </w:rPr>
        <w:t>any control or influence over the lawsuits it finances.</w:t>
      </w:r>
      <w:r>
        <w:rPr>
          <w:rStyle w:val="FootnoteReference"/>
          <w:rFonts w:cstheme="minorHAnsi"/>
        </w:rPr>
        <w:footnoteReference w:id="30"/>
      </w:r>
      <w:r>
        <w:rPr>
          <w:rFonts w:cstheme="minorHAnsi"/>
        </w:rPr>
        <w:t xml:space="preserve">  But more importantly, they </w:t>
      </w:r>
      <w:r>
        <w:rPr>
          <w:rFonts w:cstheme="minorHAnsi"/>
        </w:rPr>
        <w:lastRenderedPageBreak/>
        <w:t>prove precisely why a rule requiring disclosure and production of TPLF agreements in civil litigation is necessary.  Indeed, there may be hundreds of plaintiffs in Sysco</w:t>
      </w:r>
      <w:r w:rsidR="00F71C95">
        <w:rPr>
          <w:rFonts w:cstheme="minorHAnsi"/>
        </w:rPr>
        <w:t>’</w:t>
      </w:r>
      <w:r>
        <w:rPr>
          <w:rFonts w:cstheme="minorHAnsi"/>
        </w:rPr>
        <w:t xml:space="preserve">s position where funders may have the authority to exercise veto power against the will of the plaintiff, which not only raises serious ethical issues, but also threatens to deter reasonable settlement and needlessly prolong litigation.  </w:t>
      </w:r>
      <w:r w:rsidRPr="000202A6">
        <w:rPr>
          <w:rFonts w:cstheme="minorHAnsi"/>
        </w:rPr>
        <w:t xml:space="preserve">Automatic disclosure of </w:t>
      </w:r>
      <w:r>
        <w:rPr>
          <w:rFonts w:cstheme="minorHAnsi"/>
        </w:rPr>
        <w:t>TPLF</w:t>
      </w:r>
      <w:r w:rsidRPr="000202A6">
        <w:rPr>
          <w:rFonts w:cstheme="minorHAnsi"/>
        </w:rPr>
        <w:t xml:space="preserve"> agreements guards against these </w:t>
      </w:r>
      <w:r>
        <w:rPr>
          <w:rFonts w:cstheme="minorHAnsi"/>
        </w:rPr>
        <w:t xml:space="preserve">significant risks </w:t>
      </w:r>
      <w:r w:rsidRPr="000202A6">
        <w:rPr>
          <w:rFonts w:cstheme="minorHAnsi"/>
        </w:rPr>
        <w:t xml:space="preserve">by </w:t>
      </w:r>
      <w:r>
        <w:rPr>
          <w:rFonts w:cstheme="minorHAnsi"/>
        </w:rPr>
        <w:t xml:space="preserve">making the fact of such </w:t>
      </w:r>
      <w:r w:rsidRPr="00AB376F">
        <w:rPr>
          <w:rFonts w:cstheme="minorHAnsi"/>
        </w:rPr>
        <w:t>TPLF investments transparent and subjecting funders</w:t>
      </w:r>
      <w:r w:rsidR="00F71C95">
        <w:rPr>
          <w:rFonts w:cstheme="minorHAnsi"/>
        </w:rPr>
        <w:t>’</w:t>
      </w:r>
      <w:r w:rsidRPr="00AB376F">
        <w:rPr>
          <w:rFonts w:cstheme="minorHAnsi"/>
        </w:rPr>
        <w:t xml:space="preserve"> representations of non-control to the adversarial process.  In short, it provides a backstop against the type of potential abuse alleged in the </w:t>
      </w:r>
      <w:r w:rsidRPr="00AB376F">
        <w:rPr>
          <w:rFonts w:cstheme="minorHAnsi"/>
          <w:i/>
          <w:iCs/>
        </w:rPr>
        <w:t>Sysco</w:t>
      </w:r>
      <w:r w:rsidRPr="00AB376F">
        <w:rPr>
          <w:rFonts w:cstheme="minorHAnsi"/>
        </w:rPr>
        <w:t xml:space="preserve"> case. </w:t>
      </w:r>
    </w:p>
    <w:p w14:paraId="21723DE9" w14:textId="77777777" w:rsidR="00AA13FC" w:rsidRPr="00DC1AB4" w:rsidRDefault="00AA13FC" w:rsidP="00AA13FC">
      <w:pPr>
        <w:ind w:firstLine="720"/>
        <w:rPr>
          <w:rFonts w:cstheme="minorHAnsi"/>
        </w:rPr>
      </w:pPr>
    </w:p>
    <w:p w14:paraId="36BDD642" w14:textId="7D513869" w:rsidR="00AA13FC" w:rsidRDefault="00AA13FC" w:rsidP="00AA13FC">
      <w:pPr>
        <w:suppressAutoHyphens/>
        <w:spacing w:after="240"/>
        <w:ind w:firstLine="720"/>
        <w:rPr>
          <w:rFonts w:eastAsia="Times New Roman"/>
        </w:rPr>
      </w:pPr>
      <w:r w:rsidRPr="00AB376F">
        <w:rPr>
          <w:rFonts w:cstheme="minorHAnsi"/>
        </w:rPr>
        <w:t xml:space="preserve">Burford and Sysco eventually settled their dispute. </w:t>
      </w:r>
      <w:r w:rsidR="00493CD0">
        <w:rPr>
          <w:rFonts w:cstheme="minorHAnsi"/>
        </w:rPr>
        <w:t xml:space="preserve"> </w:t>
      </w:r>
      <w:r w:rsidRPr="00AB376F">
        <w:rPr>
          <w:rFonts w:cstheme="minorHAnsi"/>
        </w:rPr>
        <w:t>Although</w:t>
      </w:r>
      <w:r w:rsidRPr="00AB376F">
        <w:rPr>
          <w:rFonts w:eastAsia="Times New Roman"/>
        </w:rPr>
        <w:t xml:space="preserve"> most of the details of the settlement remain confidential, one aspect that was publicly disclosed is that Sysco agreed to assign its claims to an affiliate of Burford.  The fact that Sysco had to assign its claims to a Burford affiliate just to get out of a series of lawsuits Burford insisted on litigating raises serious questions about the extent of Burford</w:t>
      </w:r>
      <w:r w:rsidR="00F71C95">
        <w:rPr>
          <w:rFonts w:eastAsia="Times New Roman"/>
        </w:rPr>
        <w:t>’</w:t>
      </w:r>
      <w:r w:rsidRPr="00AB376F">
        <w:rPr>
          <w:rFonts w:eastAsia="Times New Roman"/>
        </w:rPr>
        <w:t>s control and influence over the actions.  Indeed, the defendants in the underlying litigation mounted legal challenges to the substitution of the Burford affiliate as a plaintif</w:t>
      </w:r>
      <w:r>
        <w:rPr>
          <w:rFonts w:eastAsia="Times New Roman"/>
        </w:rPr>
        <w:t xml:space="preserve">f.  </w:t>
      </w:r>
    </w:p>
    <w:p w14:paraId="2BD167D0" w14:textId="59A2A6EE" w:rsidR="00AA13FC" w:rsidRPr="00DC1AB4" w:rsidRDefault="00AA13FC" w:rsidP="00AA13FC">
      <w:pPr>
        <w:suppressAutoHyphens/>
        <w:spacing w:after="240"/>
        <w:ind w:firstLine="720"/>
        <w:rPr>
          <w:rFonts w:eastAsia="Times New Roman"/>
        </w:rPr>
      </w:pPr>
      <w:r>
        <w:rPr>
          <w:rFonts w:eastAsia="Times New Roman"/>
        </w:rPr>
        <w:t>U.S. District Judge John Tunheim (D. Minn.) affirmed a magistrate judge</w:t>
      </w:r>
      <w:r w:rsidR="00F71C95">
        <w:rPr>
          <w:rFonts w:eastAsia="Times New Roman"/>
        </w:rPr>
        <w:t>’</w:t>
      </w:r>
      <w:r>
        <w:rPr>
          <w:rFonts w:eastAsia="Times New Roman"/>
        </w:rPr>
        <w:t xml:space="preserve">s denial of the requested substitution, reasoning that it </w:t>
      </w:r>
      <w:r w:rsidR="00F71C95">
        <w:rPr>
          <w:rFonts w:eastAsia="Times New Roman"/>
        </w:rPr>
        <w:t>“</w:t>
      </w:r>
      <w:r>
        <w:rPr>
          <w:rFonts w:eastAsia="Times New Roman"/>
        </w:rPr>
        <w:t>threaten[ed] the public policy favoring the settlements of lawsuits.</w:t>
      </w:r>
      <w:r w:rsidR="00F71C95">
        <w:rPr>
          <w:rFonts w:eastAsia="Times New Roman"/>
        </w:rPr>
        <w:t>”</w:t>
      </w:r>
      <w:r>
        <w:rPr>
          <w:rStyle w:val="FootnoteReference"/>
          <w:rFonts w:eastAsia="Times New Roman"/>
        </w:rPr>
        <w:footnoteReference w:id="31"/>
      </w:r>
      <w:r>
        <w:rPr>
          <w:rFonts w:eastAsia="Times New Roman"/>
        </w:rPr>
        <w:t xml:space="preserve">  As the court put it, </w:t>
      </w:r>
      <w:r w:rsidR="00F71C95">
        <w:rPr>
          <w:rFonts w:eastAsia="Times New Roman"/>
        </w:rPr>
        <w:t>“</w:t>
      </w:r>
      <w:r>
        <w:rPr>
          <w:rFonts w:eastAsia="Times New Roman"/>
        </w:rPr>
        <w:t>Sysco and Burford</w:t>
      </w:r>
      <w:r w:rsidR="00F71C95">
        <w:rPr>
          <w:rFonts w:eastAsia="Times New Roman"/>
        </w:rPr>
        <w:t>’</w:t>
      </w:r>
      <w:r>
        <w:rPr>
          <w:rFonts w:eastAsia="Times New Roman"/>
        </w:rPr>
        <w:t>s conduct is precisely the kind of conduct of which courts are wary.</w:t>
      </w:r>
      <w:r w:rsidR="00F71C95">
        <w:rPr>
          <w:rFonts w:eastAsia="Times New Roman"/>
        </w:rPr>
        <w:t>”</w:t>
      </w:r>
      <w:r w:rsidR="00EE60D9">
        <w:rPr>
          <w:rStyle w:val="FootnoteReference"/>
          <w:rFonts w:eastAsia="Times New Roman"/>
        </w:rPr>
        <w:footnoteReference w:id="32"/>
      </w:r>
      <w:r>
        <w:rPr>
          <w:rFonts w:eastAsia="Times New Roman"/>
        </w:rPr>
        <w:t xml:space="preserve">  The requested substitution </w:t>
      </w:r>
      <w:r w:rsidR="00F71C95">
        <w:rPr>
          <w:rFonts w:eastAsia="Times New Roman"/>
        </w:rPr>
        <w:t>“</w:t>
      </w:r>
      <w:r>
        <w:rPr>
          <w:rFonts w:eastAsia="Times New Roman"/>
        </w:rPr>
        <w:t>resulted from their attempt to resolve [a] dispute over whether</w:t>
      </w:r>
      <w:r w:rsidR="00F71C95">
        <w:rPr>
          <w:rFonts w:eastAsia="Times New Roman"/>
        </w:rPr>
        <w:t>”</w:t>
      </w:r>
      <w:r>
        <w:rPr>
          <w:rFonts w:eastAsia="Times New Roman"/>
        </w:rPr>
        <w:t xml:space="preserve"> Sysco (the plaintiff) or Burford (the investor) </w:t>
      </w:r>
      <w:r w:rsidR="00F71C95">
        <w:rPr>
          <w:rFonts w:eastAsia="Times New Roman"/>
        </w:rPr>
        <w:t>“</w:t>
      </w:r>
      <w:r>
        <w:rPr>
          <w:rFonts w:eastAsia="Times New Roman"/>
        </w:rPr>
        <w:t xml:space="preserve">should </w:t>
      </w:r>
      <w:r>
        <w:rPr>
          <w:rFonts w:eastAsia="Times New Roman"/>
          <w:b/>
          <w:bCs/>
          <w:i/>
          <w:iCs/>
        </w:rPr>
        <w:t>control</w:t>
      </w:r>
      <w:r>
        <w:rPr>
          <w:rFonts w:eastAsia="Times New Roman"/>
        </w:rPr>
        <w:t xml:space="preserve"> this litigation.</w:t>
      </w:r>
      <w:r w:rsidR="00F71C95">
        <w:rPr>
          <w:rFonts w:eastAsia="Times New Roman"/>
        </w:rPr>
        <w:t>”</w:t>
      </w:r>
      <w:r w:rsidR="00EE60D9">
        <w:rPr>
          <w:rStyle w:val="FootnoteReference"/>
          <w:rFonts w:eastAsia="Times New Roman"/>
        </w:rPr>
        <w:footnoteReference w:id="33"/>
      </w:r>
      <w:r>
        <w:rPr>
          <w:rFonts w:eastAsia="Times New Roman"/>
        </w:rPr>
        <w:t xml:space="preserve">  While Judge Tunheim refused to </w:t>
      </w:r>
      <w:r w:rsidR="00F71C95">
        <w:rPr>
          <w:rFonts w:eastAsia="Times New Roman"/>
        </w:rPr>
        <w:t>“</w:t>
      </w:r>
      <w:r>
        <w:rPr>
          <w:rFonts w:eastAsia="Times New Roman"/>
        </w:rPr>
        <w:t>approve such conduct,</w:t>
      </w:r>
      <w:r w:rsidR="00F71C95">
        <w:rPr>
          <w:rFonts w:eastAsia="Times New Roman"/>
        </w:rPr>
        <w:t>”</w:t>
      </w:r>
      <w:r w:rsidR="00EE60D9">
        <w:rPr>
          <w:rStyle w:val="FootnoteReference"/>
          <w:rFonts w:eastAsia="Times New Roman"/>
        </w:rPr>
        <w:footnoteReference w:id="34"/>
      </w:r>
      <w:r>
        <w:rPr>
          <w:rFonts w:eastAsia="Times New Roman"/>
        </w:rPr>
        <w:t xml:space="preserve"> other judges will have no way of even knowing whether such conduct is at play in their cases unless there is a requirement that TPLF arrangements (including their terms) be disclosed as a matter of course.</w:t>
      </w:r>
    </w:p>
    <w:p w14:paraId="060EC24F" w14:textId="6E424A11" w:rsidR="00FD5C78" w:rsidRDefault="00AA13FC" w:rsidP="00533E25">
      <w:pPr>
        <w:suppressAutoHyphens/>
        <w:spacing w:after="240"/>
        <w:ind w:firstLine="720"/>
      </w:pPr>
      <w:r>
        <w:t xml:space="preserve">In short, the limited TPLF arrangements that have become public confirm that litigation investors do in fact exercise control or influence over the cases they finance.  A disclosure requirement </w:t>
      </w:r>
      <w:r w:rsidR="00B87D28">
        <w:t xml:space="preserve">that includes the funding agreement </w:t>
      </w:r>
      <w:r>
        <w:t xml:space="preserve">would ensure that </w:t>
      </w:r>
      <w:r w:rsidR="00533E25">
        <w:t xml:space="preserve">all parties and the court have visibility into the persons or entities calling the shots in the litigation. </w:t>
      </w:r>
      <w:r>
        <w:t xml:space="preserve">  </w:t>
      </w:r>
      <w:r w:rsidR="00FD5C78" w:rsidRPr="00154FEB">
        <w:rPr>
          <w:rFonts w:eastAsia="Times New Roman"/>
        </w:rPr>
        <w:t xml:space="preserve"> </w:t>
      </w:r>
    </w:p>
    <w:p w14:paraId="5836A02A" w14:textId="77777777" w:rsidR="00AA13FC" w:rsidRPr="00B91596" w:rsidRDefault="00AA13FC" w:rsidP="00D87EA4">
      <w:pPr>
        <w:pStyle w:val="Heading1"/>
        <w:numPr>
          <w:ilvl w:val="1"/>
          <w:numId w:val="35"/>
        </w:numPr>
        <w:tabs>
          <w:tab w:val="num" w:pos="360"/>
        </w:tabs>
        <w:spacing w:before="100" w:beforeAutospacing="1" w:after="100" w:afterAutospacing="1"/>
        <w:rPr>
          <w:rFonts w:eastAsia="Times New Roman"/>
          <w:sz w:val="24"/>
          <w:szCs w:val="24"/>
          <w:u w:val="single"/>
        </w:rPr>
      </w:pPr>
      <w:r w:rsidRPr="00D87EA4">
        <w:rPr>
          <w:rFonts w:eastAsia="Times New Roman"/>
          <w:b w:val="0"/>
          <w:bCs w:val="0"/>
          <w:color w:val="000000" w:themeColor="text1"/>
          <w:sz w:val="24"/>
          <w:szCs w:val="24"/>
          <w:u w:val="single"/>
        </w:rPr>
        <w:lastRenderedPageBreak/>
        <w:t>Providing The Court And Parties With Information Highly Relevant To Settlement Efforts</w:t>
      </w:r>
    </w:p>
    <w:p w14:paraId="42AB488B" w14:textId="4500D6B2" w:rsidR="00AA13FC" w:rsidRDefault="00AA13FC" w:rsidP="00F8661F">
      <w:pPr>
        <w:ind w:firstLine="720"/>
        <w:rPr>
          <w:rFonts w:eastAsia="Times New Roman"/>
          <w:szCs w:val="20"/>
          <w:lang w:eastAsia="en-US"/>
        </w:rPr>
      </w:pPr>
      <w:r>
        <w:rPr>
          <w:rFonts w:eastAsia="Times New Roman"/>
        </w:rPr>
        <w:t xml:space="preserve">A disclosure requirement would facilitate fair and efficient </w:t>
      </w:r>
      <w:r w:rsidRPr="00154FEB">
        <w:rPr>
          <w:rFonts w:eastAsia="Times New Roman"/>
        </w:rPr>
        <w:t>settlement</w:t>
      </w:r>
      <w:r>
        <w:rPr>
          <w:rFonts w:eastAsia="Times New Roman"/>
        </w:rPr>
        <w:t xml:space="preserve">s by </w:t>
      </w:r>
      <w:r w:rsidR="00D02F53">
        <w:rPr>
          <w:rFonts w:eastAsia="Times New Roman"/>
        </w:rPr>
        <w:t>ensuring</w:t>
      </w:r>
      <w:r>
        <w:rPr>
          <w:rFonts w:eastAsia="Times New Roman"/>
        </w:rPr>
        <w:t xml:space="preserve"> that all persons or entities that have a direct financial interest in</w:t>
      </w:r>
      <w:r w:rsidR="00F01946">
        <w:rPr>
          <w:rFonts w:eastAsia="Times New Roman"/>
        </w:rPr>
        <w:t xml:space="preserve"> a case</w:t>
      </w:r>
      <w:r>
        <w:rPr>
          <w:rFonts w:eastAsia="Times New Roman"/>
        </w:rPr>
        <w:t xml:space="preserve"> and can exert influence or control over </w:t>
      </w:r>
      <w:r w:rsidR="005A7B57">
        <w:rPr>
          <w:rFonts w:eastAsia="Times New Roman"/>
        </w:rPr>
        <w:t>it</w:t>
      </w:r>
      <w:r>
        <w:rPr>
          <w:rFonts w:eastAsia="Times New Roman"/>
        </w:rPr>
        <w:t xml:space="preserve"> are known</w:t>
      </w:r>
      <w:r w:rsidR="00E234B1">
        <w:rPr>
          <w:rFonts w:eastAsia="Times New Roman"/>
        </w:rPr>
        <w:t xml:space="preserve"> and are </w:t>
      </w:r>
      <w:r w:rsidR="00D45C55">
        <w:rPr>
          <w:rFonts w:eastAsia="Times New Roman"/>
        </w:rPr>
        <w:t xml:space="preserve">appropriately </w:t>
      </w:r>
      <w:r w:rsidR="00E234B1">
        <w:rPr>
          <w:rFonts w:eastAsia="Times New Roman"/>
        </w:rPr>
        <w:t xml:space="preserve">factored into any settlement </w:t>
      </w:r>
      <w:r w:rsidR="00D45C55">
        <w:rPr>
          <w:rFonts w:eastAsia="Times New Roman"/>
        </w:rPr>
        <w:t>efforts</w:t>
      </w:r>
      <w:r>
        <w:rPr>
          <w:rFonts w:eastAsia="Times New Roman"/>
        </w:rPr>
        <w:t xml:space="preserve">.  </w:t>
      </w:r>
      <w:r w:rsidR="0046642C">
        <w:rPr>
          <w:rFonts w:cstheme="minorHAnsi"/>
        </w:rPr>
        <w:t xml:space="preserve">Moreover, </w:t>
      </w:r>
      <w:r w:rsidR="00E12649">
        <w:rPr>
          <w:rFonts w:cstheme="minorHAnsi"/>
        </w:rPr>
        <w:t>t</w:t>
      </w:r>
      <w:r w:rsidR="0046642C" w:rsidRPr="005437F7">
        <w:rPr>
          <w:rFonts w:cstheme="minorHAnsi"/>
        </w:rPr>
        <w:t xml:space="preserve">he absence of any rule requiring identification of TPLF participants in a case </w:t>
      </w:r>
      <w:r w:rsidR="0046642C">
        <w:rPr>
          <w:rFonts w:cstheme="minorHAnsi"/>
        </w:rPr>
        <w:t>cannot be squared with the long-standing requirement that</w:t>
      </w:r>
      <w:r w:rsidR="0046642C" w:rsidRPr="005437F7">
        <w:rPr>
          <w:rFonts w:cstheme="minorHAnsi"/>
        </w:rPr>
        <w:t xml:space="preserve"> defendants disclose </w:t>
      </w:r>
      <w:r w:rsidR="00F71C95">
        <w:rPr>
          <w:rFonts w:cstheme="minorHAnsi"/>
        </w:rPr>
        <w:t>“</w:t>
      </w:r>
      <w:r w:rsidR="0046642C" w:rsidRPr="00DA620F">
        <w:rPr>
          <w:rFonts w:cstheme="minorHAnsi"/>
        </w:rPr>
        <w:t>any insurance policy, indemnity agreement, or suretyship agreement under which another person may be liable to satisfy part or all of a judgment entered in the action or to indemnify or reimburse for payments made to satisfy the judgment</w:t>
      </w:r>
      <w:r w:rsidR="0046642C" w:rsidRPr="005437F7">
        <w:rPr>
          <w:rFonts w:cstheme="minorHAnsi"/>
        </w:rPr>
        <w:t>.</w:t>
      </w:r>
      <w:r w:rsidR="00F71C95">
        <w:rPr>
          <w:rFonts w:cstheme="minorHAnsi"/>
        </w:rPr>
        <w:t>”</w:t>
      </w:r>
      <w:r w:rsidR="0046642C" w:rsidRPr="005437F7">
        <w:rPr>
          <w:rFonts w:cstheme="minorHAnsi"/>
        </w:rPr>
        <w:t xml:space="preserve">  </w:t>
      </w:r>
      <w:r w:rsidR="0046642C" w:rsidRPr="003B5442">
        <w:rPr>
          <w:rFonts w:cstheme="minorHAnsi"/>
        </w:rPr>
        <w:t>Ariz. R. Civ. P. 26.1(a)(10).</w:t>
      </w:r>
      <w:r w:rsidR="0046642C">
        <w:rPr>
          <w:rFonts w:cstheme="minorHAnsi"/>
        </w:rPr>
        <w:t xml:space="preserve">  </w:t>
      </w:r>
      <w:r w:rsidR="00F8661F">
        <w:rPr>
          <w:rFonts w:eastAsia="Times New Roman"/>
          <w:szCs w:val="20"/>
          <w:lang w:eastAsia="en-US"/>
        </w:rPr>
        <w:t>Indeed, k</w:t>
      </w:r>
      <w:r w:rsidR="00F8661F" w:rsidRPr="00F8661F">
        <w:rPr>
          <w:rFonts w:eastAsia="Times New Roman"/>
          <w:szCs w:val="20"/>
          <w:lang w:eastAsia="en-US"/>
        </w:rPr>
        <w:t xml:space="preserve">nowing who has control </w:t>
      </w:r>
      <w:r w:rsidR="00F8661F">
        <w:rPr>
          <w:rFonts w:eastAsia="Times New Roman"/>
          <w:szCs w:val="20"/>
          <w:lang w:eastAsia="en-US"/>
        </w:rPr>
        <w:t xml:space="preserve">over decisions regarding resolution </w:t>
      </w:r>
      <w:r w:rsidR="00F8661F" w:rsidRPr="00F8661F">
        <w:rPr>
          <w:rFonts w:eastAsia="Times New Roman"/>
          <w:szCs w:val="20"/>
          <w:lang w:eastAsia="en-US"/>
        </w:rPr>
        <w:t>is critical to making sure that the right pe</w:t>
      </w:r>
      <w:r w:rsidR="00F8661F">
        <w:rPr>
          <w:rFonts w:eastAsia="Times New Roman"/>
          <w:szCs w:val="20"/>
          <w:lang w:eastAsia="en-US"/>
        </w:rPr>
        <w:t>ople</w:t>
      </w:r>
      <w:r w:rsidR="00F8661F" w:rsidRPr="00F8661F">
        <w:rPr>
          <w:rFonts w:eastAsia="Times New Roman"/>
          <w:szCs w:val="20"/>
          <w:lang w:eastAsia="en-US"/>
        </w:rPr>
        <w:t xml:space="preserve"> are</w:t>
      </w:r>
      <w:r w:rsidR="00F8661F">
        <w:rPr>
          <w:rFonts w:eastAsia="Times New Roman"/>
          <w:szCs w:val="20"/>
          <w:lang w:eastAsia="en-US"/>
        </w:rPr>
        <w:t xml:space="preserve"> involved in</w:t>
      </w:r>
      <w:r w:rsidR="00F8661F" w:rsidRPr="00F8661F">
        <w:rPr>
          <w:rFonts w:eastAsia="Times New Roman"/>
          <w:szCs w:val="20"/>
          <w:lang w:eastAsia="en-US"/>
        </w:rPr>
        <w:t xml:space="preserve"> any court-ordered mediation or other settlement effort. </w:t>
      </w:r>
      <w:r w:rsidR="00F8661F">
        <w:rPr>
          <w:rFonts w:eastAsia="Times New Roman"/>
          <w:szCs w:val="20"/>
          <w:lang w:eastAsia="en-US"/>
        </w:rPr>
        <w:t xml:space="preserve"> </w:t>
      </w:r>
      <w:r w:rsidRPr="00CE6C03">
        <w:rPr>
          <w:rFonts w:eastAsia="Times New Roman"/>
          <w:szCs w:val="20"/>
          <w:lang w:eastAsia="en-US"/>
        </w:rPr>
        <w:t xml:space="preserve">A party that must pay a TPLF entity a </w:t>
      </w:r>
      <w:r w:rsidR="00D63151">
        <w:rPr>
          <w:rFonts w:eastAsia="Times New Roman"/>
          <w:szCs w:val="20"/>
          <w:lang w:eastAsia="en-US"/>
        </w:rPr>
        <w:t>portion</w:t>
      </w:r>
      <w:r w:rsidRPr="00CE6C03">
        <w:rPr>
          <w:rFonts w:eastAsia="Times New Roman"/>
          <w:szCs w:val="20"/>
          <w:lang w:eastAsia="en-US"/>
        </w:rPr>
        <w:t xml:space="preserve"> of the proceeds of any recovery may be inclined to reject what might otherwise be a fair settlement offer in the hopes of securing a larger sum of money.  </w:t>
      </w:r>
      <w:r w:rsidRPr="00EF19C6">
        <w:t xml:space="preserve">Indeed, as an executive of a prominent TPLF company </w:t>
      </w:r>
      <w:r>
        <w:t xml:space="preserve">has </w:t>
      </w:r>
      <w:r w:rsidRPr="00EF19C6">
        <w:t>acknowledged, litigation fun</w:t>
      </w:r>
      <w:r>
        <w:t>ding</w:t>
      </w:r>
      <w:r w:rsidRPr="00EF19C6">
        <w:t xml:space="preserve"> </w:t>
      </w:r>
      <w:r w:rsidR="00F71C95">
        <w:t>“</w:t>
      </w:r>
      <w:r w:rsidRPr="00EF19C6">
        <w:rPr>
          <w:rFonts w:eastAsia="Times New Roman"/>
        </w:rPr>
        <w:t>make</w:t>
      </w:r>
      <w:r>
        <w:rPr>
          <w:rFonts w:eastAsia="Times New Roman"/>
        </w:rPr>
        <w:t>[s]</w:t>
      </w:r>
      <w:r w:rsidRPr="00EF19C6">
        <w:rPr>
          <w:rFonts w:eastAsia="Times New Roman"/>
        </w:rPr>
        <w:t xml:space="preserve"> </w:t>
      </w:r>
      <w:r w:rsidRPr="00EF19C6">
        <w:rPr>
          <w:rFonts w:eastAsia="Times New Roman"/>
          <w:b/>
          <w:i/>
        </w:rPr>
        <w:t>it harder and more expensive to settle cases</w:t>
      </w:r>
      <w:r w:rsidRPr="00EF19C6">
        <w:rPr>
          <w:rFonts w:eastAsia="Times New Roman"/>
        </w:rPr>
        <w:t>.</w:t>
      </w:r>
      <w:r w:rsidR="00F71C95">
        <w:rPr>
          <w:rFonts w:eastAsia="Times New Roman"/>
        </w:rPr>
        <w:t>”</w:t>
      </w:r>
      <w:r w:rsidRPr="00EF19C6">
        <w:rPr>
          <w:rFonts w:eastAsia="Times New Roman"/>
          <w:vertAlign w:val="superscript"/>
        </w:rPr>
        <w:footnoteReference w:id="35"/>
      </w:r>
      <w:r>
        <w:rPr>
          <w:rFonts w:eastAsia="Times New Roman"/>
        </w:rPr>
        <w:t xml:space="preserve">  </w:t>
      </w:r>
      <w:r w:rsidR="00D630B8">
        <w:rPr>
          <w:rFonts w:eastAsia="Times New Roman"/>
        </w:rPr>
        <w:t>T</w:t>
      </w:r>
      <w:r>
        <w:rPr>
          <w:rFonts w:eastAsia="Times New Roman"/>
        </w:rPr>
        <w:t xml:space="preserve">his is so </w:t>
      </w:r>
      <w:r w:rsidR="00D630B8">
        <w:rPr>
          <w:rFonts w:eastAsia="Times New Roman"/>
        </w:rPr>
        <w:t xml:space="preserve">in part </w:t>
      </w:r>
      <w:r>
        <w:rPr>
          <w:rFonts w:eastAsia="Times New Roman"/>
        </w:rPr>
        <w:t xml:space="preserve">because </w:t>
      </w:r>
      <w:r w:rsidRPr="00CE6C03">
        <w:rPr>
          <w:rFonts w:eastAsia="Times New Roman"/>
          <w:szCs w:val="20"/>
          <w:lang w:eastAsia="en-US"/>
        </w:rPr>
        <w:t xml:space="preserve">the party </w:t>
      </w:r>
      <w:r>
        <w:rPr>
          <w:rFonts w:eastAsia="Times New Roman"/>
          <w:szCs w:val="20"/>
          <w:lang w:eastAsia="en-US"/>
        </w:rPr>
        <w:t xml:space="preserve">may </w:t>
      </w:r>
      <w:r w:rsidRPr="00CE6C03">
        <w:rPr>
          <w:rFonts w:eastAsia="Times New Roman"/>
          <w:szCs w:val="20"/>
          <w:lang w:eastAsia="en-US"/>
        </w:rPr>
        <w:t>seek extra money to make up at least some of the amount (likely substantial) that will have to be paid to the TPLF entity</w:t>
      </w:r>
      <w:r w:rsidR="00455410">
        <w:rPr>
          <w:rFonts w:eastAsia="Times New Roman"/>
          <w:szCs w:val="20"/>
          <w:lang w:eastAsia="en-US"/>
        </w:rPr>
        <w:t xml:space="preserve">, and a </w:t>
      </w:r>
      <w:r w:rsidR="00E475FF">
        <w:rPr>
          <w:rFonts w:eastAsia="Times New Roman"/>
          <w:szCs w:val="20"/>
          <w:lang w:eastAsia="en-US"/>
        </w:rPr>
        <w:t>third party</w:t>
      </w:r>
      <w:r w:rsidR="00F71C95">
        <w:rPr>
          <w:rFonts w:eastAsia="Times New Roman"/>
          <w:szCs w:val="20"/>
          <w:lang w:eastAsia="en-US"/>
        </w:rPr>
        <w:t>-</w:t>
      </w:r>
      <w:r w:rsidR="00455410">
        <w:rPr>
          <w:rFonts w:eastAsia="Times New Roman"/>
          <w:szCs w:val="20"/>
          <w:lang w:eastAsia="en-US"/>
        </w:rPr>
        <w:t>funder</w:t>
      </w:r>
      <w:r w:rsidR="00E475FF">
        <w:rPr>
          <w:rFonts w:eastAsia="Times New Roman"/>
          <w:szCs w:val="20"/>
          <w:lang w:eastAsia="en-US"/>
        </w:rPr>
        <w:t xml:space="preserve"> may</w:t>
      </w:r>
      <w:r w:rsidR="00A704BA">
        <w:rPr>
          <w:rFonts w:eastAsia="Times New Roman"/>
          <w:szCs w:val="20"/>
          <w:lang w:eastAsia="en-US"/>
        </w:rPr>
        <w:t>,</w:t>
      </w:r>
      <w:r w:rsidR="00E475FF">
        <w:rPr>
          <w:rFonts w:eastAsia="Times New Roman"/>
          <w:szCs w:val="20"/>
          <w:lang w:eastAsia="en-US"/>
        </w:rPr>
        <w:t xml:space="preserve"> in fact</w:t>
      </w:r>
      <w:r w:rsidR="00A704BA">
        <w:rPr>
          <w:rFonts w:eastAsia="Times New Roman"/>
          <w:szCs w:val="20"/>
          <w:lang w:eastAsia="en-US"/>
        </w:rPr>
        <w:t>,</w:t>
      </w:r>
      <w:r w:rsidR="00E475FF">
        <w:rPr>
          <w:rFonts w:eastAsia="Times New Roman"/>
          <w:szCs w:val="20"/>
          <w:lang w:eastAsia="en-US"/>
        </w:rPr>
        <w:t xml:space="preserve"> insist that the party do so</w:t>
      </w:r>
      <w:r w:rsidRPr="00CE6C03">
        <w:rPr>
          <w:rFonts w:eastAsia="Times New Roman"/>
          <w:szCs w:val="20"/>
          <w:lang w:eastAsia="en-US"/>
        </w:rPr>
        <w:t>.</w:t>
      </w:r>
      <w:r>
        <w:rPr>
          <w:rFonts w:eastAsia="Times New Roman"/>
          <w:szCs w:val="20"/>
          <w:lang w:eastAsia="en-US"/>
        </w:rPr>
        <w:t xml:space="preserve">  </w:t>
      </w:r>
    </w:p>
    <w:p w14:paraId="400ADBCE" w14:textId="77777777" w:rsidR="00AA13FC" w:rsidRDefault="00AA13FC" w:rsidP="00AA13FC">
      <w:pPr>
        <w:ind w:firstLine="720"/>
        <w:rPr>
          <w:rFonts w:eastAsia="Times New Roman"/>
          <w:szCs w:val="20"/>
          <w:lang w:eastAsia="en-US"/>
        </w:rPr>
      </w:pPr>
    </w:p>
    <w:p w14:paraId="7B9F4978" w14:textId="1DCA5B70" w:rsidR="00AA13FC" w:rsidRDefault="00AA13FC" w:rsidP="00AA13FC">
      <w:pPr>
        <w:ind w:firstLine="720"/>
        <w:rPr>
          <w:rFonts w:eastAsia="Times New Roman"/>
          <w:szCs w:val="20"/>
          <w:lang w:eastAsia="en-US"/>
        </w:rPr>
      </w:pPr>
      <w:r>
        <w:rPr>
          <w:rFonts w:eastAsia="Times New Roman"/>
          <w:szCs w:val="20"/>
          <w:lang w:eastAsia="en-US"/>
        </w:rPr>
        <w:t xml:space="preserve">Notably, in the </w:t>
      </w:r>
      <w:r>
        <w:rPr>
          <w:rFonts w:eastAsia="Times New Roman"/>
          <w:i/>
          <w:iCs/>
          <w:szCs w:val="20"/>
          <w:lang w:eastAsia="en-US"/>
        </w:rPr>
        <w:t>Sysco</w:t>
      </w:r>
      <w:r>
        <w:rPr>
          <w:rFonts w:eastAsia="Times New Roman"/>
          <w:szCs w:val="20"/>
          <w:lang w:eastAsia="en-US"/>
        </w:rPr>
        <w:t xml:space="preserve"> case, the plaintiff attempted to resist this pressure, but ultimately chose to assign its claims to a Burford affiliate when the investor insisted that the litigation </w:t>
      </w:r>
      <w:r>
        <w:rPr>
          <w:rFonts w:eastAsia="Times New Roman"/>
          <w:b/>
          <w:bCs/>
          <w:i/>
          <w:iCs/>
          <w:szCs w:val="20"/>
          <w:lang w:eastAsia="en-US"/>
        </w:rPr>
        <w:t>not</w:t>
      </w:r>
      <w:r>
        <w:rPr>
          <w:rFonts w:eastAsia="Times New Roman"/>
          <w:szCs w:val="20"/>
          <w:lang w:eastAsia="en-US"/>
        </w:rPr>
        <w:t xml:space="preserve"> be resolved outside court.  While this represents one of the most egregious examples of a litigation investor attempting to exercise veto power over settlement decisions, investors can also undermine settlement efforts by </w:t>
      </w:r>
      <w:r w:rsidRPr="00CE6C03">
        <w:rPr>
          <w:rFonts w:eastAsia="Times New Roman"/>
          <w:szCs w:val="20"/>
          <w:lang w:eastAsia="en-US"/>
        </w:rPr>
        <w:t>structur</w:t>
      </w:r>
      <w:r>
        <w:rPr>
          <w:rFonts w:eastAsia="Times New Roman"/>
          <w:szCs w:val="20"/>
          <w:lang w:eastAsia="en-US"/>
        </w:rPr>
        <w:t>ing</w:t>
      </w:r>
      <w:r w:rsidRPr="00CE6C03">
        <w:rPr>
          <w:rFonts w:eastAsia="Times New Roman"/>
          <w:szCs w:val="20"/>
          <w:lang w:eastAsia="en-US"/>
        </w:rPr>
        <w:t xml:space="preserve"> their agreements to maximize their take of the first dollars of any recovery, thereby deterring reasonable settlements.</w:t>
      </w:r>
      <w:r>
        <w:rPr>
          <w:rFonts w:eastAsia="Times New Roman"/>
          <w:szCs w:val="20"/>
          <w:lang w:eastAsia="en-US"/>
        </w:rPr>
        <w:t xml:space="preserve">  </w:t>
      </w:r>
    </w:p>
    <w:p w14:paraId="28D2866B" w14:textId="77777777" w:rsidR="00AA13FC" w:rsidRDefault="00AA13FC" w:rsidP="00AA13FC">
      <w:pPr>
        <w:ind w:firstLine="720"/>
        <w:rPr>
          <w:rFonts w:eastAsia="Times New Roman"/>
        </w:rPr>
      </w:pPr>
    </w:p>
    <w:p w14:paraId="2F7B7A3C" w14:textId="664199DC" w:rsidR="00AA13FC" w:rsidRDefault="002F623C" w:rsidP="00AA13FC">
      <w:pPr>
        <w:ind w:firstLine="720"/>
      </w:pPr>
      <w:r>
        <w:t>This occurred</w:t>
      </w:r>
      <w:r w:rsidR="00AA13FC">
        <w:t xml:space="preserve"> in </w:t>
      </w:r>
      <w:r>
        <w:rPr>
          <w:i/>
          <w:iCs/>
        </w:rPr>
        <w:t>Chevron Ecuador</w:t>
      </w:r>
      <w:r>
        <w:t xml:space="preserve">, </w:t>
      </w:r>
      <w:r w:rsidRPr="00B433CA">
        <w:t xml:space="preserve">a racketeering suit </w:t>
      </w:r>
      <w:r w:rsidR="004D5345">
        <w:t xml:space="preserve">filed by Chevron Corporation </w:t>
      </w:r>
      <w:r>
        <w:t xml:space="preserve">against </w:t>
      </w:r>
      <w:r w:rsidRPr="00B433CA">
        <w:t xml:space="preserve">Steven Donziger, who had </w:t>
      </w:r>
      <w:r>
        <w:t xml:space="preserve">fraudulently </w:t>
      </w:r>
      <w:r w:rsidRPr="00B433CA">
        <w:t xml:space="preserve">helped secure an $18.2 billion judgment </w:t>
      </w:r>
      <w:r w:rsidR="003822E1">
        <w:t xml:space="preserve">in a different lawsuit </w:t>
      </w:r>
      <w:r w:rsidR="00733419">
        <w:t xml:space="preserve">filed </w:t>
      </w:r>
      <w:r w:rsidRPr="00B433CA">
        <w:t xml:space="preserve">against Chevron </w:t>
      </w:r>
      <w:r w:rsidR="006E4904">
        <w:t xml:space="preserve">in Ecuador </w:t>
      </w:r>
      <w:r w:rsidRPr="00B433CA">
        <w:t>on behalf of Ecuadorians allegedly harmed by the company</w:t>
      </w:r>
      <w:r w:rsidR="00F71C95">
        <w:t>’</w:t>
      </w:r>
      <w:r w:rsidRPr="00B433CA">
        <w:t>s drilling practices</w:t>
      </w:r>
      <w:r>
        <w:t xml:space="preserve">.  </w:t>
      </w:r>
      <w:r w:rsidR="004D5345">
        <w:t xml:space="preserve">Discovery revealed that Burford had provided the funding for the underlying suit against Chevron.  </w:t>
      </w:r>
      <w:r w:rsidRPr="0005332D">
        <w:t>T</w:t>
      </w:r>
      <w:r w:rsidR="00AA13FC" w:rsidRPr="0005332D">
        <w:t xml:space="preserve">he funding agreement </w:t>
      </w:r>
      <w:r w:rsidR="004D5345">
        <w:t xml:space="preserve">between Donziger and Burford </w:t>
      </w:r>
      <w:r w:rsidR="00AA13FC" w:rsidRPr="0005332D">
        <w:t xml:space="preserve">included a </w:t>
      </w:r>
      <w:r w:rsidR="00F71C95">
        <w:t>“</w:t>
      </w:r>
      <w:r w:rsidR="00AA13FC" w:rsidRPr="0005332D">
        <w:t>waterfall</w:t>
      </w:r>
      <w:r w:rsidR="00F71C95">
        <w:t>”</w:t>
      </w:r>
      <w:r w:rsidR="00AA13FC" w:rsidRPr="0005332D">
        <w:t xml:space="preserve"> repayment provision, which provided for a heightened percentage of recovery on the first dollars of any awar</w:t>
      </w:r>
      <w:r w:rsidR="00AA13FC" w:rsidRPr="00375529">
        <w:t>d.</w:t>
      </w:r>
      <w:r w:rsidR="00AA13FC" w:rsidRPr="00375529">
        <w:rPr>
          <w:vertAlign w:val="superscript"/>
        </w:rPr>
        <w:footnoteReference w:id="36"/>
      </w:r>
      <w:r w:rsidR="00AA13FC" w:rsidRPr="00375529">
        <w:t xml:space="preserve">  Under the agreement, Burford would receive approximately 5.5% of any award, or about $55 million, on any amount starting at $1 billion.  </w:t>
      </w:r>
      <w:r w:rsidR="00AA13FC">
        <w:t>However</w:t>
      </w:r>
      <w:r w:rsidR="00AA13FC" w:rsidRPr="00375529">
        <w:t>, if the plaintiffs settled for less than $1 billion, the investor</w:t>
      </w:r>
      <w:r w:rsidR="00F71C95">
        <w:t>’</w:t>
      </w:r>
      <w:r w:rsidR="00AA13FC" w:rsidRPr="00375529">
        <w:t xml:space="preserve">s percentage would actually go up.  </w:t>
      </w:r>
    </w:p>
    <w:p w14:paraId="2F0D0E97" w14:textId="77777777" w:rsidR="00AA13FC" w:rsidRDefault="00AA13FC" w:rsidP="00AA13FC">
      <w:pPr>
        <w:ind w:firstLine="720"/>
      </w:pPr>
    </w:p>
    <w:p w14:paraId="22F57293" w14:textId="50BAB6EB" w:rsidR="00AA13FC" w:rsidRDefault="00AA13FC" w:rsidP="00AA13FC">
      <w:pPr>
        <w:ind w:firstLine="720"/>
      </w:pPr>
      <w:r>
        <w:t xml:space="preserve">Other agreements that have come to light—including in the patent context—have confirmed this business model.  </w:t>
      </w:r>
      <w:r w:rsidRPr="00116F20">
        <w:t xml:space="preserve">One agreement that (perhaps inadvertently) became public was </w:t>
      </w:r>
      <w:r w:rsidRPr="00116F20">
        <w:lastRenderedPageBreak/>
        <w:t>entered into by Gamon Plus, Inc. and the TPLF funder Gerchen Keller Capital (</w:t>
      </w:r>
      <w:r w:rsidR="00F71C95">
        <w:t>“</w:t>
      </w:r>
      <w:r w:rsidRPr="00116F20">
        <w:t>Gerchen Keller</w:t>
      </w:r>
      <w:r w:rsidR="00F71C95">
        <w:t>”</w:t>
      </w:r>
      <w:r w:rsidRPr="00116F20">
        <w:t>) in or around February 2016.</w:t>
      </w:r>
      <w:r>
        <w:rPr>
          <w:rStyle w:val="FootnoteReference"/>
        </w:rPr>
        <w:footnoteReference w:id="37"/>
      </w:r>
      <w:r w:rsidRPr="00563224">
        <w:t xml:space="preserve"> </w:t>
      </w:r>
      <w:r>
        <w:t xml:space="preserve"> </w:t>
      </w:r>
      <w:r w:rsidRPr="00563224">
        <w:t>Under that agreement, Gerchen Keller was to provide approximately $1.5 million in funding for Gamon</w:t>
      </w:r>
      <w:r w:rsidR="00F71C95">
        <w:t>’</w:t>
      </w:r>
      <w:r w:rsidRPr="00563224">
        <w:t xml:space="preserve">s pursuit of patent claims against Campbell Soup, including payment of certain attorney fees. </w:t>
      </w:r>
      <w:r>
        <w:t xml:space="preserve"> </w:t>
      </w:r>
      <w:r w:rsidRPr="00563224">
        <w:t>Gerchen Keller was to be paid two times the amount of its initial investment, plus 20% of any additional proceeds gained from the litigation.</w:t>
      </w:r>
    </w:p>
    <w:p w14:paraId="3D394253" w14:textId="77777777" w:rsidR="00AA13FC" w:rsidRDefault="00AA13FC" w:rsidP="00AA13FC">
      <w:pPr>
        <w:ind w:firstLine="720"/>
      </w:pPr>
    </w:p>
    <w:p w14:paraId="58B24A95" w14:textId="7900CF9D" w:rsidR="00AA13FC" w:rsidRDefault="00AA13FC" w:rsidP="00AA13FC">
      <w:pPr>
        <w:ind w:firstLine="720"/>
        <w:rPr>
          <w:rFonts w:eastAsia="Times New Roman"/>
        </w:rPr>
      </w:pPr>
      <w:r>
        <w:t xml:space="preserve">While TPLF has made it harder to settle many business-to-business </w:t>
      </w:r>
      <w:r w:rsidR="00925912">
        <w:t xml:space="preserve">and patent </w:t>
      </w:r>
      <w:r>
        <w:t xml:space="preserve">cases, its usage in the mass torts arena has had an even more pernicious effect.  Indeed, </w:t>
      </w:r>
      <w:r>
        <w:rPr>
          <w:color w:val="000000"/>
        </w:rPr>
        <w:t>o</w:t>
      </w:r>
      <w:r w:rsidRPr="000E2372">
        <w:rPr>
          <w:color w:val="000000"/>
        </w:rPr>
        <w:t xml:space="preserve">ne of the key reasons mass tort cases </w:t>
      </w:r>
      <w:r w:rsidR="002A4635">
        <w:rPr>
          <w:color w:val="000000"/>
        </w:rPr>
        <w:t xml:space="preserve">yield very substantial </w:t>
      </w:r>
      <w:r w:rsidRPr="000E2372">
        <w:rPr>
          <w:color w:val="000000"/>
        </w:rPr>
        <w:t xml:space="preserve">dividends for attorneys and their </w:t>
      </w:r>
      <w:r>
        <w:rPr>
          <w:color w:val="000000"/>
        </w:rPr>
        <w:t>outside</w:t>
      </w:r>
      <w:r w:rsidRPr="000E2372">
        <w:rPr>
          <w:color w:val="000000"/>
        </w:rPr>
        <w:t xml:space="preserve"> investors is that the sheer number of cases filed in a given mass tort </w:t>
      </w:r>
      <w:r w:rsidR="001428F2">
        <w:rPr>
          <w:color w:val="000000"/>
        </w:rPr>
        <w:t>controversy</w:t>
      </w:r>
      <w:r w:rsidRPr="000E2372">
        <w:rPr>
          <w:color w:val="000000"/>
        </w:rPr>
        <w:t xml:space="preserve"> imposes enormous pressure on businesses to settle, regardless of the merits of the underlying claims.  </w:t>
      </w:r>
      <w:r w:rsidR="00F71C95">
        <w:rPr>
          <w:color w:val="000000"/>
        </w:rPr>
        <w:t>“</w:t>
      </w:r>
      <w:r w:rsidR="003D02B7">
        <w:rPr>
          <w:color w:val="000000"/>
        </w:rPr>
        <w:t>[T]</w:t>
      </w:r>
      <w:r w:rsidRPr="000E2372">
        <w:rPr>
          <w:rFonts w:eastAsia="Times New Roman"/>
        </w:rPr>
        <w:t>he bigger [a mass torts litigation] gets, the less individualized scrutiny each claim will realistically receive, creating incentives for ever more claims to be filed,</w:t>
      </w:r>
      <w:r w:rsidR="00F71C95">
        <w:rPr>
          <w:rFonts w:eastAsia="Times New Roman"/>
        </w:rPr>
        <w:t>”</w:t>
      </w:r>
      <w:r w:rsidRPr="000E2372">
        <w:rPr>
          <w:rFonts w:eastAsia="Times New Roman"/>
        </w:rPr>
        <w:t xml:space="preserve"> and ex</w:t>
      </w:r>
      <w:r>
        <w:rPr>
          <w:rFonts w:eastAsia="Times New Roman"/>
        </w:rPr>
        <w:t>er</w:t>
      </w:r>
      <w:r w:rsidRPr="000E2372">
        <w:rPr>
          <w:rFonts w:eastAsia="Times New Roman"/>
        </w:rPr>
        <w:t>ting significant pressure on defendants to settle cases.</w:t>
      </w:r>
      <w:r w:rsidRPr="000E2372">
        <w:rPr>
          <w:rStyle w:val="FootnoteReference"/>
          <w:rFonts w:eastAsia="Times New Roman"/>
        </w:rPr>
        <w:footnoteReference w:id="38"/>
      </w:r>
      <w:r w:rsidRPr="000E2372">
        <w:rPr>
          <w:rStyle w:val="FootnoteReference"/>
          <w:rFonts w:eastAsia="Times New Roman"/>
        </w:rPr>
        <w:t xml:space="preserve"> </w:t>
      </w:r>
    </w:p>
    <w:p w14:paraId="4AE42D90" w14:textId="77777777" w:rsidR="00AA13FC" w:rsidRDefault="00AA13FC" w:rsidP="00AA13FC">
      <w:pPr>
        <w:ind w:firstLine="720"/>
        <w:rPr>
          <w:rFonts w:eastAsia="Times New Roman"/>
        </w:rPr>
      </w:pPr>
    </w:p>
    <w:p w14:paraId="2EB4DBAF" w14:textId="15FD427D" w:rsidR="00AA13FC" w:rsidRDefault="00AA13FC" w:rsidP="00AA13FC">
      <w:pPr>
        <w:ind w:firstLine="720"/>
      </w:pPr>
      <w:r w:rsidRPr="000E2372">
        <w:t xml:space="preserve">Nowhere </w:t>
      </w:r>
      <w:r w:rsidR="00CC172E">
        <w:t>was</w:t>
      </w:r>
      <w:r w:rsidRPr="000E2372">
        <w:t xml:space="preserve"> this dynamic </w:t>
      </w:r>
      <w:r w:rsidR="000D2329">
        <w:t xml:space="preserve">more apparent </w:t>
      </w:r>
      <w:r w:rsidRPr="000E2372">
        <w:t xml:space="preserve">than in the </w:t>
      </w:r>
      <w:r w:rsidR="00880CF7" w:rsidRPr="000E2372">
        <w:t>3M Combat Arms Earplug litigation</w:t>
      </w:r>
      <w:r w:rsidRPr="000E2372">
        <w:t xml:space="preserve">.  </w:t>
      </w:r>
      <w:r>
        <w:t>As has been suggested by the overseeing court and others, litigation funders invested considerable money in that controversy, particularly to pay for advertising that would generate claims.</w:t>
      </w:r>
      <w:r>
        <w:rPr>
          <w:rStyle w:val="FootnoteReference"/>
        </w:rPr>
        <w:footnoteReference w:id="39"/>
      </w:r>
      <w:r>
        <w:t xml:space="preserve">  </w:t>
      </w:r>
      <w:r w:rsidRPr="000E2372">
        <w:t>Because the military has maintained comprehensive records of</w:t>
      </w:r>
      <w:r w:rsidRPr="00B17355">
        <w:t xml:space="preserve"> </w:t>
      </w:r>
      <w:r>
        <w:t>earplug</w:t>
      </w:r>
      <w:r w:rsidRPr="000E2372">
        <w:t xml:space="preserve"> issuance, each use</w:t>
      </w:r>
      <w:r w:rsidR="001A14C4">
        <w:t>,</w:t>
      </w:r>
      <w:r w:rsidRPr="000E2372">
        <w:t xml:space="preserve"> and the overall health of each soldier while using the earplugs alleged to be defective, the parties in that federal MDL proceeding were able to undertake a rigorous assessment of a subset of filed claims.  In 2021, a random sample of 500 claimants designated as </w:t>
      </w:r>
      <w:r w:rsidR="00F71C95">
        <w:t>“</w:t>
      </w:r>
      <w:r w:rsidRPr="000E2372">
        <w:t>Wave 1</w:t>
      </w:r>
      <w:r w:rsidR="00F71C95">
        <w:t>”</w:t>
      </w:r>
      <w:r w:rsidRPr="000E2372">
        <w:t xml:space="preserve"> plaintiffs were required to produce evidence supporting their claims.</w:t>
      </w:r>
      <w:r w:rsidRPr="000E2372">
        <w:rPr>
          <w:rStyle w:val="FootnoteReference"/>
        </w:rPr>
        <w:footnoteReference w:id="40"/>
      </w:r>
      <w:r w:rsidRPr="000E2372">
        <w:t xml:space="preserve">  Of that group, 126 (25.2%)</w:t>
      </w:r>
      <w:r w:rsidRPr="00B17355">
        <w:t xml:space="preserve"> </w:t>
      </w:r>
      <w:r>
        <w:t>reportedly</w:t>
      </w:r>
      <w:r w:rsidRPr="000E2372">
        <w:t xml:space="preserve"> produced no evidence and dropped out of the case, and nearly 75% of the Wave 1 plaintiffs </w:t>
      </w:r>
      <w:r>
        <w:t xml:space="preserve">apparently </w:t>
      </w:r>
      <w:r w:rsidRPr="000E2372">
        <w:t>had no record of ever having used Combat Arms earplugs (65% of whom reported using different hearing protection devices altogether).</w:t>
      </w:r>
      <w:r w:rsidRPr="000E2372">
        <w:rPr>
          <w:rStyle w:val="FootnoteReference"/>
        </w:rPr>
        <w:footnoteReference w:id="41"/>
      </w:r>
      <w:r w:rsidRPr="000E2372">
        <w:t xml:space="preserve">  Of the subset of claimants that had used the earplugs in question, 85%</w:t>
      </w:r>
      <w:r w:rsidRPr="00B17355">
        <w:t xml:space="preserve"> </w:t>
      </w:r>
      <w:r>
        <w:t>reportedly</w:t>
      </w:r>
      <w:r w:rsidRPr="000E2372">
        <w:t xml:space="preserve"> had </w:t>
      </w:r>
      <w:r w:rsidR="00F71C95">
        <w:t>“</w:t>
      </w:r>
      <w:r w:rsidRPr="000E2372">
        <w:t>normal hearing</w:t>
      </w:r>
      <w:r w:rsidR="00F71C95">
        <w:t>”</w:t>
      </w:r>
      <w:r w:rsidRPr="000E2372">
        <w:t xml:space="preserve"> according to the World Health Organization</w:t>
      </w:r>
      <w:r w:rsidR="00F71C95">
        <w:t>’</w:t>
      </w:r>
      <w:r w:rsidRPr="000E2372">
        <w:t>s criteria during the periods they alleged they had used the products.</w:t>
      </w:r>
      <w:r w:rsidRPr="000E2372">
        <w:rPr>
          <w:rStyle w:val="FootnoteReference"/>
        </w:rPr>
        <w:footnoteReference w:id="42"/>
      </w:r>
      <w:r w:rsidRPr="000E2372">
        <w:t xml:space="preserve">  </w:t>
      </w:r>
    </w:p>
    <w:p w14:paraId="6B5C9167" w14:textId="77777777" w:rsidR="00AA13FC" w:rsidRDefault="00AA13FC" w:rsidP="00AA13FC">
      <w:pPr>
        <w:ind w:firstLine="720"/>
      </w:pPr>
    </w:p>
    <w:p w14:paraId="59430B89" w14:textId="3B708B46" w:rsidR="00AA13FC" w:rsidRPr="00CB0711" w:rsidRDefault="00AA13FC" w:rsidP="00AA13FC">
      <w:pPr>
        <w:ind w:firstLine="720"/>
      </w:pPr>
      <w:r w:rsidRPr="000E2372">
        <w:t xml:space="preserve">If these statistics are even remotely representative of the broader claims pool, the </w:t>
      </w:r>
      <w:r w:rsidR="00880CF7" w:rsidRPr="000E2372">
        <w:t>3M Combat Arms Earplug litigation</w:t>
      </w:r>
      <w:r w:rsidRPr="000E2372">
        <w:t xml:space="preserve"> </w:t>
      </w:r>
      <w:r>
        <w:t xml:space="preserve">was rife with </w:t>
      </w:r>
      <w:r w:rsidRPr="000E2372">
        <w:t xml:space="preserve">baseless lawsuits that </w:t>
      </w:r>
      <w:r>
        <w:t xml:space="preserve">clearly </w:t>
      </w:r>
      <w:r w:rsidRPr="000E2372">
        <w:t xml:space="preserve">were not adequately vetted </w:t>
      </w:r>
      <w:r>
        <w:t>by counsel</w:t>
      </w:r>
      <w:r w:rsidRPr="000E2372">
        <w:t xml:space="preserve"> before </w:t>
      </w:r>
      <w:r>
        <w:t>they were</w:t>
      </w:r>
      <w:r w:rsidRPr="000E2372">
        <w:t xml:space="preserve"> filed.  </w:t>
      </w:r>
      <w:r>
        <w:t>Presumably, this was at least in part due to the fact that the litigation funding-driven claimant recruitment efforts were so overwhelmingly successful that some counsel simply did not bother to adequately investigat</w:t>
      </w:r>
      <w:r w:rsidR="00E4414A">
        <w:t>e</w:t>
      </w:r>
      <w:r>
        <w:t xml:space="preserve"> their claims before filing.  Indeed, that appears to have become a business model for some counsel: </w:t>
      </w:r>
      <w:r w:rsidR="00E134C0">
        <w:t>u</w:t>
      </w:r>
      <w:r>
        <w:t xml:space="preserve">se litigation funding money to </w:t>
      </w:r>
      <w:r>
        <w:lastRenderedPageBreak/>
        <w:t xml:space="preserve">generate as many claims as possible, do little to vet or develop those claims, and then wait for settlement money to flow.  In the earplug litigation, </w:t>
      </w:r>
      <w:r w:rsidRPr="000E2372">
        <w:t xml:space="preserve">the </w:t>
      </w:r>
      <w:r>
        <w:t xml:space="preserve">huge number of pending claims </w:t>
      </w:r>
      <w:r w:rsidRPr="000E2372">
        <w:t xml:space="preserve">appears to have had </w:t>
      </w:r>
      <w:r>
        <w:t>the effect desired by plaintiffs</w:t>
      </w:r>
      <w:r w:rsidR="00F71C95">
        <w:t>’</w:t>
      </w:r>
      <w:r>
        <w:t xml:space="preserve"> counsel and their investors,</w:t>
      </w:r>
      <w:r w:rsidRPr="000E2372">
        <w:t xml:space="preserve"> </w:t>
      </w:r>
      <w:r>
        <w:t>as 3M</w:t>
      </w:r>
      <w:r w:rsidRPr="000E2372">
        <w:t xml:space="preserve"> </w:t>
      </w:r>
      <w:r>
        <w:t>re</w:t>
      </w:r>
      <w:r w:rsidR="00E4414A">
        <w:t>ached</w:t>
      </w:r>
      <w:r w:rsidRPr="000E2372">
        <w:t xml:space="preserve"> a $6 billion deal to resolve </w:t>
      </w:r>
      <w:r w:rsidR="000A1BB6">
        <w:t xml:space="preserve">the </w:t>
      </w:r>
      <w:r w:rsidRPr="000E2372">
        <w:t>more than 260,000 claims in the proceeding.</w:t>
      </w:r>
      <w:r w:rsidRPr="000E2372">
        <w:rPr>
          <w:rStyle w:val="FootnoteReference"/>
        </w:rPr>
        <w:footnoteReference w:id="43"/>
      </w:r>
      <w:r w:rsidRPr="000E2372">
        <w:t xml:space="preserve"> </w:t>
      </w:r>
    </w:p>
    <w:p w14:paraId="7C1E6EFE" w14:textId="77777777" w:rsidR="00AA13FC" w:rsidRPr="00CB0711" w:rsidRDefault="00AA13FC" w:rsidP="00AA13FC">
      <w:pPr>
        <w:ind w:firstLine="720"/>
      </w:pPr>
      <w:r>
        <w:t xml:space="preserve"> </w:t>
      </w:r>
    </w:p>
    <w:p w14:paraId="0ECC7541" w14:textId="5DFD24E6" w:rsidR="00AA13FC" w:rsidRPr="00746AA2" w:rsidRDefault="00AA13FC" w:rsidP="00BE3AF3">
      <w:pPr>
        <w:suppressAutoHyphens/>
        <w:spacing w:after="240"/>
        <w:ind w:firstLine="720"/>
        <w:rPr>
          <w:rFonts w:eastAsia="Times New Roman"/>
        </w:rPr>
      </w:pPr>
      <w:r>
        <w:rPr>
          <w:rFonts w:eastAsia="Times New Roman"/>
        </w:rPr>
        <w:t xml:space="preserve">A disclosure requirement would apprise courts and defendants in mass tort cases about which counsel may be using the </w:t>
      </w:r>
      <w:r w:rsidR="00F71C95">
        <w:rPr>
          <w:rFonts w:eastAsia="Times New Roman"/>
        </w:rPr>
        <w:t>“</w:t>
      </w:r>
      <w:r>
        <w:rPr>
          <w:rFonts w:eastAsia="Times New Roman"/>
        </w:rPr>
        <w:t>use TPLF to attract numerous claims but do no work</w:t>
      </w:r>
      <w:r w:rsidR="00F71C95">
        <w:rPr>
          <w:rFonts w:eastAsia="Times New Roman"/>
        </w:rPr>
        <w:t>”</w:t>
      </w:r>
      <w:r>
        <w:rPr>
          <w:rFonts w:eastAsia="Times New Roman"/>
        </w:rPr>
        <w:t xml:space="preserve"> business model and whose claims may therefore be highly suspect.  As a result, disclosure may discourage use of that reprehensible approach.  But even if it does not, a </w:t>
      </w:r>
      <w:r w:rsidR="00BE3AF3">
        <w:rPr>
          <w:rFonts w:eastAsia="Times New Roman"/>
        </w:rPr>
        <w:t>rule</w:t>
      </w:r>
      <w:r>
        <w:rPr>
          <w:rFonts w:eastAsia="Times New Roman"/>
        </w:rPr>
        <w:t xml:space="preserve"> mandating production of TPLF arrangements would ensure that defendants and courts in mass tort, patent and other cases</w:t>
      </w:r>
      <w:r w:rsidR="00E269F9">
        <w:rPr>
          <w:rFonts w:eastAsia="Times New Roman"/>
        </w:rPr>
        <w:t xml:space="preserve"> understand the funding</w:t>
      </w:r>
      <w:r w:rsidR="00DD63A4">
        <w:rPr>
          <w:rFonts w:eastAsia="Times New Roman"/>
        </w:rPr>
        <w:t xml:space="preserve"> arrangements and thus</w:t>
      </w:r>
      <w:r>
        <w:rPr>
          <w:rFonts w:eastAsia="Times New Roman"/>
        </w:rPr>
        <w:t xml:space="preserve"> are equipped to better calibrate settlement initiatives.  </w:t>
      </w:r>
      <w:r w:rsidRPr="00154FEB">
        <w:rPr>
          <w:rFonts w:eastAsia="Times New Roman"/>
        </w:rPr>
        <w:t xml:space="preserve">Further, </w:t>
      </w:r>
      <w:r>
        <w:rPr>
          <w:rFonts w:eastAsia="Times New Roman"/>
        </w:rPr>
        <w:t xml:space="preserve">transparency would </w:t>
      </w:r>
      <w:r w:rsidRPr="00154FEB">
        <w:rPr>
          <w:rFonts w:eastAsia="Times New Roman"/>
        </w:rPr>
        <w:t>allow courts to structure settlement protocols with greater potential to succeed</w:t>
      </w:r>
      <w:r>
        <w:rPr>
          <w:rFonts w:eastAsia="Times New Roman"/>
        </w:rPr>
        <w:t xml:space="preserve"> by, for example, conducting mediations attended by litigation investors with influence or control over settlement decisions.</w:t>
      </w:r>
      <w:r w:rsidRPr="00154FEB">
        <w:rPr>
          <w:rFonts w:eastAsia="Times New Roman"/>
        </w:rPr>
        <w:t xml:space="preserve">  </w:t>
      </w:r>
      <w:r>
        <w:rPr>
          <w:rFonts w:eastAsia="Times New Roman"/>
        </w:rPr>
        <w:t xml:space="preserve"> </w:t>
      </w:r>
    </w:p>
    <w:p w14:paraId="54BB0006" w14:textId="77777777" w:rsidR="00AA13FC" w:rsidRDefault="00AA13FC" w:rsidP="00D87EA4">
      <w:pPr>
        <w:pStyle w:val="Heading1"/>
        <w:numPr>
          <w:ilvl w:val="1"/>
          <w:numId w:val="35"/>
        </w:numPr>
        <w:tabs>
          <w:tab w:val="num" w:pos="360"/>
        </w:tabs>
        <w:spacing w:before="100" w:beforeAutospacing="1" w:after="100" w:afterAutospacing="1"/>
        <w:rPr>
          <w:rFonts w:eastAsia="Times New Roman"/>
        </w:rPr>
      </w:pPr>
      <w:r w:rsidRPr="00D87EA4">
        <w:rPr>
          <w:rFonts w:eastAsia="Times New Roman"/>
          <w:b w:val="0"/>
          <w:bCs w:val="0"/>
          <w:color w:val="000000" w:themeColor="text1"/>
          <w:sz w:val="24"/>
          <w:szCs w:val="24"/>
          <w:u w:val="single"/>
        </w:rPr>
        <w:t>Providing The Court And Parties With Information Highly Relevant To Class Certification</w:t>
      </w:r>
    </w:p>
    <w:p w14:paraId="24FCD5FA" w14:textId="12AB0B2F" w:rsidR="00AA13FC" w:rsidRDefault="00AA13FC" w:rsidP="00AA13FC">
      <w:pPr>
        <w:suppressAutoHyphens/>
        <w:spacing w:after="240"/>
        <w:ind w:firstLine="720"/>
        <w:rPr>
          <w:rFonts w:eastAsia="MS Mincho"/>
        </w:rPr>
      </w:pPr>
      <w:r>
        <w:rPr>
          <w:rFonts w:eastAsia="Times New Roman"/>
        </w:rPr>
        <w:t xml:space="preserve">Disclosure of TPLF arrangements is </w:t>
      </w:r>
      <w:r w:rsidRPr="00154FEB">
        <w:rPr>
          <w:rFonts w:eastAsia="Times New Roman"/>
        </w:rPr>
        <w:t xml:space="preserve">also </w:t>
      </w:r>
      <w:r>
        <w:rPr>
          <w:rFonts w:eastAsia="Times New Roman"/>
        </w:rPr>
        <w:t xml:space="preserve">highly </w:t>
      </w:r>
      <w:r w:rsidRPr="00154FEB">
        <w:rPr>
          <w:rFonts w:eastAsia="Times New Roman"/>
        </w:rPr>
        <w:t xml:space="preserve">relevant in class actions, particularly in evaluating </w:t>
      </w:r>
      <w:r w:rsidR="00BE3AF3" w:rsidRPr="00E3463C">
        <w:rPr>
          <w:rFonts w:eastAsia="Times New Roman"/>
        </w:rPr>
        <w:t>Ariz</w:t>
      </w:r>
      <w:r w:rsidRPr="00E3463C">
        <w:rPr>
          <w:rFonts w:eastAsia="Times New Roman"/>
        </w:rPr>
        <w:t>. R. Civ. P. 23(a)(4)</w:t>
      </w:r>
      <w:r w:rsidR="00F71C95">
        <w:rPr>
          <w:rFonts w:eastAsia="Times New Roman"/>
        </w:rPr>
        <w:t>’</w:t>
      </w:r>
      <w:r w:rsidRPr="00154FEB">
        <w:rPr>
          <w:rFonts w:eastAsia="Times New Roman"/>
        </w:rPr>
        <w:t xml:space="preserve">s adequacy-of-representation requirement.  Judge Susan Illston </w:t>
      </w:r>
      <w:r w:rsidR="00D8182E">
        <w:rPr>
          <w:rFonts w:eastAsia="Times New Roman"/>
        </w:rPr>
        <w:t>o</w:t>
      </w:r>
      <w:r w:rsidR="00A47747">
        <w:rPr>
          <w:rFonts w:eastAsia="Times New Roman"/>
        </w:rPr>
        <w:t xml:space="preserve">f the U.S. District Court for the Northern District of California </w:t>
      </w:r>
      <w:r w:rsidRPr="00154FEB">
        <w:rPr>
          <w:rFonts w:eastAsia="Times New Roman"/>
        </w:rPr>
        <w:t>recognized that point i</w:t>
      </w:r>
      <w:r w:rsidR="002F623C" w:rsidRPr="00510F73">
        <w:rPr>
          <w:rFonts w:eastAsia="Times New Roman"/>
          <w:iCs/>
        </w:rPr>
        <w:t xml:space="preserve">n </w:t>
      </w:r>
      <w:r w:rsidR="002F623C" w:rsidRPr="009A6E6E">
        <w:rPr>
          <w:rFonts w:eastAsia="Times New Roman"/>
          <w:i/>
          <w:iCs/>
        </w:rPr>
        <w:t>Gbarabe v. Chevron C</w:t>
      </w:r>
      <w:r w:rsidR="002F623C" w:rsidRPr="00510F73">
        <w:rPr>
          <w:rFonts w:eastAsia="Times New Roman"/>
          <w:i/>
          <w:iCs/>
        </w:rPr>
        <w:t>orp.</w:t>
      </w:r>
      <w:r w:rsidR="002F623C" w:rsidRPr="00510F73">
        <w:rPr>
          <w:rFonts w:eastAsia="Times New Roman"/>
          <w:iCs/>
        </w:rPr>
        <w:t>,</w:t>
      </w:r>
      <w:r w:rsidR="002F623C" w:rsidRPr="00510F73">
        <w:rPr>
          <w:rFonts w:eastAsia="Times New Roman"/>
          <w:iCs/>
          <w:vertAlign w:val="superscript"/>
        </w:rPr>
        <w:footnoteReference w:id="44"/>
      </w:r>
      <w:r w:rsidR="002F623C" w:rsidRPr="00510F73">
        <w:rPr>
          <w:rFonts w:eastAsia="Times New Roman"/>
          <w:iCs/>
        </w:rPr>
        <w:t xml:space="preserve"> a putative class action arising out of an explosion on an oil drilling rig off the coast of Nigeria.  </w:t>
      </w:r>
      <w:r w:rsidR="00BE3AF3">
        <w:t xml:space="preserve">The court </w:t>
      </w:r>
      <w:r w:rsidR="002F623C">
        <w:t xml:space="preserve">evaluated the federal analogue to Rule 23(a)(4) and </w:t>
      </w:r>
      <w:r w:rsidRPr="00154FEB">
        <w:t>grant</w:t>
      </w:r>
      <w:r w:rsidR="00BE3AF3">
        <w:t>ed</w:t>
      </w:r>
      <w:r w:rsidRPr="00154FEB">
        <w:t xml:space="preserve"> the defendant</w:t>
      </w:r>
      <w:r w:rsidR="00F71C95">
        <w:t>’</w:t>
      </w:r>
      <w:r w:rsidRPr="00154FEB">
        <w:t>s motion to compel the disclosure of the funding agreement</w:t>
      </w:r>
      <w:r>
        <w:t>.</w:t>
      </w:r>
      <w:r w:rsidRPr="00154FEB">
        <w:rPr>
          <w:rFonts w:eastAsia="MS Mincho"/>
          <w:vertAlign w:val="superscript"/>
        </w:rPr>
        <w:footnoteReference w:id="45"/>
      </w:r>
      <w:r w:rsidRPr="00154FEB">
        <w:rPr>
          <w:rFonts w:eastAsia="MS Mincho"/>
        </w:rPr>
        <w:t xml:space="preserve">  As the court explained, the </w:t>
      </w:r>
      <w:r w:rsidR="00F71C95">
        <w:rPr>
          <w:rFonts w:eastAsia="MS Mincho"/>
        </w:rPr>
        <w:t>“</w:t>
      </w:r>
      <w:r w:rsidRPr="00154FEB">
        <w:rPr>
          <w:rFonts w:eastAsia="MS Mincho"/>
        </w:rPr>
        <w:t>funding agreement is relevant to the adequacy [of representation] determination [required for class certification] and should be produced to [the] defendant.</w:t>
      </w:r>
      <w:r w:rsidR="00F71C95">
        <w:rPr>
          <w:rFonts w:eastAsia="MS Mincho"/>
        </w:rPr>
        <w:t>”</w:t>
      </w:r>
      <w:r w:rsidRPr="00154FEB">
        <w:rPr>
          <w:rFonts w:eastAsia="MS Mincho"/>
          <w:vertAlign w:val="superscript"/>
        </w:rPr>
        <w:footnoteReference w:id="46"/>
      </w:r>
      <w:r>
        <w:rPr>
          <w:rFonts w:eastAsia="MS Mincho"/>
        </w:rPr>
        <w:t xml:space="preserve">  </w:t>
      </w:r>
      <w:r w:rsidRPr="00154FEB">
        <w:rPr>
          <w:rFonts w:eastAsia="MS Mincho"/>
        </w:rPr>
        <w:t xml:space="preserve">Class actions already raise significant concerns because the individual members of a putative class have little or no ability to control their own claims.  Adding a funder to the equation </w:t>
      </w:r>
      <w:r>
        <w:rPr>
          <w:rFonts w:eastAsia="MS Mincho"/>
        </w:rPr>
        <w:t xml:space="preserve">only </w:t>
      </w:r>
      <w:r w:rsidRPr="00154FEB">
        <w:rPr>
          <w:rFonts w:eastAsia="MS Mincho"/>
        </w:rPr>
        <w:t>increase</w:t>
      </w:r>
      <w:r>
        <w:rPr>
          <w:rFonts w:eastAsia="MS Mincho"/>
        </w:rPr>
        <w:t>s</w:t>
      </w:r>
      <w:r w:rsidRPr="00154FEB">
        <w:rPr>
          <w:rFonts w:eastAsia="MS Mincho"/>
        </w:rPr>
        <w:t xml:space="preserve"> the risk that litigation decisions fail to take account of the putative class members</w:t>
      </w:r>
      <w:r w:rsidR="00F71C95">
        <w:rPr>
          <w:rFonts w:eastAsia="MS Mincho"/>
        </w:rPr>
        <w:t>’</w:t>
      </w:r>
      <w:r w:rsidRPr="00154FEB">
        <w:rPr>
          <w:rFonts w:eastAsia="MS Mincho"/>
        </w:rPr>
        <w:t xml:space="preserve"> best interests.  Indeed, the funding agreement in </w:t>
      </w:r>
      <w:r w:rsidRPr="00154FEB">
        <w:rPr>
          <w:rFonts w:eastAsia="MS Mincho"/>
          <w:i/>
        </w:rPr>
        <w:t>Gbarabe</w:t>
      </w:r>
      <w:r w:rsidRPr="00154FEB">
        <w:rPr>
          <w:rFonts w:eastAsia="MS Mincho"/>
        </w:rPr>
        <w:t xml:space="preserve"> demonstrates this point, containing several key provisions that suggest the funder</w:t>
      </w:r>
      <w:r w:rsidR="00F71C95">
        <w:rPr>
          <w:rFonts w:eastAsia="MS Mincho"/>
        </w:rPr>
        <w:t>’</w:t>
      </w:r>
      <w:r w:rsidRPr="00154FEB">
        <w:rPr>
          <w:rFonts w:eastAsia="MS Mincho"/>
        </w:rPr>
        <w:t xml:space="preserve">s desire to influence the course of the litigation.  </w:t>
      </w:r>
    </w:p>
    <w:p w14:paraId="12A98B99" w14:textId="02F006CD" w:rsidR="00AA13FC" w:rsidRPr="00C40CD3" w:rsidRDefault="00AA13FC" w:rsidP="00AA13FC">
      <w:pPr>
        <w:suppressAutoHyphens/>
        <w:spacing w:after="240"/>
        <w:ind w:firstLine="720"/>
        <w:rPr>
          <w:rFonts w:eastAsia="MS Mincho"/>
        </w:rPr>
      </w:pPr>
      <w:r w:rsidRPr="00154FEB">
        <w:rPr>
          <w:rFonts w:eastAsia="MS Mincho"/>
        </w:rPr>
        <w:t xml:space="preserve">For example, </w:t>
      </w:r>
      <w:r>
        <w:rPr>
          <w:rFonts w:eastAsia="MS Mincho"/>
        </w:rPr>
        <w:t xml:space="preserve">in addition to the funding and repayment provisions previously discussed, </w:t>
      </w:r>
      <w:r w:rsidRPr="00154FEB">
        <w:rPr>
          <w:rFonts w:eastAsia="MS Mincho"/>
        </w:rPr>
        <w:t xml:space="preserve">the agreement </w:t>
      </w:r>
      <w:r>
        <w:rPr>
          <w:rFonts w:eastAsia="MS Mincho"/>
        </w:rPr>
        <w:t xml:space="preserve">in </w:t>
      </w:r>
      <w:r>
        <w:rPr>
          <w:rFonts w:eastAsia="MS Mincho"/>
          <w:i/>
        </w:rPr>
        <w:t>Gbarabe</w:t>
      </w:r>
      <w:r>
        <w:rPr>
          <w:rFonts w:eastAsia="MS Mincho"/>
        </w:rPr>
        <w:t xml:space="preserve"> </w:t>
      </w:r>
      <w:r w:rsidRPr="00154FEB">
        <w:rPr>
          <w:rFonts w:eastAsia="MS Mincho"/>
        </w:rPr>
        <w:t>refer</w:t>
      </w:r>
      <w:r>
        <w:rPr>
          <w:rFonts w:eastAsia="MS Mincho"/>
        </w:rPr>
        <w:t>red</w:t>
      </w:r>
      <w:r w:rsidRPr="00154FEB">
        <w:rPr>
          <w:rFonts w:eastAsia="MS Mincho"/>
        </w:rPr>
        <w:t xml:space="preserve"> to a </w:t>
      </w:r>
      <w:r w:rsidR="00F71C95">
        <w:rPr>
          <w:rFonts w:eastAsia="MS Mincho"/>
        </w:rPr>
        <w:t>“</w:t>
      </w:r>
      <w:r w:rsidRPr="00154FEB">
        <w:rPr>
          <w:rFonts w:eastAsia="MS Mincho"/>
        </w:rPr>
        <w:t>Project Plan</w:t>
      </w:r>
      <w:r w:rsidR="00F71C95">
        <w:rPr>
          <w:rFonts w:eastAsia="MS Mincho"/>
        </w:rPr>
        <w:t>”</w:t>
      </w:r>
      <w:r w:rsidRPr="00154FEB">
        <w:rPr>
          <w:rFonts w:eastAsia="MS Mincho"/>
        </w:rPr>
        <w:t xml:space="preserve"> for the litigation developed by counsel and the funder with restrictions on counsel deviation, particularly with respect to hiring only </w:t>
      </w:r>
      <w:r w:rsidRPr="00154FEB">
        <w:rPr>
          <w:rFonts w:eastAsia="MS Mincho"/>
        </w:rPr>
        <w:lastRenderedPageBreak/>
        <w:t>identified experts.</w:t>
      </w:r>
      <w:r w:rsidRPr="00154FEB">
        <w:rPr>
          <w:rFonts w:eastAsia="MS Mincho"/>
          <w:vertAlign w:val="superscript"/>
        </w:rPr>
        <w:footnoteReference w:id="47"/>
      </w:r>
      <w:r w:rsidRPr="00154FEB">
        <w:rPr>
          <w:rFonts w:eastAsia="MS Mincho"/>
        </w:rPr>
        <w:t xml:space="preserve">  The agreement specifically bar</w:t>
      </w:r>
      <w:r>
        <w:rPr>
          <w:rFonts w:eastAsia="MS Mincho"/>
        </w:rPr>
        <w:t>red</w:t>
      </w:r>
      <w:r w:rsidRPr="00154FEB">
        <w:rPr>
          <w:rFonts w:eastAsia="MS Mincho"/>
        </w:rPr>
        <w:t xml:space="preserve"> the lawyers from engaging any co-counsel or experts </w:t>
      </w:r>
      <w:r w:rsidR="00F71C95">
        <w:rPr>
          <w:rFonts w:eastAsia="MS Mincho"/>
        </w:rPr>
        <w:t>“</w:t>
      </w:r>
      <w:r w:rsidRPr="00154FEB">
        <w:rPr>
          <w:rFonts w:eastAsia="MS Mincho"/>
        </w:rPr>
        <w:t>without [the funder</w:t>
      </w:r>
      <w:r w:rsidR="00F71C95">
        <w:rPr>
          <w:rFonts w:eastAsia="MS Mincho"/>
        </w:rPr>
        <w:t>’</w:t>
      </w:r>
      <w:r w:rsidRPr="00154FEB">
        <w:rPr>
          <w:rFonts w:eastAsia="MS Mincho"/>
        </w:rPr>
        <w:t>s] prior written consent</w:t>
      </w:r>
      <w:r>
        <w:rPr>
          <w:rFonts w:eastAsia="MS Mincho"/>
        </w:rPr>
        <w:t>.</w:t>
      </w:r>
      <w:r w:rsidR="00F71C95">
        <w:rPr>
          <w:rFonts w:eastAsia="MS Mincho"/>
        </w:rPr>
        <w:t>”</w:t>
      </w:r>
      <w:r w:rsidRPr="00154FEB">
        <w:rPr>
          <w:rFonts w:eastAsia="MS Mincho"/>
          <w:vertAlign w:val="superscript"/>
        </w:rPr>
        <w:footnoteReference w:id="48"/>
      </w:r>
      <w:r w:rsidRPr="00154FEB">
        <w:rPr>
          <w:rFonts w:eastAsia="MS Mincho"/>
        </w:rPr>
        <w:t xml:space="preserve">  Further, another provision require</w:t>
      </w:r>
      <w:r>
        <w:rPr>
          <w:rFonts w:eastAsia="MS Mincho"/>
        </w:rPr>
        <w:t>d</w:t>
      </w:r>
      <w:r w:rsidRPr="00154FEB">
        <w:rPr>
          <w:rFonts w:eastAsia="MS Mincho"/>
        </w:rPr>
        <w:t xml:space="preserve"> that counsel </w:t>
      </w:r>
      <w:r w:rsidR="00F71C95">
        <w:rPr>
          <w:rFonts w:eastAsia="MS Mincho"/>
        </w:rPr>
        <w:t>“</w:t>
      </w:r>
      <w:r w:rsidRPr="00154FEB">
        <w:rPr>
          <w:rFonts w:eastAsia="MS Mincho"/>
        </w:rPr>
        <w:t>give reasonable notice of and permit [the funder] where reasonably practicable, to attend as an observer at internal meetings, which include meetings with experts, and send an observer to any mediation or hearing relating to the Claim.</w:t>
      </w:r>
      <w:r w:rsidR="00F71C95">
        <w:rPr>
          <w:rFonts w:eastAsia="MS Mincho"/>
        </w:rPr>
        <w:t>”</w:t>
      </w:r>
      <w:r w:rsidRPr="00154FEB">
        <w:rPr>
          <w:rFonts w:eastAsia="MS Mincho"/>
          <w:vertAlign w:val="superscript"/>
        </w:rPr>
        <w:footnoteReference w:id="49"/>
      </w:r>
      <w:r w:rsidRPr="00154FEB">
        <w:rPr>
          <w:rFonts w:eastAsia="MS Mincho"/>
        </w:rPr>
        <w:t xml:space="preserve">  These sorts of provisions </w:t>
      </w:r>
      <w:r>
        <w:rPr>
          <w:rFonts w:eastAsia="MS Mincho"/>
        </w:rPr>
        <w:t xml:space="preserve">potentially </w:t>
      </w:r>
      <w:r w:rsidRPr="00154FEB">
        <w:rPr>
          <w:rFonts w:eastAsia="MS Mincho"/>
        </w:rPr>
        <w:t xml:space="preserve">undermine the adequacy of representation required </w:t>
      </w:r>
      <w:r>
        <w:rPr>
          <w:rFonts w:eastAsia="MS Mincho"/>
        </w:rPr>
        <w:t xml:space="preserve">by </w:t>
      </w:r>
      <w:r w:rsidR="0082133F">
        <w:rPr>
          <w:rFonts w:eastAsia="MS Mincho"/>
        </w:rPr>
        <w:t>A</w:t>
      </w:r>
      <w:r w:rsidR="0082133F" w:rsidRPr="00E3463C">
        <w:rPr>
          <w:rFonts w:eastAsia="MS Mincho"/>
        </w:rPr>
        <w:t>riz</w:t>
      </w:r>
      <w:r w:rsidRPr="00E3463C">
        <w:rPr>
          <w:rFonts w:eastAsia="MS Mincho"/>
        </w:rPr>
        <w:t>. R. Civ. P. 23(a)(4) f</w:t>
      </w:r>
      <w:r w:rsidRPr="00154FEB">
        <w:rPr>
          <w:rFonts w:eastAsia="MS Mincho"/>
        </w:rPr>
        <w:t xml:space="preserve">or class actions, providing another important reason for requiring the disclosure of </w:t>
      </w:r>
      <w:r>
        <w:rPr>
          <w:rFonts w:eastAsia="MS Mincho"/>
        </w:rPr>
        <w:t>TPLF</w:t>
      </w:r>
      <w:r w:rsidR="00B8760D">
        <w:rPr>
          <w:rFonts w:eastAsia="MS Mincho"/>
        </w:rPr>
        <w:t xml:space="preserve"> agreements</w:t>
      </w:r>
      <w:r>
        <w:rPr>
          <w:rFonts w:eastAsia="MS Mincho"/>
        </w:rPr>
        <w:t>, the nature of the financial interest at issue and whether the funder has control over litigation or settlement decisions.</w:t>
      </w:r>
      <w:r>
        <w:rPr>
          <w:rStyle w:val="FootnoteReference"/>
          <w:rFonts w:eastAsia="MS Mincho"/>
        </w:rPr>
        <w:footnoteReference w:id="50"/>
      </w:r>
    </w:p>
    <w:p w14:paraId="0D5D33C4" w14:textId="5092FB50" w:rsidR="00AA13FC" w:rsidRPr="00C40CD3" w:rsidRDefault="00AA13FC" w:rsidP="00AA13FC">
      <w:pPr>
        <w:suppressAutoHyphens/>
        <w:spacing w:after="240"/>
        <w:ind w:firstLine="720"/>
        <w:rPr>
          <w:rFonts w:eastAsia="Times New Roman"/>
          <w:shd w:val="clear" w:color="auto" w:fill="FFFFFF"/>
          <w:lang w:eastAsia="en-US"/>
        </w:rPr>
      </w:pPr>
      <w:r w:rsidRPr="007274D1">
        <w:rPr>
          <w:rFonts w:eastAsia="Times New Roman"/>
          <w:lang w:eastAsia="en-US"/>
        </w:rPr>
        <w:t xml:space="preserve">In recognition of </w:t>
      </w:r>
      <w:r>
        <w:rPr>
          <w:rFonts w:eastAsia="Times New Roman"/>
          <w:lang w:eastAsia="en-US"/>
        </w:rPr>
        <w:t>the relevance of TPLF to the adequacy element of class certification in particular</w:t>
      </w:r>
      <w:r w:rsidRPr="007274D1">
        <w:rPr>
          <w:rFonts w:eastAsia="Times New Roman"/>
          <w:lang w:eastAsia="en-US"/>
        </w:rPr>
        <w:t>, the U.S. District Court for the Northern District of California</w:t>
      </w:r>
      <w:r>
        <w:rPr>
          <w:rFonts w:eastAsia="Times New Roman"/>
          <w:lang w:eastAsia="en-US"/>
        </w:rPr>
        <w:t xml:space="preserve"> </w:t>
      </w:r>
      <w:r w:rsidRPr="007274D1">
        <w:rPr>
          <w:rFonts w:eastAsia="Times New Roman"/>
          <w:lang w:eastAsia="en-US"/>
        </w:rPr>
        <w:t xml:space="preserve">adopted its own TPLF disclosure requirement.  </w:t>
      </w:r>
      <w:r>
        <w:rPr>
          <w:rFonts w:eastAsia="Times New Roman"/>
          <w:lang w:eastAsia="en-US"/>
        </w:rPr>
        <w:t>T</w:t>
      </w:r>
      <w:r w:rsidRPr="007274D1">
        <w:rPr>
          <w:rFonts w:eastAsia="Times New Roman"/>
          <w:lang w:eastAsia="en-US"/>
        </w:rPr>
        <w:t xml:space="preserve">hat court added to its </w:t>
      </w:r>
      <w:r w:rsidR="00F71C95">
        <w:rPr>
          <w:rFonts w:eastAsia="Times New Roman"/>
          <w:lang w:eastAsia="en-US"/>
        </w:rPr>
        <w:t>“</w:t>
      </w:r>
      <w:r w:rsidRPr="007274D1">
        <w:rPr>
          <w:rFonts w:eastAsia="Times New Roman"/>
          <w:shd w:val="clear" w:color="auto" w:fill="FFFFFF"/>
          <w:lang w:eastAsia="en-US"/>
        </w:rPr>
        <w:t>Standing Order For All Judges</w:t>
      </w:r>
      <w:r w:rsidR="00F71C95">
        <w:rPr>
          <w:rFonts w:eastAsia="Times New Roman"/>
          <w:shd w:val="clear" w:color="auto" w:fill="FFFFFF"/>
          <w:lang w:eastAsia="en-US"/>
        </w:rPr>
        <w:t>”</w:t>
      </w:r>
      <w:r w:rsidRPr="007274D1">
        <w:rPr>
          <w:rFonts w:eastAsia="Times New Roman"/>
          <w:shd w:val="clear" w:color="auto" w:fill="FFFFFF"/>
          <w:lang w:eastAsia="en-US"/>
        </w:rPr>
        <w:t xml:space="preserve"> a provision requiring that </w:t>
      </w:r>
      <w:r w:rsidR="00F71C95">
        <w:rPr>
          <w:rFonts w:eastAsia="Times New Roman"/>
          <w:lang w:eastAsia="en-US"/>
        </w:rPr>
        <w:t>“</w:t>
      </w:r>
      <w:r>
        <w:rPr>
          <w:rFonts w:eastAsia="Times New Roman"/>
          <w:lang w:eastAsia="en-US"/>
        </w:rPr>
        <w:t>[</w:t>
      </w:r>
      <w:r w:rsidRPr="007274D1">
        <w:rPr>
          <w:rFonts w:eastAsia="Times New Roman"/>
          <w:shd w:val="clear" w:color="auto" w:fill="FFFFFF"/>
          <w:lang w:eastAsia="en-US"/>
        </w:rPr>
        <w:t>i</w:t>
      </w:r>
      <w:r>
        <w:rPr>
          <w:rFonts w:eastAsia="Times New Roman"/>
          <w:shd w:val="clear" w:color="auto" w:fill="FFFFFF"/>
          <w:lang w:eastAsia="en-US"/>
        </w:rPr>
        <w:t>]</w:t>
      </w:r>
      <w:r w:rsidRPr="007274D1">
        <w:rPr>
          <w:rFonts w:eastAsia="Times New Roman"/>
          <w:shd w:val="clear" w:color="auto" w:fill="FFFFFF"/>
          <w:lang w:eastAsia="en-US"/>
        </w:rPr>
        <w:t>n any proposed class, collective, or representative action, the required disclosure includes any person or entity that is funding the prosecution of any claim or counterclaim.</w:t>
      </w:r>
      <w:r w:rsidR="00F71C95">
        <w:rPr>
          <w:rFonts w:eastAsia="Times New Roman"/>
          <w:shd w:val="clear" w:color="auto" w:fill="FFFFFF"/>
          <w:lang w:eastAsia="en-US"/>
        </w:rPr>
        <w:t>”</w:t>
      </w:r>
      <w:r w:rsidRPr="007274D1">
        <w:rPr>
          <w:rFonts w:eastAsia="Times New Roman"/>
          <w:shd w:val="clear" w:color="auto" w:fill="FFFFFF"/>
          <w:vertAlign w:val="superscript"/>
          <w:lang w:eastAsia="en-US"/>
        </w:rPr>
        <w:footnoteReference w:id="51"/>
      </w:r>
      <w:r>
        <w:rPr>
          <w:rFonts w:eastAsia="Times New Roman"/>
          <w:shd w:val="clear" w:color="auto" w:fill="FFFFFF"/>
          <w:lang w:eastAsia="en-US"/>
        </w:rPr>
        <w:t xml:space="preserve">  </w:t>
      </w:r>
    </w:p>
    <w:p w14:paraId="4B97AF1C" w14:textId="79F1D05D" w:rsidR="00AA13FC" w:rsidRPr="00DD64FC" w:rsidRDefault="00AA13FC" w:rsidP="00D87EA4">
      <w:pPr>
        <w:pStyle w:val="Heading1"/>
        <w:numPr>
          <w:ilvl w:val="1"/>
          <w:numId w:val="35"/>
        </w:numPr>
        <w:tabs>
          <w:tab w:val="num" w:pos="360"/>
        </w:tabs>
        <w:spacing w:before="100" w:beforeAutospacing="1" w:after="100" w:afterAutospacing="1"/>
        <w:rPr>
          <w:rFonts w:eastAsia="Times New Roman"/>
          <w:sz w:val="24"/>
          <w:szCs w:val="24"/>
          <w:u w:val="single"/>
        </w:rPr>
      </w:pPr>
      <w:r w:rsidRPr="00D87EA4">
        <w:rPr>
          <w:rFonts w:eastAsia="Times New Roman"/>
          <w:b w:val="0"/>
          <w:bCs w:val="0"/>
          <w:color w:val="000000" w:themeColor="text1"/>
          <w:sz w:val="24"/>
          <w:szCs w:val="24"/>
          <w:u w:val="single"/>
        </w:rPr>
        <w:t>Making Available Information Highly Relevant To Proportionality And Cost Shifting</w:t>
      </w:r>
    </w:p>
    <w:p w14:paraId="152594E6" w14:textId="7CEFAB00" w:rsidR="00AA13FC" w:rsidRDefault="00AA13FC" w:rsidP="00AA13FC">
      <w:pPr>
        <w:suppressAutoHyphens/>
        <w:spacing w:after="240"/>
        <w:ind w:firstLine="720"/>
        <w:rPr>
          <w:rFonts w:eastAsia="Times New Roman"/>
        </w:rPr>
      </w:pPr>
      <w:r w:rsidRPr="00DD64FC">
        <w:rPr>
          <w:rFonts w:eastAsia="Times New Roman"/>
        </w:rPr>
        <w:t>The disclosure of TPLF arrangements would also</w:t>
      </w:r>
      <w:r>
        <w:rPr>
          <w:rFonts w:eastAsia="Times New Roman"/>
        </w:rPr>
        <w:t xml:space="preserve"> aid courts in deciding questions related to discovery costs and potential sanctions.  </w:t>
      </w:r>
      <w:r w:rsidR="00D50666">
        <w:rPr>
          <w:rFonts w:eastAsia="Times New Roman"/>
        </w:rPr>
        <w:t xml:space="preserve">As amended several years ago, </w:t>
      </w:r>
      <w:r w:rsidR="00274C9C">
        <w:rPr>
          <w:rFonts w:eastAsia="Times New Roman"/>
        </w:rPr>
        <w:t>Ar</w:t>
      </w:r>
      <w:r w:rsidR="00274C9C" w:rsidRPr="00E3463C">
        <w:rPr>
          <w:rFonts w:eastAsia="Times New Roman"/>
        </w:rPr>
        <w:t>i</w:t>
      </w:r>
      <w:r w:rsidR="001D10A7" w:rsidRPr="00E3463C">
        <w:rPr>
          <w:rFonts w:eastAsia="Times New Roman"/>
        </w:rPr>
        <w:t>z. R. Civ. P.</w:t>
      </w:r>
      <w:r w:rsidRPr="00E3463C">
        <w:rPr>
          <w:rFonts w:eastAsia="Times New Roman"/>
          <w:szCs w:val="20"/>
          <w:lang w:eastAsia="en-US"/>
        </w:rPr>
        <w:t xml:space="preserve"> 26(b)(1) st</w:t>
      </w:r>
      <w:r w:rsidRPr="00876AF4">
        <w:rPr>
          <w:rFonts w:eastAsia="Times New Roman"/>
          <w:szCs w:val="20"/>
          <w:lang w:eastAsia="en-US"/>
        </w:rPr>
        <w:t xml:space="preserve">ates that the scope of discovery shall be </w:t>
      </w:r>
      <w:r w:rsidR="00F71C95">
        <w:rPr>
          <w:rFonts w:eastAsia="Times New Roman"/>
          <w:szCs w:val="20"/>
          <w:lang w:eastAsia="en-US"/>
        </w:rPr>
        <w:t>“</w:t>
      </w:r>
      <w:r w:rsidRPr="008B203A">
        <w:rPr>
          <w:rFonts w:eastAsia="Times New Roman"/>
          <w:szCs w:val="20"/>
          <w:lang w:eastAsia="en-US"/>
        </w:rPr>
        <w:t xml:space="preserve">proportional to the needs of the case, considering . . . </w:t>
      </w:r>
      <w:r w:rsidRPr="008B203A">
        <w:rPr>
          <w:rFonts w:eastAsia="Times New Roman"/>
          <w:b/>
          <w:i/>
          <w:szCs w:val="20"/>
          <w:lang w:eastAsia="en-US"/>
        </w:rPr>
        <w:t>the parties</w:t>
      </w:r>
      <w:r w:rsidR="00F71C95">
        <w:rPr>
          <w:rFonts w:eastAsia="Times New Roman"/>
          <w:b/>
          <w:i/>
          <w:szCs w:val="20"/>
          <w:lang w:eastAsia="en-US"/>
        </w:rPr>
        <w:t>’</w:t>
      </w:r>
      <w:r w:rsidRPr="008B203A">
        <w:rPr>
          <w:rFonts w:eastAsia="Times New Roman"/>
          <w:b/>
          <w:i/>
          <w:szCs w:val="20"/>
          <w:lang w:eastAsia="en-US"/>
        </w:rPr>
        <w:t xml:space="preserve"> resources</w:t>
      </w:r>
      <w:r w:rsidRPr="008B203A">
        <w:rPr>
          <w:rFonts w:eastAsia="Times New Roman"/>
          <w:szCs w:val="20"/>
          <w:lang w:eastAsia="en-US"/>
        </w:rPr>
        <w:t xml:space="preserve"> . . . and whether the burden or expense of the proposed discovery outweighs its likely benefit.</w:t>
      </w:r>
      <w:r w:rsidR="00F71C95">
        <w:rPr>
          <w:rFonts w:eastAsia="Times New Roman"/>
          <w:szCs w:val="20"/>
          <w:lang w:eastAsia="en-US"/>
        </w:rPr>
        <w:t>”</w:t>
      </w:r>
      <w:r w:rsidRPr="00876AF4">
        <w:rPr>
          <w:rFonts w:eastAsia="Times New Roman"/>
          <w:szCs w:val="20"/>
          <w:vertAlign w:val="superscript"/>
          <w:lang w:eastAsia="en-US"/>
        </w:rPr>
        <w:footnoteReference w:id="52"/>
      </w:r>
      <w:r w:rsidRPr="00876AF4">
        <w:rPr>
          <w:rFonts w:eastAsia="Times New Roman"/>
          <w:szCs w:val="20"/>
          <w:lang w:eastAsia="en-US"/>
        </w:rPr>
        <w:t xml:space="preserve">  Unlike an average plaintiff, a TPLF entity</w:t>
      </w:r>
      <w:r w:rsidR="00F71C95">
        <w:rPr>
          <w:rFonts w:eastAsia="Times New Roman"/>
          <w:szCs w:val="20"/>
          <w:lang w:eastAsia="en-US"/>
        </w:rPr>
        <w:t>’</w:t>
      </w:r>
      <w:r w:rsidRPr="00876AF4">
        <w:rPr>
          <w:rFonts w:eastAsia="Times New Roman"/>
          <w:szCs w:val="20"/>
          <w:lang w:eastAsia="en-US"/>
        </w:rPr>
        <w:t xml:space="preserve">s business purpose is to raise funds to prosecute and profit from litigation.  Thus, the existence of TPLF is relevant to the proportionality element </w:t>
      </w:r>
      <w:r w:rsidR="009D4731">
        <w:rPr>
          <w:rFonts w:eastAsia="Times New Roman"/>
          <w:szCs w:val="20"/>
          <w:lang w:eastAsia="en-US"/>
        </w:rPr>
        <w:t>in determining the appropriate</w:t>
      </w:r>
      <w:r w:rsidRPr="00876AF4">
        <w:rPr>
          <w:rFonts w:eastAsia="Times New Roman"/>
          <w:szCs w:val="20"/>
          <w:lang w:eastAsia="en-US"/>
        </w:rPr>
        <w:t xml:space="preserve"> scope of discovery.  TPLF companies are well-heeled strangers to a case who willingly buy into the litigation hoping to profit from its successful prosecution.  For purposes of the resources element of the proportionality requirement contained in Rule 26(b)(1), a TPLF company that has bought a stake in a case should be considered as part of the </w:t>
      </w:r>
      <w:r w:rsidR="00F71C95">
        <w:rPr>
          <w:rFonts w:eastAsia="Times New Roman"/>
          <w:szCs w:val="20"/>
          <w:lang w:eastAsia="en-US"/>
        </w:rPr>
        <w:t>“</w:t>
      </w:r>
      <w:r w:rsidRPr="00876AF4">
        <w:rPr>
          <w:rFonts w:eastAsia="Times New Roman"/>
          <w:szCs w:val="20"/>
          <w:lang w:eastAsia="en-US"/>
        </w:rPr>
        <w:t>parties</w:t>
      </w:r>
      <w:r w:rsidR="00F71C95">
        <w:rPr>
          <w:rFonts w:eastAsia="Times New Roman"/>
          <w:szCs w:val="20"/>
          <w:lang w:eastAsia="en-US"/>
        </w:rPr>
        <w:t>’</w:t>
      </w:r>
      <w:r w:rsidRPr="00876AF4">
        <w:rPr>
          <w:rFonts w:eastAsia="Times New Roman"/>
          <w:szCs w:val="20"/>
          <w:lang w:eastAsia="en-US"/>
        </w:rPr>
        <w:t xml:space="preserve"> resources.</w:t>
      </w:r>
      <w:r w:rsidR="00F71C95">
        <w:rPr>
          <w:rFonts w:eastAsia="Times New Roman"/>
          <w:szCs w:val="20"/>
          <w:lang w:eastAsia="en-US"/>
        </w:rPr>
        <w:t>”</w:t>
      </w:r>
      <w:r w:rsidRPr="00876AF4">
        <w:rPr>
          <w:rFonts w:eastAsia="Times New Roman"/>
          <w:szCs w:val="20"/>
          <w:lang w:eastAsia="en-US"/>
        </w:rPr>
        <w:t xml:space="preserve">  It should not be allowed to hide in the shadows behind a relatively impecunious plaintiff.</w:t>
      </w:r>
    </w:p>
    <w:p w14:paraId="5DCDF938" w14:textId="6ED9AA0C" w:rsidR="00AA13FC" w:rsidRDefault="006B297E" w:rsidP="00AA13FC">
      <w:pPr>
        <w:suppressAutoHyphens/>
        <w:spacing w:after="240"/>
        <w:ind w:firstLine="720"/>
        <w:rPr>
          <w:rFonts w:eastAsia="Times New Roman"/>
        </w:rPr>
      </w:pPr>
      <w:r>
        <w:rPr>
          <w:rFonts w:eastAsia="Times New Roman"/>
        </w:rPr>
        <w:lastRenderedPageBreak/>
        <w:t>Additionally</w:t>
      </w:r>
      <w:r w:rsidR="00AA13FC" w:rsidRPr="003B0D56">
        <w:rPr>
          <w:rFonts w:eastAsia="Times New Roman"/>
        </w:rPr>
        <w:t xml:space="preserve">, </w:t>
      </w:r>
      <w:r w:rsidR="00AA13FC">
        <w:rPr>
          <w:rFonts w:eastAsia="Times New Roman"/>
        </w:rPr>
        <w:t>because</w:t>
      </w:r>
      <w:r w:rsidR="00AA13FC" w:rsidRPr="003B0D56">
        <w:rPr>
          <w:rFonts w:eastAsia="Times New Roman"/>
        </w:rPr>
        <w:t xml:space="preserve"> a funder is effectively a real party in interest, it should bear responsibility (to the same degree as any other party) </w:t>
      </w:r>
      <w:r w:rsidR="00AA13FC">
        <w:rPr>
          <w:rFonts w:eastAsia="Times New Roman"/>
        </w:rPr>
        <w:t xml:space="preserve">for any </w:t>
      </w:r>
      <w:r w:rsidR="00AA13FC" w:rsidRPr="003B0D56">
        <w:rPr>
          <w:rFonts w:eastAsia="Times New Roman"/>
        </w:rPr>
        <w:t xml:space="preserve">wrongdoing </w:t>
      </w:r>
      <w:r w:rsidR="00AA13FC">
        <w:rPr>
          <w:rFonts w:eastAsia="Times New Roman"/>
        </w:rPr>
        <w:t xml:space="preserve">in the prosecution of a case </w:t>
      </w:r>
      <w:r w:rsidR="00AA13FC" w:rsidRPr="003B0D56">
        <w:rPr>
          <w:rFonts w:eastAsia="Times New Roman"/>
        </w:rPr>
        <w:t>and a</w:t>
      </w:r>
      <w:r w:rsidR="00AA13FC">
        <w:rPr>
          <w:rFonts w:eastAsia="Times New Roman"/>
        </w:rPr>
        <w:t>ny resulting</w:t>
      </w:r>
      <w:r w:rsidR="00AA13FC" w:rsidRPr="003B0D56">
        <w:rPr>
          <w:rFonts w:eastAsia="Times New Roman"/>
        </w:rPr>
        <w:t xml:space="preserve"> </w:t>
      </w:r>
      <w:r w:rsidR="00AA13FC">
        <w:rPr>
          <w:rFonts w:eastAsia="Times New Roman"/>
        </w:rPr>
        <w:t xml:space="preserve">judicial </w:t>
      </w:r>
      <w:r w:rsidR="00AA13FC" w:rsidRPr="003B0D56">
        <w:rPr>
          <w:rFonts w:eastAsia="Times New Roman"/>
        </w:rPr>
        <w:t>imposition of sanctions or costs.</w:t>
      </w:r>
      <w:r w:rsidR="00AA13FC">
        <w:rPr>
          <w:rFonts w:eastAsia="Times New Roman"/>
        </w:rPr>
        <w:t xml:space="preserve">  </w:t>
      </w:r>
      <w:r w:rsidR="00AA13FC" w:rsidRPr="00DD64FC">
        <w:rPr>
          <w:rFonts w:eastAsia="Times New Roman"/>
        </w:rPr>
        <w:t xml:space="preserve">For example, in </w:t>
      </w:r>
      <w:r w:rsidR="00AA13FC" w:rsidRPr="00DD64FC">
        <w:rPr>
          <w:rFonts w:eastAsia="Times New Roman"/>
          <w:i/>
        </w:rPr>
        <w:t>Abu-Ghazaleh v. Chaul</w:t>
      </w:r>
      <w:r w:rsidR="00AA13FC" w:rsidRPr="00DD64FC">
        <w:rPr>
          <w:rFonts w:eastAsia="Times New Roman"/>
        </w:rPr>
        <w:t xml:space="preserve">, a Florida state appeals court held that TPLF </w:t>
      </w:r>
      <w:r w:rsidR="00AA13FC">
        <w:rPr>
          <w:rFonts w:eastAsia="Times New Roman"/>
        </w:rPr>
        <w:t>investors</w:t>
      </w:r>
      <w:r w:rsidR="00AA13FC" w:rsidRPr="00DD64FC">
        <w:rPr>
          <w:rFonts w:eastAsia="Times New Roman"/>
        </w:rPr>
        <w:t xml:space="preserve"> (an individual and company) that co</w:t>
      </w:r>
      <w:r w:rsidR="00AA13FC" w:rsidRPr="00154FEB">
        <w:rPr>
          <w:rFonts w:eastAsia="Times New Roman"/>
        </w:rPr>
        <w:t>ntrolled the litigation qualified as part</w:t>
      </w:r>
      <w:r w:rsidR="00AA13FC">
        <w:rPr>
          <w:rFonts w:eastAsia="Times New Roman"/>
        </w:rPr>
        <w:t>ies</w:t>
      </w:r>
      <w:r w:rsidR="00AA13FC" w:rsidRPr="00154FEB">
        <w:rPr>
          <w:rFonts w:eastAsia="Times New Roman"/>
        </w:rPr>
        <w:t xml:space="preserve"> to the lawsuit and therefore became liable for the defendant</w:t>
      </w:r>
      <w:r w:rsidR="00F71C95">
        <w:rPr>
          <w:rFonts w:eastAsia="Times New Roman"/>
        </w:rPr>
        <w:t>’</w:t>
      </w:r>
      <w:r w:rsidR="00AA13FC" w:rsidRPr="00154FEB">
        <w:rPr>
          <w:rFonts w:eastAsia="Times New Roman"/>
        </w:rPr>
        <w:t>s attorneys</w:t>
      </w:r>
      <w:r w:rsidR="00F71C95">
        <w:rPr>
          <w:rFonts w:eastAsia="Times New Roman"/>
        </w:rPr>
        <w:t>’</w:t>
      </w:r>
      <w:r w:rsidR="00AA13FC" w:rsidRPr="00154FEB">
        <w:rPr>
          <w:rFonts w:eastAsia="Times New Roman"/>
        </w:rPr>
        <w:t xml:space="preserve"> fees and costs.</w:t>
      </w:r>
      <w:r w:rsidR="00AA13FC" w:rsidRPr="00154FEB">
        <w:rPr>
          <w:rFonts w:eastAsia="Times New Roman"/>
          <w:vertAlign w:val="superscript"/>
        </w:rPr>
        <w:footnoteReference w:id="53"/>
      </w:r>
      <w:r w:rsidR="00AA13FC" w:rsidRPr="00154FEB">
        <w:rPr>
          <w:rFonts w:eastAsia="Times New Roman"/>
        </w:rPr>
        <w:t xml:space="preserve">  The state statute at issue in that case specifically authorized the levy of attorneys</w:t>
      </w:r>
      <w:r w:rsidR="00F71C95">
        <w:rPr>
          <w:rFonts w:eastAsia="Times New Roman"/>
        </w:rPr>
        <w:t>’</w:t>
      </w:r>
      <w:r w:rsidR="00AA13FC" w:rsidRPr="00154FEB">
        <w:rPr>
          <w:rFonts w:eastAsia="Times New Roman"/>
        </w:rPr>
        <w:t xml:space="preserve"> fees on the plaintiff</w:t>
      </w:r>
      <w:r w:rsidR="003807FD">
        <w:rPr>
          <w:rFonts w:eastAsia="Times New Roman"/>
        </w:rPr>
        <w:t>s</w:t>
      </w:r>
      <w:r w:rsidR="00AA13FC" w:rsidRPr="00154FEB">
        <w:rPr>
          <w:rFonts w:eastAsia="Times New Roman"/>
        </w:rPr>
        <w:t xml:space="preserve"> where the claim advanced was </w:t>
      </w:r>
      <w:r w:rsidR="00F71C95">
        <w:rPr>
          <w:rFonts w:eastAsia="Times New Roman"/>
        </w:rPr>
        <w:t>“</w:t>
      </w:r>
      <w:r w:rsidR="00AA13FC" w:rsidRPr="00154FEB">
        <w:rPr>
          <w:rFonts w:eastAsia="Times New Roman"/>
        </w:rPr>
        <w:t>without substantial fact or legal support.</w:t>
      </w:r>
      <w:r w:rsidR="00F71C95">
        <w:rPr>
          <w:rFonts w:eastAsia="Times New Roman"/>
        </w:rPr>
        <w:t>”</w:t>
      </w:r>
      <w:r w:rsidR="00AA13FC" w:rsidRPr="00154FEB">
        <w:rPr>
          <w:rFonts w:eastAsia="Times New Roman"/>
          <w:vertAlign w:val="superscript"/>
        </w:rPr>
        <w:footnoteReference w:id="54"/>
      </w:r>
      <w:r w:rsidR="00AA13FC" w:rsidRPr="00154FEB">
        <w:rPr>
          <w:rFonts w:eastAsia="Times New Roman"/>
        </w:rPr>
        <w:t xml:space="preserve">  The court found that the plaintiff</w:t>
      </w:r>
      <w:r w:rsidR="003807FD">
        <w:rPr>
          <w:rFonts w:eastAsia="Times New Roman"/>
        </w:rPr>
        <w:t>s</w:t>
      </w:r>
      <w:r w:rsidR="00F71C95">
        <w:rPr>
          <w:rFonts w:eastAsia="Times New Roman"/>
        </w:rPr>
        <w:t>’</w:t>
      </w:r>
      <w:r w:rsidR="00AA13FC" w:rsidRPr="00154FEB">
        <w:rPr>
          <w:rFonts w:eastAsia="Times New Roman"/>
        </w:rPr>
        <w:t xml:space="preserve"> claim was bereft of such legal or factual support.  The court then determined that the TPLF </w:t>
      </w:r>
      <w:r w:rsidR="00AA13FC">
        <w:rPr>
          <w:rFonts w:eastAsia="Times New Roman"/>
        </w:rPr>
        <w:t>investors</w:t>
      </w:r>
      <w:r w:rsidR="00AA13FC" w:rsidRPr="00154FEB">
        <w:rPr>
          <w:rFonts w:eastAsia="Times New Roman"/>
        </w:rPr>
        <w:t xml:space="preserve"> were liable for the attorneys</w:t>
      </w:r>
      <w:r w:rsidR="00F71C95">
        <w:rPr>
          <w:rFonts w:eastAsia="Times New Roman"/>
        </w:rPr>
        <w:t>’</w:t>
      </w:r>
      <w:r w:rsidR="00AA13FC" w:rsidRPr="00154FEB">
        <w:rPr>
          <w:rFonts w:eastAsia="Times New Roman"/>
        </w:rPr>
        <w:t xml:space="preserve"> fees because they were essentially part</w:t>
      </w:r>
      <w:r w:rsidR="00AA13FC">
        <w:rPr>
          <w:rFonts w:eastAsia="Times New Roman"/>
        </w:rPr>
        <w:t>ies</w:t>
      </w:r>
      <w:r w:rsidR="00AA13FC" w:rsidRPr="00154FEB">
        <w:rPr>
          <w:rFonts w:eastAsia="Times New Roman"/>
        </w:rPr>
        <w:t xml:space="preserve"> to the litigation (and the named plaintiff</w:t>
      </w:r>
      <w:r w:rsidR="003807FD">
        <w:rPr>
          <w:rFonts w:eastAsia="Times New Roman"/>
        </w:rPr>
        <w:t>s were</w:t>
      </w:r>
      <w:r w:rsidR="00AA13FC" w:rsidRPr="00154FEB">
        <w:rPr>
          <w:rFonts w:eastAsia="Times New Roman"/>
        </w:rPr>
        <w:t xml:space="preserve"> financially unable to pay such fees, which is often the case).  The court reached this conclusion by scrutinizing the agreement entered into by the plaintiff</w:t>
      </w:r>
      <w:r w:rsidR="003807FD">
        <w:rPr>
          <w:rFonts w:eastAsia="Times New Roman"/>
        </w:rPr>
        <w:t>s</w:t>
      </w:r>
      <w:r w:rsidR="00AA13FC" w:rsidRPr="00154FEB">
        <w:rPr>
          <w:rFonts w:eastAsia="Times New Roman"/>
        </w:rPr>
        <w:t xml:space="preserve"> and the TPLF </w:t>
      </w:r>
      <w:r w:rsidR="00AA13FC">
        <w:rPr>
          <w:rFonts w:eastAsia="Times New Roman"/>
        </w:rPr>
        <w:t>investors</w:t>
      </w:r>
      <w:r w:rsidR="00AA13FC" w:rsidRPr="00154FEB">
        <w:rPr>
          <w:rFonts w:eastAsia="Times New Roman"/>
        </w:rPr>
        <w:t>, which provided that th</w:t>
      </w:r>
      <w:r w:rsidR="00AA13FC">
        <w:rPr>
          <w:rFonts w:eastAsia="Times New Roman"/>
        </w:rPr>
        <w:t xml:space="preserve">ey </w:t>
      </w:r>
      <w:r w:rsidR="00AA13FC" w:rsidRPr="00154FEB">
        <w:rPr>
          <w:rFonts w:eastAsia="Times New Roman"/>
        </w:rPr>
        <w:t xml:space="preserve">were to receive 18.33% of any award the plaintiffs received and gave them </w:t>
      </w:r>
      <w:r w:rsidR="00F71C95">
        <w:rPr>
          <w:rFonts w:eastAsia="Times New Roman"/>
        </w:rPr>
        <w:t>“</w:t>
      </w:r>
      <w:r w:rsidR="00AA13FC" w:rsidRPr="00154FEB">
        <w:rPr>
          <w:rFonts w:eastAsia="Times New Roman"/>
        </w:rPr>
        <w:t>final say over any settlement agreements proposed to the plaintiffs.</w:t>
      </w:r>
      <w:r w:rsidR="00F71C95">
        <w:rPr>
          <w:rFonts w:eastAsia="Times New Roman"/>
        </w:rPr>
        <w:t>”</w:t>
      </w:r>
      <w:r w:rsidR="00AA13FC" w:rsidRPr="00154FEB">
        <w:rPr>
          <w:rFonts w:eastAsia="Times New Roman"/>
          <w:vertAlign w:val="superscript"/>
        </w:rPr>
        <w:footnoteReference w:id="55"/>
      </w:r>
      <w:r w:rsidR="00AA13FC" w:rsidRPr="00154FEB">
        <w:rPr>
          <w:rFonts w:eastAsia="Times New Roman"/>
        </w:rPr>
        <w:t xml:space="preserve">  As evidenced by </w:t>
      </w:r>
      <w:r w:rsidR="00AA13FC" w:rsidRPr="00154FEB">
        <w:rPr>
          <w:rFonts w:eastAsia="Times New Roman"/>
          <w:i/>
        </w:rPr>
        <w:t>Abu-Ghazaleh</w:t>
      </w:r>
      <w:r w:rsidR="00AA13FC" w:rsidRPr="00154FEB">
        <w:rPr>
          <w:rFonts w:eastAsia="Times New Roman"/>
        </w:rPr>
        <w:t>, if courts are put on notice that a third party is financing the underlying litigation</w:t>
      </w:r>
      <w:r w:rsidR="00C672FE">
        <w:rPr>
          <w:rFonts w:eastAsia="Times New Roman"/>
        </w:rPr>
        <w:t xml:space="preserve"> and are aware of the terms of the funding agreement</w:t>
      </w:r>
      <w:r w:rsidR="00AA13FC" w:rsidRPr="00154FEB">
        <w:rPr>
          <w:rFonts w:eastAsia="Times New Roman"/>
        </w:rPr>
        <w:t xml:space="preserve">, they will be in a much better position to determine how to impose sanctions or other costs, if such costs are warranted in a given case.  </w:t>
      </w:r>
    </w:p>
    <w:p w14:paraId="27B177D5" w14:textId="77777777" w:rsidR="00533E25" w:rsidRPr="00B91596" w:rsidRDefault="00533E25" w:rsidP="00533E25">
      <w:pPr>
        <w:pStyle w:val="Heading1"/>
        <w:numPr>
          <w:ilvl w:val="1"/>
          <w:numId w:val="35"/>
        </w:numPr>
        <w:tabs>
          <w:tab w:val="num" w:pos="360"/>
        </w:tabs>
        <w:spacing w:before="100" w:beforeAutospacing="1" w:after="100" w:afterAutospacing="1"/>
        <w:rPr>
          <w:sz w:val="24"/>
          <w:szCs w:val="24"/>
          <w:u w:val="single"/>
        </w:rPr>
      </w:pPr>
      <w:r w:rsidRPr="00D87EA4">
        <w:rPr>
          <w:rFonts w:eastAsia="Times New Roman"/>
          <w:b w:val="0"/>
          <w:bCs w:val="0"/>
          <w:color w:val="000000" w:themeColor="text1"/>
          <w:sz w:val="24"/>
          <w:szCs w:val="24"/>
          <w:u w:val="single"/>
        </w:rPr>
        <w:t>Ensuring Compliance With Ethical Obligations, Particularly The Avoidance Of Conflicts Of Interest</w:t>
      </w:r>
    </w:p>
    <w:p w14:paraId="5E4EE086" w14:textId="77777777" w:rsidR="00533E25" w:rsidRDefault="00533E25" w:rsidP="00533E25">
      <w:pPr>
        <w:spacing w:before="100" w:beforeAutospacing="1" w:after="100" w:afterAutospacing="1"/>
        <w:ind w:firstLine="720"/>
        <w:rPr>
          <w:rFonts w:eastAsia="Times New Roman"/>
        </w:rPr>
      </w:pPr>
      <w:r>
        <w:rPr>
          <w:rFonts w:eastAsia="Times New Roman"/>
        </w:rPr>
        <w:t>B</w:t>
      </w:r>
      <w:r w:rsidRPr="00154FEB">
        <w:rPr>
          <w:rFonts w:eastAsia="Times New Roman"/>
        </w:rPr>
        <w:t xml:space="preserve">y identifying persons/entities with a stake in the outcome of the litigation, </w:t>
      </w:r>
      <w:r>
        <w:rPr>
          <w:rFonts w:eastAsia="Times New Roman"/>
        </w:rPr>
        <w:t>disclosure requirements</w:t>
      </w:r>
      <w:r w:rsidRPr="00154FEB">
        <w:rPr>
          <w:rFonts w:eastAsia="Times New Roman"/>
        </w:rPr>
        <w:t xml:space="preserve"> would allow courts and counsel to ensure compliance with ethical obligations</w:t>
      </w:r>
      <w:r>
        <w:rPr>
          <w:rFonts w:eastAsia="Times New Roman"/>
        </w:rPr>
        <w:t>.  One of the most important ethical duties of both courts and parties is to avoid conflicts of interest.  As one commentator succinctly explained:</w:t>
      </w:r>
    </w:p>
    <w:p w14:paraId="13084CB9" w14:textId="69638C72" w:rsidR="00533E25" w:rsidRPr="00F8661F" w:rsidRDefault="00857C1A" w:rsidP="00533E25">
      <w:pPr>
        <w:pStyle w:val="Block"/>
        <w:ind w:left="720" w:right="1008" w:firstLine="0"/>
        <w:jc w:val="both"/>
      </w:pPr>
      <w:r>
        <w:t xml:space="preserve">[Since] </w:t>
      </w:r>
      <w:r w:rsidR="00533E25">
        <w:t>s</w:t>
      </w:r>
      <w:r w:rsidR="00533E25" w:rsidRPr="00BB5310">
        <w:t>ome [funding] entities are multibillion- and multimillion-dollar publicly traded entities, requiring disclosure of their role will allow judges to determine</w:t>
      </w:r>
      <w:r w:rsidR="00533E25">
        <w:t xml:space="preserve"> </w:t>
      </w:r>
      <w:r w:rsidR="00533E25" w:rsidRPr="00BB5310">
        <w:t>whether they have a conflict of interest in administering a case.  And for privately held [funding] entities, the web of personal relationships judges [or other judicial officers] have could be impacted as well, leading to unintentional appearances of impropriety.</w:t>
      </w:r>
      <w:r w:rsidR="00533E25" w:rsidRPr="00F8661F">
        <w:rPr>
          <w:rFonts w:asciiTheme="minorHAnsi" w:hAnsiTheme="minorHAnsi" w:cstheme="minorBidi"/>
          <w:sz w:val="22"/>
          <w:szCs w:val="22"/>
          <w:vertAlign w:val="superscript"/>
        </w:rPr>
        <w:footnoteReference w:id="56"/>
      </w:r>
    </w:p>
    <w:p w14:paraId="40741918" w14:textId="77777777" w:rsidR="00533E25" w:rsidRPr="00F8661F" w:rsidRDefault="00533E25" w:rsidP="00F8661F">
      <w:pPr>
        <w:rPr>
          <w:rFonts w:eastAsia="Times New Roman"/>
        </w:rPr>
      </w:pPr>
    </w:p>
    <w:p w14:paraId="0CA8EF2A" w14:textId="44E53556" w:rsidR="00F8661F" w:rsidRPr="00F8661F" w:rsidRDefault="00F8661F" w:rsidP="00F8661F">
      <w:r w:rsidRPr="00F8661F">
        <w:rPr>
          <w:rFonts w:eastAsia="Times New Roman"/>
        </w:rPr>
        <w:tab/>
      </w:r>
      <w:r w:rsidRPr="00F32AFE">
        <w:t>J</w:t>
      </w:r>
      <w:r w:rsidRPr="00E3463C">
        <w:t>udges are required to recuse themselves from cases in which they have a conflict of interes</w:t>
      </w:r>
      <w:r>
        <w:t>t.</w:t>
      </w:r>
      <w:r>
        <w:rPr>
          <w:rStyle w:val="FootnoteReference"/>
        </w:rPr>
        <w:footnoteReference w:id="57"/>
      </w:r>
      <w:r>
        <w:t xml:space="preserve">  T</w:t>
      </w:r>
      <w:r w:rsidRPr="00F32AFE">
        <w:t xml:space="preserve">he possibility that a TPLF contract could </w:t>
      </w:r>
      <w:r>
        <w:t xml:space="preserve">create a conflict </w:t>
      </w:r>
      <w:r w:rsidRPr="00F32AFE">
        <w:t>necessitat</w:t>
      </w:r>
      <w:r>
        <w:t>ing</w:t>
      </w:r>
      <w:r w:rsidRPr="00F32AFE">
        <w:t xml:space="preserve"> recusal is </w:t>
      </w:r>
      <w:r>
        <w:t xml:space="preserve">not hypothetical.  </w:t>
      </w:r>
      <w:r w:rsidRPr="00A468D9">
        <w:t>A</w:t>
      </w:r>
      <w:r w:rsidR="00BC2EB1" w:rsidRPr="00A468D9">
        <w:t>ccording to</w:t>
      </w:r>
      <w:r w:rsidRPr="00A468D9">
        <w:t xml:space="preserve"> Westfleet Advisors, </w:t>
      </w:r>
      <w:r w:rsidR="00F71C95">
        <w:t>“</w:t>
      </w:r>
      <w:r w:rsidRPr="00A468D9">
        <w:t>82% of law firm lawyers say they use legal finance,</w:t>
      </w:r>
      <w:r w:rsidR="00F71C95">
        <w:t>”</w:t>
      </w:r>
      <w:r w:rsidRPr="00A468D9">
        <w:t xml:space="preserve"> and that finance can come from public companies, private companies, family offices, </w:t>
      </w:r>
      <w:r w:rsidRPr="00A468D9">
        <w:lastRenderedPageBreak/>
        <w:t>and individuals both here and abroad.</w:t>
      </w:r>
      <w:r w:rsidR="00D03106" w:rsidRPr="00A468D9">
        <w:rPr>
          <w:rStyle w:val="FootnoteReference"/>
        </w:rPr>
        <w:footnoteReference w:id="58"/>
      </w:r>
      <w:r w:rsidRPr="00F32AFE">
        <w:t xml:space="preserve"> </w:t>
      </w:r>
      <w:r>
        <w:t xml:space="preserve"> Absent an express rule requiring disclosure of TPLF agreements</w:t>
      </w:r>
      <w:r w:rsidRPr="00F32AFE">
        <w:t>, judges do not have the information they need to make recusal decisions.</w:t>
      </w:r>
      <w:r>
        <w:t xml:space="preserve"> </w:t>
      </w:r>
    </w:p>
    <w:p w14:paraId="602DCC6B" w14:textId="77777777" w:rsidR="00F8661F" w:rsidRPr="00E0273B" w:rsidRDefault="00F8661F" w:rsidP="00F8661F">
      <w:pPr>
        <w:rPr>
          <w:rFonts w:eastAsia="Times New Roman"/>
        </w:rPr>
      </w:pPr>
    </w:p>
    <w:p w14:paraId="4768B5E3" w14:textId="2512FDAE" w:rsidR="00533E25" w:rsidRDefault="00533E25" w:rsidP="00533E25">
      <w:pPr>
        <w:ind w:firstLine="720"/>
      </w:pPr>
      <w:r w:rsidRPr="00B433CA">
        <w:t>A prime example of</w:t>
      </w:r>
      <w:r>
        <w:t xml:space="preserve"> this problem </w:t>
      </w:r>
      <w:r w:rsidRPr="00B433CA">
        <w:t xml:space="preserve">arose during </w:t>
      </w:r>
      <w:r w:rsidR="002F623C">
        <w:t xml:space="preserve">the </w:t>
      </w:r>
      <w:r w:rsidR="002F623C">
        <w:rPr>
          <w:i/>
          <w:iCs/>
        </w:rPr>
        <w:t xml:space="preserve">Chevron Ecuador </w:t>
      </w:r>
      <w:r w:rsidR="002F623C">
        <w:t>case previously discussed.</w:t>
      </w:r>
      <w:r w:rsidRPr="00B433CA">
        <w:rPr>
          <w:vertAlign w:val="superscript"/>
        </w:rPr>
        <w:footnoteReference w:id="59"/>
      </w:r>
      <w:r w:rsidRPr="00B433CA">
        <w:t xml:space="preserve">  During a deposition in that proceeding, </w:t>
      </w:r>
      <w:r w:rsidR="007C55AA">
        <w:t>plaintiffs</w:t>
      </w:r>
      <w:r w:rsidR="00F71C95">
        <w:t>’</w:t>
      </w:r>
      <w:r w:rsidR="007C55AA">
        <w:t xml:space="preserve"> counsel </w:t>
      </w:r>
      <w:r w:rsidR="001B3BEE">
        <w:t xml:space="preserve">Steven </w:t>
      </w:r>
      <w:r w:rsidRPr="00B433CA">
        <w:t>Donziger was asked to identify the company that had helped finance the underlying suit against Chevron.</w:t>
      </w:r>
      <w:r w:rsidRPr="00B433CA">
        <w:rPr>
          <w:vertAlign w:val="superscript"/>
        </w:rPr>
        <w:footnoteReference w:id="60"/>
      </w:r>
      <w:r w:rsidRPr="00B433CA">
        <w:t xml:space="preserve">  Upon being ordered to answer the question by the special master assigned to the case, Donziger disclosed that the funder was Burford</w:t>
      </w:r>
      <w:r>
        <w:t>—one of the largest funders in the world.</w:t>
      </w:r>
      <w:r w:rsidRPr="00B433CA">
        <w:rPr>
          <w:vertAlign w:val="superscript"/>
        </w:rPr>
        <w:footnoteReference w:id="61"/>
      </w:r>
      <w:r>
        <w:t xml:space="preserve">  </w:t>
      </w:r>
      <w:r w:rsidRPr="00B433CA">
        <w:t xml:space="preserve">The special master then disclosed that he was </w:t>
      </w:r>
      <w:r>
        <w:t xml:space="preserve">a </w:t>
      </w:r>
      <w:r w:rsidRPr="00B433CA">
        <w:t>former co-counsel with the founder of Burford, who at one time sent the special master a brochure about funding one of Burford</w:t>
      </w:r>
      <w:r w:rsidR="00F71C95">
        <w:t>’</w:t>
      </w:r>
      <w:r w:rsidRPr="00B433CA">
        <w:t>s cases.</w:t>
      </w:r>
      <w:r w:rsidRPr="00B433CA">
        <w:rPr>
          <w:vertAlign w:val="superscript"/>
        </w:rPr>
        <w:footnoteReference w:id="62"/>
      </w:r>
      <w:r w:rsidRPr="00B433CA">
        <w:t xml:space="preserve">  The special master also disclosed that he was friends with Burford</w:t>
      </w:r>
      <w:r w:rsidR="00F71C95">
        <w:t>’</w:t>
      </w:r>
      <w:r w:rsidRPr="00B433CA">
        <w:t>s former general counsel.</w:t>
      </w:r>
      <w:r w:rsidRPr="00B433CA">
        <w:rPr>
          <w:vertAlign w:val="superscript"/>
        </w:rPr>
        <w:footnoteReference w:id="63"/>
      </w:r>
      <w:r w:rsidRPr="00B433CA">
        <w:t xml:space="preserve">  The special master did not recuse himself from the racketeering litigation, and the parties did not insist that he do so.</w:t>
      </w:r>
      <w:r w:rsidRPr="00B433CA">
        <w:rPr>
          <w:vertAlign w:val="superscript"/>
        </w:rPr>
        <w:footnoteReference w:id="64"/>
      </w:r>
      <w:r w:rsidRPr="00B433CA">
        <w:t xml:space="preserve">  Nonetheless, as the special master recognized, the deposition </w:t>
      </w:r>
      <w:r w:rsidR="00F71C95">
        <w:t>“</w:t>
      </w:r>
      <w:r w:rsidRPr="00B433CA">
        <w:t>prove[d] . . . that it is imperative for lawyers to insist that clients disclose who the investors are.</w:t>
      </w:r>
      <w:r w:rsidR="00F71C95">
        <w:t>”</w:t>
      </w:r>
      <w:r w:rsidRPr="00B433CA">
        <w:rPr>
          <w:vertAlign w:val="superscript"/>
        </w:rPr>
        <w:footnoteReference w:id="65"/>
      </w:r>
      <w:r w:rsidRPr="00B433CA">
        <w:t xml:space="preserve"> </w:t>
      </w:r>
    </w:p>
    <w:p w14:paraId="2E510FE2" w14:textId="77777777" w:rsidR="00533E25" w:rsidRDefault="00533E25" w:rsidP="00533E25">
      <w:pPr>
        <w:ind w:firstLine="720"/>
      </w:pPr>
    </w:p>
    <w:p w14:paraId="3222A1D6" w14:textId="77777777" w:rsidR="00F8661F" w:rsidRDefault="00533E25" w:rsidP="00F8661F">
      <w:pPr>
        <w:ind w:firstLine="720"/>
      </w:pPr>
      <w:r w:rsidRPr="00510F73">
        <w:rPr>
          <w:rFonts w:eastAsia="MS Mincho"/>
          <w:lang w:eastAsia="en-US"/>
        </w:rPr>
        <w:t xml:space="preserve">These sorts of provisions </w:t>
      </w:r>
      <w:r>
        <w:rPr>
          <w:rFonts w:eastAsia="MS Mincho"/>
          <w:lang w:eastAsia="en-US"/>
        </w:rPr>
        <w:t xml:space="preserve">can </w:t>
      </w:r>
      <w:r w:rsidRPr="00510F73">
        <w:rPr>
          <w:rFonts w:eastAsia="MS Mincho"/>
          <w:lang w:eastAsia="en-US"/>
        </w:rPr>
        <w:t>blur the line separating lawyers from non</w:t>
      </w:r>
      <w:r>
        <w:rPr>
          <w:rFonts w:eastAsia="MS Mincho"/>
          <w:lang w:eastAsia="en-US"/>
        </w:rPr>
        <w:t>-</w:t>
      </w:r>
      <w:r w:rsidRPr="00510F73">
        <w:rPr>
          <w:rFonts w:eastAsia="MS Mincho"/>
          <w:lang w:eastAsia="en-US"/>
        </w:rPr>
        <w:t xml:space="preserve">lawyers and undermine the </w:t>
      </w:r>
      <w:r w:rsidRPr="00F8661F">
        <w:t>attorney</w:t>
      </w:r>
      <w:r w:rsidRPr="00510F73">
        <w:rPr>
          <w:rFonts w:eastAsia="MS Mincho"/>
          <w:lang w:eastAsia="en-US"/>
        </w:rPr>
        <w:t>-client relationship that is at the core of our civil justice system.</w:t>
      </w:r>
      <w:r>
        <w:rPr>
          <w:rFonts w:eastAsia="MS Mincho"/>
          <w:lang w:eastAsia="en-US"/>
        </w:rPr>
        <w:t xml:space="preserve">  </w:t>
      </w:r>
      <w:r w:rsidR="00F8661F" w:rsidRPr="00F32AFE">
        <w:t>The only way for judges and parties to understand and avoid conflicts of interest is disclosure of TPLF contracts.</w:t>
      </w:r>
    </w:p>
    <w:p w14:paraId="2A70C0BF" w14:textId="77777777" w:rsidR="00F8661F" w:rsidRDefault="00F8661F" w:rsidP="00F8661F">
      <w:pPr>
        <w:ind w:firstLine="720"/>
      </w:pPr>
    </w:p>
    <w:p w14:paraId="5ED04BD8" w14:textId="5E71059C" w:rsidR="00F8661F" w:rsidRPr="00F32AFE" w:rsidRDefault="00F8661F" w:rsidP="00F8661F">
      <w:pPr>
        <w:ind w:firstLine="720"/>
      </w:pPr>
      <w:r>
        <w:t>In addition, w</w:t>
      </w:r>
      <w:r w:rsidRPr="00F32AFE">
        <w:t>itnesses also can have conflicts</w:t>
      </w:r>
      <w:r>
        <w:t xml:space="preserve"> of interest arising from TPLF arrangements</w:t>
      </w:r>
      <w:r w:rsidRPr="00F32AFE">
        <w:t xml:space="preserve">. </w:t>
      </w:r>
      <w:r>
        <w:t xml:space="preserve"> </w:t>
      </w:r>
      <w:r w:rsidR="00894083">
        <w:t>Ariz</w:t>
      </w:r>
      <w:r w:rsidR="00946BE8">
        <w:t>. R</w:t>
      </w:r>
      <w:r w:rsidR="003C7719">
        <w:t>.</w:t>
      </w:r>
      <w:r w:rsidR="00946BE8">
        <w:t xml:space="preserve"> </w:t>
      </w:r>
      <w:r w:rsidR="00946BE8" w:rsidRPr="00E3463C">
        <w:t>Evid.</w:t>
      </w:r>
      <w:r w:rsidRPr="00E3463C">
        <w:t xml:space="preserve"> 607 allow</w:t>
      </w:r>
      <w:r w:rsidRPr="00F32AFE">
        <w:t xml:space="preserve">s parties to </w:t>
      </w:r>
      <w:r w:rsidR="003667EF">
        <w:t>challenge</w:t>
      </w:r>
      <w:r w:rsidRPr="00F32AFE">
        <w:t xml:space="preserve"> the credibility of a witness who is being paid and/or has a direct interest in the outcome of the case. </w:t>
      </w:r>
      <w:r>
        <w:t xml:space="preserve"> P</w:t>
      </w:r>
      <w:r w:rsidRPr="00F32AFE">
        <w:t xml:space="preserve">arties are deprived of this </w:t>
      </w:r>
      <w:r>
        <w:t xml:space="preserve">opportunity when they do not know about the existence of TPLF agreements. </w:t>
      </w:r>
    </w:p>
    <w:p w14:paraId="77FA8D1C" w14:textId="77777777" w:rsidR="00F8661F" w:rsidRPr="00F32AFE" w:rsidRDefault="00F8661F" w:rsidP="00F8661F">
      <w:r w:rsidRPr="00F32AFE">
        <w:t> </w:t>
      </w:r>
    </w:p>
    <w:p w14:paraId="53C475C0" w14:textId="10F1AD32" w:rsidR="00533E25" w:rsidRPr="00533E25" w:rsidRDefault="00533E25" w:rsidP="00533E25">
      <w:pPr>
        <w:ind w:firstLine="720"/>
      </w:pPr>
      <w:r>
        <w:rPr>
          <w:rFonts w:eastAsia="MS Mincho"/>
          <w:lang w:eastAsia="en-US"/>
        </w:rPr>
        <w:t xml:space="preserve">Requiring disclosure of the identity of litigation investors and mandating disclosure of the actual terms of funding agreements would provide courts and parties with information necessary to prevent potential conflicts of interest.  In short, a disclosure requirement would promote ethical litigation in Arizona courts. </w:t>
      </w:r>
      <w:r w:rsidRPr="00154FEB">
        <w:rPr>
          <w:rFonts w:eastAsia="Times New Roman"/>
        </w:rPr>
        <w:t xml:space="preserve"> </w:t>
      </w:r>
    </w:p>
    <w:p w14:paraId="6C47764F" w14:textId="4F142B0D" w:rsidR="009A5B26" w:rsidRPr="00D87EA4" w:rsidRDefault="009A5B26" w:rsidP="009A5B26">
      <w:pPr>
        <w:pStyle w:val="Heading1"/>
        <w:numPr>
          <w:ilvl w:val="1"/>
          <w:numId w:val="35"/>
        </w:numPr>
        <w:spacing w:before="100" w:beforeAutospacing="1" w:after="100" w:afterAutospacing="1"/>
        <w:ind w:left="1512"/>
        <w:rPr>
          <w:rFonts w:eastAsia="Times New Roman"/>
          <w:b w:val="0"/>
          <w:bCs w:val="0"/>
          <w:sz w:val="24"/>
          <w:szCs w:val="24"/>
          <w:u w:val="single"/>
        </w:rPr>
      </w:pPr>
      <w:r w:rsidRPr="00D87EA4">
        <w:rPr>
          <w:rFonts w:eastAsia="Times New Roman"/>
          <w:b w:val="0"/>
          <w:bCs w:val="0"/>
          <w:color w:val="000000" w:themeColor="text1"/>
          <w:sz w:val="24"/>
          <w:szCs w:val="24"/>
          <w:u w:val="single"/>
        </w:rPr>
        <w:t>Uncovering Potential National And Economic Security Risks</w:t>
      </w:r>
    </w:p>
    <w:p w14:paraId="0C92ADC9" w14:textId="71970A62" w:rsidR="009A5B26" w:rsidRDefault="009A5B26" w:rsidP="009A5B26">
      <w:pPr>
        <w:spacing w:before="240"/>
        <w:ind w:firstLine="720"/>
      </w:pPr>
      <w:r>
        <w:rPr>
          <w:rFonts w:eastAsia="Times New Roman"/>
        </w:rPr>
        <w:t xml:space="preserve">While TPLF raises a number of serious questions related to our civil justice system, one that has only recently begun to receive meaningful attention is whether TPLF threatens U.S. </w:t>
      </w:r>
      <w:r>
        <w:rPr>
          <w:rFonts w:eastAsia="Times New Roman"/>
        </w:rPr>
        <w:lastRenderedPageBreak/>
        <w:t xml:space="preserve">national and economic security.  </w:t>
      </w:r>
      <w:r>
        <w:t xml:space="preserve">As </w:t>
      </w:r>
      <w:r w:rsidRPr="008448F0">
        <w:t xml:space="preserve">Professor Maya Steinitz </w:t>
      </w:r>
      <w:r>
        <w:t xml:space="preserve">of the Boston University School of Law </w:t>
      </w:r>
      <w:r w:rsidRPr="008448F0">
        <w:t>warned</w:t>
      </w:r>
      <w:r>
        <w:t xml:space="preserve"> over a decade ago,</w:t>
      </w:r>
      <w:r w:rsidRPr="008448F0">
        <w:t xml:space="preserve"> </w:t>
      </w:r>
      <w:r>
        <w:t>foreign sources, such as sovereign wealth fund</w:t>
      </w:r>
      <w:r w:rsidRPr="008448F0">
        <w:t>s</w:t>
      </w:r>
      <w:r>
        <w:t xml:space="preserve"> (</w:t>
      </w:r>
      <w:r w:rsidR="00F71C95">
        <w:t>“</w:t>
      </w:r>
      <w:r>
        <w:t>SWFs</w:t>
      </w:r>
      <w:r w:rsidR="00F71C95">
        <w:t>”</w:t>
      </w:r>
      <w:r>
        <w:t>)</w:t>
      </w:r>
      <w:r w:rsidRPr="008448F0">
        <w:t xml:space="preserve"> like the China Investment Corporation, could file </w:t>
      </w:r>
      <w:r w:rsidR="00F71C95">
        <w:t>“</w:t>
      </w:r>
      <w:r w:rsidRPr="007670A1">
        <w:t>suit against an American company in a sensitive industry such as military technology</w:t>
      </w:r>
      <w:r w:rsidR="00F71C95">
        <w:t>”</w:t>
      </w:r>
      <w:r w:rsidRPr="008448F0">
        <w:t xml:space="preserve"> and over the course of that litigation, receive </w:t>
      </w:r>
      <w:r w:rsidR="00F71C95">
        <w:t>“</w:t>
      </w:r>
      <w:r w:rsidRPr="007670A1">
        <w:t>highly confidential documents containing proprietary information regarding sensitive technologies from the American defendant-corporation</w:t>
      </w:r>
      <w:r w:rsidRPr="008448F0">
        <w:t>.</w:t>
      </w:r>
      <w:r w:rsidR="00F71C95">
        <w:t>”</w:t>
      </w:r>
      <w:r>
        <w:rPr>
          <w:rStyle w:val="FootnoteReference"/>
        </w:rPr>
        <w:footnoteReference w:id="66"/>
      </w:r>
      <w:r>
        <w:t xml:space="preserve">  More recently, i</w:t>
      </w:r>
      <w:r w:rsidRPr="008448F0">
        <w:t xml:space="preserve">n 2023, </w:t>
      </w:r>
      <w:r>
        <w:t>Senator</w:t>
      </w:r>
      <w:r w:rsidRPr="008448F0">
        <w:t xml:space="preserve"> John Kennedy (R-L</w:t>
      </w:r>
      <w:r>
        <w:t>A</w:t>
      </w:r>
      <w:r w:rsidRPr="008448F0">
        <w:t xml:space="preserve">) highlighted similar concerns in a letter to Chief Justice John Roberts and </w:t>
      </w:r>
      <w:r>
        <w:t xml:space="preserve">former </w:t>
      </w:r>
      <w:r w:rsidRPr="008448F0">
        <w:t xml:space="preserve">Attorney General Merrick Garland, warning that </w:t>
      </w:r>
      <w:r w:rsidR="00F71C95">
        <w:t>“</w:t>
      </w:r>
      <w:r w:rsidRPr="008448F0">
        <w:t>b</w:t>
      </w:r>
      <w:r w:rsidRPr="007670A1">
        <w:t>y financing litigation in the United States against influential individuals, corporations, or highly sensitive sectors, a foreign actor can advance its strategic interests in the shadows since few disclosure requirements exist in jurisdictions across our country.</w:t>
      </w:r>
      <w:r w:rsidR="00F71C95">
        <w:t>”</w:t>
      </w:r>
      <w:r>
        <w:rPr>
          <w:rStyle w:val="FootnoteReference"/>
        </w:rPr>
        <w:footnoteReference w:id="67"/>
      </w:r>
      <w:r w:rsidRPr="008448F0">
        <w:t xml:space="preserve"> </w:t>
      </w:r>
      <w:r w:rsidR="00A05088">
        <w:t xml:space="preserve"> Senator</w:t>
      </w:r>
      <w:r>
        <w:t xml:space="preserve"> Kennedy</w:t>
      </w:r>
      <w:r w:rsidR="00F71C95">
        <w:t>’</w:t>
      </w:r>
      <w:r>
        <w:t xml:space="preserve">s expressed concerns are not limited to foreign-controlled litigation funders operating in the U.S., but also to </w:t>
      </w:r>
      <w:r>
        <w:rPr>
          <w:b/>
          <w:bCs/>
          <w:i/>
          <w:iCs/>
        </w:rPr>
        <w:t xml:space="preserve">indirect </w:t>
      </w:r>
      <w:r>
        <w:t xml:space="preserve">foreign financiers—that is, foreign entities (e.g., </w:t>
      </w:r>
      <w:r w:rsidR="008A15D1">
        <w:t>SWFs</w:t>
      </w:r>
      <w:r>
        <w:t>) that may funnel cash through U.S.-based litigation funders and thereby potentially exercise behind-the-scenes direction as to certain lawsuits.</w:t>
      </w:r>
      <w:r>
        <w:rPr>
          <w:rStyle w:val="FootnoteReference"/>
        </w:rPr>
        <w:footnoteReference w:id="68"/>
      </w:r>
    </w:p>
    <w:p w14:paraId="7221BFDF" w14:textId="51783D4E" w:rsidR="009A5B26" w:rsidRDefault="009A5B26" w:rsidP="009A5B26">
      <w:pPr>
        <w:spacing w:before="240"/>
        <w:ind w:firstLine="720"/>
      </w:pPr>
      <w:r>
        <w:t>Several other prominent federal legislators have also voiced concerns regarding the ris</w:t>
      </w:r>
      <w:r w:rsidR="00160A2B">
        <w:t>k</w:t>
      </w:r>
      <w:r>
        <w:t xml:space="preserve"> of foreign influence exerted through litigation funding activity, including Senators John Cornyn (R-TX) and Thom Tillis (R-NC).  In a July 11, 2024 letter to the Committee on Rules of Practice and Procedure of the U.S. Judicial Conference, those Senators warned that </w:t>
      </w:r>
      <w:r w:rsidR="00F71C95">
        <w:t>“</w:t>
      </w:r>
      <w:r>
        <w:t>[l]itigation funding is an available weapon for foreign investors to attack domestic businesses</w:t>
      </w:r>
      <w:r w:rsidR="00F71C95">
        <w:t>”</w:t>
      </w:r>
      <w:r>
        <w:t xml:space="preserve"> and that </w:t>
      </w:r>
      <w:r w:rsidR="00F71C95">
        <w:t>“</w:t>
      </w:r>
      <w:r>
        <w:t>[f]oreign adversaries could use litigation funding mechanisms to weaken critical industries or obtain confidential materials.</w:t>
      </w:r>
      <w:r w:rsidR="00F71C95">
        <w:t>”</w:t>
      </w:r>
      <w:r>
        <w:rPr>
          <w:rStyle w:val="FootnoteReference"/>
        </w:rPr>
        <w:footnoteReference w:id="69"/>
      </w:r>
      <w:r>
        <w:t xml:space="preserve">  </w:t>
      </w:r>
    </w:p>
    <w:p w14:paraId="13CAD5A3" w14:textId="3617E2B3" w:rsidR="009A5B26" w:rsidRDefault="009A5B26" w:rsidP="009A5B26">
      <w:pPr>
        <w:spacing w:before="240"/>
        <w:ind w:firstLine="720"/>
      </w:pPr>
      <w:r>
        <w:t>U.S. Senators Rick Scott (R-FL) and Marco Rubio (R-FL) (now U.S. Secretary of State) echoed these concerns in letters to the chief judges of Florida</w:t>
      </w:r>
      <w:r w:rsidR="00F71C95">
        <w:t>’</w:t>
      </w:r>
      <w:r>
        <w:t xml:space="preserve">s federal district courts in November 2023.  In those letters, they </w:t>
      </w:r>
      <w:r w:rsidR="00F71C95">
        <w:t>“</w:t>
      </w:r>
      <w:r>
        <w:t xml:space="preserve">highlight[ed] the dangers of foreign [TPLF] and the need </w:t>
      </w:r>
      <w:r>
        <w:lastRenderedPageBreak/>
        <w:t>for more transparency in the federal judiciary as it relates to this matter.</w:t>
      </w:r>
      <w:r w:rsidR="00F71C95">
        <w:t>”</w:t>
      </w:r>
      <w:r>
        <w:rPr>
          <w:rStyle w:val="FootnoteReference"/>
        </w:rPr>
        <w:footnoteReference w:id="70"/>
      </w:r>
      <w:r>
        <w:t xml:space="preserve">  They explained that litigation funding can originate from several foreign sources, including SWFs, and may influence both the nature and direction of a litigation through often undisclosed financial contributions.  They further noted that the most concerning outcome would be that </w:t>
      </w:r>
      <w:r w:rsidR="00F71C95">
        <w:t>“</w:t>
      </w:r>
      <w:r>
        <w:t>these foreign funders have the potential to provide hostile foreign actors with sufficient sway to exert undisclosed influence on litigation moving through the federal judiciary.</w:t>
      </w:r>
      <w:r w:rsidR="00F71C95">
        <w:t>”</w:t>
      </w:r>
      <w:r>
        <w:rPr>
          <w:rStyle w:val="FootnoteReference"/>
        </w:rPr>
        <w:footnoteReference w:id="71"/>
      </w:r>
    </w:p>
    <w:p w14:paraId="677278FF" w14:textId="07AA9B30" w:rsidR="009A5B26" w:rsidRDefault="009A5B26" w:rsidP="009A5B26">
      <w:pPr>
        <w:spacing w:before="240"/>
        <w:ind w:firstLine="720"/>
      </w:pPr>
      <w:r>
        <w:t xml:space="preserve">These concerns were discussed in a December 2023 report by the </w:t>
      </w:r>
      <w:r w:rsidR="001615EA">
        <w:t xml:space="preserve">bipartisan </w:t>
      </w:r>
      <w:r>
        <w:t>House Select Committee on the Strategic Competition Between the United States and the Chinese Communist Party.  In that report—</w:t>
      </w:r>
      <w:r w:rsidRPr="00DE05D7">
        <w:rPr>
          <w:i/>
          <w:iCs/>
        </w:rPr>
        <w:t>Reset, Prevent, Build: A Strategy to Win America</w:t>
      </w:r>
      <w:r w:rsidR="00F71C95">
        <w:rPr>
          <w:i/>
          <w:iCs/>
        </w:rPr>
        <w:t>’</w:t>
      </w:r>
      <w:r w:rsidRPr="00DE05D7">
        <w:rPr>
          <w:i/>
          <w:iCs/>
        </w:rPr>
        <w:t>s Economic Competition with the Chinese Communist Party</w:t>
      </w:r>
      <w:r>
        <w:t xml:space="preserve">—the Select Committee recommended that Congress </w:t>
      </w:r>
      <w:r w:rsidR="00F71C95">
        <w:t>“</w:t>
      </w:r>
      <w:r>
        <w:t>[d]etermine, and then establish, what guardrails are needed to address the possibility of foreign adversary entities obtaining sensitive IP [</w:t>
      </w:r>
      <w:r w:rsidRPr="00A96E6C">
        <w:t>intellectual property</w:t>
      </w:r>
      <w:r>
        <w:t>] through funding third-party litigation in the United States.</w:t>
      </w:r>
      <w:r w:rsidR="00F71C95">
        <w:t>”</w:t>
      </w:r>
      <w:r>
        <w:rPr>
          <w:rStyle w:val="FootnoteReference"/>
        </w:rPr>
        <w:footnoteReference w:id="72"/>
      </w:r>
      <w:r>
        <w:t xml:space="preserve">  The Select Committee also recommended </w:t>
      </w:r>
      <w:r w:rsidR="00F71C95">
        <w:t>“</w:t>
      </w:r>
      <w:r>
        <w:t>requir[ing] enhanced disclosures for foreign adversary entities and provid[ing] judges with the authority to require enhanced disclosures for certain entities under foreign adversary entity control regarding their funding, and, when appropriate, ownership and connection with the foreign adversary government and dominant political party.</w:t>
      </w:r>
      <w:r w:rsidR="00F71C95">
        <w:t>”</w:t>
      </w:r>
      <w:r>
        <w:rPr>
          <w:rStyle w:val="FootnoteReference"/>
        </w:rPr>
        <w:footnoteReference w:id="73"/>
      </w:r>
      <w:r>
        <w:t xml:space="preserve"> </w:t>
      </w:r>
    </w:p>
    <w:p w14:paraId="2D98C3FA" w14:textId="77777777" w:rsidR="009A5B26" w:rsidRDefault="009A5B26" w:rsidP="009A5B26">
      <w:pPr>
        <w:spacing w:before="240"/>
        <w:ind w:firstLine="720"/>
      </w:pPr>
      <w:r>
        <w:t>Executive branch personnel at both state and federal levels have also voiced growing concern about the risks spawned by foreign-sourced financing of U.S. litigation.  For example, in December 2022, fourteen state attorneys general submitted a letter to the U.S. Department of Justice, bemoaning the secrecy surrounding TPLF and questioning what former U.S. Attorney General Merrick Garland and other top officials were doing to ensure that the practice is not threatening U.S. national security interests.</w:t>
      </w:r>
      <w:r>
        <w:rPr>
          <w:rStyle w:val="FootnoteReference"/>
        </w:rPr>
        <w:footnoteReference w:id="74"/>
      </w:r>
    </w:p>
    <w:p w14:paraId="58A31287" w14:textId="67E26852" w:rsidR="009A5B26" w:rsidRPr="00544110" w:rsidRDefault="009A5B26" w:rsidP="009A5B26">
      <w:pPr>
        <w:spacing w:before="240"/>
        <w:ind w:firstLine="720"/>
      </w:pPr>
      <w:r>
        <w:t xml:space="preserve">During a </w:t>
      </w:r>
      <w:r w:rsidRPr="00544110">
        <w:t>December 2023</w:t>
      </w:r>
      <w:r>
        <w:t xml:space="preserve"> speaking engagement</w:t>
      </w:r>
      <w:r w:rsidRPr="00544110">
        <w:t xml:space="preserve">, </w:t>
      </w:r>
      <w:r w:rsidR="00800340">
        <w:t xml:space="preserve">Evan Turgeon, </w:t>
      </w:r>
      <w:r w:rsidR="00C26EB1">
        <w:t>the Chief of the Foreign Agents Registration Act (</w:t>
      </w:r>
      <w:r w:rsidR="005D4990">
        <w:t>“</w:t>
      </w:r>
      <w:r w:rsidR="00932B8B">
        <w:t>FARA</w:t>
      </w:r>
      <w:r w:rsidR="005D4990">
        <w:t>”</w:t>
      </w:r>
      <w:r w:rsidR="00C26EB1">
        <w:t>)</w:t>
      </w:r>
      <w:r>
        <w:t xml:space="preserve"> </w:t>
      </w:r>
      <w:r w:rsidRPr="00544110">
        <w:t xml:space="preserve">Unit </w:t>
      </w:r>
      <w:r w:rsidR="00800340">
        <w:t xml:space="preserve">at the Department of Justice, </w:t>
      </w:r>
      <w:r w:rsidRPr="00544110">
        <w:t>addressed this important topic in detail.</w:t>
      </w:r>
      <w:r>
        <w:rPr>
          <w:rStyle w:val="FootnoteReference"/>
        </w:rPr>
        <w:footnoteReference w:id="75"/>
      </w:r>
      <w:r w:rsidRPr="00544110">
        <w:t xml:space="preserve"> </w:t>
      </w:r>
      <w:r>
        <w:t xml:space="preserve"> </w:t>
      </w:r>
      <w:r w:rsidRPr="00544110">
        <w:t>Among other things, Mr. Turgeon discussed FARA</w:t>
      </w:r>
      <w:r w:rsidR="00F71C95">
        <w:t>’</w:t>
      </w:r>
      <w:r w:rsidRPr="00544110">
        <w:t>s application to foreign</w:t>
      </w:r>
      <w:r>
        <w:t>-</w:t>
      </w:r>
      <w:r>
        <w:lastRenderedPageBreak/>
        <w:t>sourced</w:t>
      </w:r>
      <w:r w:rsidRPr="00544110">
        <w:t xml:space="preserve"> funding of litigation in the U.S. </w:t>
      </w:r>
      <w:r>
        <w:t xml:space="preserve"> </w:t>
      </w:r>
      <w:r w:rsidRPr="00544110">
        <w:t xml:space="preserve">And </w:t>
      </w:r>
      <w:r>
        <w:t xml:space="preserve">quite critically, </w:t>
      </w:r>
      <w:r w:rsidRPr="00544110">
        <w:t xml:space="preserve">he specifically identified three potential risks of </w:t>
      </w:r>
      <w:r w:rsidR="00F71C95">
        <w:t>“</w:t>
      </w:r>
      <w:r w:rsidRPr="00544110">
        <w:t>undisclosed and undiscoverable</w:t>
      </w:r>
      <w:r w:rsidR="00F71C95">
        <w:t>”</w:t>
      </w:r>
      <w:r w:rsidRPr="00544110">
        <w:t xml:space="preserve"> foreign</w:t>
      </w:r>
      <w:r>
        <w:t>-sourced</w:t>
      </w:r>
      <w:r w:rsidRPr="00544110">
        <w:t xml:space="preserve"> funding of U.S. litigation:</w:t>
      </w:r>
    </w:p>
    <w:p w14:paraId="030AB48A" w14:textId="77777777" w:rsidR="009A5B26" w:rsidRPr="003C7719" w:rsidRDefault="009A5B26" w:rsidP="009A5B26">
      <w:pPr>
        <w:pStyle w:val="ListParagraph"/>
        <w:numPr>
          <w:ilvl w:val="0"/>
          <w:numId w:val="36"/>
        </w:numPr>
        <w:spacing w:before="240"/>
      </w:pPr>
      <w:r w:rsidRPr="003C7719">
        <w:t>Foreign entities doing business in the U.S. may seek to create a competitive advantage as compared to their U.S. competitors by tying up U.S. companies in lengthy and expensive court cases.</w:t>
      </w:r>
    </w:p>
    <w:p w14:paraId="4CBCD066" w14:textId="77777777" w:rsidR="009A5B26" w:rsidRPr="003C7719" w:rsidRDefault="009A5B26" w:rsidP="009A5B26">
      <w:pPr>
        <w:pStyle w:val="ListParagraph"/>
        <w:spacing w:before="240"/>
      </w:pPr>
    </w:p>
    <w:p w14:paraId="0293B0BA" w14:textId="77777777" w:rsidR="009A5B26" w:rsidRPr="003C7719" w:rsidRDefault="009A5B26" w:rsidP="009A5B26">
      <w:pPr>
        <w:pStyle w:val="ListParagraph"/>
        <w:numPr>
          <w:ilvl w:val="0"/>
          <w:numId w:val="36"/>
        </w:numPr>
        <w:spacing w:before="240"/>
      </w:pPr>
      <w:r w:rsidRPr="003C7719">
        <w:t xml:space="preserve">Foreign funders of U.S. litigation may gain access to proprietary and sensitive commercial information through litigation discovery. </w:t>
      </w:r>
    </w:p>
    <w:p w14:paraId="76EF879D" w14:textId="77777777" w:rsidR="009A5B26" w:rsidRPr="003C7719" w:rsidRDefault="009A5B26" w:rsidP="009A5B26">
      <w:pPr>
        <w:pStyle w:val="ListParagraph"/>
      </w:pPr>
    </w:p>
    <w:p w14:paraId="5E328D25" w14:textId="77777777" w:rsidR="009A5B26" w:rsidRPr="00452D95" w:rsidRDefault="009A5B26" w:rsidP="009A5B26">
      <w:pPr>
        <w:pStyle w:val="ListParagraph"/>
        <w:numPr>
          <w:ilvl w:val="0"/>
          <w:numId w:val="36"/>
        </w:numPr>
        <w:spacing w:before="240"/>
      </w:pPr>
      <w:r w:rsidRPr="003C7719">
        <w:t>Foreign adversaries may fund litigation on political issues that are divisive within the U.S. public.</w:t>
      </w:r>
      <w:r w:rsidRPr="00452D95">
        <w:rPr>
          <w:rStyle w:val="FootnoteReference"/>
        </w:rPr>
        <w:footnoteReference w:id="76"/>
      </w:r>
      <w:r w:rsidRPr="00452D95">
        <w:t xml:space="preserve"> </w:t>
      </w:r>
    </w:p>
    <w:p w14:paraId="545D9FA1" w14:textId="0A46933C" w:rsidR="009A5B26" w:rsidRPr="00A34A44" w:rsidRDefault="56D334F4" w:rsidP="1B3B6C1E">
      <w:pPr>
        <w:spacing w:before="240"/>
        <w:ind w:firstLine="720"/>
      </w:pPr>
      <w:r w:rsidRPr="1B3B6C1E">
        <w:t xml:space="preserve">While the secrecy typically surrounding TPLF makes it impossible to ascertain the precise extent and objectives of foreign-sourced litigation funding in the United States, recent examples make clear that the influx of cash is creating precisely the sorts of national security concerns about which academics and public servants have warned.     </w:t>
      </w:r>
    </w:p>
    <w:p w14:paraId="26C1BF81" w14:textId="599C6B0F" w:rsidR="009A5B26" w:rsidRDefault="009A5B26" w:rsidP="009A5B26">
      <w:pPr>
        <w:spacing w:before="240"/>
        <w:ind w:firstLine="720"/>
      </w:pPr>
      <w:r>
        <w:t xml:space="preserve">A </w:t>
      </w:r>
      <w:r w:rsidR="00576C1A">
        <w:t xml:space="preserve">recent </w:t>
      </w:r>
      <w:r>
        <w:t xml:space="preserve">lawsuit </w:t>
      </w:r>
      <w:r w:rsidRPr="00C140CA">
        <w:t>against ExxonMobil</w:t>
      </w:r>
      <w:r w:rsidR="003822E1">
        <w:t xml:space="preserve"> </w:t>
      </w:r>
      <w:r w:rsidRPr="00C140CA">
        <w:t xml:space="preserve">is </w:t>
      </w:r>
      <w:r w:rsidRPr="00E40D0A">
        <w:rPr>
          <w:lang w:val="x-none"/>
        </w:rPr>
        <w:t>the</w:t>
      </w:r>
      <w:r w:rsidRPr="00C140CA">
        <w:t xml:space="preserve"> most recent example of </w:t>
      </w:r>
      <w:r>
        <w:t>how foreign interests can exploit the U.S. legal system to advance their own economic and political agendas</w:t>
      </w:r>
      <w:r w:rsidRPr="00C140CA">
        <w:t xml:space="preserve">. </w:t>
      </w:r>
      <w:r>
        <w:t xml:space="preserve"> </w:t>
      </w:r>
      <w:r w:rsidRPr="00C140CA">
        <w:t>An Australian billionaire and owner of Fortescue Energy allegedly used his nonprofit subsidiary, the Intergenerational Environment Justice Fund (</w:t>
      </w:r>
      <w:r w:rsidR="00F71C95">
        <w:t>“</w:t>
      </w:r>
      <w:r w:rsidRPr="00C140CA">
        <w:t>IEJF</w:t>
      </w:r>
      <w:r w:rsidR="00F71C95">
        <w:t>”</w:t>
      </w:r>
      <w:r w:rsidRPr="00C140CA">
        <w:t xml:space="preserve">), to fund litigation </w:t>
      </w:r>
      <w:r w:rsidR="002767D0">
        <w:t xml:space="preserve">in the United States </w:t>
      </w:r>
      <w:r w:rsidRPr="00C140CA">
        <w:t xml:space="preserve">against ExxonMobil to benefit his rival business ventures. </w:t>
      </w:r>
      <w:r>
        <w:t xml:space="preserve"> That case accused</w:t>
      </w:r>
      <w:r w:rsidRPr="00C140CA">
        <w:t xml:space="preserve"> ExxonMobil of misleading the public about its plastics recycling initiative</w:t>
      </w:r>
      <w:r>
        <w:t xml:space="preserve">s.  </w:t>
      </w:r>
      <w:r w:rsidRPr="00C140CA">
        <w:t xml:space="preserve">In response, ExxonMobil filed a </w:t>
      </w:r>
      <w:r>
        <w:t>countersuit</w:t>
      </w:r>
      <w:r w:rsidRPr="00C140CA">
        <w:t xml:space="preserve"> </w:t>
      </w:r>
      <w:r>
        <w:t xml:space="preserve">in the U.S. District Court for the Eastern District of Texas </w:t>
      </w:r>
      <w:r w:rsidRPr="00C140CA">
        <w:t xml:space="preserve">against the parties </w:t>
      </w:r>
      <w:r>
        <w:t>to the initial action</w:t>
      </w:r>
      <w:r w:rsidRPr="00C140CA">
        <w:t>, alleging defamation, business disparagement, tortious interference, and civil conspiracy.</w:t>
      </w:r>
      <w:r>
        <w:rPr>
          <w:rStyle w:val="FootnoteReference"/>
        </w:rPr>
        <w:footnoteReference w:id="77"/>
      </w:r>
      <w:r w:rsidRPr="00C140CA">
        <w:t xml:space="preserve"> </w:t>
      </w:r>
      <w:r>
        <w:t xml:space="preserve"> </w:t>
      </w:r>
      <w:r w:rsidRPr="00C140CA">
        <w:t>The co</w:t>
      </w:r>
      <w:r>
        <w:t xml:space="preserve">untersuit </w:t>
      </w:r>
      <w:r w:rsidRPr="00C140CA">
        <w:t>alleges that the private domestic entities, whose lawsuits allegedly are funded and influenced by the IEJF, have engaged in a coordinated smear campaign against ExxonMobil to undermine its advanced recycling initiatives and harm its business reputation.</w:t>
      </w:r>
      <w:r>
        <w:t xml:space="preserve">  It also </w:t>
      </w:r>
      <w:r w:rsidRPr="00C140CA">
        <w:t>accuses the IEJF, a subsidiary of the Australian billionaire</w:t>
      </w:r>
      <w:r w:rsidR="00F71C95">
        <w:t>’</w:t>
      </w:r>
      <w:r w:rsidRPr="00C140CA">
        <w:t>s Minderoo Foundation, of orchestrating this campaign to serve his</w:t>
      </w:r>
      <w:r>
        <w:t xml:space="preserve"> own</w:t>
      </w:r>
      <w:r w:rsidRPr="00C140CA">
        <w:t xml:space="preserve"> business interests. </w:t>
      </w:r>
      <w:r>
        <w:t xml:space="preserve"> </w:t>
      </w:r>
      <w:r w:rsidRPr="00C140CA">
        <w:t xml:space="preserve">According to the complaint, the IEJF hired the California law firm Cotchett, Pitre &amp; McCarthy to sue ExxonMobil and to recruit U.S.-based environmental nonprofits to serve as </w:t>
      </w:r>
      <w:r>
        <w:t xml:space="preserve">the named </w:t>
      </w:r>
      <w:r w:rsidRPr="00C140CA">
        <w:t xml:space="preserve">plaintiffs in the case and thus act as proxies for its agenda. </w:t>
      </w:r>
      <w:r>
        <w:t xml:space="preserve"> </w:t>
      </w:r>
      <w:r w:rsidR="0069755B">
        <w:t xml:space="preserve">The complaint further alleges that in an advisory opinion, </w:t>
      </w:r>
      <w:r w:rsidR="0069755B" w:rsidRPr="00C140CA">
        <w:t xml:space="preserve">the </w:t>
      </w:r>
      <w:r w:rsidR="0069755B">
        <w:t xml:space="preserve">DOJ FARA Unit concluded </w:t>
      </w:r>
      <w:r w:rsidR="0069755B" w:rsidRPr="00C140CA">
        <w:t xml:space="preserve">that </w:t>
      </w:r>
      <w:r w:rsidR="0069755B">
        <w:t xml:space="preserve">the </w:t>
      </w:r>
      <w:r w:rsidR="0069755B" w:rsidRPr="00C140CA">
        <w:t xml:space="preserve">Cotchett </w:t>
      </w:r>
      <w:r w:rsidR="0069755B">
        <w:t xml:space="preserve">firm </w:t>
      </w:r>
      <w:r w:rsidR="0069755B" w:rsidRPr="00C140CA">
        <w:t>was required to</w:t>
      </w:r>
      <w:r w:rsidR="0069755B">
        <w:t xml:space="preserve"> </w:t>
      </w:r>
      <w:hyperlink r:id="rId11" w:tgtFrame="_blank" w:history="1">
        <w:r w:rsidR="0069755B" w:rsidRPr="00C140CA">
          <w:t>register</w:t>
        </w:r>
      </w:hyperlink>
      <w:r w:rsidR="0069755B">
        <w:t xml:space="preserve"> </w:t>
      </w:r>
      <w:r w:rsidR="0069755B" w:rsidRPr="00C140CA">
        <w:t>as a</w:t>
      </w:r>
      <w:r w:rsidR="0069755B">
        <w:t xml:space="preserve"> </w:t>
      </w:r>
      <w:hyperlink r:id="rId12" w:tgtFrame="_blank" w:history="1">
        <w:r w:rsidR="0069755B" w:rsidRPr="00C140CA">
          <w:t>foreign agent</w:t>
        </w:r>
      </w:hyperlink>
      <w:r w:rsidR="0069755B">
        <w:t xml:space="preserve"> </w:t>
      </w:r>
      <w:r w:rsidR="0069755B" w:rsidRPr="00C140CA">
        <w:t xml:space="preserve">under FARA, </w:t>
      </w:r>
      <w:r w:rsidR="0069755B">
        <w:t xml:space="preserve">an action that </w:t>
      </w:r>
      <w:r w:rsidR="0069755B" w:rsidRPr="00C140CA">
        <w:t>ultimately revealed the foreign influence behind the lawsuit.</w:t>
      </w:r>
      <w:r w:rsidR="0069755B">
        <w:t xml:space="preserve">  Notably, IEJF</w:t>
      </w:r>
      <w:r w:rsidR="00F71C95">
        <w:t>’</w:t>
      </w:r>
      <w:r w:rsidR="0069755B">
        <w:t xml:space="preserve">s </w:t>
      </w:r>
      <w:r w:rsidR="0069755B" w:rsidRPr="006940D8">
        <w:t>involvement would not have been known but for the transparency that was required by complying with FARA.</w:t>
      </w:r>
    </w:p>
    <w:p w14:paraId="71DC6D6F" w14:textId="0ACDBEF9" w:rsidR="009A5B26" w:rsidRPr="0069755B" w:rsidRDefault="009A5B26" w:rsidP="0069755B">
      <w:pPr>
        <w:spacing w:before="240"/>
        <w:ind w:firstLine="720"/>
        <w:rPr>
          <w:lang w:val="x-none"/>
        </w:rPr>
      </w:pPr>
      <w:r>
        <w:t>I</w:t>
      </w:r>
      <w:r w:rsidRPr="00C140CA">
        <w:t>n this case, the IEJF</w:t>
      </w:r>
      <w:r w:rsidR="00F71C95">
        <w:t>’</w:t>
      </w:r>
      <w:r w:rsidRPr="00C140CA">
        <w:t xml:space="preserve">s funding of the suit against ExxonMobil raises significant concerns about the motivations </w:t>
      </w:r>
      <w:r>
        <w:t xml:space="preserve">underlying </w:t>
      </w:r>
      <w:r w:rsidRPr="00C140CA">
        <w:t xml:space="preserve">the litigation. </w:t>
      </w:r>
      <w:r>
        <w:t xml:space="preserve"> </w:t>
      </w:r>
      <w:r w:rsidRPr="00C140CA">
        <w:t>As ExxonMobil</w:t>
      </w:r>
      <w:r w:rsidR="00F71C95">
        <w:t>’</w:t>
      </w:r>
      <w:r w:rsidRPr="00C140CA">
        <w:t xml:space="preserve">s complaint points out, the IEJF is closely tied to </w:t>
      </w:r>
      <w:r>
        <w:t xml:space="preserve">the Australia-based </w:t>
      </w:r>
      <w:r w:rsidRPr="00C140CA">
        <w:t xml:space="preserve">Fortescue Energy, a company that directly competes with </w:t>
      </w:r>
      <w:r w:rsidRPr="00C140CA">
        <w:lastRenderedPageBreak/>
        <w:t>ExxonMobil in the hydrogen energy market.</w:t>
      </w:r>
      <w:r>
        <w:t xml:space="preserve"> </w:t>
      </w:r>
      <w:r w:rsidRPr="00C140CA">
        <w:t xml:space="preserve"> By funding litigation that could harm ExxonMobil</w:t>
      </w:r>
      <w:r w:rsidR="00F71C95">
        <w:t>’</w:t>
      </w:r>
      <w:r w:rsidRPr="00C140CA">
        <w:t>s business, the complaint alleges that IEJF is using the U.S. legal system as a tool for Fortescue Energy to gain a competitive advantage.</w:t>
      </w:r>
      <w:r>
        <w:t xml:space="preserve">  In addition, this example highlights how </w:t>
      </w:r>
      <w:r w:rsidRPr="00C140CA">
        <w:t>foreign</w:t>
      </w:r>
      <w:r>
        <w:t xml:space="preserve">-sourced </w:t>
      </w:r>
      <w:r w:rsidRPr="00C140CA">
        <w:t>TPLF can have significant economic and national security implications.</w:t>
      </w:r>
      <w:r>
        <w:t xml:space="preserve"> </w:t>
      </w:r>
      <w:r w:rsidRPr="00C140CA">
        <w:t xml:space="preserve"> If successful, the litigation against ExxonMobil could force the company to scale back its advanced recycling operations, disrupting supply chains, harming American workers, and increasing costs for American consumers. </w:t>
      </w:r>
      <w:r>
        <w:t xml:space="preserve"> </w:t>
      </w:r>
      <w:r w:rsidRPr="00C140CA">
        <w:t>Moreover, the case could set a dangerous precedent for other foreign entities to use TPLF to target U.S. companies in strategic industries, such as energy and technology.</w:t>
      </w:r>
      <w:r>
        <w:t xml:space="preserve">  </w:t>
      </w:r>
    </w:p>
    <w:p w14:paraId="305F36A8" w14:textId="4B7FA047" w:rsidR="009A5B26" w:rsidRDefault="009A5B26" w:rsidP="009A5B26">
      <w:pPr>
        <w:spacing w:before="240"/>
        <w:ind w:firstLine="720"/>
        <w:rPr>
          <w:lang w:val="x-none"/>
        </w:rPr>
      </w:pPr>
      <w:r>
        <w:t xml:space="preserve">In another example, </w:t>
      </w:r>
      <w:r w:rsidRPr="00D3303E">
        <w:t>Purplevine IP Operating Co., Ltd. (</w:t>
      </w:r>
      <w:r w:rsidR="00F71C95">
        <w:t>“</w:t>
      </w:r>
      <w:r w:rsidRPr="00D3303E">
        <w:t>Purplevine</w:t>
      </w:r>
      <w:r w:rsidR="00F71C95">
        <w:t>”</w:t>
      </w:r>
      <w:r w:rsidRPr="00D3303E">
        <w:t>), a China-based firm that mark</w:t>
      </w:r>
      <w:r w:rsidRPr="00A96E6C">
        <w:t>ets itself as a one-stop IP service provider, is financing at least four intellectual property lawsuits in U.S. courts against Samsung Electronics Co. and a related subsidiary.</w:t>
      </w:r>
      <w:r w:rsidRPr="00A96E6C">
        <w:rPr>
          <w:vertAlign w:val="superscript"/>
        </w:rPr>
        <w:footnoteReference w:id="78"/>
      </w:r>
      <w:r w:rsidRPr="00A96E6C">
        <w:t xml:space="preserve">  </w:t>
      </w:r>
      <w:r>
        <w:t xml:space="preserve">Despite the absence of broadly applicable TPLF disclosure requirements, </w:t>
      </w:r>
      <w:r w:rsidRPr="00A96E6C">
        <w:t>Purplevine</w:t>
      </w:r>
      <w:r w:rsidR="00F71C95">
        <w:t>’</w:t>
      </w:r>
      <w:r w:rsidRPr="00A96E6C">
        <w:t xml:space="preserve">s role </w:t>
      </w:r>
      <w:r>
        <w:t xml:space="preserve">in </w:t>
      </w:r>
      <w:r w:rsidRPr="00A96E6C">
        <w:t xml:space="preserve">the </w:t>
      </w:r>
      <w:r>
        <w:t xml:space="preserve">Samsung </w:t>
      </w:r>
      <w:r w:rsidRPr="00A96E6C">
        <w:t>litigation was involuntarily disclosed during litigation due to a</w:t>
      </w:r>
      <w:r>
        <w:t>n unusual</w:t>
      </w:r>
      <w:r w:rsidRPr="00A96E6C">
        <w:t xml:space="preserve"> standing order that the judge overseeing the case—Chief Judge Colm Connolly</w:t>
      </w:r>
      <w:r>
        <w:t xml:space="preserve"> of the U.S. District Court for the District of Delaware</w:t>
      </w:r>
      <w:r w:rsidRPr="00A96E6C">
        <w:t xml:space="preserve">—had </w:t>
      </w:r>
      <w:r>
        <w:t xml:space="preserve">instituted, which </w:t>
      </w:r>
      <w:r w:rsidRPr="00A96E6C">
        <w:t>requir</w:t>
      </w:r>
      <w:r>
        <w:t>ed</w:t>
      </w:r>
      <w:r w:rsidRPr="00A96E6C">
        <w:t xml:space="preserve"> certain basic </w:t>
      </w:r>
      <w:r>
        <w:t xml:space="preserve">disclosures about </w:t>
      </w:r>
      <w:r w:rsidRPr="00A96E6C">
        <w:t>TPLF</w:t>
      </w:r>
      <w:r>
        <w:t xml:space="preserve"> usage</w:t>
      </w:r>
      <w:r w:rsidRPr="00A96E6C">
        <w:t>.</w:t>
      </w:r>
      <w:r w:rsidRPr="00A96E6C">
        <w:rPr>
          <w:vertAlign w:val="superscript"/>
        </w:rPr>
        <w:footnoteReference w:id="79"/>
      </w:r>
      <w:r w:rsidRPr="00A96E6C">
        <w:t xml:space="preserve">  </w:t>
      </w:r>
      <w:r w:rsidRPr="00B47916">
        <w:t>Th</w:t>
      </w:r>
      <w:r>
        <w:t>at required</w:t>
      </w:r>
      <w:r w:rsidRPr="00B47916">
        <w:t xml:space="preserve"> disclosure, </w:t>
      </w:r>
      <w:r>
        <w:t xml:space="preserve">plus follow-up inquiries and </w:t>
      </w:r>
      <w:r w:rsidRPr="00B47916">
        <w:t xml:space="preserve">facts </w:t>
      </w:r>
      <w:r>
        <w:t xml:space="preserve">that emerged </w:t>
      </w:r>
      <w:r w:rsidRPr="00B47916">
        <w:t>at trial</w:t>
      </w:r>
      <w:r>
        <w:t>,</w:t>
      </w:r>
      <w:r w:rsidRPr="00B47916">
        <w:t xml:space="preserve"> revealed a tangled relationship between </w:t>
      </w:r>
      <w:r>
        <w:t>Purplevine</w:t>
      </w:r>
      <w:r w:rsidRPr="00B47916">
        <w:t xml:space="preserve"> and the patent claims at issue and suggest</w:t>
      </w:r>
      <w:r>
        <w:t>ed</w:t>
      </w:r>
      <w:r w:rsidRPr="00B47916">
        <w:t xml:space="preserve"> that Purplevine may have received and relied upon privileged, confidential and highly sensitive information in bankrolling Staton Techiya, LLC</w:t>
      </w:r>
      <w:r w:rsidR="00F71C95">
        <w:t>’</w:t>
      </w:r>
      <w:r w:rsidRPr="00B47916">
        <w:t>s patent infringement claims against Samsung</w:t>
      </w:r>
      <w:r w:rsidRPr="00A96E6C">
        <w:t>.</w:t>
      </w:r>
      <w:r>
        <w:rPr>
          <w:rStyle w:val="FootnoteReference"/>
        </w:rPr>
        <w:footnoteReference w:id="80"/>
      </w:r>
      <w:r>
        <w:t xml:space="preserve">  </w:t>
      </w:r>
      <w:r w:rsidRPr="00A96E6C">
        <w:t xml:space="preserve">Although the patent technology at issue related to sound systems and </w:t>
      </w:r>
      <w:r>
        <w:t xml:space="preserve">thus </w:t>
      </w:r>
      <w:r w:rsidRPr="00A96E6C">
        <w:t>did not directly implicate national security concerns per se,</w:t>
      </w:r>
      <w:r w:rsidRPr="00A96E6C">
        <w:rPr>
          <w:vertAlign w:val="superscript"/>
        </w:rPr>
        <w:footnoteReference w:id="81"/>
      </w:r>
      <w:r w:rsidRPr="00A96E6C">
        <w:t xml:space="preserve"> the alleged misappropriation of discovery and other confidential litigation materials in the case illustrates the kind of misconduct th</w:t>
      </w:r>
      <w:r w:rsidRPr="00D84948">
        <w:t>at could unfold when a foreign entity chooses to fund litigation involving sensitive technology (e.g., semiconductors) critical to U.S. national security.</w:t>
      </w:r>
    </w:p>
    <w:p w14:paraId="273FB7D4" w14:textId="40C4FF08" w:rsidR="009A5B26" w:rsidRDefault="009A5B26" w:rsidP="00577C65">
      <w:pPr>
        <w:spacing w:before="240"/>
        <w:ind w:firstLine="720"/>
        <w:rPr>
          <w:rFonts w:eastAsia="Times New Roman"/>
        </w:rPr>
      </w:pPr>
      <w:r w:rsidRPr="00FF2055">
        <w:t xml:space="preserve">Finally, </w:t>
      </w:r>
      <w:r w:rsidRPr="00FF2055">
        <w:rPr>
          <w:lang w:val="x-none"/>
        </w:rPr>
        <w:t xml:space="preserve">the </w:t>
      </w:r>
      <w:r w:rsidRPr="00FF2055">
        <w:rPr>
          <w:i/>
          <w:iCs/>
          <w:lang w:val="x-none"/>
        </w:rPr>
        <w:t xml:space="preserve">New York Post </w:t>
      </w:r>
      <w:r w:rsidRPr="00FF2055">
        <w:rPr>
          <w:lang w:val="x-none"/>
        </w:rPr>
        <w:t>recently reported that members of the international gang MS-13 hav</w:t>
      </w:r>
      <w:r>
        <w:rPr>
          <w:lang w:val="x-none"/>
        </w:rPr>
        <w:t xml:space="preserve">e been working with Russian gangsters to orchestrate fraudulent personal-injury lawsuits </w:t>
      </w:r>
      <w:r>
        <w:rPr>
          <w:lang w:val="x-none"/>
        </w:rPr>
        <w:lastRenderedPageBreak/>
        <w:t>in U.S. courts.</w:t>
      </w:r>
      <w:r>
        <w:rPr>
          <w:rStyle w:val="FootnoteReference"/>
          <w:lang w:val="x-none"/>
        </w:rPr>
        <w:footnoteReference w:id="82"/>
      </w:r>
      <w:r>
        <w:rPr>
          <w:lang w:val="x-none"/>
        </w:rPr>
        <w:t xml:space="preserve">  According to that article, MS-13 members have been recruiting plaintiffs</w:t>
      </w:r>
      <w:r>
        <w:t>—</w:t>
      </w:r>
      <w:r>
        <w:rPr>
          <w:lang w:val="x-none"/>
        </w:rPr>
        <w:t>often undocumented Hispanic migrants</w:t>
      </w:r>
      <w:r>
        <w:t>—</w:t>
      </w:r>
      <w:r>
        <w:rPr>
          <w:lang w:val="x-none"/>
        </w:rPr>
        <w:t xml:space="preserve">to fake workplace injuries.  Reportedly, some of these plaintiffs come to the United States for the sole purpose of serving as plaintiffs in these lawsuits.  Those plaintiffs are then subjected to unnecessary surgeries performed by surgeons involved in the conspiracy, all to create damages and place settlement pressure on defendants.  </w:t>
      </w:r>
      <w:r w:rsidR="00DD0237">
        <w:rPr>
          <w:lang w:val="x-none"/>
        </w:rPr>
        <w:t xml:space="preserve">The </w:t>
      </w:r>
      <w:r>
        <w:rPr>
          <w:lang w:val="x-none"/>
        </w:rPr>
        <w:t>Russian g</w:t>
      </w:r>
      <w:r w:rsidR="00DD0237">
        <w:rPr>
          <w:lang w:val="x-none"/>
        </w:rPr>
        <w:t>roups</w:t>
      </w:r>
      <w:r>
        <w:rPr>
          <w:lang w:val="x-none"/>
        </w:rPr>
        <w:t xml:space="preserve"> are suspected of running litigation lending firms that finance those fraudulent lawsuits.  The lawsuits have generated lucrative settlements, often over $1 million each, the bulk of which ends up in the hands of the MS-13 operatives and Russian gangsters</w:t>
      </w:r>
      <w:r w:rsidR="005B6E6C">
        <w:rPr>
          <w:lang w:val="x-none"/>
        </w:rPr>
        <w:t>.</w:t>
      </w:r>
      <w:r>
        <w:rPr>
          <w:lang w:val="x-none"/>
        </w:rPr>
        <w:t xml:space="preserve"> Such activity creates threats to national security and the U.S. economy.</w:t>
      </w:r>
      <w:r w:rsidRPr="00D84948">
        <w:rPr>
          <w:rStyle w:val="FootnoteReference"/>
        </w:rPr>
        <w:footnoteReference w:id="83"/>
      </w:r>
      <w:r w:rsidR="00577C65">
        <w:rPr>
          <w:lang w:val="x-none"/>
        </w:rPr>
        <w:t xml:space="preserve">  </w:t>
      </w:r>
      <w:r w:rsidRPr="00471E2D">
        <w:rPr>
          <w:color w:val="2A2C30"/>
        </w:rPr>
        <w:t>In short, it is clear that foreign actors, including those with ties to regimes that are hostile to the United States, are using TPLF for various purposes</w:t>
      </w:r>
      <w:r>
        <w:rPr>
          <w:color w:val="2A2C30"/>
        </w:rPr>
        <w:t>.  D</w:t>
      </w:r>
      <w:r w:rsidRPr="00471E2D">
        <w:rPr>
          <w:color w:val="2A2C30"/>
        </w:rPr>
        <w:t xml:space="preserve">isclosure of these arrangements is </w:t>
      </w:r>
      <w:r w:rsidR="00E92595">
        <w:rPr>
          <w:color w:val="2A2C30"/>
        </w:rPr>
        <w:t xml:space="preserve">thus critical to </w:t>
      </w:r>
      <w:r w:rsidR="00044F07">
        <w:rPr>
          <w:color w:val="2A2C30"/>
        </w:rPr>
        <w:t xml:space="preserve">preserving our </w:t>
      </w:r>
      <w:r w:rsidRPr="00471E2D">
        <w:rPr>
          <w:color w:val="2A2C30"/>
        </w:rPr>
        <w:t>national security.</w:t>
      </w:r>
    </w:p>
    <w:p w14:paraId="769C18E7" w14:textId="77777777" w:rsidR="00C04FB9" w:rsidRPr="00C04FB9" w:rsidRDefault="00C04FB9" w:rsidP="00C04FB9">
      <w:pPr>
        <w:pStyle w:val="Heading1"/>
        <w:numPr>
          <w:ilvl w:val="0"/>
          <w:numId w:val="35"/>
        </w:numPr>
        <w:tabs>
          <w:tab w:val="num" w:pos="360"/>
        </w:tabs>
        <w:spacing w:before="100" w:beforeAutospacing="1" w:after="240"/>
        <w:ind w:left="0" w:firstLine="0"/>
        <w:rPr>
          <w:rFonts w:ascii="Times New Roman" w:hAnsi="Times New Roman" w:cs="Times New Roman"/>
          <w:sz w:val="24"/>
          <w:szCs w:val="24"/>
          <w:u w:val="single"/>
        </w:rPr>
      </w:pPr>
      <w:r w:rsidRPr="00C04FB9">
        <w:rPr>
          <w:rFonts w:ascii="Times New Roman" w:hAnsi="Times New Roman" w:cs="Times New Roman"/>
          <w:color w:val="auto"/>
          <w:sz w:val="24"/>
          <w:szCs w:val="24"/>
          <w:u w:val="single"/>
        </w:rPr>
        <w:t xml:space="preserve">Suggested Revisions To Proposed </w:t>
      </w:r>
      <w:r w:rsidRPr="00C04FB9">
        <w:rPr>
          <w:rFonts w:eastAsia="Times New Roman"/>
          <w:color w:val="auto"/>
          <w:sz w:val="24"/>
          <w:szCs w:val="24"/>
          <w:u w:val="single"/>
        </w:rPr>
        <w:t>Rule</w:t>
      </w:r>
      <w:r w:rsidRPr="00C04FB9">
        <w:rPr>
          <w:rFonts w:ascii="Times New Roman" w:hAnsi="Times New Roman" w:cs="Times New Roman"/>
          <w:color w:val="auto"/>
          <w:sz w:val="24"/>
          <w:szCs w:val="24"/>
          <w:u w:val="single"/>
        </w:rPr>
        <w:t xml:space="preserve"> 8(j)</w:t>
      </w:r>
    </w:p>
    <w:p w14:paraId="5D744F9A" w14:textId="3DCEB57F" w:rsidR="00C04FB9" w:rsidRPr="003566EC" w:rsidRDefault="00EC0254" w:rsidP="00C04FB9">
      <w:pPr>
        <w:ind w:firstLine="720"/>
        <w:rPr>
          <w:rFonts w:ascii="Times New Roman" w:hAnsi="Times New Roman" w:cs="Times New Roman"/>
        </w:rPr>
      </w:pPr>
      <w:r>
        <w:rPr>
          <w:rFonts w:ascii="Times New Roman" w:hAnsi="Times New Roman" w:cs="Times New Roman"/>
        </w:rPr>
        <w:t>W</w:t>
      </w:r>
      <w:r w:rsidR="00B977A4">
        <w:rPr>
          <w:rFonts w:ascii="Times New Roman" w:hAnsi="Times New Roman" w:cs="Times New Roman"/>
        </w:rPr>
        <w:t xml:space="preserve">e appreciate </w:t>
      </w:r>
      <w:r w:rsidR="00EB1F50">
        <w:rPr>
          <w:rFonts w:ascii="Times New Roman" w:hAnsi="Times New Roman" w:cs="Times New Roman"/>
        </w:rPr>
        <w:t>the recognition o</w:t>
      </w:r>
      <w:r w:rsidR="00770274">
        <w:rPr>
          <w:rFonts w:ascii="Times New Roman" w:hAnsi="Times New Roman" w:cs="Times New Roman"/>
        </w:rPr>
        <w:t>f the need for TPLF transparency in Arizona courts</w:t>
      </w:r>
      <w:r w:rsidR="00CA16A8">
        <w:rPr>
          <w:rFonts w:ascii="Times New Roman" w:hAnsi="Times New Roman" w:cs="Times New Roman"/>
        </w:rPr>
        <w:t xml:space="preserve"> and </w:t>
      </w:r>
      <w:r w:rsidR="00C04FB9">
        <w:rPr>
          <w:rFonts w:ascii="Times New Roman" w:hAnsi="Times New Roman" w:cs="Times New Roman"/>
        </w:rPr>
        <w:t>believe that two revisions are necessary to effectuate the amendment</w:t>
      </w:r>
      <w:r w:rsidR="00F71C95">
        <w:rPr>
          <w:rFonts w:ascii="Times New Roman" w:hAnsi="Times New Roman" w:cs="Times New Roman"/>
        </w:rPr>
        <w:t>’</w:t>
      </w:r>
      <w:r w:rsidR="00C04FB9">
        <w:rPr>
          <w:rFonts w:ascii="Times New Roman" w:hAnsi="Times New Roman" w:cs="Times New Roman"/>
        </w:rPr>
        <w:t xml:space="preserve">s purpose of increasing </w:t>
      </w:r>
      <w:r w:rsidR="00C36E28">
        <w:rPr>
          <w:rFonts w:ascii="Times New Roman" w:hAnsi="Times New Roman" w:cs="Times New Roman"/>
        </w:rPr>
        <w:t xml:space="preserve">TPLF </w:t>
      </w:r>
      <w:r w:rsidR="00C04FB9">
        <w:rPr>
          <w:rFonts w:ascii="Times New Roman" w:hAnsi="Times New Roman" w:cs="Times New Roman"/>
        </w:rPr>
        <w:t xml:space="preserve">transparency.  </w:t>
      </w:r>
    </w:p>
    <w:p w14:paraId="521EA02F" w14:textId="03100673" w:rsidR="00C04FB9" w:rsidRPr="003566EC" w:rsidRDefault="00C04FB9" w:rsidP="00C04FB9">
      <w:pPr>
        <w:pStyle w:val="Heading1"/>
        <w:numPr>
          <w:ilvl w:val="1"/>
          <w:numId w:val="35"/>
        </w:numPr>
        <w:tabs>
          <w:tab w:val="num" w:pos="360"/>
        </w:tabs>
        <w:spacing w:before="100" w:beforeAutospacing="1" w:after="100" w:afterAutospacing="1"/>
        <w:rPr>
          <w:rFonts w:ascii="Times New Roman" w:hAnsi="Times New Roman" w:cs="Times New Roman"/>
          <w:b w:val="0"/>
          <w:bCs w:val="0"/>
        </w:rPr>
      </w:pPr>
      <w:r w:rsidRPr="00C04FB9">
        <w:rPr>
          <w:rFonts w:eastAsia="Times New Roman"/>
          <w:b w:val="0"/>
          <w:bCs w:val="0"/>
          <w:color w:val="000000" w:themeColor="text1"/>
          <w:sz w:val="24"/>
          <w:szCs w:val="24"/>
          <w:u w:val="single"/>
        </w:rPr>
        <w:t>Suggested Revisions To Rule 8(j)(2)(A)</w:t>
      </w:r>
      <w:r w:rsidR="00F71C95">
        <w:rPr>
          <w:rFonts w:eastAsia="Times New Roman"/>
          <w:b w:val="0"/>
          <w:bCs w:val="0"/>
          <w:color w:val="000000" w:themeColor="text1"/>
          <w:sz w:val="24"/>
          <w:szCs w:val="24"/>
          <w:u w:val="single"/>
        </w:rPr>
        <w:t>’</w:t>
      </w:r>
      <w:r w:rsidRPr="00C04FB9">
        <w:rPr>
          <w:rFonts w:eastAsia="Times New Roman"/>
          <w:b w:val="0"/>
          <w:bCs w:val="0"/>
          <w:color w:val="000000" w:themeColor="text1"/>
          <w:sz w:val="24"/>
          <w:szCs w:val="24"/>
          <w:u w:val="single"/>
        </w:rPr>
        <w:t>s Exclusion Of Loans From Disclosure Requirement</w:t>
      </w:r>
    </w:p>
    <w:p w14:paraId="7BF411B9" w14:textId="0644B1E8" w:rsidR="00C04FB9" w:rsidRDefault="00C04FB9" w:rsidP="00C04FB9">
      <w:pPr>
        <w:ind w:firstLine="720"/>
        <w:rPr>
          <w:rFonts w:ascii="Times New Roman" w:hAnsi="Times New Roman" w:cs="Times New Roman"/>
        </w:rPr>
      </w:pPr>
      <w:r>
        <w:rPr>
          <w:rFonts w:ascii="Times New Roman" w:hAnsi="Times New Roman" w:cs="Times New Roman"/>
        </w:rPr>
        <w:t>For the most part, we agree with the proposed Rule</w:t>
      </w:r>
      <w:r w:rsidR="00F71C95">
        <w:rPr>
          <w:rFonts w:ascii="Times New Roman" w:hAnsi="Times New Roman" w:cs="Times New Roman"/>
        </w:rPr>
        <w:t>’</w:t>
      </w:r>
      <w:r>
        <w:rPr>
          <w:rFonts w:ascii="Times New Roman" w:hAnsi="Times New Roman" w:cs="Times New Roman"/>
        </w:rPr>
        <w:t xml:space="preserve">s exclusion from the disclosure requirement </w:t>
      </w:r>
      <w:r w:rsidR="0066034D">
        <w:rPr>
          <w:rFonts w:ascii="Times New Roman" w:hAnsi="Times New Roman" w:cs="Times New Roman"/>
        </w:rPr>
        <w:t xml:space="preserve">of </w:t>
      </w:r>
      <w:r w:rsidR="00F71C95">
        <w:rPr>
          <w:rFonts w:ascii="Times New Roman" w:hAnsi="Times New Roman" w:cs="Times New Roman"/>
        </w:rPr>
        <w:t>“</w:t>
      </w:r>
      <w:r>
        <w:rPr>
          <w:rFonts w:ascii="Times New Roman" w:hAnsi="Times New Roman" w:cs="Times New Roman"/>
        </w:rPr>
        <w:t>loans . . . that require repayment regardless of the outcome of the litigation.</w:t>
      </w:r>
      <w:r w:rsidR="00F71C95">
        <w:rPr>
          <w:rFonts w:ascii="Times New Roman" w:hAnsi="Times New Roman" w:cs="Times New Roman"/>
        </w:rPr>
        <w:t>”</w:t>
      </w:r>
      <w:r>
        <w:rPr>
          <w:rFonts w:ascii="Times New Roman" w:hAnsi="Times New Roman" w:cs="Times New Roman"/>
        </w:rPr>
        <w:t xml:space="preserve">  </w:t>
      </w:r>
      <w:r w:rsidRPr="00A468D9">
        <w:rPr>
          <w:rFonts w:ascii="Times New Roman" w:hAnsi="Times New Roman" w:cs="Times New Roman"/>
          <w:i/>
          <w:iCs/>
        </w:rPr>
        <w:t>See</w:t>
      </w:r>
      <w:r w:rsidRPr="00A468D9">
        <w:rPr>
          <w:rFonts w:ascii="Times New Roman" w:hAnsi="Times New Roman" w:cs="Times New Roman"/>
        </w:rPr>
        <w:t xml:space="preserve"> proposed Rule 8(j)(2)(A).</w:t>
      </w:r>
      <w:r>
        <w:rPr>
          <w:rFonts w:ascii="Times New Roman" w:hAnsi="Times New Roman" w:cs="Times New Roman"/>
        </w:rPr>
        <w:t xml:space="preserve">  Law firms often use market rate (that is, standard interest) credit lines to pay their bills for day-to-day litigation costs on pending matters.  In those instances, banks or other financial institutions are simply lending the law firms money (much as they do with other businesses), having no intention of investing in or receiving a direct return from any </w:t>
      </w:r>
      <w:r>
        <w:rPr>
          <w:rFonts w:ascii="Times New Roman" w:hAnsi="Times New Roman" w:cs="Times New Roman"/>
        </w:rPr>
        <w:lastRenderedPageBreak/>
        <w:t>specific litigation matters.  Disclosure of such arrangements would serve no purpose, as the lenders are not playing any meaningful role in the lawsuits.</w:t>
      </w:r>
    </w:p>
    <w:p w14:paraId="3262EDE5" w14:textId="77777777" w:rsidR="00090D0C" w:rsidRDefault="00090D0C" w:rsidP="00C04FB9">
      <w:pPr>
        <w:ind w:firstLine="720"/>
        <w:rPr>
          <w:rFonts w:ascii="Times New Roman" w:hAnsi="Times New Roman" w:cs="Times New Roman"/>
        </w:rPr>
      </w:pPr>
    </w:p>
    <w:p w14:paraId="5D58E090" w14:textId="35A5849B" w:rsidR="00C04FB9" w:rsidRDefault="00C04FB9" w:rsidP="00C04FB9">
      <w:pPr>
        <w:ind w:firstLine="720"/>
        <w:rPr>
          <w:rFonts w:ascii="Times New Roman" w:hAnsi="Times New Roman" w:cs="Times New Roman"/>
        </w:rPr>
      </w:pPr>
      <w:r>
        <w:rPr>
          <w:rFonts w:ascii="Times New Roman" w:hAnsi="Times New Roman" w:cs="Times New Roman"/>
        </w:rPr>
        <w:t xml:space="preserve">The proposed </w:t>
      </w:r>
      <w:r w:rsidR="00D308E4">
        <w:rPr>
          <w:rFonts w:ascii="Times New Roman" w:hAnsi="Times New Roman" w:cs="Times New Roman"/>
        </w:rPr>
        <w:t xml:space="preserve">exception </w:t>
      </w:r>
      <w:r>
        <w:rPr>
          <w:rFonts w:ascii="Times New Roman" w:hAnsi="Times New Roman" w:cs="Times New Roman"/>
        </w:rPr>
        <w:t>language in Rule 8(j)(2)(A), however, sweeps too broadly and would allow non-disclosure of considerable TPLF activity, defeating the fundamental purpose of the Rule.  That is because in recent years, TPLF entities have begun financing litigation by agreeing to provide law firms with loans bearing a high interest rate (often in the 25% per annum range) in exchange for receiving collateralized interests in the attorney fees the firm will receive from the litigation matters specified in the arrangement.</w:t>
      </w:r>
      <w:r>
        <w:rPr>
          <w:rStyle w:val="FootnoteReference"/>
          <w:rFonts w:ascii="Times New Roman" w:hAnsi="Times New Roman" w:cs="Times New Roman"/>
        </w:rPr>
        <w:footnoteReference w:id="84"/>
      </w:r>
      <w:r>
        <w:rPr>
          <w:rFonts w:ascii="Times New Roman" w:hAnsi="Times New Roman" w:cs="Times New Roman"/>
        </w:rPr>
        <w:t xml:space="preserve">  In short, rather than taking a potentially very profitable non-recourse interest in a lawsuit, the TPLF entities are now often obtaining their </w:t>
      </w:r>
      <w:r w:rsidR="009807CF">
        <w:rPr>
          <w:rFonts w:ascii="Times New Roman" w:hAnsi="Times New Roman" w:cs="Times New Roman"/>
        </w:rPr>
        <w:t xml:space="preserve">very substantial </w:t>
      </w:r>
      <w:r>
        <w:rPr>
          <w:rFonts w:ascii="Times New Roman" w:hAnsi="Times New Roman" w:cs="Times New Roman"/>
        </w:rPr>
        <w:t>profit</w:t>
      </w:r>
      <w:r w:rsidR="009807CF">
        <w:rPr>
          <w:rFonts w:ascii="Times New Roman" w:hAnsi="Times New Roman" w:cs="Times New Roman"/>
        </w:rPr>
        <w:t>s</w:t>
      </w:r>
      <w:r>
        <w:rPr>
          <w:rFonts w:ascii="Times New Roman" w:hAnsi="Times New Roman" w:cs="Times New Roman"/>
        </w:rPr>
        <w:t xml:space="preserve"> from TPLF activity th</w:t>
      </w:r>
      <w:r w:rsidR="00365B0D">
        <w:rPr>
          <w:rFonts w:ascii="Times New Roman" w:hAnsi="Times New Roman" w:cs="Times New Roman"/>
        </w:rPr>
        <w:t>r</w:t>
      </w:r>
      <w:r>
        <w:rPr>
          <w:rFonts w:ascii="Times New Roman" w:hAnsi="Times New Roman" w:cs="Times New Roman"/>
        </w:rPr>
        <w:t xml:space="preserve">ough sizable interest payments on </w:t>
      </w:r>
      <w:r w:rsidR="00365B0D">
        <w:rPr>
          <w:rFonts w:ascii="Times New Roman" w:hAnsi="Times New Roman" w:cs="Times New Roman"/>
        </w:rPr>
        <w:t>large</w:t>
      </w:r>
      <w:r>
        <w:rPr>
          <w:rFonts w:ascii="Times New Roman" w:hAnsi="Times New Roman" w:cs="Times New Roman"/>
        </w:rPr>
        <w:t xml:space="preserve"> loans (sometimes involving millions of dollars, particularly in the mass tort context).</w:t>
      </w:r>
      <w:r>
        <w:rPr>
          <w:rStyle w:val="FootnoteReference"/>
          <w:rFonts w:ascii="Times New Roman" w:hAnsi="Times New Roman" w:cs="Times New Roman"/>
        </w:rPr>
        <w:footnoteReference w:id="85"/>
      </w:r>
      <w:r>
        <w:rPr>
          <w:rFonts w:ascii="Times New Roman" w:hAnsi="Times New Roman" w:cs="Times New Roman"/>
        </w:rPr>
        <w:t xml:space="preserve">  </w:t>
      </w:r>
      <w:r w:rsidR="00FE02A2">
        <w:rPr>
          <w:rFonts w:ascii="Times New Roman" w:hAnsi="Times New Roman" w:cs="Times New Roman"/>
        </w:rPr>
        <w:t xml:space="preserve">These loans </w:t>
      </w:r>
      <w:r w:rsidR="003110DF">
        <w:rPr>
          <w:rFonts w:ascii="Times New Roman" w:hAnsi="Times New Roman" w:cs="Times New Roman"/>
        </w:rPr>
        <w:t xml:space="preserve">may cover the hundreds of cases that a firm has in a particular mass tort proceeding (e.g., the </w:t>
      </w:r>
      <w:r w:rsidR="00880CF7" w:rsidRPr="000E2372">
        <w:t xml:space="preserve">3M Combat Arms Earplug </w:t>
      </w:r>
      <w:r w:rsidR="003110DF">
        <w:rPr>
          <w:rFonts w:ascii="Times New Roman" w:hAnsi="Times New Roman" w:cs="Times New Roman"/>
        </w:rPr>
        <w:t>matter discussed previously</w:t>
      </w:r>
      <w:r w:rsidR="00BA6E32">
        <w:rPr>
          <w:rFonts w:ascii="Times New Roman" w:hAnsi="Times New Roman" w:cs="Times New Roman"/>
        </w:rPr>
        <w:t xml:space="preserve">).  Alternatively, these may be </w:t>
      </w:r>
      <w:r w:rsidR="00F71C95">
        <w:rPr>
          <w:rFonts w:ascii="Times New Roman" w:hAnsi="Times New Roman" w:cs="Times New Roman"/>
        </w:rPr>
        <w:t>“</w:t>
      </w:r>
      <w:r w:rsidR="00BA6E32">
        <w:rPr>
          <w:rFonts w:ascii="Times New Roman" w:hAnsi="Times New Roman" w:cs="Times New Roman"/>
        </w:rPr>
        <w:t>portfolio</w:t>
      </w:r>
      <w:r w:rsidR="00F71C95">
        <w:rPr>
          <w:rFonts w:ascii="Times New Roman" w:hAnsi="Times New Roman" w:cs="Times New Roman"/>
        </w:rPr>
        <w:t>”</w:t>
      </w:r>
      <w:r w:rsidR="00BA6E32">
        <w:rPr>
          <w:rFonts w:ascii="Times New Roman" w:hAnsi="Times New Roman" w:cs="Times New Roman"/>
        </w:rPr>
        <w:t xml:space="preserve"> loans, covering all or most of the cases a law firm has pending in a variety of controversies.  </w:t>
      </w:r>
      <w:r>
        <w:rPr>
          <w:rFonts w:ascii="Times New Roman" w:hAnsi="Times New Roman" w:cs="Times New Roman"/>
        </w:rPr>
        <w:t>Ensuring disclosure of such arrangements is critical because the size of and interest rates for such loans give the TPLF entities considerable leverage over the borrowing law firm.</w:t>
      </w:r>
      <w:r>
        <w:rPr>
          <w:rStyle w:val="FootnoteReference"/>
          <w:rFonts w:ascii="Times New Roman" w:hAnsi="Times New Roman" w:cs="Times New Roman"/>
        </w:rPr>
        <w:footnoteReference w:id="86"/>
      </w:r>
      <w:r>
        <w:rPr>
          <w:rFonts w:ascii="Times New Roman" w:hAnsi="Times New Roman" w:cs="Times New Roman"/>
        </w:rPr>
        <w:t xml:space="preserve">  For example, depending on the terms of the arrangement, the lender could call the loan (that is, demand immediate repayment) or decline to provide additional money needed to litigate.  Alternatively, if the litigation is taking longer than expected to conclude, the TPLF entity could refuse to grant extensions on repayment obligations.  The TPLF entity could use such leverage to dictate, among other things, the timing and amounts of settlements, all to serve its own interests (not those of the plaintiffs on whose behalf the litigation was filed in the first place).  For the reasons outlined above, the court and other parties need to know if an undisclosed party is essentially controlling or strongly influencing the conduct of the litigation (or can exert the power to do so).  </w:t>
      </w:r>
    </w:p>
    <w:p w14:paraId="0100E84C" w14:textId="77777777" w:rsidR="00090D0C" w:rsidRDefault="00090D0C" w:rsidP="00C04FB9">
      <w:pPr>
        <w:ind w:firstLine="720"/>
        <w:rPr>
          <w:rFonts w:ascii="Times New Roman" w:hAnsi="Times New Roman" w:cs="Times New Roman"/>
        </w:rPr>
      </w:pPr>
    </w:p>
    <w:p w14:paraId="35ABE5FB" w14:textId="7827F14B" w:rsidR="00C04FB9" w:rsidRPr="004724B3" w:rsidRDefault="00C04FB9" w:rsidP="00C04FB9">
      <w:pPr>
        <w:ind w:firstLine="720"/>
        <w:rPr>
          <w:rFonts w:ascii="Times New Roman" w:hAnsi="Times New Roman" w:cs="Times New Roman"/>
        </w:rPr>
      </w:pPr>
      <w:r>
        <w:rPr>
          <w:rFonts w:ascii="Times New Roman" w:hAnsi="Times New Roman" w:cs="Times New Roman"/>
        </w:rPr>
        <w:t xml:space="preserve">With all of the foregoing in mind, we suggest that section (j)(2)(A) of the proposed rule be revised to state that the definition of </w:t>
      </w:r>
      <w:r w:rsidR="00F71C95">
        <w:rPr>
          <w:rFonts w:ascii="Times New Roman" w:hAnsi="Times New Roman" w:cs="Times New Roman"/>
        </w:rPr>
        <w:t>“</w:t>
      </w:r>
      <w:r>
        <w:rPr>
          <w:rFonts w:ascii="Times New Roman" w:hAnsi="Times New Roman" w:cs="Times New Roman"/>
        </w:rPr>
        <w:t>Third Party Litigation Funding Agreement</w:t>
      </w:r>
      <w:r w:rsidR="00F71C95">
        <w:rPr>
          <w:rFonts w:ascii="Times New Roman" w:hAnsi="Times New Roman" w:cs="Times New Roman"/>
        </w:rPr>
        <w:t>”</w:t>
      </w:r>
      <w:r>
        <w:rPr>
          <w:rFonts w:ascii="Times New Roman" w:hAnsi="Times New Roman" w:cs="Times New Roman"/>
        </w:rPr>
        <w:t xml:space="preserve"> does not include </w:t>
      </w:r>
      <w:r w:rsidR="00F71C95">
        <w:rPr>
          <w:rFonts w:ascii="Times New Roman" w:hAnsi="Times New Roman" w:cs="Times New Roman"/>
        </w:rPr>
        <w:t>“</w:t>
      </w:r>
      <w:r>
        <w:rPr>
          <w:rFonts w:ascii="Times New Roman" w:hAnsi="Times New Roman" w:cs="Times New Roman"/>
        </w:rPr>
        <w:t xml:space="preserve">a loan, agreement, contract, or arrangement to pay expenses that requires repayment regardless of the outcome of the litigation, </w:t>
      </w:r>
      <w:r w:rsidRPr="000360D9">
        <w:rPr>
          <w:rFonts w:ascii="Times New Roman" w:hAnsi="Times New Roman" w:cs="Times New Roman"/>
          <w:i/>
          <w:iCs/>
        </w:rPr>
        <w:t>unless the repayment amount includes an interest rate in excess of the greater of (i) 7 percent or (ii) a rate equal to twice the annual average yield on 30-year United States Treasury securities</w:t>
      </w:r>
      <w:r>
        <w:rPr>
          <w:rFonts w:ascii="Times New Roman" w:hAnsi="Times New Roman" w:cs="Times New Roman"/>
        </w:rPr>
        <w:t>.</w:t>
      </w:r>
      <w:r w:rsidR="00F71C95">
        <w:rPr>
          <w:rFonts w:ascii="Times New Roman" w:hAnsi="Times New Roman" w:cs="Times New Roman"/>
        </w:rPr>
        <w:t>”</w:t>
      </w:r>
    </w:p>
    <w:p w14:paraId="1EA296B7" w14:textId="01387B7F" w:rsidR="00C04FB9" w:rsidRPr="003F169C" w:rsidRDefault="00C04FB9" w:rsidP="00C04FB9">
      <w:pPr>
        <w:pStyle w:val="Heading1"/>
        <w:numPr>
          <w:ilvl w:val="1"/>
          <w:numId w:val="35"/>
        </w:numPr>
        <w:tabs>
          <w:tab w:val="num" w:pos="360"/>
        </w:tabs>
        <w:spacing w:before="100" w:beforeAutospacing="1" w:after="100" w:afterAutospacing="1"/>
        <w:rPr>
          <w:rFonts w:asciiTheme="minorHAnsi" w:hAnsiTheme="minorHAnsi" w:cstheme="minorBidi"/>
          <w:b w:val="0"/>
          <w:bCs w:val="0"/>
        </w:rPr>
      </w:pPr>
      <w:r w:rsidRPr="00C04FB9">
        <w:rPr>
          <w:rFonts w:eastAsia="Times New Roman"/>
          <w:b w:val="0"/>
          <w:bCs w:val="0"/>
          <w:color w:val="000000" w:themeColor="text1"/>
          <w:sz w:val="24"/>
          <w:szCs w:val="24"/>
          <w:u w:val="single"/>
        </w:rPr>
        <w:lastRenderedPageBreak/>
        <w:t>Suggested Revisions To Rule 8(j)(4)</w:t>
      </w:r>
      <w:r w:rsidR="00F71C95">
        <w:rPr>
          <w:rFonts w:eastAsia="Times New Roman"/>
          <w:b w:val="0"/>
          <w:bCs w:val="0"/>
          <w:color w:val="000000" w:themeColor="text1"/>
          <w:sz w:val="24"/>
          <w:szCs w:val="24"/>
          <w:u w:val="single"/>
        </w:rPr>
        <w:t>’</w:t>
      </w:r>
      <w:r w:rsidRPr="00C04FB9">
        <w:rPr>
          <w:rFonts w:eastAsia="Times New Roman"/>
          <w:b w:val="0"/>
          <w:bCs w:val="0"/>
          <w:color w:val="000000" w:themeColor="text1"/>
          <w:sz w:val="24"/>
          <w:szCs w:val="24"/>
          <w:u w:val="single"/>
        </w:rPr>
        <w:t xml:space="preserve">s Provisions Regarding The </w:t>
      </w:r>
      <w:r w:rsidRPr="00875C2A">
        <w:rPr>
          <w:rFonts w:eastAsia="Times New Roman"/>
          <w:b w:val="0"/>
          <w:bCs w:val="0"/>
          <w:i/>
          <w:iCs/>
          <w:color w:val="000000" w:themeColor="text1"/>
          <w:sz w:val="24"/>
          <w:szCs w:val="24"/>
          <w:u w:val="single"/>
        </w:rPr>
        <w:t>Ex Parte</w:t>
      </w:r>
      <w:r w:rsidRPr="00C04FB9">
        <w:rPr>
          <w:rFonts w:eastAsia="Times New Roman"/>
          <w:b w:val="0"/>
          <w:bCs w:val="0"/>
          <w:color w:val="000000" w:themeColor="text1"/>
          <w:sz w:val="24"/>
          <w:szCs w:val="24"/>
          <w:u w:val="single"/>
        </w:rPr>
        <w:t xml:space="preserve"> Submission Of TPLF Agreements</w:t>
      </w:r>
    </w:p>
    <w:p w14:paraId="1B4F994D" w14:textId="103F855F" w:rsidR="00533E25" w:rsidRPr="00257E5A" w:rsidRDefault="00EC0254" w:rsidP="00C04FB9">
      <w:pPr>
        <w:ind w:firstLine="720"/>
      </w:pPr>
      <w:r>
        <w:t>W</w:t>
      </w:r>
      <w:r w:rsidR="00C04FB9">
        <w:t xml:space="preserve">e suggest that the proposed rule be revised to </w:t>
      </w:r>
      <w:r w:rsidR="00C04FB9" w:rsidRPr="003F169C">
        <w:rPr>
          <w:i/>
          <w:iCs/>
        </w:rPr>
        <w:t>require</w:t>
      </w:r>
      <w:r w:rsidR="00C04FB9">
        <w:t xml:space="preserve"> the disclosure of TPLF agreements to </w:t>
      </w:r>
      <w:r w:rsidR="00C04FB9" w:rsidRPr="005E1076">
        <w:rPr>
          <w:i/>
          <w:iCs/>
        </w:rPr>
        <w:t>all parties</w:t>
      </w:r>
      <w:r w:rsidR="00533E25">
        <w:t xml:space="preserve">, </w:t>
      </w:r>
      <w:r w:rsidR="00415B52">
        <w:t xml:space="preserve">while allowing the </w:t>
      </w:r>
      <w:r w:rsidR="00E4140D">
        <w:t xml:space="preserve">producing party </w:t>
      </w:r>
      <w:r w:rsidR="00BD01B1">
        <w:t xml:space="preserve">in a particular case </w:t>
      </w:r>
      <w:r w:rsidR="00E4140D">
        <w:t xml:space="preserve">to seek from the </w:t>
      </w:r>
      <w:r w:rsidR="0037078D">
        <w:t xml:space="preserve">court </w:t>
      </w:r>
      <w:r w:rsidR="00BC55D2">
        <w:t xml:space="preserve">for good cause shown </w:t>
      </w:r>
      <w:r w:rsidR="00C5022F">
        <w:t xml:space="preserve">a protective order blocking or </w:t>
      </w:r>
      <w:r w:rsidR="00237495">
        <w:t>limiting production of the TPLF agreement</w:t>
      </w:r>
      <w:r w:rsidR="00C5022F">
        <w:t xml:space="preserve">.  </w:t>
      </w:r>
      <w:r w:rsidR="00B902CD">
        <w:t xml:space="preserve">In other words, </w:t>
      </w:r>
      <w:r w:rsidR="006247C5">
        <w:t xml:space="preserve">the default position would be that </w:t>
      </w:r>
      <w:r w:rsidR="00F03C4B">
        <w:t>TPLF agreements must be produced, but based on the circumstances of a particular case or the contents of the agreement</w:t>
      </w:r>
      <w:r w:rsidR="00C400F5">
        <w:t xml:space="preserve"> in that case, the producing party to the court could request </w:t>
      </w:r>
      <w:r w:rsidR="00257E5A">
        <w:t xml:space="preserve">that the agreement not be provided at all, be provided only to the court on an </w:t>
      </w:r>
      <w:r w:rsidR="00257E5A">
        <w:rPr>
          <w:i/>
          <w:iCs/>
        </w:rPr>
        <w:t xml:space="preserve">ex parte </w:t>
      </w:r>
      <w:r w:rsidR="00257E5A">
        <w:t xml:space="preserve">basis, </w:t>
      </w:r>
      <w:r w:rsidR="005A1B6A">
        <w:t xml:space="preserve">or be produced to the court and all parties with </w:t>
      </w:r>
      <w:r w:rsidR="003547E5">
        <w:t xml:space="preserve">some portions redacted.  </w:t>
      </w:r>
    </w:p>
    <w:p w14:paraId="63DE97CF" w14:textId="77777777" w:rsidR="00533E25" w:rsidRDefault="00533E25" w:rsidP="00C04FB9">
      <w:pPr>
        <w:ind w:firstLine="720"/>
      </w:pPr>
    </w:p>
    <w:p w14:paraId="41CD4147" w14:textId="48C8CB5C" w:rsidR="00533E25" w:rsidRDefault="00E468F0" w:rsidP="00533E25">
      <w:pPr>
        <w:ind w:firstLine="720"/>
      </w:pPr>
      <w:r>
        <w:t xml:space="preserve">Limiting production of information about TPLF arrangements to </w:t>
      </w:r>
      <w:r w:rsidR="00EF5ABA">
        <w:rPr>
          <w:i/>
          <w:iCs/>
        </w:rPr>
        <w:t>e</w:t>
      </w:r>
      <w:r w:rsidR="00533E25">
        <w:rPr>
          <w:i/>
          <w:iCs/>
        </w:rPr>
        <w:t xml:space="preserve">x parte </w:t>
      </w:r>
      <w:r w:rsidR="00533E25">
        <w:t xml:space="preserve">communications </w:t>
      </w:r>
      <w:r w:rsidR="00A56018">
        <w:t>with the court regarding TPLF terms or</w:t>
      </w:r>
      <w:r w:rsidR="00533E25">
        <w:t xml:space="preserve"> </w:t>
      </w:r>
      <w:r w:rsidR="00533E25">
        <w:rPr>
          <w:i/>
          <w:iCs/>
        </w:rPr>
        <w:t>in camera</w:t>
      </w:r>
      <w:r w:rsidR="00533E25">
        <w:t xml:space="preserve"> inspections of TPLF </w:t>
      </w:r>
      <w:r w:rsidR="00A64A43">
        <w:t>materials</w:t>
      </w:r>
      <w:r w:rsidR="00533E25">
        <w:t xml:space="preserve"> </w:t>
      </w:r>
      <w:r w:rsidR="004743C0">
        <w:t xml:space="preserve">is inconsistent with </w:t>
      </w:r>
      <w:r w:rsidR="00533E25">
        <w:t>the stated purpose of the proposed amendment.  For starters, th</w:t>
      </w:r>
      <w:r w:rsidR="004743C0">
        <w:t xml:space="preserve">at approach would </w:t>
      </w:r>
      <w:r w:rsidR="00533E25">
        <w:t>deprive the</w:t>
      </w:r>
      <w:r w:rsidR="00533E25" w:rsidRPr="00533E25">
        <w:t xml:space="preserve"> courts and parties of the </w:t>
      </w:r>
      <w:r w:rsidR="00ED4B5D">
        <w:t xml:space="preserve">standard </w:t>
      </w:r>
      <w:r w:rsidR="00533E25" w:rsidRPr="00533E25">
        <w:t xml:space="preserve">adversarial process needed to understand </w:t>
      </w:r>
      <w:r w:rsidR="00F8661F">
        <w:t xml:space="preserve">critical </w:t>
      </w:r>
      <w:r w:rsidR="00533E25" w:rsidRPr="00533E25">
        <w:t xml:space="preserve">provisions that can affect everyone in the litigation. </w:t>
      </w:r>
      <w:r w:rsidR="00533E25">
        <w:t xml:space="preserve"> The parties are in the best position to assess the practical impact of TPLF on the litigation and to inform the </w:t>
      </w:r>
      <w:r w:rsidR="00B8503F">
        <w:t>court</w:t>
      </w:r>
      <w:r w:rsidR="00533E25">
        <w:t xml:space="preserve"> of any issues raised by specific TPLF agreements.  This is particularly true in the context of TPLF agreements, which </w:t>
      </w:r>
      <w:r w:rsidR="00B8503F">
        <w:t>may be</w:t>
      </w:r>
      <w:r w:rsidR="00533E25">
        <w:t xml:space="preserve"> </w:t>
      </w:r>
      <w:r w:rsidR="00533E25" w:rsidRPr="00D90312">
        <w:t>extremely complicated and voluminous</w:t>
      </w:r>
      <w:r w:rsidR="00533E25">
        <w:t xml:space="preserve">.  Judges might not have </w:t>
      </w:r>
      <w:r w:rsidR="00364710">
        <w:t xml:space="preserve">the necessary </w:t>
      </w:r>
      <w:r w:rsidR="00533E25">
        <w:t>insight</w:t>
      </w:r>
      <w:r w:rsidR="00364710">
        <w:t>s</w:t>
      </w:r>
      <w:r w:rsidR="00533E25">
        <w:t xml:space="preserve"> into the ways that specific provisions, particularly with respect to control, might affect a litigation.  Accordingly, </w:t>
      </w:r>
      <w:r w:rsidR="007E3569">
        <w:t xml:space="preserve">as with all matters, </w:t>
      </w:r>
      <w:r w:rsidR="00533E25">
        <w:t xml:space="preserve">courts would benefit from </w:t>
      </w:r>
      <w:r w:rsidR="00364710">
        <w:t xml:space="preserve">considering </w:t>
      </w:r>
      <w:r w:rsidR="00533E25">
        <w:t xml:space="preserve">any potential issues </w:t>
      </w:r>
      <w:r w:rsidR="007E3569">
        <w:t>with the full benefit of the standard</w:t>
      </w:r>
      <w:r w:rsidR="00364710">
        <w:t xml:space="preserve"> </w:t>
      </w:r>
      <w:r w:rsidR="00533E25">
        <w:t xml:space="preserve">adversarial system.  </w:t>
      </w:r>
    </w:p>
    <w:p w14:paraId="212C2793" w14:textId="77777777" w:rsidR="00533E25" w:rsidRDefault="00533E25" w:rsidP="00533E25">
      <w:pPr>
        <w:ind w:firstLine="720"/>
      </w:pPr>
    </w:p>
    <w:p w14:paraId="04EFCAAC" w14:textId="0DF70022" w:rsidR="00533E25" w:rsidRDefault="00533E25" w:rsidP="00750A64">
      <w:pPr>
        <w:ind w:firstLine="720"/>
      </w:pPr>
      <w:r>
        <w:rPr>
          <w:i/>
          <w:iCs/>
        </w:rPr>
        <w:t>In camera</w:t>
      </w:r>
      <w:r>
        <w:t xml:space="preserve"> review of TPLF agreements </w:t>
      </w:r>
      <w:r w:rsidR="00F8661F">
        <w:t xml:space="preserve">or </w:t>
      </w:r>
      <w:r w:rsidR="00F8661F">
        <w:rPr>
          <w:i/>
          <w:iCs/>
        </w:rPr>
        <w:t xml:space="preserve">ex parte </w:t>
      </w:r>
      <w:r w:rsidR="00F8661F">
        <w:t xml:space="preserve">communications regarding those agreements </w:t>
      </w:r>
      <w:r>
        <w:t>also</w:t>
      </w:r>
      <w:r w:rsidRPr="00533E25">
        <w:t xml:space="preserve"> </w:t>
      </w:r>
      <w:r>
        <w:t>hinders</w:t>
      </w:r>
      <w:r w:rsidRPr="00533E25">
        <w:t xml:space="preserve"> the development of case law standards about what constitutes problematic non-party participation and control. </w:t>
      </w:r>
      <w:r>
        <w:t xml:space="preserve"> </w:t>
      </w:r>
      <w:r w:rsidR="00F8661F">
        <w:t xml:space="preserve">It </w:t>
      </w:r>
      <w:r>
        <w:t xml:space="preserve">is </w:t>
      </w:r>
      <w:r w:rsidR="00F8661F">
        <w:t xml:space="preserve">also </w:t>
      </w:r>
      <w:r>
        <w:t xml:space="preserve">contrary to the way that courts handle virtually every other aspect of </w:t>
      </w:r>
      <w:r w:rsidR="00F8661F">
        <w:t>litigation</w:t>
      </w:r>
      <w:r w:rsidR="00750A64">
        <w:t xml:space="preserve"> and frustrates the goal of transparency around legal proceedings.</w:t>
      </w:r>
      <w:r w:rsidR="00F8661F">
        <w:t xml:space="preserve">  And as </w:t>
      </w:r>
      <w:r w:rsidR="003A5B91" w:rsidRPr="00E3463C">
        <w:t xml:space="preserve">Rule 2.9 of the </w:t>
      </w:r>
      <w:r w:rsidR="00F8661F" w:rsidRPr="00E3463C">
        <w:t xml:space="preserve">Arizona </w:t>
      </w:r>
      <w:r w:rsidR="00E3463C">
        <w:t>Code of Judicial Conduct</w:t>
      </w:r>
      <w:r w:rsidR="00F8661F" w:rsidRPr="00E3463C">
        <w:t xml:space="preserve"> m</w:t>
      </w:r>
      <w:r w:rsidR="00F8661F">
        <w:t xml:space="preserve">akes clear, </w:t>
      </w:r>
      <w:r w:rsidR="00F8661F">
        <w:rPr>
          <w:i/>
          <w:iCs/>
        </w:rPr>
        <w:t xml:space="preserve">ex parte </w:t>
      </w:r>
      <w:r w:rsidR="00F8661F">
        <w:t xml:space="preserve">communications </w:t>
      </w:r>
      <w:r w:rsidR="00243F01">
        <w:t>are permissible</w:t>
      </w:r>
      <w:r w:rsidR="00F8661F">
        <w:t xml:space="preserve"> only in a discrete set of circumstances, none of which cover the examination and interpretation of contracts.  Finally, i</w:t>
      </w:r>
      <w:r w:rsidR="00C04FB9">
        <w:t xml:space="preserve">t is critical that defense counsel have access to the actual TPLF agreements for many of the same reasons that insurance information is required to be disclosed to the parties—i.e., </w:t>
      </w:r>
      <w:r w:rsidR="00C04FB9" w:rsidRPr="00860B8F">
        <w:t xml:space="preserve">because the </w:t>
      </w:r>
      <w:r w:rsidR="00D90DF1">
        <w:t>dis</w:t>
      </w:r>
      <w:r w:rsidR="00A34FC6">
        <w:t xml:space="preserve">closure of such information </w:t>
      </w:r>
      <w:r w:rsidR="00F71C95">
        <w:t>“</w:t>
      </w:r>
      <w:r w:rsidR="00A34FC6" w:rsidRPr="00031D0D">
        <w:t xml:space="preserve">will enable counsel for both sides to make the same realistic appraisal </w:t>
      </w:r>
      <w:r w:rsidR="0039509A" w:rsidRPr="00031D0D">
        <w:t>of [a] case, so that settlement and litigation strategies are based on knowledge and not spec</w:t>
      </w:r>
      <w:r w:rsidR="005823DD" w:rsidRPr="00031D0D">
        <w:t>ulation.</w:t>
      </w:r>
      <w:r w:rsidR="00F71C95">
        <w:t>”</w:t>
      </w:r>
      <w:r w:rsidR="005823DD">
        <w:rPr>
          <w:rStyle w:val="FootnoteReference"/>
        </w:rPr>
        <w:footnoteReference w:id="87"/>
      </w:r>
      <w:r w:rsidR="005823DD">
        <w:t xml:space="preserve">  </w:t>
      </w:r>
    </w:p>
    <w:p w14:paraId="1AC16186" w14:textId="77777777" w:rsidR="00F8661F" w:rsidRDefault="00F8661F" w:rsidP="00F8661F">
      <w:pPr>
        <w:ind w:firstLine="720"/>
      </w:pPr>
    </w:p>
    <w:p w14:paraId="3F2D851F" w14:textId="2298D61B" w:rsidR="00533E25" w:rsidRPr="00533E25" w:rsidRDefault="00533E25" w:rsidP="00533E25">
      <w:pPr>
        <w:suppressAutoHyphens/>
        <w:spacing w:after="240"/>
        <w:ind w:firstLine="720"/>
      </w:pPr>
      <w:r>
        <w:t xml:space="preserve">For these reasons, we suggest revising Rule 8(j)(3) to include an additional requirement that </w:t>
      </w:r>
      <w:r w:rsidR="00F71C95">
        <w:rPr>
          <w:i/>
          <w:iCs/>
        </w:rPr>
        <w:t>“</w:t>
      </w:r>
      <w:r w:rsidRPr="003C7719">
        <w:rPr>
          <w:i/>
          <w:iCs/>
        </w:rPr>
        <w:t>[t]he certificate regarding third-party litigation funding must . . . attach, subject to any court orders, a copy of the third-party litigation funding agreement and any related agreements.</w:t>
      </w:r>
      <w:r w:rsidR="00F71C95">
        <w:rPr>
          <w:i/>
          <w:iCs/>
        </w:rPr>
        <w:t>”</w:t>
      </w:r>
      <w:r w:rsidRPr="003C7719">
        <w:rPr>
          <w:i/>
          <w:iCs/>
        </w:rPr>
        <w:t xml:space="preserve">  </w:t>
      </w:r>
      <w:r>
        <w:t xml:space="preserve">We also propose revising Rule 8(j)(4) to </w:t>
      </w:r>
      <w:r w:rsidR="00973470">
        <w:t>state only the following</w:t>
      </w:r>
      <w:r w:rsidRPr="00533E25">
        <w:t xml:space="preserve">: </w:t>
      </w:r>
      <w:r w:rsidR="00F71C95">
        <w:rPr>
          <w:i/>
          <w:iCs/>
        </w:rPr>
        <w:t>“</w:t>
      </w:r>
      <w:r w:rsidRPr="003C7719">
        <w:rPr>
          <w:i/>
          <w:iCs/>
        </w:rPr>
        <w:t>For good cause shown, the court may order additional disclosures regarding the third-party litigation funding agreement, any related agreements, and any information disclosed in the certificate.</w:t>
      </w:r>
      <w:r w:rsidR="00F71C95">
        <w:rPr>
          <w:i/>
          <w:iCs/>
        </w:rPr>
        <w:t>”</w:t>
      </w:r>
    </w:p>
    <w:p w14:paraId="41DEC5FD" w14:textId="77777777" w:rsidR="00AA13FC" w:rsidRPr="00471E2D" w:rsidRDefault="00AA13FC" w:rsidP="00AA13FC">
      <w:pPr>
        <w:suppressAutoHyphens/>
        <w:spacing w:after="240"/>
        <w:jc w:val="center"/>
        <w:rPr>
          <w:rFonts w:eastAsia="Times New Roman"/>
        </w:rPr>
      </w:pPr>
      <w:r w:rsidRPr="00471E2D">
        <w:rPr>
          <w:rFonts w:eastAsia="Times New Roman"/>
        </w:rPr>
        <w:lastRenderedPageBreak/>
        <w:t>* * *</w:t>
      </w:r>
    </w:p>
    <w:p w14:paraId="27B041DD" w14:textId="1A9A436F" w:rsidR="00603D8B" w:rsidRDefault="00AA13FC" w:rsidP="00493CD0">
      <w:pPr>
        <w:suppressAutoHyphens/>
        <w:spacing w:after="240"/>
        <w:ind w:firstLine="720"/>
        <w:rPr>
          <w:rFonts w:eastAsia="Times New Roman"/>
        </w:rPr>
      </w:pPr>
      <w:r w:rsidRPr="001C6E1D">
        <w:rPr>
          <w:rFonts w:eastAsia="Times New Roman"/>
        </w:rPr>
        <w:t xml:space="preserve">In </w:t>
      </w:r>
      <w:r>
        <w:rPr>
          <w:rFonts w:eastAsia="Times New Roman"/>
        </w:rPr>
        <w:t>sum</w:t>
      </w:r>
      <w:r w:rsidRPr="001C6E1D">
        <w:rPr>
          <w:rFonts w:eastAsia="Times New Roman"/>
        </w:rPr>
        <w:t xml:space="preserve">, </w:t>
      </w:r>
      <w:r>
        <w:rPr>
          <w:rFonts w:eastAsia="Times New Roman"/>
        </w:rPr>
        <w:t>the funding arrangements that have become public demonstrate that TPLF can inject into a civil lawsuit conflicts of interest, interfere with a plaintiff</w:t>
      </w:r>
      <w:r w:rsidR="00F71C95">
        <w:rPr>
          <w:rFonts w:eastAsia="Times New Roman"/>
        </w:rPr>
        <w:t>’</w:t>
      </w:r>
      <w:r>
        <w:rPr>
          <w:rFonts w:eastAsia="Times New Roman"/>
        </w:rPr>
        <w:t xml:space="preserve">s control over </w:t>
      </w:r>
      <w:r w:rsidR="00676D27">
        <w:rPr>
          <w:rFonts w:eastAsia="Times New Roman"/>
        </w:rPr>
        <w:t>his/</w:t>
      </w:r>
      <w:r>
        <w:rPr>
          <w:rFonts w:eastAsia="Times New Roman"/>
        </w:rPr>
        <w:t xml:space="preserve">her lawsuit, frustrate settlement efforts and even potentially undermine national and economic security.  The only way to know whether a particular litigation funding arrangement </w:t>
      </w:r>
      <w:r w:rsidR="00DB45F3">
        <w:rPr>
          <w:rFonts w:eastAsia="Times New Roman"/>
        </w:rPr>
        <w:t>presents</w:t>
      </w:r>
      <w:r>
        <w:rPr>
          <w:rFonts w:eastAsia="Times New Roman"/>
        </w:rPr>
        <w:t xml:space="preserve"> any of these serious concerns</w:t>
      </w:r>
      <w:r w:rsidR="00A05088">
        <w:t>—</w:t>
      </w:r>
      <w:r w:rsidR="00F8661F">
        <w:rPr>
          <w:rFonts w:eastAsia="Times New Roman"/>
        </w:rPr>
        <w:t>in an individual case or on a systemic level</w:t>
      </w:r>
      <w:r w:rsidR="00A05088">
        <w:t>—</w:t>
      </w:r>
      <w:r>
        <w:rPr>
          <w:rFonts w:eastAsia="Times New Roman"/>
        </w:rPr>
        <w:t xml:space="preserve">is for the existence and terms of the agreement to be disclosed to the other side and the court.  </w:t>
      </w:r>
      <w:r w:rsidR="00C04FB9">
        <w:rPr>
          <w:rFonts w:eastAsia="Times New Roman"/>
        </w:rPr>
        <w:t xml:space="preserve">Accordingly, </w:t>
      </w:r>
      <w:r w:rsidR="009A5B26">
        <w:rPr>
          <w:rFonts w:eastAsia="Times New Roman"/>
        </w:rPr>
        <w:t xml:space="preserve">ILR </w:t>
      </w:r>
      <w:r>
        <w:rPr>
          <w:rFonts w:eastAsia="Times New Roman"/>
        </w:rPr>
        <w:t xml:space="preserve">urges that </w:t>
      </w:r>
      <w:r w:rsidR="00C04FB9">
        <w:rPr>
          <w:rFonts w:eastAsia="Times New Roman"/>
        </w:rPr>
        <w:t>Rule 8</w:t>
      </w:r>
      <w:r w:rsidR="0082133F">
        <w:rPr>
          <w:rFonts w:eastAsia="Times New Roman"/>
        </w:rPr>
        <w:t xml:space="preserve"> be amended </w:t>
      </w:r>
      <w:r w:rsidR="00FF36D2">
        <w:rPr>
          <w:rFonts w:eastAsia="Times New Roman"/>
        </w:rPr>
        <w:t>as proposed</w:t>
      </w:r>
      <w:r w:rsidR="0082133F">
        <w:rPr>
          <w:rFonts w:eastAsia="Times New Roman"/>
        </w:rPr>
        <w:t>, subject to the additional revisions discussed in Section 2</w:t>
      </w:r>
      <w:r w:rsidR="00090D0C">
        <w:rPr>
          <w:rFonts w:eastAsia="Times New Roman"/>
        </w:rPr>
        <w:t xml:space="preserve"> above</w:t>
      </w:r>
      <w:r w:rsidR="0082133F">
        <w:rPr>
          <w:rFonts w:eastAsia="Times New Roman"/>
        </w:rPr>
        <w:t xml:space="preserve">. </w:t>
      </w:r>
    </w:p>
    <w:p w14:paraId="735F5602" w14:textId="77777777" w:rsidR="005127C7" w:rsidRDefault="005127C7" w:rsidP="00493CD0">
      <w:pPr>
        <w:suppressAutoHyphens/>
        <w:spacing w:after="240"/>
        <w:ind w:firstLine="720"/>
        <w:rPr>
          <w:rFonts w:eastAsia="Times New Roman"/>
        </w:rPr>
      </w:pPr>
    </w:p>
    <w:p w14:paraId="231BBF35" w14:textId="77777777" w:rsidR="005127C7" w:rsidRDefault="005127C7" w:rsidP="00493CD0">
      <w:pPr>
        <w:suppressAutoHyphens/>
        <w:spacing w:after="240"/>
        <w:ind w:firstLine="720"/>
        <w:rPr>
          <w:rFonts w:eastAsia="Times New Roman"/>
        </w:rPr>
      </w:pPr>
    </w:p>
    <w:p w14:paraId="01F5DA37" w14:textId="203D8F40" w:rsidR="005127C7" w:rsidRDefault="005127C7" w:rsidP="009B32D0">
      <w:pPr>
        <w:suppressAutoHyphens/>
        <w:spacing w:after="240"/>
        <w:rPr>
          <w:rFonts w:eastAsia="Times New Roman"/>
        </w:rPr>
      </w:pPr>
      <w:r>
        <w:rPr>
          <w:rFonts w:eastAsia="Times New Roman"/>
        </w:rPr>
        <w:t xml:space="preserve">Sincerely, </w:t>
      </w:r>
    </w:p>
    <w:p w14:paraId="51EFF39E" w14:textId="244EFA62" w:rsidR="0037401B" w:rsidRDefault="005127C7" w:rsidP="00DD21C8">
      <w:pPr>
        <w:suppressAutoHyphens/>
        <w:rPr>
          <w:rFonts w:eastAsia="Times New Roman"/>
        </w:rPr>
      </w:pPr>
      <w:r>
        <w:rPr>
          <w:rFonts w:eastAsia="Times New Roman"/>
        </w:rPr>
        <w:t>Page</w:t>
      </w:r>
      <w:r w:rsidR="00213E1B">
        <w:rPr>
          <w:rFonts w:eastAsia="Times New Roman"/>
        </w:rPr>
        <w:t xml:space="preserve"> C. Faulk</w:t>
      </w:r>
    </w:p>
    <w:p w14:paraId="4D1299B1" w14:textId="77777777" w:rsidR="008F3FAC" w:rsidRDefault="00213E1B" w:rsidP="00DD21C8">
      <w:pPr>
        <w:suppressAutoHyphens/>
        <w:rPr>
          <w:rFonts w:eastAsia="Times New Roman"/>
        </w:rPr>
      </w:pPr>
      <w:r>
        <w:rPr>
          <w:rFonts w:eastAsia="Times New Roman"/>
        </w:rPr>
        <w:t xml:space="preserve">Senior Vice President, </w:t>
      </w:r>
      <w:r w:rsidR="008F3FAC">
        <w:rPr>
          <w:rFonts w:eastAsia="Times New Roman"/>
        </w:rPr>
        <w:t>Legal Reform Initiatives</w:t>
      </w:r>
    </w:p>
    <w:p w14:paraId="140D30AB" w14:textId="6F1114D4" w:rsidR="005127C7" w:rsidRDefault="0037401B" w:rsidP="009B32D0">
      <w:pPr>
        <w:suppressAutoHyphens/>
        <w:rPr>
          <w:rFonts w:eastAsia="Times New Roman"/>
        </w:rPr>
      </w:pPr>
      <w:r>
        <w:rPr>
          <w:rFonts w:eastAsia="Times New Roman"/>
        </w:rPr>
        <w:t>U.</w:t>
      </w:r>
      <w:r w:rsidR="005127C7">
        <w:rPr>
          <w:rFonts w:eastAsia="Times New Roman"/>
        </w:rPr>
        <w:t>S</w:t>
      </w:r>
      <w:r w:rsidR="00EC07C7">
        <w:rPr>
          <w:rFonts w:eastAsia="Times New Roman"/>
        </w:rPr>
        <w:t>.</w:t>
      </w:r>
      <w:r w:rsidR="005127C7">
        <w:rPr>
          <w:rFonts w:eastAsia="Times New Roman"/>
        </w:rPr>
        <w:t xml:space="preserve"> Chamber of Commerce  </w:t>
      </w:r>
    </w:p>
    <w:p w14:paraId="3DD743C5" w14:textId="6BDB585B" w:rsidR="008F3FAC" w:rsidRDefault="008F3FAC" w:rsidP="008F3FAC">
      <w:pPr>
        <w:suppressAutoHyphens/>
        <w:rPr>
          <w:rFonts w:eastAsia="Times New Roman"/>
        </w:rPr>
      </w:pPr>
      <w:r>
        <w:rPr>
          <w:rFonts w:eastAsia="Times New Roman"/>
        </w:rPr>
        <w:t>Institute for Legal Reform</w:t>
      </w:r>
    </w:p>
    <w:p w14:paraId="280D7C91" w14:textId="0F42AF77" w:rsidR="008F3FAC" w:rsidRDefault="008F3FAC" w:rsidP="0037401B">
      <w:pPr>
        <w:suppressAutoHyphens/>
        <w:rPr>
          <w:rFonts w:eastAsia="Times New Roman"/>
        </w:rPr>
      </w:pPr>
      <w:r>
        <w:rPr>
          <w:rFonts w:eastAsia="Times New Roman"/>
        </w:rPr>
        <w:t>1</w:t>
      </w:r>
      <w:r w:rsidR="005127C7">
        <w:rPr>
          <w:rFonts w:eastAsia="Times New Roman"/>
        </w:rPr>
        <w:t>615 H S</w:t>
      </w:r>
      <w:r>
        <w:rPr>
          <w:rFonts w:eastAsia="Times New Roman"/>
        </w:rPr>
        <w:t>treet, NW</w:t>
      </w:r>
    </w:p>
    <w:p w14:paraId="4E43AE68" w14:textId="519376C5" w:rsidR="005127C7" w:rsidRDefault="005127C7" w:rsidP="0037401B">
      <w:pPr>
        <w:suppressAutoHyphens/>
        <w:rPr>
          <w:rFonts w:eastAsia="Times New Roman"/>
        </w:rPr>
      </w:pPr>
      <w:r>
        <w:rPr>
          <w:rFonts w:eastAsia="Times New Roman"/>
        </w:rPr>
        <w:t>Washington,</w:t>
      </w:r>
      <w:r w:rsidR="00213E1B">
        <w:rPr>
          <w:rFonts w:eastAsia="Times New Roman"/>
        </w:rPr>
        <w:t xml:space="preserve"> </w:t>
      </w:r>
      <w:r w:rsidR="008F3FAC">
        <w:rPr>
          <w:rFonts w:eastAsia="Times New Roman"/>
        </w:rPr>
        <w:t>D.</w:t>
      </w:r>
      <w:r>
        <w:rPr>
          <w:rFonts w:eastAsia="Times New Roman"/>
        </w:rPr>
        <w:t xml:space="preserve">C. </w:t>
      </w:r>
      <w:r w:rsidR="00C3252E">
        <w:rPr>
          <w:rFonts w:eastAsia="Times New Roman"/>
        </w:rPr>
        <w:t>2006</w:t>
      </w:r>
      <w:r w:rsidR="000211B6">
        <w:rPr>
          <w:rFonts w:eastAsia="Times New Roman"/>
        </w:rPr>
        <w:t>2</w:t>
      </w:r>
    </w:p>
    <w:p w14:paraId="5B010876" w14:textId="4DA4FA2B" w:rsidR="005127C7" w:rsidRDefault="005127C7" w:rsidP="0037401B">
      <w:pPr>
        <w:suppressAutoHyphens/>
        <w:rPr>
          <w:rFonts w:eastAsia="Times New Roman"/>
        </w:rPr>
      </w:pPr>
      <w:r>
        <w:rPr>
          <w:rFonts w:eastAsia="Times New Roman"/>
        </w:rPr>
        <w:t xml:space="preserve">Phone: </w:t>
      </w:r>
      <w:r w:rsidR="00284ADF" w:rsidRPr="00284ADF">
        <w:rPr>
          <w:rFonts w:eastAsia="Times New Roman"/>
        </w:rPr>
        <w:t>202-463-5602</w:t>
      </w:r>
    </w:p>
    <w:p w14:paraId="53124B20" w14:textId="77777777" w:rsidR="005127C7" w:rsidRDefault="006D3E27" w:rsidP="0037401B">
      <w:pPr>
        <w:suppressAutoHyphens/>
        <w:rPr>
          <w:rFonts w:eastAsia="Times New Roman"/>
        </w:rPr>
      </w:pPr>
      <w:hyperlink r:id="rId13" w:history="1">
        <w:r w:rsidR="005127C7" w:rsidRPr="005127C7">
          <w:rPr>
            <w:rStyle w:val="Hyperlink"/>
            <w:rFonts w:eastAsia="Times New Roman"/>
          </w:rPr>
          <w:t>pfaulk@uschamber.com</w:t>
        </w:r>
      </w:hyperlink>
    </w:p>
    <w:p w14:paraId="0A0751CE" w14:textId="77777777" w:rsidR="005127C7" w:rsidRDefault="005127C7" w:rsidP="00D849C7">
      <w:pPr>
        <w:suppressAutoHyphens/>
        <w:spacing w:after="240"/>
        <w:ind w:firstLine="720"/>
        <w:rPr>
          <w:rFonts w:eastAsia="Times New Roman"/>
        </w:rPr>
      </w:pPr>
    </w:p>
    <w:sectPr w:rsidR="005127C7" w:rsidSect="009B32D0">
      <w:foot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F6579" w14:textId="77777777" w:rsidR="003B7452" w:rsidRDefault="003B7452" w:rsidP="00967A49">
      <w:r>
        <w:separator/>
      </w:r>
    </w:p>
  </w:endnote>
  <w:endnote w:type="continuationSeparator" w:id="0">
    <w:p w14:paraId="773148B5" w14:textId="77777777" w:rsidR="003B7452" w:rsidRDefault="003B7452" w:rsidP="00967A49">
      <w:r>
        <w:continuationSeparator/>
      </w:r>
    </w:p>
  </w:endnote>
  <w:endnote w:type="continuationNotice" w:id="1">
    <w:p w14:paraId="1A4175E5" w14:textId="77777777" w:rsidR="003B7452" w:rsidRDefault="003B74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03145" w14:textId="2A5B9BBF" w:rsidR="001D0A95" w:rsidRDefault="001D0A95">
    <w:pPr>
      <w:pStyle w:val="Footer"/>
    </w:pPr>
    <w:r>
      <w:tab/>
    </w:r>
    <w:r>
      <w:fldChar w:fldCharType="begin"/>
    </w:r>
    <w:r>
      <w:instrText xml:space="preserve"> IF "</w:instrText>
    </w:r>
    <w:r>
      <w:fldChar w:fldCharType="begin"/>
    </w:r>
    <w:r>
      <w:instrText xml:space="preserve"> PAGE \* ARABIC  </w:instrText>
    </w:r>
    <w:r>
      <w:fldChar w:fldCharType="separate"/>
    </w:r>
    <w:r w:rsidR="006D3E27">
      <w:rPr>
        <w:noProof/>
      </w:rPr>
      <w:instrText>20</w:instrText>
    </w:r>
    <w:r>
      <w:fldChar w:fldCharType="end"/>
    </w:r>
    <w:r>
      <w:instrText>"="1" "" "</w:instrText>
    </w:r>
    <w:r>
      <w:fldChar w:fldCharType="begin"/>
    </w:r>
    <w:r>
      <w:instrText xml:space="preserve"> PAGE   \* MERGEFORMAT </w:instrText>
    </w:r>
    <w:r>
      <w:fldChar w:fldCharType="separate"/>
    </w:r>
    <w:r w:rsidR="006D3E27">
      <w:rPr>
        <w:noProof/>
      </w:rPr>
      <w:instrText>20</w:instrText>
    </w:r>
    <w:r>
      <w:fldChar w:fldCharType="end"/>
    </w:r>
    <w:r>
      <w:rPr>
        <w:noProof/>
      </w:rPr>
      <w:instrText>"</w:instrText>
    </w:r>
    <w:r>
      <w:instrText xml:space="preserve"> </w:instrText>
    </w:r>
    <w:r>
      <w:fldChar w:fldCharType="separate"/>
    </w:r>
    <w:r w:rsidR="006D3E27">
      <w:rPr>
        <w:noProof/>
      </w:rPr>
      <w:t>20</w:t>
    </w:r>
    <w: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D481E" w14:textId="77777777" w:rsidR="003B7452" w:rsidRDefault="003B7452" w:rsidP="00967A49">
      <w:r>
        <w:separator/>
      </w:r>
    </w:p>
  </w:footnote>
  <w:footnote w:type="continuationSeparator" w:id="0">
    <w:p w14:paraId="2E2DD810" w14:textId="77777777" w:rsidR="003B7452" w:rsidRPr="00967A49" w:rsidRDefault="003B7452" w:rsidP="00967A49">
      <w:r w:rsidRPr="00967A49">
        <w:rPr>
          <w:i/>
          <w:sz w:val="20"/>
        </w:rPr>
        <w:t>________________________</w:t>
      </w:r>
      <w:r w:rsidRPr="00967A49">
        <w:rPr>
          <w:i/>
          <w:sz w:val="20"/>
        </w:rPr>
        <w:br/>
        <w:t>(cont</w:t>
      </w:r>
      <w:r>
        <w:rPr>
          <w:i/>
          <w:sz w:val="20"/>
        </w:rPr>
        <w:t>’</w:t>
      </w:r>
      <w:r w:rsidRPr="00967A49">
        <w:rPr>
          <w:i/>
          <w:sz w:val="20"/>
        </w:rPr>
        <w:t>d from previous page)</w:t>
      </w:r>
    </w:p>
  </w:footnote>
  <w:footnote w:type="continuationNotice" w:id="1">
    <w:p w14:paraId="7541162F" w14:textId="77777777" w:rsidR="003B7452" w:rsidRPr="00967A49" w:rsidRDefault="003B7452" w:rsidP="00967A49">
      <w:pPr>
        <w:jc w:val="right"/>
      </w:pPr>
      <w:r w:rsidRPr="00967A49">
        <w:rPr>
          <w:i/>
          <w:sz w:val="20"/>
        </w:rPr>
        <w:t>(cont</w:t>
      </w:r>
      <w:r>
        <w:rPr>
          <w:i/>
          <w:sz w:val="20"/>
        </w:rPr>
        <w:t>’</w:t>
      </w:r>
      <w:r w:rsidRPr="00967A49">
        <w:rPr>
          <w:i/>
          <w:sz w:val="20"/>
        </w:rPr>
        <w:t>d)</w:t>
      </w:r>
    </w:p>
  </w:footnote>
  <w:footnote w:id="2">
    <w:p w14:paraId="5A92E10E" w14:textId="0410E863" w:rsidR="009A5B26" w:rsidRPr="005D4990" w:rsidRDefault="009A5B26" w:rsidP="005D4990">
      <w:pPr>
        <w:pStyle w:val="FootnoteText"/>
        <w:spacing w:after="120"/>
        <w:ind w:left="0" w:firstLine="0"/>
        <w:rPr>
          <w:rFonts w:cstheme="minorHAnsi"/>
          <w:iCs/>
        </w:rPr>
      </w:pPr>
      <w:r w:rsidRPr="005D4990">
        <w:rPr>
          <w:rStyle w:val="FootnoteReference"/>
          <w:rFonts w:cstheme="minorHAnsi"/>
        </w:rPr>
        <w:footnoteRef/>
      </w:r>
      <w:r w:rsidRPr="005D4990">
        <w:rPr>
          <w:rFonts w:cstheme="minorHAnsi"/>
          <w:iCs/>
        </w:rPr>
        <w:t xml:space="preserve"> </w:t>
      </w:r>
      <w:r w:rsidRPr="005D4990">
        <w:rPr>
          <w:rFonts w:cstheme="minorHAnsi"/>
        </w:rPr>
        <w:tab/>
      </w:r>
      <w:r w:rsidRPr="005D4990">
        <w:rPr>
          <w:rFonts w:cstheme="minorHAnsi"/>
          <w:iCs/>
        </w:rPr>
        <w:t xml:space="preserve"> ILR is a program of the U.S. Chamber of Commerce dedicated to championing a fair legal system that promotes economic growth and opportunity.  The Chamber is the world</w:t>
      </w:r>
      <w:r w:rsidR="00F71C95" w:rsidRPr="005D4990">
        <w:rPr>
          <w:rFonts w:cstheme="minorHAnsi"/>
          <w:iCs/>
        </w:rPr>
        <w:t>’</w:t>
      </w:r>
      <w:r w:rsidRPr="005D4990">
        <w:rPr>
          <w:rFonts w:cstheme="minorHAnsi"/>
          <w:iCs/>
        </w:rPr>
        <w:t>s largest business federation, representing the interests of more than three million businesses of all sizes, sectors and regions, as well as state and local chambers and industry associations, and it is dedicated to promoting, protecting and defending America</w:t>
      </w:r>
      <w:r w:rsidR="00F71C95" w:rsidRPr="005D4990">
        <w:rPr>
          <w:rFonts w:cstheme="minorHAnsi"/>
          <w:iCs/>
        </w:rPr>
        <w:t>’</w:t>
      </w:r>
      <w:r w:rsidRPr="005D4990">
        <w:rPr>
          <w:rFonts w:cstheme="minorHAnsi"/>
          <w:iCs/>
        </w:rPr>
        <w:t>s free enterprise system.</w:t>
      </w:r>
      <w:r w:rsidR="00735724" w:rsidRPr="005D4990">
        <w:rPr>
          <w:rFonts w:cstheme="minorHAnsi"/>
          <w:iCs/>
        </w:rPr>
        <w:t xml:space="preserve"> </w:t>
      </w:r>
      <w:r w:rsidR="003B183F" w:rsidRPr="005D4990">
        <w:rPr>
          <w:rFonts w:cstheme="minorHAnsi"/>
          <w:iCs/>
        </w:rPr>
        <w:t xml:space="preserve"> </w:t>
      </w:r>
      <w:r w:rsidR="00735724" w:rsidRPr="005D4990">
        <w:rPr>
          <w:rFonts w:cstheme="minorHAnsi"/>
          <w:iCs/>
        </w:rPr>
        <w:t xml:space="preserve">Page Faulk, </w:t>
      </w:r>
      <w:r w:rsidR="003F2E37" w:rsidRPr="005D4990">
        <w:rPr>
          <w:rFonts w:cstheme="minorHAnsi"/>
          <w:iCs/>
        </w:rPr>
        <w:t xml:space="preserve">ILR </w:t>
      </w:r>
      <w:r w:rsidR="00735724" w:rsidRPr="005D4990">
        <w:rPr>
          <w:rFonts w:cstheme="minorHAnsi"/>
          <w:iCs/>
        </w:rPr>
        <w:t xml:space="preserve">senior vice president, legal reform initiatives, </w:t>
      </w:r>
      <w:r w:rsidR="003F2E37" w:rsidRPr="005D4990">
        <w:rPr>
          <w:rFonts w:cstheme="minorHAnsi"/>
        </w:rPr>
        <w:t xml:space="preserve">was appointed to the Alternative Business Structures Task Force by then-Chief Justice Robert Brutinel. </w:t>
      </w:r>
      <w:r w:rsidR="00F71C95" w:rsidRPr="005D4990">
        <w:rPr>
          <w:rFonts w:cstheme="minorHAnsi"/>
        </w:rPr>
        <w:t xml:space="preserve"> </w:t>
      </w:r>
      <w:r w:rsidR="003F2E37" w:rsidRPr="005D4990">
        <w:rPr>
          <w:rFonts w:cstheme="minorHAnsi"/>
        </w:rPr>
        <w:t>On July 3, 2024, Chief Justice Ann A. Scott Timmer issued Administrative Order No. 2024-136, ordering the Task Force to examine third-party funding of civil litigation</w:t>
      </w:r>
      <w:r w:rsidR="00A662EC" w:rsidRPr="005D4990">
        <w:rPr>
          <w:rFonts w:cstheme="minorHAnsi"/>
        </w:rPr>
        <w:t>.</w:t>
      </w:r>
      <w:r w:rsidR="00735724" w:rsidRPr="005D4990">
        <w:rPr>
          <w:rFonts w:cstheme="minorHAnsi"/>
          <w:iCs/>
        </w:rPr>
        <w:t xml:space="preserve">  </w:t>
      </w:r>
    </w:p>
  </w:footnote>
  <w:footnote w:id="3">
    <w:p w14:paraId="44EC1E9B" w14:textId="77777777" w:rsidR="00AA13FC" w:rsidRPr="005D4990" w:rsidRDefault="00AA13FC"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r>
      <w:r w:rsidRPr="005D4990">
        <w:rPr>
          <w:rFonts w:cstheme="minorHAnsi"/>
          <w:i/>
        </w:rPr>
        <w:t xml:space="preserve">See </w:t>
      </w:r>
      <w:r w:rsidRPr="005D4990">
        <w:rPr>
          <w:rFonts w:cstheme="minorHAnsi"/>
        </w:rPr>
        <w:t>James Anderson,</w:t>
      </w:r>
      <w:r w:rsidRPr="005D4990">
        <w:rPr>
          <w:rFonts w:cstheme="minorHAnsi"/>
          <w:i/>
        </w:rPr>
        <w:t xml:space="preserve"> Is Increased Transparency into Litigation Financing on the Horizon?</w:t>
      </w:r>
      <w:r w:rsidRPr="005D4990">
        <w:rPr>
          <w:rFonts w:cstheme="minorHAnsi"/>
        </w:rPr>
        <w:t xml:space="preserve">, National Law Review (Jan. 15, 2020), https://www.natlawreview.com/article/increased-transparency-litigation-financing-horizon. </w:t>
      </w:r>
    </w:p>
  </w:footnote>
  <w:footnote w:id="4">
    <w:p w14:paraId="315EECF6" w14:textId="6049BC46" w:rsidR="00AA13FC" w:rsidRPr="005D4990" w:rsidRDefault="00AA13FC"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t xml:space="preserve">The Westfleet Insider, </w:t>
      </w:r>
      <w:r w:rsidR="0047748E" w:rsidRPr="005D4990">
        <w:rPr>
          <w:rFonts w:cstheme="minorHAnsi"/>
          <w:i/>
          <w:iCs/>
        </w:rPr>
        <w:t>2024</w:t>
      </w:r>
      <w:r w:rsidRPr="005D4990">
        <w:rPr>
          <w:rFonts w:cstheme="minorHAnsi"/>
          <w:i/>
          <w:iCs/>
        </w:rPr>
        <w:t xml:space="preserve"> Litigation Finance Market Report</w:t>
      </w:r>
      <w:r w:rsidRPr="005D4990">
        <w:rPr>
          <w:rFonts w:cstheme="minorHAnsi"/>
        </w:rPr>
        <w:t xml:space="preserve">, </w:t>
      </w:r>
      <w:r w:rsidR="0047748E" w:rsidRPr="005D4990">
        <w:rPr>
          <w:rFonts w:cstheme="minorHAnsi"/>
        </w:rPr>
        <w:t>https://www.westfleetadvisors.com/wp-content/uploads/2025/03/WestfleetInsider-2024-Litigation-Finance-Report.pdf</w:t>
      </w:r>
      <w:r w:rsidRPr="005D4990">
        <w:rPr>
          <w:rFonts w:cstheme="minorHAnsi"/>
        </w:rPr>
        <w:t xml:space="preserve">.  </w:t>
      </w:r>
    </w:p>
  </w:footnote>
  <w:footnote w:id="5">
    <w:p w14:paraId="21B56C3D" w14:textId="44C566A3" w:rsidR="00AA13FC" w:rsidRPr="005D4990" w:rsidRDefault="00AA13FC"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r>
      <w:r w:rsidR="009F7040" w:rsidRPr="005D4990">
        <w:rPr>
          <w:rFonts w:cstheme="minorHAnsi"/>
        </w:rPr>
        <w:t xml:space="preserve">Joshua Landau, </w:t>
      </w:r>
      <w:r w:rsidR="009F7040" w:rsidRPr="005D4990">
        <w:rPr>
          <w:rFonts w:cstheme="minorHAnsi"/>
          <w:i/>
          <w:iCs/>
        </w:rPr>
        <w:t>IP Litigation Financing Protects Investors, Not Inventors</w:t>
      </w:r>
      <w:r w:rsidR="009F7040" w:rsidRPr="005D4990">
        <w:rPr>
          <w:rFonts w:cstheme="minorHAnsi"/>
        </w:rPr>
        <w:t xml:space="preserve">, Bloomberg Law (Oct. 31, 2022), </w:t>
      </w:r>
      <w:r w:rsidRPr="005D4990">
        <w:rPr>
          <w:rFonts w:cstheme="minorHAnsi"/>
        </w:rPr>
        <w:t>https://news.bloomberglaw.com/us-law-week/ip-litigation-financing-protects-investors-not-inventors.</w:t>
      </w:r>
    </w:p>
  </w:footnote>
  <w:footnote w:id="6">
    <w:p w14:paraId="22ED0388" w14:textId="18018796" w:rsidR="003B183F" w:rsidRPr="005D4990" w:rsidRDefault="003B183F"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r>
      <w:r w:rsidR="005D4990">
        <w:rPr>
          <w:rFonts w:cstheme="minorHAnsi"/>
        </w:rPr>
        <w:t xml:space="preserve">GAO, </w:t>
      </w:r>
      <w:r w:rsidR="00B30D16">
        <w:rPr>
          <w:rFonts w:cstheme="minorHAnsi"/>
          <w:i/>
          <w:iCs/>
        </w:rPr>
        <w:t xml:space="preserve">Report to the Ranking Member, Subcommittee on Intellectual Property, Committee on the Judiciary, U.S. Senate – </w:t>
      </w:r>
      <w:r w:rsidR="005D4990">
        <w:rPr>
          <w:rFonts w:cstheme="minorHAnsi"/>
          <w:i/>
          <w:iCs/>
        </w:rPr>
        <w:t>Intellectual Property: Information on Third-Party Funding of Patent Litigation</w:t>
      </w:r>
      <w:r w:rsidR="005D4990">
        <w:rPr>
          <w:rFonts w:cstheme="minorHAnsi"/>
        </w:rPr>
        <w:t xml:space="preserve">, GAO-25-107214, at 14 (Dec. 2024), </w:t>
      </w:r>
      <w:r w:rsidRPr="005D4990">
        <w:rPr>
          <w:rFonts w:ascii="Times New Roman" w:hAnsi="Times New Roman" w:cs="Times New Roman"/>
          <w:lang w:val="da-DK"/>
        </w:rPr>
        <w:t>https://www.gao.gov/assets/gao-25-107214.pdf.</w:t>
      </w:r>
      <w:r w:rsidRPr="005D4990">
        <w:rPr>
          <w:rFonts w:cstheme="minorHAnsi"/>
          <w:lang w:val="da-DK"/>
        </w:rPr>
        <w:t xml:space="preserve"> </w:t>
      </w:r>
    </w:p>
  </w:footnote>
  <w:footnote w:id="7">
    <w:p w14:paraId="3150AAA8" w14:textId="78E94052" w:rsidR="00AA13FC" w:rsidRPr="005D4990" w:rsidRDefault="00AA13FC"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r>
      <w:r w:rsidRPr="005D4990">
        <w:rPr>
          <w:rFonts w:cstheme="minorHAnsi"/>
          <w:i/>
          <w:iCs/>
        </w:rPr>
        <w:t>See</w:t>
      </w:r>
      <w:r w:rsidRPr="005D4990">
        <w:rPr>
          <w:rFonts w:cstheme="minorHAnsi"/>
        </w:rPr>
        <w:t xml:space="preserve"> Ronen Avraham, Lynn A. Baker</w:t>
      </w:r>
      <w:r w:rsidR="00EA5BA9" w:rsidRPr="005D4990">
        <w:rPr>
          <w:rFonts w:cstheme="minorHAnsi"/>
        </w:rPr>
        <w:t xml:space="preserve"> &amp;</w:t>
      </w:r>
      <w:r w:rsidRPr="005D4990">
        <w:rPr>
          <w:rFonts w:cstheme="minorHAnsi"/>
        </w:rPr>
        <w:t xml:space="preserve"> Anthony J. Sebok, </w:t>
      </w:r>
      <w:r w:rsidRPr="005D4990">
        <w:rPr>
          <w:rFonts w:cstheme="minorHAnsi"/>
          <w:i/>
          <w:iCs/>
        </w:rPr>
        <w:t>The MDL Revolution and Consumer Legal Funding</w:t>
      </w:r>
      <w:r w:rsidRPr="005D4990">
        <w:rPr>
          <w:rFonts w:cstheme="minorHAnsi"/>
        </w:rPr>
        <w:t>, 40 Rev. of Lit. 143, 143 (2021) (</w:t>
      </w:r>
      <w:r w:rsidR="00F71C95" w:rsidRPr="005D4990">
        <w:rPr>
          <w:rFonts w:cstheme="minorHAnsi"/>
        </w:rPr>
        <w:t>“</w:t>
      </w:r>
      <w:r w:rsidRPr="005D4990">
        <w:rPr>
          <w:rFonts w:cstheme="minorHAnsi"/>
        </w:rPr>
        <w:t>mass tort claims pending in [multi-district litigations] constitute the fastest growing sector of those seeking assistance</w:t>
      </w:r>
      <w:r w:rsidR="00F71C95" w:rsidRPr="005D4990">
        <w:rPr>
          <w:rFonts w:cstheme="minorHAnsi"/>
        </w:rPr>
        <w:t>”</w:t>
      </w:r>
      <w:r w:rsidRPr="005D4990">
        <w:rPr>
          <w:rFonts w:cstheme="minorHAnsi"/>
        </w:rPr>
        <w:t xml:space="preserve"> from third-party litigation funders); </w:t>
      </w:r>
      <w:r w:rsidRPr="005D4990">
        <w:rPr>
          <w:rFonts w:cstheme="minorHAnsi"/>
          <w:i/>
          <w:iCs/>
        </w:rPr>
        <w:t xml:space="preserve">see also </w:t>
      </w:r>
      <w:r w:rsidRPr="005D4990">
        <w:rPr>
          <w:rFonts w:cstheme="minorHAnsi"/>
        </w:rPr>
        <w:t xml:space="preserve">Maya Steinitz, </w:t>
      </w:r>
      <w:r w:rsidRPr="005D4990">
        <w:rPr>
          <w:rFonts w:cstheme="minorHAnsi"/>
          <w:i/>
          <w:iCs/>
        </w:rPr>
        <w:t>Follow the Money? A Proposed Approach for Disclosure of Litigation Finance Agreements</w:t>
      </w:r>
      <w:r w:rsidRPr="005D4990">
        <w:rPr>
          <w:rFonts w:cstheme="minorHAnsi"/>
        </w:rPr>
        <w:t>, 53 U.C. Davis L. Rev. 1073, 1075 (2019) (</w:t>
      </w:r>
      <w:r w:rsidR="00F71C95" w:rsidRPr="005D4990">
        <w:rPr>
          <w:rFonts w:cstheme="minorHAnsi"/>
        </w:rPr>
        <w:t>“</w:t>
      </w:r>
      <w:r w:rsidRPr="005D4990">
        <w:rPr>
          <w:rFonts w:cstheme="minorHAnsi"/>
        </w:rPr>
        <w:t>This market in legal claims has attracted . . . private equity [and] hedge funds . . . looking for high-risk high-reward investments . . . .</w:t>
      </w:r>
      <w:r w:rsidR="00F71C95" w:rsidRPr="005D4990">
        <w:rPr>
          <w:rFonts w:cstheme="minorHAnsi"/>
        </w:rPr>
        <w:t>”</w:t>
      </w:r>
      <w:r w:rsidRPr="005D4990">
        <w:rPr>
          <w:rFonts w:cstheme="minorHAnsi"/>
        </w:rPr>
        <w:t>).</w:t>
      </w:r>
    </w:p>
  </w:footnote>
  <w:footnote w:id="8">
    <w:p w14:paraId="7EAFC0C6" w14:textId="2D649C02" w:rsidR="00AA13FC" w:rsidRPr="005D4990" w:rsidRDefault="00AA13FC"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t xml:space="preserve">Roy Strom, </w:t>
      </w:r>
      <w:r w:rsidRPr="005D4990">
        <w:rPr>
          <w:rFonts w:cstheme="minorHAnsi"/>
          <w:i/>
          <w:iCs/>
        </w:rPr>
        <w:t xml:space="preserve">Camp Lejeune Ads Surge Amid </w:t>
      </w:r>
      <w:r w:rsidR="00F71C95" w:rsidRPr="005D4990">
        <w:rPr>
          <w:rFonts w:cstheme="minorHAnsi"/>
          <w:i/>
          <w:iCs/>
        </w:rPr>
        <w:t>“</w:t>
      </w:r>
      <w:r w:rsidRPr="005D4990">
        <w:rPr>
          <w:rFonts w:cstheme="minorHAnsi"/>
          <w:i/>
          <w:iCs/>
        </w:rPr>
        <w:t>Wild West</w:t>
      </w:r>
      <w:r w:rsidR="00F71C95" w:rsidRPr="005D4990">
        <w:rPr>
          <w:rFonts w:cstheme="minorHAnsi"/>
          <w:i/>
          <w:iCs/>
        </w:rPr>
        <w:t>”</w:t>
      </w:r>
      <w:r w:rsidRPr="005D4990">
        <w:rPr>
          <w:rFonts w:cstheme="minorHAnsi"/>
          <w:i/>
          <w:iCs/>
        </w:rPr>
        <w:t xml:space="preserve"> of Legal Finance, Tech</w:t>
      </w:r>
      <w:r w:rsidRPr="005D4990">
        <w:rPr>
          <w:rFonts w:cstheme="minorHAnsi"/>
        </w:rPr>
        <w:t xml:space="preserve">, Bloomberg Law (Jan. 30, 2023), </w:t>
      </w:r>
      <w:r w:rsidR="009F7040" w:rsidRPr="005D4990">
        <w:rPr>
          <w:rFonts w:cstheme="minorHAnsi"/>
        </w:rPr>
        <w:t>https://news.bloomberglaw.com/business-and-practice/camp-lejeune-ads-surge-amid-wild-west-of-legal-finance-tech</w:t>
      </w:r>
      <w:r w:rsidRPr="005D4990">
        <w:rPr>
          <w:rFonts w:cstheme="minorHAnsi"/>
        </w:rPr>
        <w:t xml:space="preserve"> (such investors </w:t>
      </w:r>
      <w:r w:rsidR="00F71C95" w:rsidRPr="005D4990">
        <w:rPr>
          <w:rFonts w:cstheme="minorHAnsi"/>
        </w:rPr>
        <w:t>“</w:t>
      </w:r>
      <w:r w:rsidRPr="005D4990">
        <w:rPr>
          <w:rFonts w:cstheme="minorHAnsi"/>
        </w:rPr>
        <w:t>view mass torts as an increasingly lucrative asset class, and are likely to bet even more money on similar cases to diversify their holdings</w:t>
      </w:r>
      <w:r w:rsidR="00F71C95" w:rsidRPr="005D4990">
        <w:rPr>
          <w:rFonts w:cstheme="minorHAnsi"/>
        </w:rPr>
        <w:t>”</w:t>
      </w:r>
      <w:r w:rsidRPr="005D4990">
        <w:rPr>
          <w:rFonts w:cstheme="minorHAnsi"/>
        </w:rPr>
        <w:t>).</w:t>
      </w:r>
    </w:p>
  </w:footnote>
  <w:footnote w:id="9">
    <w:p w14:paraId="378372A7" w14:textId="77777777" w:rsidR="00AA13FC" w:rsidRPr="005D4990" w:rsidRDefault="00AA13FC"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r>
      <w:r w:rsidRPr="005D4990">
        <w:rPr>
          <w:rFonts w:cstheme="minorHAnsi"/>
          <w:i/>
          <w:iCs/>
        </w:rPr>
        <w:t>Id.</w:t>
      </w:r>
      <w:r w:rsidRPr="005D4990">
        <w:rPr>
          <w:rFonts w:cstheme="minorHAnsi"/>
        </w:rPr>
        <w:t xml:space="preserve"> </w:t>
      </w:r>
    </w:p>
  </w:footnote>
  <w:footnote w:id="10">
    <w:p w14:paraId="48D23AEC" w14:textId="77777777" w:rsidR="00AA13FC" w:rsidRPr="005D4990" w:rsidRDefault="00AA13FC"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r>
      <w:r w:rsidRPr="005D4990">
        <w:rPr>
          <w:rFonts w:cstheme="minorHAnsi"/>
          <w:i/>
          <w:iCs/>
        </w:rPr>
        <w:t>Id.</w:t>
      </w:r>
    </w:p>
  </w:footnote>
  <w:footnote w:id="11">
    <w:p w14:paraId="442B49CC" w14:textId="3A81584E" w:rsidR="00AA13FC" w:rsidRPr="005D4990" w:rsidRDefault="00AA13FC"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r>
      <w:r w:rsidRPr="005D4990">
        <w:rPr>
          <w:rFonts w:cstheme="minorHAnsi"/>
          <w:i/>
          <w:iCs/>
        </w:rPr>
        <w:t>See, e.g.</w:t>
      </w:r>
      <w:r w:rsidRPr="005D4990">
        <w:rPr>
          <w:rFonts w:cstheme="minorHAnsi"/>
        </w:rPr>
        <w:t xml:space="preserve">, Nate Raymond, </w:t>
      </w:r>
      <w:r w:rsidRPr="005D4990">
        <w:rPr>
          <w:rFonts w:cstheme="minorHAnsi"/>
          <w:i/>
          <w:iCs/>
        </w:rPr>
        <w:t>3M Owes $58 Million to Two Veterans in Latest Combat Earplug Trials</w:t>
      </w:r>
      <w:r w:rsidRPr="005D4990">
        <w:rPr>
          <w:rFonts w:cstheme="minorHAnsi"/>
        </w:rPr>
        <w:t xml:space="preserve">, Reuters (Mar. 26, 2022), https://www.reuters.com/legal/litigation/jury-says-3m-owes-50-mln-us-army-veteran-latest-earplug-trial-2022-03-25; Informational Brief of Aearo </w:t>
      </w:r>
      <w:r w:rsidR="00A25013" w:rsidRPr="005D4990">
        <w:rPr>
          <w:rFonts w:cstheme="minorHAnsi"/>
        </w:rPr>
        <w:t>Technologies</w:t>
      </w:r>
      <w:r w:rsidRPr="005D4990">
        <w:rPr>
          <w:rFonts w:cstheme="minorHAnsi"/>
        </w:rPr>
        <w:t xml:space="preserve"> LLC at 38, </w:t>
      </w:r>
      <w:r w:rsidRPr="005D4990">
        <w:rPr>
          <w:rFonts w:cstheme="minorHAnsi"/>
          <w:i/>
          <w:iCs/>
        </w:rPr>
        <w:t>In re Aearo Techs. LLC</w:t>
      </w:r>
      <w:r w:rsidRPr="005D4990">
        <w:rPr>
          <w:rFonts w:cstheme="minorHAnsi"/>
        </w:rPr>
        <w:t>, No. 22-02890-JJG-11, ECF No. 12 (S.D. Ind. July 26, 2022) (</w:t>
      </w:r>
      <w:r w:rsidR="00F71C95" w:rsidRPr="005D4990">
        <w:rPr>
          <w:rFonts w:cstheme="minorHAnsi"/>
        </w:rPr>
        <w:t>“</w:t>
      </w:r>
      <w:r w:rsidRPr="005D4990">
        <w:rPr>
          <w:rFonts w:cstheme="minorHAnsi"/>
        </w:rPr>
        <w:t>Aearo Informational Brief</w:t>
      </w:r>
      <w:r w:rsidR="00F71C95" w:rsidRPr="005D4990">
        <w:rPr>
          <w:rFonts w:cstheme="minorHAnsi"/>
        </w:rPr>
        <w:t>”</w:t>
      </w:r>
      <w:r w:rsidRPr="005D4990">
        <w:rPr>
          <w:rFonts w:cstheme="minorHAnsi"/>
        </w:rPr>
        <w:t xml:space="preserve">). </w:t>
      </w:r>
    </w:p>
  </w:footnote>
  <w:footnote w:id="12">
    <w:p w14:paraId="4BBAFDB0" w14:textId="6A07D073" w:rsidR="00AA13FC" w:rsidRPr="005D4990" w:rsidRDefault="00AA13FC"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r>
      <w:r w:rsidR="0043018B" w:rsidRPr="005D4990">
        <w:rPr>
          <w:rFonts w:cstheme="minorHAnsi"/>
        </w:rPr>
        <w:t xml:space="preserve">Roy Strom, </w:t>
      </w:r>
      <w:r w:rsidR="0043018B" w:rsidRPr="005D4990">
        <w:rPr>
          <w:rFonts w:cstheme="minorHAnsi"/>
          <w:i/>
          <w:iCs/>
        </w:rPr>
        <w:t xml:space="preserve">Camp Lejeune Ads Surge Amid </w:t>
      </w:r>
      <w:r w:rsidR="00F71C95" w:rsidRPr="005D4990">
        <w:rPr>
          <w:rFonts w:cstheme="minorHAnsi"/>
          <w:i/>
          <w:iCs/>
        </w:rPr>
        <w:t>“</w:t>
      </w:r>
      <w:r w:rsidR="0043018B" w:rsidRPr="005D4990">
        <w:rPr>
          <w:rFonts w:cstheme="minorHAnsi"/>
          <w:i/>
          <w:iCs/>
        </w:rPr>
        <w:t>Wild West</w:t>
      </w:r>
      <w:r w:rsidR="00F71C95" w:rsidRPr="005D4990">
        <w:rPr>
          <w:rFonts w:cstheme="minorHAnsi"/>
          <w:i/>
          <w:iCs/>
        </w:rPr>
        <w:t>”</w:t>
      </w:r>
      <w:r w:rsidR="0043018B" w:rsidRPr="005D4990">
        <w:rPr>
          <w:rFonts w:cstheme="minorHAnsi"/>
          <w:i/>
          <w:iCs/>
        </w:rPr>
        <w:t xml:space="preserve"> of Legal Finance, Tech</w:t>
      </w:r>
      <w:r w:rsidR="0043018B" w:rsidRPr="005D4990">
        <w:rPr>
          <w:rFonts w:cstheme="minorHAnsi"/>
        </w:rPr>
        <w:t>, Bloomberg Law (Jan. 30, 2023), https://news.bloomberglaw.com/business-and-practice/camp-lejeune-ads-surge-amid-wild-west-of-legal-finance-tech</w:t>
      </w:r>
      <w:r w:rsidRPr="005D4990">
        <w:rPr>
          <w:rFonts w:cstheme="minorHAnsi"/>
        </w:rPr>
        <w:t>.</w:t>
      </w:r>
    </w:p>
  </w:footnote>
  <w:footnote w:id="13">
    <w:p w14:paraId="5FA315F6" w14:textId="4A0E801C" w:rsidR="00AA13FC" w:rsidRPr="005D4990" w:rsidRDefault="00AA13FC"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00A05088" w:rsidRPr="005D4990">
        <w:rPr>
          <w:rFonts w:cstheme="minorHAnsi"/>
        </w:rPr>
        <w:tab/>
      </w:r>
      <w:r w:rsidRPr="005D4990">
        <w:rPr>
          <w:rFonts w:cstheme="minorHAnsi"/>
        </w:rPr>
        <w:t>National Institute on Deafness and Other Communications Disorders, Tinnitus,</w:t>
      </w:r>
      <w:r w:rsidRPr="005D4990">
        <w:rPr>
          <w:rFonts w:cstheme="minorHAnsi"/>
          <w:i/>
          <w:iCs/>
        </w:rPr>
        <w:t xml:space="preserve"> </w:t>
      </w:r>
      <w:r w:rsidRPr="005D4990">
        <w:rPr>
          <w:rFonts w:cstheme="minorHAnsi"/>
        </w:rPr>
        <w:t>https://www.nidcd.nih.gov/</w:t>
      </w:r>
      <w:r w:rsidR="004249C1" w:rsidRPr="005D4990">
        <w:rPr>
          <w:rFonts w:cstheme="minorHAnsi"/>
        </w:rPr>
        <w:t>‌</w:t>
      </w:r>
      <w:r w:rsidRPr="005D4990">
        <w:rPr>
          <w:rFonts w:cstheme="minorHAnsi"/>
        </w:rPr>
        <w:t>health/tinnitus</w:t>
      </w:r>
      <w:r w:rsidR="002C609D" w:rsidRPr="005D4990">
        <w:rPr>
          <w:rFonts w:cstheme="minorHAnsi"/>
        </w:rPr>
        <w:t>.</w:t>
      </w:r>
    </w:p>
  </w:footnote>
  <w:footnote w:id="14">
    <w:p w14:paraId="4B68BEE9" w14:textId="53AE85EE" w:rsidR="00C8239F" w:rsidRPr="005D4990" w:rsidRDefault="00C8239F"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r>
      <w:bookmarkStart w:id="0" w:name="_Hlk195524080"/>
      <w:r w:rsidRPr="005D4990">
        <w:rPr>
          <w:rFonts w:cstheme="minorHAnsi"/>
        </w:rPr>
        <w:t>Mont. Code Ann. § 31-4-108</w:t>
      </w:r>
      <w:bookmarkEnd w:id="0"/>
      <w:r w:rsidRPr="005D4990">
        <w:rPr>
          <w:rFonts w:cstheme="minorHAnsi"/>
        </w:rPr>
        <w:t>.</w:t>
      </w:r>
    </w:p>
  </w:footnote>
  <w:footnote w:id="15">
    <w:p w14:paraId="0C70C4F1" w14:textId="3DE0F7ED" w:rsidR="00C8239F" w:rsidRPr="005D4990" w:rsidRDefault="00C8239F"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r>
      <w:bookmarkStart w:id="1" w:name="_Hlk195524089"/>
      <w:r w:rsidRPr="005D4990">
        <w:rPr>
          <w:rFonts w:cstheme="minorHAnsi"/>
        </w:rPr>
        <w:t xml:space="preserve">W. Va. Code Ann. § 46A-6N-6; Wis. </w:t>
      </w:r>
      <w:r w:rsidR="001833B6" w:rsidRPr="005D4990">
        <w:rPr>
          <w:rFonts w:cstheme="minorHAnsi"/>
        </w:rPr>
        <w:t>Stat. Ann.</w:t>
      </w:r>
      <w:r w:rsidRPr="005D4990">
        <w:rPr>
          <w:rFonts w:cstheme="minorHAnsi"/>
        </w:rPr>
        <w:t xml:space="preserve"> § 804.01(2)(bg)</w:t>
      </w:r>
      <w:bookmarkEnd w:id="1"/>
      <w:r w:rsidRPr="005D4990">
        <w:rPr>
          <w:rFonts w:cstheme="minorHAnsi"/>
        </w:rPr>
        <w:t>.</w:t>
      </w:r>
    </w:p>
  </w:footnote>
  <w:footnote w:id="16">
    <w:p w14:paraId="5D40124A" w14:textId="3442117B" w:rsidR="00C8239F" w:rsidRPr="005D4990" w:rsidRDefault="00C8239F"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r>
      <w:bookmarkStart w:id="2" w:name="_Hlk195524097"/>
      <w:r w:rsidRPr="005D4990">
        <w:rPr>
          <w:rFonts w:cstheme="minorHAnsi"/>
        </w:rPr>
        <w:t>Ind. Code Ann. § 24-12-3-1</w:t>
      </w:r>
      <w:bookmarkEnd w:id="2"/>
      <w:r w:rsidRPr="005D4990">
        <w:rPr>
          <w:rFonts w:cstheme="minorHAnsi"/>
        </w:rPr>
        <w:t xml:space="preserve">. </w:t>
      </w:r>
      <w:r w:rsidR="00B036B5" w:rsidRPr="005D4990">
        <w:rPr>
          <w:rFonts w:cstheme="minorHAnsi"/>
        </w:rPr>
        <w:tab/>
      </w:r>
    </w:p>
  </w:footnote>
  <w:footnote w:id="17">
    <w:p w14:paraId="72B6E104" w14:textId="66A36754" w:rsidR="00C8239F" w:rsidRPr="005D4990" w:rsidRDefault="00C8239F"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r>
      <w:r w:rsidR="00A50E6E">
        <w:rPr>
          <w:rFonts w:cstheme="minorHAnsi"/>
        </w:rPr>
        <w:t>Ga. S.B. 69 (effective Jan. 1, 2026)</w:t>
      </w:r>
      <w:r w:rsidR="0066195E" w:rsidRPr="005D4990">
        <w:rPr>
          <w:rFonts w:cstheme="minorHAnsi"/>
        </w:rPr>
        <w:t>.</w:t>
      </w:r>
    </w:p>
  </w:footnote>
  <w:footnote w:id="18">
    <w:p w14:paraId="627FCF87" w14:textId="4195651A" w:rsidR="00315E17" w:rsidRPr="005D4990" w:rsidRDefault="00315E17"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r>
      <w:r w:rsidR="00337994" w:rsidRPr="005D4990">
        <w:rPr>
          <w:rFonts w:cstheme="minorHAnsi"/>
        </w:rPr>
        <w:t>Notably,</w:t>
      </w:r>
      <w:r w:rsidRPr="005D4990">
        <w:rPr>
          <w:rFonts w:cstheme="minorHAnsi"/>
        </w:rPr>
        <w:t xml:space="preserve"> the Arizona legislature is considering </w:t>
      </w:r>
      <w:r w:rsidR="00185155" w:rsidRPr="005D4990">
        <w:rPr>
          <w:rFonts w:cstheme="minorHAnsi"/>
        </w:rPr>
        <w:t>two distinct</w:t>
      </w:r>
      <w:r w:rsidRPr="005D4990">
        <w:rPr>
          <w:rFonts w:cstheme="minorHAnsi"/>
        </w:rPr>
        <w:t xml:space="preserve"> bills </w:t>
      </w:r>
      <w:r w:rsidR="00381028">
        <w:rPr>
          <w:rFonts w:cstheme="minorHAnsi"/>
        </w:rPr>
        <w:t xml:space="preserve">related to </w:t>
      </w:r>
      <w:r w:rsidRPr="005D4990">
        <w:rPr>
          <w:rFonts w:cstheme="minorHAnsi"/>
        </w:rPr>
        <w:t xml:space="preserve"> transparency around TPLF.  </w:t>
      </w:r>
      <w:r w:rsidRPr="005D4990">
        <w:rPr>
          <w:rFonts w:cstheme="minorHAnsi"/>
          <w:i/>
          <w:iCs/>
        </w:rPr>
        <w:t xml:space="preserve">See </w:t>
      </w:r>
      <w:r w:rsidR="00E91E05" w:rsidRPr="005D4990">
        <w:rPr>
          <w:rFonts w:cstheme="minorHAnsi"/>
        </w:rPr>
        <w:t>Kiera</w:t>
      </w:r>
      <w:r w:rsidRPr="005D4990">
        <w:rPr>
          <w:rFonts w:cstheme="minorHAnsi"/>
        </w:rPr>
        <w:t xml:space="preserve"> Riley, </w:t>
      </w:r>
      <w:r w:rsidRPr="005D4990">
        <w:rPr>
          <w:rFonts w:cstheme="minorHAnsi"/>
          <w:i/>
          <w:iCs/>
        </w:rPr>
        <w:t xml:space="preserve">Competing </w:t>
      </w:r>
      <w:r w:rsidR="00E91E05" w:rsidRPr="005D4990">
        <w:rPr>
          <w:rFonts w:cstheme="minorHAnsi"/>
          <w:i/>
          <w:iCs/>
        </w:rPr>
        <w:t>B</w:t>
      </w:r>
      <w:r w:rsidRPr="005D4990">
        <w:rPr>
          <w:rFonts w:cstheme="minorHAnsi"/>
          <w:i/>
          <w:iCs/>
        </w:rPr>
        <w:t xml:space="preserve">ills </w:t>
      </w:r>
      <w:r w:rsidR="00E91E05" w:rsidRPr="005D4990">
        <w:rPr>
          <w:rFonts w:cstheme="minorHAnsi"/>
          <w:i/>
          <w:iCs/>
        </w:rPr>
        <w:t>F</w:t>
      </w:r>
      <w:r w:rsidRPr="005D4990">
        <w:rPr>
          <w:rFonts w:cstheme="minorHAnsi"/>
          <w:i/>
          <w:iCs/>
        </w:rPr>
        <w:t xml:space="preserve">ocus on </w:t>
      </w:r>
      <w:r w:rsidR="00E91E05" w:rsidRPr="005D4990">
        <w:rPr>
          <w:rFonts w:cstheme="minorHAnsi"/>
          <w:i/>
          <w:iCs/>
        </w:rPr>
        <w:t>I</w:t>
      </w:r>
      <w:r w:rsidRPr="005D4990">
        <w:rPr>
          <w:rFonts w:cstheme="minorHAnsi"/>
          <w:i/>
          <w:iCs/>
        </w:rPr>
        <w:t xml:space="preserve">dentifying </w:t>
      </w:r>
      <w:r w:rsidR="00E91E05" w:rsidRPr="005D4990">
        <w:rPr>
          <w:rFonts w:cstheme="minorHAnsi"/>
          <w:i/>
          <w:iCs/>
        </w:rPr>
        <w:t>T</w:t>
      </w:r>
      <w:r w:rsidRPr="005D4990">
        <w:rPr>
          <w:rFonts w:cstheme="minorHAnsi"/>
          <w:i/>
          <w:iCs/>
        </w:rPr>
        <w:t>hird-</w:t>
      </w:r>
      <w:r w:rsidR="00E91E05" w:rsidRPr="005D4990">
        <w:rPr>
          <w:rFonts w:cstheme="minorHAnsi"/>
          <w:i/>
          <w:iCs/>
        </w:rPr>
        <w:t>P</w:t>
      </w:r>
      <w:r w:rsidRPr="005D4990">
        <w:rPr>
          <w:rFonts w:cstheme="minorHAnsi"/>
          <w:i/>
          <w:iCs/>
        </w:rPr>
        <w:t xml:space="preserve">arty </w:t>
      </w:r>
      <w:r w:rsidR="00E91E05" w:rsidRPr="005D4990">
        <w:rPr>
          <w:rFonts w:cstheme="minorHAnsi"/>
          <w:i/>
          <w:iCs/>
        </w:rPr>
        <w:t>F</w:t>
      </w:r>
      <w:r w:rsidRPr="005D4990">
        <w:rPr>
          <w:rFonts w:cstheme="minorHAnsi"/>
          <w:i/>
          <w:iCs/>
        </w:rPr>
        <w:t xml:space="preserve">unders of </w:t>
      </w:r>
      <w:r w:rsidR="00E91E05" w:rsidRPr="005D4990">
        <w:rPr>
          <w:rFonts w:cstheme="minorHAnsi"/>
          <w:i/>
          <w:iCs/>
        </w:rPr>
        <w:t>L</w:t>
      </w:r>
      <w:r w:rsidRPr="005D4990">
        <w:rPr>
          <w:rFonts w:cstheme="minorHAnsi"/>
          <w:i/>
          <w:iCs/>
        </w:rPr>
        <w:t>awsuits</w:t>
      </w:r>
      <w:r w:rsidRPr="005D4990">
        <w:rPr>
          <w:rFonts w:cstheme="minorHAnsi"/>
        </w:rPr>
        <w:t xml:space="preserve">, </w:t>
      </w:r>
      <w:r w:rsidR="00E91E05" w:rsidRPr="005D4990">
        <w:rPr>
          <w:rFonts w:cstheme="minorHAnsi"/>
        </w:rPr>
        <w:t>Arizona Capitol Times (</w:t>
      </w:r>
      <w:r w:rsidRPr="005D4990">
        <w:rPr>
          <w:rFonts w:cstheme="minorHAnsi"/>
        </w:rPr>
        <w:t>Apr. 5, 2025</w:t>
      </w:r>
      <w:r w:rsidR="00E91E05" w:rsidRPr="005D4990">
        <w:rPr>
          <w:rFonts w:cstheme="minorHAnsi"/>
        </w:rPr>
        <w:t>)</w:t>
      </w:r>
      <w:r w:rsidRPr="005D4990">
        <w:rPr>
          <w:rFonts w:cstheme="minorHAnsi"/>
        </w:rPr>
        <w:t xml:space="preserve">, https://azcapitoltimes.com/news/2025/04/05/competing-bills-focus-on-identifying-third-party-funders-of-lawsuits/.  However, that should not dissuade the </w:t>
      </w:r>
      <w:r w:rsidR="00AB6252" w:rsidRPr="005D4990">
        <w:rPr>
          <w:rFonts w:cstheme="minorHAnsi"/>
        </w:rPr>
        <w:t>C</w:t>
      </w:r>
      <w:r w:rsidRPr="005D4990">
        <w:rPr>
          <w:rFonts w:cstheme="minorHAnsi"/>
        </w:rPr>
        <w:t xml:space="preserve">ourt from proceeding as it sees fit with respect to amending Rule 8.  </w:t>
      </w:r>
    </w:p>
  </w:footnote>
  <w:footnote w:id="19">
    <w:p w14:paraId="3C30584F" w14:textId="53487E48" w:rsidR="003F65BC" w:rsidRPr="005D4990" w:rsidRDefault="003F65BC"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t>Ariz. R. Civ. P. 17(b)(1).</w:t>
      </w:r>
    </w:p>
  </w:footnote>
  <w:footnote w:id="20">
    <w:p w14:paraId="69481F3B" w14:textId="7C4F19EC" w:rsidR="00AA13FC" w:rsidRPr="005D4990" w:rsidRDefault="00AA13FC"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r>
      <w:bookmarkStart w:id="4" w:name="_Hlk195524141"/>
      <w:r w:rsidR="009A6E6E" w:rsidRPr="005D4990">
        <w:rPr>
          <w:rFonts w:eastAsia="Times New Roman" w:cstheme="minorHAnsi"/>
          <w:i/>
          <w:lang w:eastAsia="en-US"/>
        </w:rPr>
        <w:t>Boling v. Prospect Funding Holdings, LLC</w:t>
      </w:r>
      <w:r w:rsidR="009A6E6E" w:rsidRPr="005D4990">
        <w:rPr>
          <w:rFonts w:eastAsia="Times New Roman" w:cstheme="minorHAnsi"/>
          <w:lang w:eastAsia="en-US"/>
        </w:rPr>
        <w:t xml:space="preserve">, </w:t>
      </w:r>
      <w:r w:rsidRPr="005D4990">
        <w:rPr>
          <w:rFonts w:cstheme="minorHAnsi"/>
        </w:rPr>
        <w:t>771 F. App</w:t>
      </w:r>
      <w:r w:rsidR="00F71C95" w:rsidRPr="005D4990">
        <w:rPr>
          <w:rFonts w:cstheme="minorHAnsi"/>
        </w:rPr>
        <w:t>’</w:t>
      </w:r>
      <w:r w:rsidRPr="005D4990">
        <w:rPr>
          <w:rFonts w:cstheme="minorHAnsi"/>
        </w:rPr>
        <w:t>x 562</w:t>
      </w:r>
      <w:bookmarkEnd w:id="4"/>
      <w:r w:rsidRPr="005D4990">
        <w:rPr>
          <w:rFonts w:cstheme="minorHAnsi"/>
        </w:rPr>
        <w:t>, 579 (6th Cir. 2019).</w:t>
      </w:r>
    </w:p>
  </w:footnote>
  <w:footnote w:id="21">
    <w:p w14:paraId="0EE30D3A" w14:textId="3C8BA00A" w:rsidR="00AA13FC" w:rsidRPr="005D4990" w:rsidRDefault="00AA13FC"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t>Purchase Agreement (</w:t>
      </w:r>
      <w:r w:rsidR="00F71C95" w:rsidRPr="005D4990">
        <w:rPr>
          <w:rFonts w:cstheme="minorHAnsi"/>
        </w:rPr>
        <w:t>“</w:t>
      </w:r>
      <w:r w:rsidRPr="005D4990">
        <w:rPr>
          <w:rFonts w:cstheme="minorHAnsi"/>
          <w:i/>
        </w:rPr>
        <w:t>Boling</w:t>
      </w:r>
      <w:r w:rsidRPr="005D4990">
        <w:rPr>
          <w:rFonts w:cstheme="minorHAnsi"/>
        </w:rPr>
        <w:t xml:space="preserve"> Purchase Agreement</w:t>
      </w:r>
      <w:r w:rsidR="00F71C95" w:rsidRPr="005D4990">
        <w:rPr>
          <w:rFonts w:cstheme="minorHAnsi"/>
        </w:rPr>
        <w:t>”</w:t>
      </w:r>
      <w:r w:rsidRPr="005D4990">
        <w:rPr>
          <w:rFonts w:cstheme="minorHAnsi"/>
        </w:rPr>
        <w:t xml:space="preserve">) § 6.1, </w:t>
      </w:r>
      <w:r w:rsidRPr="005D4990">
        <w:rPr>
          <w:rFonts w:cstheme="minorHAnsi"/>
          <w:i/>
        </w:rPr>
        <w:t>Boling v. Prospect Funding Holdings, LLC</w:t>
      </w:r>
      <w:r w:rsidRPr="005D4990">
        <w:rPr>
          <w:rFonts w:cstheme="minorHAnsi"/>
        </w:rPr>
        <w:t xml:space="preserve">, No. 1:14-CV-00081-GNS-HBB, </w:t>
      </w:r>
      <w:r w:rsidR="002F7C0D" w:rsidRPr="005D4990">
        <w:rPr>
          <w:rFonts w:cstheme="minorHAnsi"/>
        </w:rPr>
        <w:t>ECF No.</w:t>
      </w:r>
      <w:r w:rsidRPr="005D4990">
        <w:rPr>
          <w:rFonts w:cstheme="minorHAnsi"/>
        </w:rPr>
        <w:t xml:space="preserve"> 1-3 (Ex. C to Compl.) (W.D. Ky. filed June 19, 2014); </w:t>
      </w:r>
      <w:r w:rsidRPr="005D4990">
        <w:rPr>
          <w:rFonts w:cstheme="minorHAnsi"/>
          <w:i/>
        </w:rPr>
        <w:t>see generally</w:t>
      </w:r>
      <w:r w:rsidRPr="005D4990">
        <w:rPr>
          <w:rFonts w:cstheme="minorHAnsi"/>
        </w:rPr>
        <w:t xml:space="preserve"> </w:t>
      </w:r>
      <w:r w:rsidRPr="005D4990">
        <w:rPr>
          <w:rFonts w:cstheme="minorHAnsi"/>
          <w:i/>
        </w:rPr>
        <w:t>Boling v. Prospect Funding Holdings, LLC</w:t>
      </w:r>
      <w:r w:rsidRPr="005D4990">
        <w:rPr>
          <w:rFonts w:cstheme="minorHAnsi"/>
        </w:rPr>
        <w:t xml:space="preserve">, No. 1:14-CV-00081-GNS-HBB, </w:t>
      </w:r>
      <w:bookmarkStart w:id="5" w:name="_Hlk195524147"/>
      <w:r w:rsidRPr="005D4990">
        <w:rPr>
          <w:rFonts w:cstheme="minorHAnsi"/>
        </w:rPr>
        <w:t>2017 U.S. Dist. LEXIS 48098</w:t>
      </w:r>
      <w:bookmarkEnd w:id="5"/>
      <w:r w:rsidRPr="005D4990">
        <w:rPr>
          <w:rFonts w:cstheme="minorHAnsi"/>
        </w:rPr>
        <w:t xml:space="preserve"> (W.D. Ky. Mar. 30, 2017)</w:t>
      </w:r>
      <w:r w:rsidR="009A6E6E" w:rsidRPr="005D4990">
        <w:rPr>
          <w:rFonts w:cstheme="minorHAnsi"/>
        </w:rPr>
        <w:t xml:space="preserve">, </w:t>
      </w:r>
      <w:r w:rsidR="009A6E6E" w:rsidRPr="005D4990">
        <w:rPr>
          <w:rFonts w:cstheme="minorHAnsi"/>
          <w:i/>
          <w:iCs/>
        </w:rPr>
        <w:t>aff</w:t>
      </w:r>
      <w:r w:rsidR="00F71C95" w:rsidRPr="005D4990">
        <w:rPr>
          <w:rFonts w:cstheme="minorHAnsi"/>
          <w:i/>
          <w:iCs/>
        </w:rPr>
        <w:t>’</w:t>
      </w:r>
      <w:r w:rsidR="009A6E6E" w:rsidRPr="005D4990">
        <w:rPr>
          <w:rFonts w:cstheme="minorHAnsi"/>
          <w:i/>
          <w:iCs/>
        </w:rPr>
        <w:t>d</w:t>
      </w:r>
      <w:r w:rsidR="009A6E6E" w:rsidRPr="005D4990">
        <w:rPr>
          <w:rFonts w:cstheme="minorHAnsi"/>
        </w:rPr>
        <w:t>, 771 F. App</w:t>
      </w:r>
      <w:r w:rsidR="00F71C95" w:rsidRPr="005D4990">
        <w:rPr>
          <w:rFonts w:cstheme="minorHAnsi"/>
        </w:rPr>
        <w:t>’</w:t>
      </w:r>
      <w:r w:rsidR="009A6E6E" w:rsidRPr="005D4990">
        <w:rPr>
          <w:rFonts w:cstheme="minorHAnsi"/>
        </w:rPr>
        <w:t>x 562 (6th Cir. 2019)</w:t>
      </w:r>
      <w:r w:rsidRPr="005D4990">
        <w:rPr>
          <w:rFonts w:cstheme="minorHAnsi"/>
        </w:rPr>
        <w:t>.</w:t>
      </w:r>
    </w:p>
  </w:footnote>
  <w:footnote w:id="22">
    <w:p w14:paraId="377F2809" w14:textId="77777777" w:rsidR="00AA13FC" w:rsidRPr="005D4990" w:rsidRDefault="00AA13FC"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r>
      <w:r w:rsidRPr="005D4990">
        <w:rPr>
          <w:rFonts w:cstheme="minorHAnsi"/>
          <w:i/>
        </w:rPr>
        <w:t>Boling</w:t>
      </w:r>
      <w:r w:rsidRPr="005D4990">
        <w:rPr>
          <w:rFonts w:cstheme="minorHAnsi"/>
        </w:rPr>
        <w:t xml:space="preserve"> Purchase Agreement at 1.</w:t>
      </w:r>
    </w:p>
  </w:footnote>
  <w:footnote w:id="23">
    <w:p w14:paraId="242FC36D" w14:textId="6B200642" w:rsidR="00AA13FC" w:rsidRPr="005D4990" w:rsidRDefault="00AA13FC"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r>
      <w:r w:rsidRPr="005D4990">
        <w:rPr>
          <w:rFonts w:cstheme="minorHAnsi"/>
          <w:i/>
        </w:rPr>
        <w:t>Boling</w:t>
      </w:r>
      <w:r w:rsidRPr="005D4990">
        <w:rPr>
          <w:rFonts w:cstheme="minorHAnsi"/>
        </w:rPr>
        <w:t>, 771 F. App</w:t>
      </w:r>
      <w:r w:rsidR="00F71C95" w:rsidRPr="005D4990">
        <w:rPr>
          <w:rFonts w:cstheme="minorHAnsi"/>
        </w:rPr>
        <w:t>’</w:t>
      </w:r>
      <w:r w:rsidRPr="005D4990">
        <w:rPr>
          <w:rFonts w:cstheme="minorHAnsi"/>
        </w:rPr>
        <w:t>x at 580.</w:t>
      </w:r>
    </w:p>
  </w:footnote>
  <w:footnote w:id="24">
    <w:p w14:paraId="5769047D" w14:textId="77777777" w:rsidR="00AA13FC" w:rsidRPr="005D4990" w:rsidRDefault="00AA13FC"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r>
      <w:r w:rsidRPr="005D4990">
        <w:rPr>
          <w:rFonts w:cstheme="minorHAnsi"/>
          <w:i/>
          <w:iCs/>
        </w:rPr>
        <w:t>See</w:t>
      </w:r>
      <w:r w:rsidRPr="005D4990">
        <w:rPr>
          <w:rFonts w:cstheme="minorHAnsi"/>
        </w:rPr>
        <w:t xml:space="preserve"> ABA, </w:t>
      </w:r>
      <w:r w:rsidRPr="005D4990">
        <w:rPr>
          <w:rFonts w:cstheme="minorHAnsi"/>
          <w:i/>
          <w:iCs/>
        </w:rPr>
        <w:t>Best Practices for Third-Party Litigation Funding</w:t>
      </w:r>
      <w:r w:rsidRPr="005D4990">
        <w:rPr>
          <w:rFonts w:cstheme="minorHAnsi"/>
        </w:rPr>
        <w:t>, at 11, 12, 13, 15 (Aug. 2020), https://www.americanbar.org/content/dam/aba/directories/policy/annual-2020/111a-annual-2020.pdf.</w:t>
      </w:r>
      <w:r w:rsidRPr="005D4990" w:rsidDel="005C40B2">
        <w:rPr>
          <w:rFonts w:cstheme="minorHAnsi"/>
        </w:rPr>
        <w:t xml:space="preserve"> </w:t>
      </w:r>
    </w:p>
  </w:footnote>
  <w:footnote w:id="25">
    <w:p w14:paraId="7CAE43F2" w14:textId="6A715928" w:rsidR="00A50E6E" w:rsidRDefault="00A50E6E" w:rsidP="001B2DBB">
      <w:pPr>
        <w:pStyle w:val="FootnoteText"/>
        <w:spacing w:after="120"/>
        <w:ind w:left="0" w:firstLine="0"/>
      </w:pPr>
      <w:r>
        <w:rPr>
          <w:rStyle w:val="FootnoteReference"/>
        </w:rPr>
        <w:footnoteRef/>
      </w:r>
      <w:r>
        <w:t xml:space="preserve"> </w:t>
      </w:r>
      <w:r>
        <w:tab/>
      </w:r>
      <w:r w:rsidRPr="00A50E6E">
        <w:t>For example, according to a Bloomberg News article, Arizona-based Pravati Capital includes in its TPLF contracts triggers for immediate repayment obligations if any case in a funded</w:t>
      </w:r>
      <w:r>
        <w:t xml:space="preserve"> </w:t>
      </w:r>
      <w:r w:rsidRPr="00A50E6E">
        <w:t xml:space="preserve">portfolio is settled, a situation that could cause </w:t>
      </w:r>
      <w:r w:rsidRPr="00A50E6E">
        <w:rPr>
          <w:rFonts w:cstheme="minorHAnsi"/>
        </w:rPr>
        <w:t>attorneys</w:t>
      </w:r>
      <w:r w:rsidRPr="00A50E6E">
        <w:t xml:space="preserve"> to </w:t>
      </w:r>
      <w:r w:rsidR="002357EB">
        <w:t xml:space="preserve">accelerate or delay </w:t>
      </w:r>
      <w:r w:rsidRPr="00A50E6E">
        <w:t xml:space="preserve">settlements in a manner that </w:t>
      </w:r>
      <w:r w:rsidR="00DE2E87">
        <w:t xml:space="preserve">is </w:t>
      </w:r>
      <w:r w:rsidRPr="00A50E6E">
        <w:t xml:space="preserve">not necessarily in the best interests of their clients. </w:t>
      </w:r>
      <w:r>
        <w:t xml:space="preserve"> </w:t>
      </w:r>
      <w:r w:rsidRPr="00A50E6E">
        <w:rPr>
          <w:lang w:val="x-none"/>
        </w:rPr>
        <w:t xml:space="preserve">Valerie Bauman </w:t>
      </w:r>
      <w:r>
        <w:rPr>
          <w:lang w:val="x-none"/>
        </w:rPr>
        <w:t>&amp;</w:t>
      </w:r>
      <w:r w:rsidRPr="00A50E6E">
        <w:rPr>
          <w:lang w:val="x-none"/>
        </w:rPr>
        <w:t xml:space="preserve"> Roy Strom</w:t>
      </w:r>
      <w:r>
        <w:rPr>
          <w:lang w:val="x-none"/>
        </w:rPr>
        <w:t xml:space="preserve">, </w:t>
      </w:r>
      <w:r w:rsidRPr="001B2DBB">
        <w:rPr>
          <w:i/>
          <w:iCs/>
          <w:lang w:val="x-none"/>
        </w:rPr>
        <w:t>Clients Cry Foul Over Litigious Litigation Finance Company</w:t>
      </w:r>
      <w:r>
        <w:rPr>
          <w:lang w:val="x-none"/>
        </w:rPr>
        <w:t xml:space="preserve"> (Nov. 17, 2021), </w:t>
      </w:r>
      <w:hyperlink r:id="rId1" w:history="1">
        <w:r w:rsidRPr="00A50E6E">
          <w:rPr>
            <w:rStyle w:val="Hyperlink"/>
          </w:rPr>
          <w:t>https://news.bloomberglaw.com/business-and-practice/clients-cry-foul-over-litigious-litigation-finance-company</w:t>
        </w:r>
      </w:hyperlink>
      <w:r>
        <w:rPr>
          <w:lang w:val="x-none"/>
        </w:rPr>
        <w:t xml:space="preserve">.  </w:t>
      </w:r>
      <w:r w:rsidRPr="00A50E6E">
        <w:t xml:space="preserve">That article also asserts that Pravati </w:t>
      </w:r>
      <w:r w:rsidR="00AE0BBD">
        <w:t xml:space="preserve">TPLF </w:t>
      </w:r>
      <w:r w:rsidRPr="00A50E6E">
        <w:t xml:space="preserve">contracts require firms to provide regular financial and case reports </w:t>
      </w:r>
      <w:r w:rsidR="00DE2E87">
        <w:t xml:space="preserve">to Pravati </w:t>
      </w:r>
      <w:r w:rsidRPr="00A50E6E">
        <w:t xml:space="preserve">about matters that are funded.  If those reports are not timely provided, according to Bloomberg, that “default” may trigger immediate repayment obligations, </w:t>
      </w:r>
      <w:r w:rsidR="00C85A41">
        <w:t xml:space="preserve">providing Pravati with </w:t>
      </w:r>
      <w:r w:rsidRPr="00A50E6E">
        <w:t>leverage to exercise control over funded litigation matters.</w:t>
      </w:r>
      <w:r>
        <w:t xml:space="preserve">  These provisions of the </w:t>
      </w:r>
      <w:r w:rsidR="00580C7B">
        <w:t xml:space="preserve">Pravati </w:t>
      </w:r>
      <w:r>
        <w:t xml:space="preserve">TPLF </w:t>
      </w:r>
      <w:r w:rsidR="00580C7B">
        <w:t xml:space="preserve">agreements came </w:t>
      </w:r>
      <w:r>
        <w:t xml:space="preserve">to light </w:t>
      </w:r>
      <w:r w:rsidR="00580C7B">
        <w:t xml:space="preserve">only </w:t>
      </w:r>
      <w:r>
        <w:t xml:space="preserve">as a result of a dispute between Pravati and a law firm about the underlying agreement. </w:t>
      </w:r>
    </w:p>
  </w:footnote>
  <w:footnote w:id="26">
    <w:p w14:paraId="72DE0BB8" w14:textId="0164B3BA" w:rsidR="00AA13FC" w:rsidRPr="005D4990" w:rsidRDefault="00AA13FC"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r>
      <w:r w:rsidRPr="005D4990">
        <w:rPr>
          <w:rFonts w:cstheme="minorHAnsi"/>
          <w:i/>
          <w:iCs/>
        </w:rPr>
        <w:t>In re Pork Antitrust Litig</w:t>
      </w:r>
      <w:r w:rsidRPr="005D4990">
        <w:rPr>
          <w:rFonts w:cstheme="minorHAnsi"/>
        </w:rPr>
        <w:t xml:space="preserve">., MDL </w:t>
      </w:r>
      <w:r w:rsidR="009A6E6E" w:rsidRPr="005D4990">
        <w:rPr>
          <w:rFonts w:cstheme="minorHAnsi"/>
        </w:rPr>
        <w:t xml:space="preserve">No. </w:t>
      </w:r>
      <w:r w:rsidRPr="005D4990">
        <w:rPr>
          <w:rFonts w:cstheme="minorHAnsi"/>
        </w:rPr>
        <w:t xml:space="preserve">3031, </w:t>
      </w:r>
      <w:bookmarkStart w:id="6" w:name="_Hlk195524150"/>
      <w:r w:rsidRPr="005D4990">
        <w:rPr>
          <w:rFonts w:cstheme="minorHAnsi"/>
        </w:rPr>
        <w:t>2024 U.S. Dist. LEXIS 97801</w:t>
      </w:r>
      <w:bookmarkEnd w:id="6"/>
      <w:r w:rsidRPr="005D4990">
        <w:rPr>
          <w:rFonts w:cstheme="minorHAnsi"/>
        </w:rPr>
        <w:t>, at *5 (D. Minn. June 3, 2024).</w:t>
      </w:r>
      <w:r w:rsidRPr="005D4990" w:rsidDel="00D332E4">
        <w:rPr>
          <w:rFonts w:cstheme="minorHAnsi"/>
        </w:rPr>
        <w:t xml:space="preserve"> </w:t>
      </w:r>
    </w:p>
  </w:footnote>
  <w:footnote w:id="27">
    <w:p w14:paraId="4B7489A7" w14:textId="45E6EA55" w:rsidR="00AA13FC" w:rsidRPr="005D4990" w:rsidRDefault="00AA13FC"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r>
      <w:r w:rsidRPr="005D4990">
        <w:rPr>
          <w:rFonts w:cstheme="minorHAnsi"/>
          <w:i/>
          <w:iCs/>
        </w:rPr>
        <w:t>See</w:t>
      </w:r>
      <w:r w:rsidRPr="005D4990">
        <w:rPr>
          <w:rFonts w:cstheme="minorHAnsi"/>
        </w:rPr>
        <w:t xml:space="preserve"> </w:t>
      </w:r>
      <w:r w:rsidR="009A6E6E" w:rsidRPr="005D4990">
        <w:rPr>
          <w:rFonts w:cstheme="minorHAnsi"/>
        </w:rPr>
        <w:t>Amended</w:t>
      </w:r>
      <w:r w:rsidRPr="005D4990">
        <w:rPr>
          <w:rFonts w:cstheme="minorHAnsi"/>
        </w:rPr>
        <w:t xml:space="preserve"> Petition to Vacate Arbitration Award ¶ 40, </w:t>
      </w:r>
      <w:r w:rsidRPr="005D4990">
        <w:rPr>
          <w:rFonts w:cstheme="minorHAnsi"/>
          <w:i/>
          <w:iCs/>
        </w:rPr>
        <w:t>Sysco Corp. v. Glaz LLC</w:t>
      </w:r>
      <w:r w:rsidRPr="005D4990">
        <w:rPr>
          <w:rFonts w:cstheme="minorHAnsi"/>
        </w:rPr>
        <w:t>, No. 1:23-cv-01451 (N.D. Ill. filed Mar. 20, 2023), ECF No. 18.</w:t>
      </w:r>
    </w:p>
  </w:footnote>
  <w:footnote w:id="28">
    <w:p w14:paraId="50D1B697" w14:textId="77777777" w:rsidR="00AA13FC" w:rsidRPr="005D4990" w:rsidRDefault="00AA13FC"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r>
      <w:r w:rsidRPr="005D4990">
        <w:rPr>
          <w:rFonts w:cstheme="minorHAnsi"/>
          <w:i/>
          <w:iCs/>
        </w:rPr>
        <w:t>See id.</w:t>
      </w:r>
      <w:r w:rsidRPr="005D4990">
        <w:rPr>
          <w:rFonts w:cstheme="minorHAnsi"/>
        </w:rPr>
        <w:t xml:space="preserve"> ¶¶ 30-40.</w:t>
      </w:r>
    </w:p>
  </w:footnote>
  <w:footnote w:id="29">
    <w:p w14:paraId="1856A06A" w14:textId="77777777" w:rsidR="00AA13FC" w:rsidRPr="005D4990" w:rsidRDefault="00AA13FC"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r>
      <w:r w:rsidRPr="005D4990">
        <w:rPr>
          <w:rFonts w:cstheme="minorHAnsi"/>
          <w:i/>
          <w:iCs/>
        </w:rPr>
        <w:t>See id.</w:t>
      </w:r>
      <w:r w:rsidRPr="005D4990">
        <w:rPr>
          <w:rFonts w:cstheme="minorHAnsi"/>
        </w:rPr>
        <w:t xml:space="preserve"> ¶¶ 41-58. </w:t>
      </w:r>
    </w:p>
  </w:footnote>
  <w:footnote w:id="30">
    <w:p w14:paraId="4E54C904" w14:textId="3837D854" w:rsidR="00AA13FC" w:rsidRPr="005D4990" w:rsidRDefault="00AA13FC"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r>
      <w:r w:rsidRPr="005D4990">
        <w:rPr>
          <w:rFonts w:cstheme="minorHAnsi"/>
          <w:i/>
          <w:iCs/>
        </w:rPr>
        <w:t>See, e.g.</w:t>
      </w:r>
      <w:r w:rsidRPr="005D4990">
        <w:rPr>
          <w:rFonts w:cstheme="minorHAnsi"/>
        </w:rPr>
        <w:t xml:space="preserve">, </w:t>
      </w:r>
      <w:r w:rsidRPr="005D4990">
        <w:rPr>
          <w:rFonts w:cstheme="minorHAnsi"/>
          <w:shd w:val="clear" w:color="auto" w:fill="FFFFFF"/>
        </w:rPr>
        <w:t>https://www.burfordcapital.com/how-we-work/with-law-firms/ (</w:t>
      </w:r>
      <w:r w:rsidR="00F71C95" w:rsidRPr="005D4990">
        <w:rPr>
          <w:rFonts w:cstheme="minorHAnsi"/>
          <w:shd w:val="clear" w:color="auto" w:fill="FFFFFF"/>
        </w:rPr>
        <w:t>“</w:t>
      </w:r>
      <w:r w:rsidRPr="005D4990">
        <w:rPr>
          <w:rFonts w:cstheme="minorHAnsi"/>
          <w:shd w:val="clear" w:color="auto" w:fill="FFFFFF"/>
        </w:rPr>
        <w:t xml:space="preserve">We act as passive investors </w:t>
      </w:r>
      <w:r w:rsidRPr="005D4990">
        <w:rPr>
          <w:rFonts w:cstheme="minorHAnsi"/>
          <w:b/>
          <w:bCs/>
          <w:i/>
          <w:iCs/>
          <w:shd w:val="clear" w:color="auto" w:fill="FFFFFF"/>
        </w:rPr>
        <w:t>and do not control strategy or settlement decision-making</w:t>
      </w:r>
      <w:r w:rsidRPr="005D4990">
        <w:rPr>
          <w:rFonts w:cstheme="minorHAnsi"/>
          <w:shd w:val="clear" w:color="auto" w:fill="FFFFFF"/>
        </w:rPr>
        <w:t>, and our capital is almost always provided as a non-recourse investment, shifting risk from the firm to Burford.</w:t>
      </w:r>
      <w:r w:rsidR="00F71C95" w:rsidRPr="005D4990">
        <w:rPr>
          <w:rFonts w:cstheme="minorHAnsi"/>
          <w:shd w:val="clear" w:color="auto" w:fill="FFFFFF"/>
        </w:rPr>
        <w:t>”</w:t>
      </w:r>
      <w:r w:rsidRPr="005D4990">
        <w:rPr>
          <w:rFonts w:cstheme="minorHAnsi"/>
          <w:shd w:val="clear" w:color="auto" w:fill="FFFFFF"/>
        </w:rPr>
        <w:t>) (emphasis added); https://www.burfordcapital.com/</w:t>
      </w:r>
      <w:r w:rsidR="004249C1" w:rsidRPr="005D4990">
        <w:rPr>
          <w:rFonts w:cstheme="minorHAnsi"/>
          <w:shd w:val="clear" w:color="auto" w:fill="FFFFFF"/>
        </w:rPr>
        <w:t>‌</w:t>
      </w:r>
      <w:r w:rsidRPr="005D4990">
        <w:rPr>
          <w:rFonts w:cstheme="minorHAnsi"/>
          <w:shd w:val="clear" w:color="auto" w:fill="FFFFFF"/>
        </w:rPr>
        <w:t>insights/</w:t>
      </w:r>
      <w:r w:rsidR="004249C1" w:rsidRPr="005D4990">
        <w:rPr>
          <w:rFonts w:cstheme="minorHAnsi"/>
          <w:shd w:val="clear" w:color="auto" w:fill="FFFFFF"/>
        </w:rPr>
        <w:t>‌</w:t>
      </w:r>
      <w:r w:rsidRPr="005D4990">
        <w:rPr>
          <w:rFonts w:cstheme="minorHAnsi"/>
          <w:shd w:val="clear" w:color="auto" w:fill="FFFFFF"/>
        </w:rPr>
        <w:t>insights-container/byline-pli-legal-finance-post-covid/</w:t>
      </w:r>
      <w:r w:rsidRPr="005D4990">
        <w:rPr>
          <w:rStyle w:val="Hyperlink"/>
          <w:rFonts w:cstheme="minorHAnsi"/>
          <w:color w:val="auto"/>
          <w:u w:val="none"/>
          <w:shd w:val="clear" w:color="auto" w:fill="FFFFFF"/>
        </w:rPr>
        <w:t xml:space="preserve"> (</w:t>
      </w:r>
      <w:r w:rsidR="00F71C95" w:rsidRPr="005D4990">
        <w:rPr>
          <w:rStyle w:val="Hyperlink"/>
          <w:rFonts w:cstheme="minorHAnsi"/>
          <w:color w:val="auto"/>
          <w:u w:val="none"/>
          <w:shd w:val="clear" w:color="auto" w:fill="FFFFFF"/>
        </w:rPr>
        <w:t>“</w:t>
      </w:r>
      <w:r w:rsidRPr="005D4990">
        <w:rPr>
          <w:rFonts w:cstheme="minorHAnsi"/>
          <w:shd w:val="clear" w:color="auto" w:fill="FFFFFF"/>
        </w:rPr>
        <w:t xml:space="preserve">If the matter wins, they can expect a meaningful share of the remaining damages, and if it loses, they keep any capital advanced, locking in a minimum outcome. </w:t>
      </w:r>
      <w:r w:rsidR="00493CD0" w:rsidRPr="005D4990">
        <w:rPr>
          <w:rFonts w:cstheme="minorHAnsi"/>
          <w:shd w:val="clear" w:color="auto" w:fill="FFFFFF"/>
        </w:rPr>
        <w:t xml:space="preserve"> </w:t>
      </w:r>
      <w:r w:rsidRPr="005D4990">
        <w:rPr>
          <w:rFonts w:cstheme="minorHAnsi"/>
          <w:shd w:val="clear" w:color="auto" w:fill="FFFFFF"/>
        </w:rPr>
        <w:t xml:space="preserve">In both scenarios, </w:t>
      </w:r>
      <w:r w:rsidRPr="005D4990">
        <w:rPr>
          <w:rFonts w:cstheme="minorHAnsi"/>
          <w:b/>
          <w:bCs/>
          <w:i/>
          <w:iCs/>
          <w:shd w:val="clear" w:color="auto" w:fill="FFFFFF"/>
        </w:rPr>
        <w:t>the company maintains control of its litigation</w:t>
      </w:r>
      <w:r w:rsidRPr="005D4990">
        <w:rPr>
          <w:rFonts w:cstheme="minorHAnsi"/>
          <w:shd w:val="clear" w:color="auto" w:fill="FFFFFF"/>
        </w:rPr>
        <w:t>—and considerably more control over its finances.</w:t>
      </w:r>
      <w:r w:rsidR="00F71C95" w:rsidRPr="005D4990">
        <w:rPr>
          <w:rFonts w:cstheme="minorHAnsi"/>
          <w:shd w:val="clear" w:color="auto" w:fill="FFFFFF"/>
        </w:rPr>
        <w:t>”</w:t>
      </w:r>
      <w:r w:rsidRPr="005D4990">
        <w:rPr>
          <w:rFonts w:cstheme="minorHAnsi"/>
          <w:shd w:val="clear" w:color="auto" w:fill="FFFFFF"/>
        </w:rPr>
        <w:t>) (emphasis added); https://www.burfordcapital.com/insights/legal-finance-101/ (</w:t>
      </w:r>
      <w:r w:rsidR="00F71C95" w:rsidRPr="005D4990">
        <w:rPr>
          <w:rFonts w:cstheme="minorHAnsi"/>
          <w:shd w:val="clear" w:color="auto" w:fill="FFFFFF"/>
        </w:rPr>
        <w:t>“</w:t>
      </w:r>
      <w:r w:rsidRPr="005D4990">
        <w:rPr>
          <w:rFonts w:cstheme="minorHAnsi"/>
          <w:shd w:val="clear" w:color="auto" w:fill="FFFFFF"/>
        </w:rPr>
        <w:t xml:space="preserve">Reported use of legal finance—also called litigation finance or litigation funding—has doubled in recent years, as companies and law firms increasingly recognize the benefits of gaining better control over legal budgets and risk </w:t>
      </w:r>
      <w:r w:rsidRPr="005D4990">
        <w:rPr>
          <w:rFonts w:cstheme="minorHAnsi"/>
          <w:b/>
          <w:bCs/>
          <w:i/>
          <w:iCs/>
          <w:shd w:val="clear" w:color="auto" w:fill="FFFFFF"/>
        </w:rPr>
        <w:t>without ceding control of litigation decision-making or settlement</w:t>
      </w:r>
      <w:r w:rsidR="003F65BC" w:rsidRPr="005D4990">
        <w:rPr>
          <w:rFonts w:cstheme="minorHAnsi"/>
          <w:shd w:val="clear" w:color="auto" w:fill="FFFFFF"/>
        </w:rPr>
        <w:t>.</w:t>
      </w:r>
      <w:r w:rsidR="00F71C95" w:rsidRPr="005D4990">
        <w:rPr>
          <w:rFonts w:cstheme="minorHAnsi"/>
          <w:shd w:val="clear" w:color="auto" w:fill="FFFFFF"/>
        </w:rPr>
        <w:t>”</w:t>
      </w:r>
      <w:r w:rsidRPr="005D4990">
        <w:rPr>
          <w:rFonts w:cstheme="minorHAnsi"/>
          <w:shd w:val="clear" w:color="auto" w:fill="FFFFFF"/>
        </w:rPr>
        <w:t xml:space="preserve">) (emphasis added); </w:t>
      </w:r>
      <w:r w:rsidRPr="005D4990">
        <w:rPr>
          <w:rFonts w:cstheme="minorHAnsi"/>
        </w:rPr>
        <w:t>https://www.burfordcapital.com/insights/insights-container/how-do-law-firms-use-portfolio-finance/ (</w:t>
      </w:r>
      <w:r w:rsidR="00F71C95" w:rsidRPr="005D4990">
        <w:rPr>
          <w:rFonts w:cstheme="minorHAnsi"/>
        </w:rPr>
        <w:t>“</w:t>
      </w:r>
      <w:r w:rsidR="003F65BC" w:rsidRPr="005D4990">
        <w:rPr>
          <w:rFonts w:cstheme="minorHAnsi"/>
        </w:rPr>
        <w:t>[T]</w:t>
      </w:r>
      <w:r w:rsidRPr="005D4990">
        <w:rPr>
          <w:rFonts w:cstheme="minorHAnsi"/>
        </w:rPr>
        <w:t xml:space="preserve">he use of legal finance generally does not alter control of decision-making or attorney-client relationships. </w:t>
      </w:r>
      <w:r w:rsidR="00493CD0" w:rsidRPr="005D4990">
        <w:rPr>
          <w:rFonts w:cstheme="minorHAnsi"/>
        </w:rPr>
        <w:t xml:space="preserve"> </w:t>
      </w:r>
      <w:r w:rsidRPr="005D4990">
        <w:rPr>
          <w:rFonts w:cstheme="minorHAnsi"/>
        </w:rPr>
        <w:t>Burford makes a portfolio deal directly with the firm, but Burford</w:t>
      </w:r>
      <w:r w:rsidR="00F71C95" w:rsidRPr="005D4990">
        <w:rPr>
          <w:rFonts w:cstheme="minorHAnsi"/>
        </w:rPr>
        <w:t>’</w:t>
      </w:r>
      <w:r w:rsidRPr="005D4990">
        <w:rPr>
          <w:rFonts w:cstheme="minorHAnsi"/>
        </w:rPr>
        <w:t xml:space="preserve">s role is that of a passive investor. </w:t>
      </w:r>
      <w:r w:rsidR="00493CD0" w:rsidRPr="005D4990">
        <w:rPr>
          <w:rFonts w:cstheme="minorHAnsi"/>
        </w:rPr>
        <w:t xml:space="preserve"> </w:t>
      </w:r>
      <w:r w:rsidRPr="005D4990">
        <w:rPr>
          <w:rFonts w:cstheme="minorHAnsi"/>
        </w:rPr>
        <w:t xml:space="preserve">Therefore, </w:t>
      </w:r>
      <w:r w:rsidRPr="005D4990">
        <w:rPr>
          <w:rFonts w:cstheme="minorHAnsi"/>
          <w:b/>
          <w:bCs/>
          <w:i/>
          <w:iCs/>
        </w:rPr>
        <w:t>Burford does not control the litigation or settlement strategy and decision-making</w:t>
      </w:r>
      <w:r w:rsidRPr="005D4990">
        <w:rPr>
          <w:rFonts w:cstheme="minorHAnsi"/>
        </w:rPr>
        <w:t>, except when agreed to by our client</w:t>
      </w:r>
      <w:r w:rsidR="003F65BC" w:rsidRPr="005D4990">
        <w:rPr>
          <w:rFonts w:cstheme="minorHAnsi"/>
        </w:rPr>
        <w:t>.</w:t>
      </w:r>
      <w:r w:rsidR="00F71C95" w:rsidRPr="005D4990">
        <w:rPr>
          <w:rFonts w:cstheme="minorHAnsi"/>
        </w:rPr>
        <w:t>”</w:t>
      </w:r>
      <w:r w:rsidRPr="005D4990">
        <w:rPr>
          <w:rFonts w:cstheme="minorHAnsi"/>
        </w:rPr>
        <w:t xml:space="preserve">) (emphasis added); </w:t>
      </w:r>
      <w:r w:rsidRPr="005D4990">
        <w:rPr>
          <w:rFonts w:cstheme="minorHAnsi"/>
          <w:shd w:val="clear" w:color="auto" w:fill="FFFFFF"/>
        </w:rPr>
        <w:t>https://www.sec.gov/</w:t>
      </w:r>
      <w:r w:rsidR="004249C1" w:rsidRPr="005D4990">
        <w:rPr>
          <w:rFonts w:cstheme="minorHAnsi"/>
          <w:shd w:val="clear" w:color="auto" w:fill="FFFFFF"/>
        </w:rPr>
        <w:t>‌</w:t>
      </w:r>
      <w:r w:rsidRPr="005D4990">
        <w:rPr>
          <w:rFonts w:cstheme="minorHAnsi"/>
          <w:shd w:val="clear" w:color="auto" w:fill="FFFFFF"/>
        </w:rPr>
        <w:t>Archives/edgar/data/1714174/000110465920081137/filename1.htm (</w:t>
      </w:r>
      <w:r w:rsidR="00F71C95" w:rsidRPr="005D4990">
        <w:rPr>
          <w:rFonts w:cstheme="minorHAnsi"/>
          <w:shd w:val="clear" w:color="auto" w:fill="FFFFFF"/>
        </w:rPr>
        <w:t>“</w:t>
      </w:r>
      <w:r w:rsidRPr="005D4990">
        <w:rPr>
          <w:rFonts w:cstheme="minorHAnsi"/>
          <w:spacing w:val="4"/>
        </w:rPr>
        <w:t xml:space="preserve">Unlike in our legal finance business, where we are </w:t>
      </w:r>
      <w:r w:rsidRPr="005D4990">
        <w:rPr>
          <w:rFonts w:cstheme="minorHAnsi"/>
          <w:b/>
          <w:bCs/>
          <w:i/>
          <w:iCs/>
          <w:spacing w:val="4"/>
        </w:rPr>
        <w:t>financing a client who retains decision-making authority in the litigation</w:t>
      </w:r>
      <w:r w:rsidRPr="005D4990">
        <w:rPr>
          <w:rFonts w:cstheme="minorHAnsi"/>
          <w:spacing w:val="4"/>
        </w:rPr>
        <w:t xml:space="preserve"> . . . .</w:t>
      </w:r>
      <w:r w:rsidR="00F71C95" w:rsidRPr="005D4990">
        <w:rPr>
          <w:rFonts w:cstheme="minorHAnsi"/>
          <w:spacing w:val="4"/>
        </w:rPr>
        <w:t>”</w:t>
      </w:r>
      <w:r w:rsidRPr="005D4990">
        <w:rPr>
          <w:rFonts w:cstheme="minorHAnsi"/>
          <w:spacing w:val="4"/>
        </w:rPr>
        <w:t>) (emphasis added).</w:t>
      </w:r>
    </w:p>
  </w:footnote>
  <w:footnote w:id="31">
    <w:p w14:paraId="25B0755F" w14:textId="4548363E" w:rsidR="00AA13FC" w:rsidRPr="005D4990" w:rsidRDefault="00AA13FC"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r>
      <w:r w:rsidRPr="005D4990">
        <w:rPr>
          <w:rFonts w:cstheme="minorHAnsi"/>
          <w:i/>
          <w:iCs/>
        </w:rPr>
        <w:t>In re Pork Antitrust Litig.</w:t>
      </w:r>
      <w:r w:rsidRPr="005D4990">
        <w:rPr>
          <w:rFonts w:cstheme="minorHAnsi"/>
        </w:rPr>
        <w:t xml:space="preserve">, </w:t>
      </w:r>
      <w:bookmarkStart w:id="7" w:name="_Hlk195524157"/>
      <w:r w:rsidRPr="005D4990">
        <w:rPr>
          <w:rFonts w:cstheme="minorHAnsi"/>
        </w:rPr>
        <w:t>2024 U.S. Dist. LEXIS 97801</w:t>
      </w:r>
      <w:bookmarkEnd w:id="7"/>
      <w:r w:rsidRPr="005D4990">
        <w:rPr>
          <w:rFonts w:cstheme="minorHAnsi"/>
        </w:rPr>
        <w:t>, at *13.</w:t>
      </w:r>
    </w:p>
  </w:footnote>
  <w:footnote w:id="32">
    <w:p w14:paraId="597FA6D7" w14:textId="70ACF003" w:rsidR="00EE60D9" w:rsidRPr="005D4990" w:rsidRDefault="00EE60D9"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r>
      <w:r w:rsidRPr="005D4990">
        <w:rPr>
          <w:rFonts w:cstheme="minorHAnsi"/>
          <w:i/>
          <w:iCs/>
        </w:rPr>
        <w:t>Id.</w:t>
      </w:r>
      <w:r w:rsidRPr="005D4990">
        <w:rPr>
          <w:rFonts w:cstheme="minorHAnsi"/>
        </w:rPr>
        <w:t xml:space="preserve"> at *14.</w:t>
      </w:r>
    </w:p>
  </w:footnote>
  <w:footnote w:id="33">
    <w:p w14:paraId="079C5666" w14:textId="6CDA9CED" w:rsidR="00EE60D9" w:rsidRPr="005D4990" w:rsidRDefault="00EE60D9"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r>
      <w:r w:rsidRPr="005D4990">
        <w:rPr>
          <w:rFonts w:cstheme="minorHAnsi"/>
          <w:i/>
          <w:iCs/>
        </w:rPr>
        <w:t>Id.</w:t>
      </w:r>
    </w:p>
  </w:footnote>
  <w:footnote w:id="34">
    <w:p w14:paraId="59C928C7" w14:textId="2D44BB99" w:rsidR="00EE60D9" w:rsidRPr="005D4990" w:rsidRDefault="00EE60D9"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r>
      <w:r w:rsidRPr="005D4990">
        <w:rPr>
          <w:rFonts w:cstheme="minorHAnsi"/>
          <w:i/>
          <w:iCs/>
        </w:rPr>
        <w:t>Id.</w:t>
      </w:r>
    </w:p>
  </w:footnote>
  <w:footnote w:id="35">
    <w:p w14:paraId="19CAF54F" w14:textId="77777777" w:rsidR="00AA13FC" w:rsidRPr="005D4990" w:rsidRDefault="00AA13FC"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t xml:space="preserve">Jacob Gershman, </w:t>
      </w:r>
      <w:r w:rsidRPr="005D4990">
        <w:rPr>
          <w:rFonts w:cstheme="minorHAnsi"/>
          <w:i/>
        </w:rPr>
        <w:t>Lawsuit Funding, Long Hidden in the Shadows, Faces Calls for More Sunlight</w:t>
      </w:r>
      <w:r w:rsidRPr="005D4990">
        <w:rPr>
          <w:rFonts w:cstheme="minorHAnsi"/>
        </w:rPr>
        <w:t>, Wall St. J. (Mar. 21, 2018), https://www.wsj.com/articles/lawsuit-funding-long-hidden-in-the-shadows-faces-calls-for-more-sunlight-1521633600 (emphasis added).</w:t>
      </w:r>
    </w:p>
  </w:footnote>
  <w:footnote w:id="36">
    <w:p w14:paraId="1A31A148" w14:textId="200346EC" w:rsidR="00AA13FC" w:rsidRPr="005D4990" w:rsidRDefault="00AA13FC"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r>
      <w:bookmarkStart w:id="8" w:name="_Hlk196213379"/>
      <w:r w:rsidRPr="005D4990">
        <w:rPr>
          <w:rFonts w:cstheme="minorHAnsi"/>
          <w:i/>
        </w:rPr>
        <w:t>See</w:t>
      </w:r>
      <w:r w:rsidRPr="005D4990">
        <w:rPr>
          <w:rFonts w:cstheme="minorHAnsi"/>
        </w:rPr>
        <w:t xml:space="preserve"> Funding Agreement Between Treca Financial Solutions and Claimants, </w:t>
      </w:r>
      <w:r w:rsidRPr="005D4990">
        <w:rPr>
          <w:rFonts w:cstheme="minorHAnsi"/>
          <w:i/>
        </w:rPr>
        <w:t>Chevron Corp. v. Donziger</w:t>
      </w:r>
      <w:r w:rsidRPr="005D4990">
        <w:rPr>
          <w:rFonts w:cstheme="minorHAnsi"/>
        </w:rPr>
        <w:t xml:space="preserve">, No. </w:t>
      </w:r>
      <w:r w:rsidR="0005332D" w:rsidRPr="005D4990">
        <w:rPr>
          <w:rFonts w:cstheme="minorHAnsi"/>
        </w:rPr>
        <w:t>1:</w:t>
      </w:r>
      <w:r w:rsidRPr="005D4990">
        <w:rPr>
          <w:rFonts w:cstheme="minorHAnsi"/>
        </w:rPr>
        <w:t>11-cv-00691</w:t>
      </w:r>
      <w:r w:rsidR="0005332D" w:rsidRPr="005D4990">
        <w:rPr>
          <w:rFonts w:cstheme="minorHAnsi"/>
        </w:rPr>
        <w:t>-LAK-RWL</w:t>
      </w:r>
      <w:r w:rsidRPr="005D4990">
        <w:rPr>
          <w:rFonts w:cstheme="minorHAnsi"/>
        </w:rPr>
        <w:t xml:space="preserve">, </w:t>
      </w:r>
      <w:r w:rsidR="0005332D" w:rsidRPr="005D4990">
        <w:rPr>
          <w:rFonts w:cstheme="minorHAnsi"/>
        </w:rPr>
        <w:t>ECF</w:t>
      </w:r>
      <w:r w:rsidRPr="005D4990">
        <w:rPr>
          <w:rFonts w:cstheme="minorHAnsi"/>
        </w:rPr>
        <w:t xml:space="preserve"> No. 356-2 (S.D.N.Y. filed Nov. 29, 2011).</w:t>
      </w:r>
      <w:bookmarkEnd w:id="8"/>
    </w:p>
  </w:footnote>
  <w:footnote w:id="37">
    <w:p w14:paraId="453211F4" w14:textId="0D9C44A3" w:rsidR="00AA13FC" w:rsidRPr="005D4990" w:rsidRDefault="00AA13FC"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r>
      <w:r w:rsidRPr="005D4990">
        <w:rPr>
          <w:rFonts w:cstheme="minorHAnsi"/>
          <w:i/>
          <w:iCs/>
        </w:rPr>
        <w:t xml:space="preserve">See </w:t>
      </w:r>
      <w:r w:rsidRPr="005D4990">
        <w:rPr>
          <w:rFonts w:cstheme="minorHAnsi"/>
        </w:rPr>
        <w:t>Funding Agreement Between Gerchen Keller Capital and Gamon Plus Inc. et al. (Feb. 2016).</w:t>
      </w:r>
    </w:p>
  </w:footnote>
  <w:footnote w:id="38">
    <w:p w14:paraId="2CE7874C" w14:textId="77777777" w:rsidR="00AA13FC" w:rsidRPr="005D4990" w:rsidRDefault="00AA13FC"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t xml:space="preserve">Nora Freeman Engstrom, </w:t>
      </w:r>
      <w:r w:rsidRPr="005D4990">
        <w:rPr>
          <w:rFonts w:cstheme="minorHAnsi"/>
          <w:i/>
          <w:iCs/>
        </w:rPr>
        <w:t>The Lessons of Lone Pine</w:t>
      </w:r>
      <w:r w:rsidRPr="005D4990">
        <w:rPr>
          <w:rFonts w:cstheme="minorHAnsi"/>
        </w:rPr>
        <w:t xml:space="preserve">, </w:t>
      </w:r>
      <w:bookmarkStart w:id="9" w:name="_Hlk195524164"/>
      <w:r w:rsidRPr="005D4990">
        <w:rPr>
          <w:rFonts w:cstheme="minorHAnsi"/>
        </w:rPr>
        <w:t>129 Yale L.J. 2</w:t>
      </w:r>
      <w:bookmarkEnd w:id="9"/>
      <w:r w:rsidRPr="005D4990">
        <w:rPr>
          <w:rFonts w:cstheme="minorHAnsi"/>
        </w:rPr>
        <w:t>, 24 n.94, 29, 32 (2019).</w:t>
      </w:r>
    </w:p>
  </w:footnote>
  <w:footnote w:id="39">
    <w:p w14:paraId="493E374A" w14:textId="732B1FBC" w:rsidR="00AA13FC" w:rsidRPr="005D4990" w:rsidRDefault="00AA13FC" w:rsidP="005D4990">
      <w:pPr>
        <w:pStyle w:val="FootnoteText"/>
        <w:spacing w:after="120"/>
        <w:ind w:left="0" w:firstLine="0"/>
        <w:rPr>
          <w:rFonts w:cstheme="minorHAnsi"/>
        </w:rPr>
      </w:pPr>
      <w:r w:rsidRPr="005D4990">
        <w:rPr>
          <w:rStyle w:val="FootnoteReference"/>
          <w:rFonts w:cstheme="minorHAnsi"/>
        </w:rPr>
        <w:footnoteRef/>
      </w:r>
      <w:r w:rsidR="00493CD0" w:rsidRPr="005D4990">
        <w:rPr>
          <w:rFonts w:cstheme="minorHAnsi"/>
        </w:rPr>
        <w:t xml:space="preserve"> </w:t>
      </w:r>
      <w:r w:rsidR="00493CD0" w:rsidRPr="005D4990">
        <w:rPr>
          <w:rFonts w:cstheme="minorHAnsi"/>
        </w:rPr>
        <w:tab/>
      </w:r>
      <w:r w:rsidRPr="005D4990">
        <w:rPr>
          <w:rFonts w:cstheme="minorHAnsi"/>
          <w:i/>
          <w:iCs/>
        </w:rPr>
        <w:t xml:space="preserve">See </w:t>
      </w:r>
      <w:r w:rsidRPr="005D4990">
        <w:rPr>
          <w:rFonts w:cstheme="minorHAnsi"/>
        </w:rPr>
        <w:t xml:space="preserve">Emily </w:t>
      </w:r>
      <w:r w:rsidR="0043018B" w:rsidRPr="005D4990">
        <w:rPr>
          <w:rFonts w:cstheme="minorHAnsi"/>
        </w:rPr>
        <w:t xml:space="preserve">R. </w:t>
      </w:r>
      <w:r w:rsidRPr="005D4990">
        <w:rPr>
          <w:rFonts w:cstheme="minorHAnsi"/>
        </w:rPr>
        <w:t xml:space="preserve">Siegel, </w:t>
      </w:r>
      <w:r w:rsidRPr="005D4990">
        <w:rPr>
          <w:rFonts w:cstheme="minorHAnsi"/>
          <w:i/>
          <w:iCs/>
        </w:rPr>
        <w:t>3M Lawsuit Investors Ordered to Be Unmasked Amid $6 Billion Deal</w:t>
      </w:r>
      <w:r w:rsidRPr="005D4990">
        <w:rPr>
          <w:rFonts w:cstheme="minorHAnsi"/>
        </w:rPr>
        <w:t>, Bloomberg Law (Aug. 30, 2023), https://news.bloomberglaw.com/business-and-practice/3m-lawsuit-investors-ordered-to-be-unmasked-amid-6-billion-deal.</w:t>
      </w:r>
    </w:p>
  </w:footnote>
  <w:footnote w:id="40">
    <w:p w14:paraId="72DBF310" w14:textId="3E4C3780" w:rsidR="00AA13FC" w:rsidRPr="005D4990" w:rsidRDefault="00AA13FC"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r>
      <w:r w:rsidRPr="005D4990">
        <w:rPr>
          <w:rFonts w:cstheme="minorHAnsi"/>
          <w:i/>
          <w:iCs/>
        </w:rPr>
        <w:t>See</w:t>
      </w:r>
      <w:r w:rsidRPr="005D4990">
        <w:rPr>
          <w:rFonts w:cstheme="minorHAnsi"/>
        </w:rPr>
        <w:t xml:space="preserve"> Case Management Order No. 31 (Wave Order #1), </w:t>
      </w:r>
      <w:r w:rsidRPr="005D4990">
        <w:rPr>
          <w:rFonts w:cstheme="minorHAnsi"/>
          <w:i/>
          <w:iCs/>
        </w:rPr>
        <w:t>In re 3M Combat Arms Earplug Prods. Liab. Litig.</w:t>
      </w:r>
      <w:r w:rsidRPr="005D4990">
        <w:rPr>
          <w:rFonts w:cstheme="minorHAnsi"/>
        </w:rPr>
        <w:t>, No.</w:t>
      </w:r>
      <w:r w:rsidR="00323483" w:rsidRPr="005D4990">
        <w:rPr>
          <w:rFonts w:cstheme="minorHAnsi"/>
        </w:rPr>
        <w:t xml:space="preserve"> </w:t>
      </w:r>
      <w:r w:rsidR="00B97938" w:rsidRPr="005D4990">
        <w:rPr>
          <w:rFonts w:cstheme="minorHAnsi"/>
        </w:rPr>
        <w:t>3:19-md-02885-MCR-HTC</w:t>
      </w:r>
      <w:r w:rsidRPr="005D4990">
        <w:rPr>
          <w:rFonts w:cstheme="minorHAnsi"/>
        </w:rPr>
        <w:t>, ECF No. 2304 (N.D. Fla. Nov. 22, 2021).</w:t>
      </w:r>
    </w:p>
  </w:footnote>
  <w:footnote w:id="41">
    <w:p w14:paraId="7B089D34" w14:textId="77777777" w:rsidR="00AA13FC" w:rsidRPr="005D4990" w:rsidRDefault="00AA13FC"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r>
      <w:r w:rsidRPr="005D4990">
        <w:rPr>
          <w:rFonts w:cstheme="minorHAnsi"/>
          <w:i/>
          <w:iCs/>
        </w:rPr>
        <w:t xml:space="preserve">See </w:t>
      </w:r>
      <w:r w:rsidRPr="005D4990">
        <w:rPr>
          <w:rFonts w:cstheme="minorHAnsi"/>
        </w:rPr>
        <w:t>Aearo Informational Brief at 38.</w:t>
      </w:r>
    </w:p>
  </w:footnote>
  <w:footnote w:id="42">
    <w:p w14:paraId="1483BF6A" w14:textId="77777777" w:rsidR="00AA13FC" w:rsidRPr="005D4990" w:rsidRDefault="00AA13FC"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r>
      <w:r w:rsidRPr="005D4990">
        <w:rPr>
          <w:rFonts w:cstheme="minorHAnsi"/>
          <w:i/>
          <w:iCs/>
        </w:rPr>
        <w:t>Id.</w:t>
      </w:r>
      <w:r w:rsidRPr="005D4990">
        <w:rPr>
          <w:rFonts w:cstheme="minorHAnsi"/>
        </w:rPr>
        <w:t xml:space="preserve"> at 40.</w:t>
      </w:r>
    </w:p>
  </w:footnote>
  <w:footnote w:id="43">
    <w:p w14:paraId="1D531229" w14:textId="78E14A06" w:rsidR="00AA13FC" w:rsidRPr="005D4990" w:rsidRDefault="00AA13FC"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t xml:space="preserve">Emily Field, </w:t>
      </w:r>
      <w:r w:rsidRPr="005D4990">
        <w:rPr>
          <w:rFonts w:cstheme="minorHAnsi"/>
          <w:i/>
          <w:iCs/>
        </w:rPr>
        <w:t>3M Strikes $6B Deal In Combat Earplug Litigation</w:t>
      </w:r>
      <w:r w:rsidRPr="005D4990">
        <w:rPr>
          <w:rFonts w:cstheme="minorHAnsi"/>
        </w:rPr>
        <w:t xml:space="preserve">, Law360 (Aug. 29, 2023), https://www.law360.com/articles/1715917.  The involvement of TPLF in the 3M MDL is just one of many examples of outside investors bankrolling mass tort litigation.  Another notable example is the ongoing MDL proceeding in the U.S. District Court for the District of New Jersey involving allegations related to cosmetic talc powder.  Public disclosures and reporting indicate that a significant number of the talc lawsuits are being funded by outside investors.  </w:t>
      </w:r>
      <w:r w:rsidRPr="005D4990">
        <w:rPr>
          <w:rFonts w:cstheme="minorHAnsi"/>
          <w:i/>
          <w:iCs/>
        </w:rPr>
        <w:t xml:space="preserve">See </w:t>
      </w:r>
      <w:bookmarkStart w:id="10" w:name="_Hlk195524492"/>
      <w:r w:rsidR="00031D0D" w:rsidRPr="005D4990">
        <w:rPr>
          <w:rFonts w:cstheme="minorHAnsi"/>
        </w:rPr>
        <w:t xml:space="preserve">Sujeet Indap, </w:t>
      </w:r>
      <w:r w:rsidRPr="005D4990">
        <w:rPr>
          <w:rFonts w:cstheme="minorHAnsi"/>
          <w:i/>
          <w:iCs/>
        </w:rPr>
        <w:t xml:space="preserve">Johnson &amp; Johnson </w:t>
      </w:r>
      <w:r w:rsidR="00031D0D" w:rsidRPr="005D4990">
        <w:rPr>
          <w:rFonts w:cstheme="minorHAnsi"/>
          <w:i/>
          <w:iCs/>
        </w:rPr>
        <w:t>S</w:t>
      </w:r>
      <w:r w:rsidRPr="005D4990">
        <w:rPr>
          <w:rFonts w:cstheme="minorHAnsi"/>
          <w:i/>
          <w:iCs/>
        </w:rPr>
        <w:t xml:space="preserve">ettlement </w:t>
      </w:r>
      <w:r w:rsidR="00031D0D" w:rsidRPr="005D4990">
        <w:rPr>
          <w:rFonts w:cstheme="minorHAnsi"/>
          <w:i/>
          <w:iCs/>
        </w:rPr>
        <w:t>S</w:t>
      </w:r>
      <w:r w:rsidRPr="005D4990">
        <w:rPr>
          <w:rFonts w:cstheme="minorHAnsi"/>
          <w:i/>
          <w:iCs/>
        </w:rPr>
        <w:t xml:space="preserve">hows the </w:t>
      </w:r>
      <w:r w:rsidR="00031D0D" w:rsidRPr="005D4990">
        <w:rPr>
          <w:rFonts w:cstheme="minorHAnsi"/>
          <w:i/>
          <w:iCs/>
        </w:rPr>
        <w:t>N</w:t>
      </w:r>
      <w:r w:rsidRPr="005D4990">
        <w:rPr>
          <w:rFonts w:cstheme="minorHAnsi"/>
          <w:i/>
          <w:iCs/>
        </w:rPr>
        <w:t xml:space="preserve">ew </w:t>
      </w:r>
      <w:r w:rsidR="00031D0D" w:rsidRPr="005D4990">
        <w:rPr>
          <w:rFonts w:cstheme="minorHAnsi"/>
          <w:i/>
          <w:iCs/>
        </w:rPr>
        <w:t>S</w:t>
      </w:r>
      <w:r w:rsidRPr="005D4990">
        <w:rPr>
          <w:rFonts w:cstheme="minorHAnsi"/>
          <w:i/>
          <w:iCs/>
        </w:rPr>
        <w:t xml:space="preserve">takes in </w:t>
      </w:r>
      <w:r w:rsidR="00031D0D" w:rsidRPr="005D4990">
        <w:rPr>
          <w:rFonts w:cstheme="minorHAnsi"/>
          <w:i/>
          <w:iCs/>
        </w:rPr>
        <w:t>L</w:t>
      </w:r>
      <w:r w:rsidRPr="005D4990">
        <w:rPr>
          <w:rFonts w:cstheme="minorHAnsi"/>
          <w:i/>
          <w:iCs/>
        </w:rPr>
        <w:t xml:space="preserve">itigation </w:t>
      </w:r>
      <w:r w:rsidR="00031D0D" w:rsidRPr="005D4990">
        <w:rPr>
          <w:rFonts w:cstheme="minorHAnsi"/>
          <w:i/>
          <w:iCs/>
        </w:rPr>
        <w:t>F</w:t>
      </w:r>
      <w:r w:rsidRPr="005D4990">
        <w:rPr>
          <w:rFonts w:cstheme="minorHAnsi"/>
          <w:i/>
          <w:iCs/>
        </w:rPr>
        <w:t>inance</w:t>
      </w:r>
      <w:r w:rsidRPr="005D4990">
        <w:rPr>
          <w:rFonts w:cstheme="minorHAnsi"/>
        </w:rPr>
        <w:t xml:space="preserve">, Financial Times </w:t>
      </w:r>
      <w:r w:rsidR="00031D0D" w:rsidRPr="005D4990">
        <w:rPr>
          <w:rFonts w:cstheme="minorHAnsi"/>
        </w:rPr>
        <w:t>(</w:t>
      </w:r>
      <w:r w:rsidRPr="005D4990">
        <w:rPr>
          <w:rFonts w:cstheme="minorHAnsi"/>
        </w:rPr>
        <w:t>May 20, 2024</w:t>
      </w:r>
      <w:r w:rsidR="00031D0D" w:rsidRPr="005D4990">
        <w:rPr>
          <w:rFonts w:cstheme="minorHAnsi"/>
        </w:rPr>
        <w:t>)</w:t>
      </w:r>
      <w:r w:rsidRPr="005D4990">
        <w:rPr>
          <w:rFonts w:cstheme="minorHAnsi"/>
        </w:rPr>
        <w:t>, https://www.ft.com/content/abd5bf98-378f-4322-b930-68c9b410e783</w:t>
      </w:r>
      <w:bookmarkEnd w:id="10"/>
      <w:r w:rsidRPr="005D4990">
        <w:rPr>
          <w:rFonts w:cstheme="minorHAnsi"/>
        </w:rPr>
        <w:t xml:space="preserve">.    </w:t>
      </w:r>
      <w:r w:rsidRPr="005D4990">
        <w:rPr>
          <w:rFonts w:cstheme="minorHAnsi"/>
          <w:i/>
          <w:iCs/>
        </w:rPr>
        <w:t xml:space="preserve">  </w:t>
      </w:r>
    </w:p>
  </w:footnote>
  <w:footnote w:id="44">
    <w:p w14:paraId="3660DF99" w14:textId="77777777" w:rsidR="002F623C" w:rsidRPr="005D4990" w:rsidRDefault="002F623C"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r>
      <w:r w:rsidRPr="005D4990">
        <w:rPr>
          <w:rFonts w:cstheme="minorHAnsi"/>
          <w:i/>
        </w:rPr>
        <w:t>Gbarabe v. Chevron Corp.</w:t>
      </w:r>
      <w:r w:rsidRPr="005D4990">
        <w:rPr>
          <w:rFonts w:cstheme="minorHAnsi"/>
        </w:rPr>
        <w:t xml:space="preserve">, No. 14-cv-00173-SI, </w:t>
      </w:r>
      <w:bookmarkStart w:id="11" w:name="_Hlk195524170"/>
      <w:r w:rsidRPr="005D4990">
        <w:rPr>
          <w:rFonts w:cstheme="minorHAnsi"/>
        </w:rPr>
        <w:t>2016 U.S. Dist. LEXIS 103594</w:t>
      </w:r>
      <w:bookmarkEnd w:id="11"/>
      <w:r w:rsidRPr="005D4990">
        <w:rPr>
          <w:rFonts w:cstheme="minorHAnsi"/>
        </w:rPr>
        <w:t>, at *6 (N.D. Cal. Aug. 5, 2016).</w:t>
      </w:r>
    </w:p>
  </w:footnote>
  <w:footnote w:id="45">
    <w:p w14:paraId="3B27543E" w14:textId="28619FA9" w:rsidR="00AA13FC" w:rsidRPr="005D4990" w:rsidRDefault="00AA13FC"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r>
      <w:r w:rsidR="009A6E6E" w:rsidRPr="005D4990">
        <w:rPr>
          <w:rFonts w:cstheme="minorHAnsi"/>
          <w:i/>
        </w:rPr>
        <w:t>Id.</w:t>
      </w:r>
    </w:p>
  </w:footnote>
  <w:footnote w:id="46">
    <w:p w14:paraId="6ED796FA" w14:textId="77777777" w:rsidR="00AA13FC" w:rsidRPr="005D4990" w:rsidRDefault="00AA13FC"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r>
      <w:r w:rsidRPr="005D4990">
        <w:rPr>
          <w:rFonts w:cstheme="minorHAnsi"/>
          <w:i/>
        </w:rPr>
        <w:t>Id.</w:t>
      </w:r>
      <w:r w:rsidRPr="005D4990">
        <w:rPr>
          <w:rFonts w:cstheme="minorHAnsi"/>
        </w:rPr>
        <w:t xml:space="preserve"> at *5-6.</w:t>
      </w:r>
    </w:p>
  </w:footnote>
  <w:footnote w:id="47">
    <w:p w14:paraId="5FC7E776" w14:textId="018F40FC" w:rsidR="00AA13FC" w:rsidRPr="005D4990" w:rsidRDefault="00AA13FC"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r>
      <w:r w:rsidR="002F7C0D" w:rsidRPr="005D4990">
        <w:rPr>
          <w:rFonts w:cstheme="minorHAnsi"/>
        </w:rPr>
        <w:t xml:space="preserve">Litigation Funding Agreement §§ 1.1, 10.1, </w:t>
      </w:r>
      <w:r w:rsidR="002F7C0D" w:rsidRPr="005D4990">
        <w:rPr>
          <w:rFonts w:cstheme="minorHAnsi"/>
          <w:i/>
        </w:rPr>
        <w:t>Gbarabe v. Chevron Corp.</w:t>
      </w:r>
      <w:r w:rsidR="002F7C0D" w:rsidRPr="005D4990">
        <w:rPr>
          <w:rFonts w:cstheme="minorHAnsi"/>
        </w:rPr>
        <w:t>, No. 14-cv-00173-SI, ECF No. 186-4 (Ex. 13) (N.D. Cal. filed Sept. 16, 2016).</w:t>
      </w:r>
      <w:r w:rsidRPr="005D4990">
        <w:rPr>
          <w:rFonts w:cstheme="minorHAnsi"/>
        </w:rPr>
        <w:t xml:space="preserve"> </w:t>
      </w:r>
    </w:p>
  </w:footnote>
  <w:footnote w:id="48">
    <w:p w14:paraId="1307706A" w14:textId="77777777" w:rsidR="00AA13FC" w:rsidRPr="005D4990" w:rsidRDefault="00AA13FC"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r>
      <w:r w:rsidRPr="005D4990">
        <w:rPr>
          <w:rFonts w:cstheme="minorHAnsi"/>
          <w:i/>
        </w:rPr>
        <w:t>Id.</w:t>
      </w:r>
      <w:r w:rsidRPr="005D4990">
        <w:rPr>
          <w:rFonts w:cstheme="minorHAnsi"/>
        </w:rPr>
        <w:t xml:space="preserve"> § 10.1.</w:t>
      </w:r>
    </w:p>
  </w:footnote>
  <w:footnote w:id="49">
    <w:p w14:paraId="1F703E1E" w14:textId="77777777" w:rsidR="00AA13FC" w:rsidRPr="005D4990" w:rsidRDefault="00AA13FC"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r>
      <w:r w:rsidRPr="005D4990">
        <w:rPr>
          <w:rFonts w:cstheme="minorHAnsi"/>
          <w:i/>
        </w:rPr>
        <w:t>Id.</w:t>
      </w:r>
      <w:r w:rsidRPr="005D4990">
        <w:rPr>
          <w:rFonts w:cstheme="minorHAnsi"/>
        </w:rPr>
        <w:t xml:space="preserve"> § 10.2.4.  </w:t>
      </w:r>
    </w:p>
  </w:footnote>
  <w:footnote w:id="50">
    <w:p w14:paraId="300BD3CD" w14:textId="469A829D" w:rsidR="00AA13FC" w:rsidRPr="005D4990" w:rsidRDefault="00AA13FC"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t xml:space="preserve">Ultimately, the district court denied certification in </w:t>
      </w:r>
      <w:r w:rsidRPr="005D4990">
        <w:rPr>
          <w:rFonts w:cstheme="minorHAnsi"/>
          <w:i/>
        </w:rPr>
        <w:t>Gbarabe</w:t>
      </w:r>
      <w:r w:rsidRPr="005D4990">
        <w:rPr>
          <w:rFonts w:cstheme="minorHAnsi"/>
        </w:rPr>
        <w:t xml:space="preserve"> on several grounds, including adequacy of representation.  Although the court did not expressly tie the TPLF agreement to its ruling on adequacy, it did find that plaintiffs</w:t>
      </w:r>
      <w:r w:rsidR="00F71C95" w:rsidRPr="005D4990">
        <w:rPr>
          <w:rFonts w:cstheme="minorHAnsi"/>
        </w:rPr>
        <w:t>’</w:t>
      </w:r>
      <w:r w:rsidRPr="005D4990">
        <w:rPr>
          <w:rFonts w:cstheme="minorHAnsi"/>
        </w:rPr>
        <w:t xml:space="preserve"> counsel </w:t>
      </w:r>
      <w:r w:rsidR="00F71C95" w:rsidRPr="005D4990">
        <w:rPr>
          <w:rFonts w:cstheme="minorHAnsi"/>
        </w:rPr>
        <w:t>“</w:t>
      </w:r>
      <w:r w:rsidRPr="005D4990">
        <w:rPr>
          <w:rFonts w:cstheme="minorHAnsi"/>
        </w:rPr>
        <w:t>failed to diligently prosecute this case</w:t>
      </w:r>
      <w:r w:rsidR="00F71C95" w:rsidRPr="005D4990">
        <w:rPr>
          <w:rFonts w:cstheme="minorHAnsi"/>
        </w:rPr>
        <w:t>”</w:t>
      </w:r>
      <w:r w:rsidRPr="005D4990">
        <w:rPr>
          <w:rFonts w:eastAsia="MS Mincho" w:cstheme="minorHAnsi"/>
          <w:lang w:eastAsia="en-US" w:bidi="ar-SA"/>
        </w:rPr>
        <w:t>—</w:t>
      </w:r>
      <w:r w:rsidRPr="005D4990">
        <w:rPr>
          <w:rFonts w:cstheme="minorHAnsi"/>
        </w:rPr>
        <w:t xml:space="preserve">a failure the court suggested may have been linked to their struggle in securing funding early on in the litigation.  </w:t>
      </w:r>
      <w:r w:rsidRPr="005D4990">
        <w:rPr>
          <w:rFonts w:cstheme="minorHAnsi"/>
          <w:i/>
        </w:rPr>
        <w:t>See Gbarabe v. Chevron Corp.</w:t>
      </w:r>
      <w:r w:rsidRPr="005D4990">
        <w:rPr>
          <w:rFonts w:cstheme="minorHAnsi"/>
        </w:rPr>
        <w:t xml:space="preserve">, No. 14-cv-00173-SI, </w:t>
      </w:r>
      <w:bookmarkStart w:id="12" w:name="_Hlk195524176"/>
      <w:r w:rsidRPr="005D4990">
        <w:rPr>
          <w:rFonts w:cstheme="minorHAnsi"/>
        </w:rPr>
        <w:t>2017 WL 956628</w:t>
      </w:r>
      <w:bookmarkEnd w:id="12"/>
      <w:r w:rsidRPr="005D4990">
        <w:rPr>
          <w:rFonts w:cstheme="minorHAnsi"/>
        </w:rPr>
        <w:t>, at *7 n.7, *35 (N.D. Cal. Mar. 13, 2017).</w:t>
      </w:r>
    </w:p>
  </w:footnote>
  <w:footnote w:id="51">
    <w:p w14:paraId="50C91D36" w14:textId="77777777" w:rsidR="00AA13FC" w:rsidRPr="005D4990" w:rsidRDefault="00AA13FC"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t>Standing Order for all Judges of the Northern District of California, Contents of Joint Case Management Statement, § 19 (Jan. 2017).</w:t>
      </w:r>
    </w:p>
  </w:footnote>
  <w:footnote w:id="52">
    <w:p w14:paraId="4E72943B" w14:textId="3A378B1B" w:rsidR="00AA13FC" w:rsidRPr="005D4990" w:rsidRDefault="00AA13FC"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r>
      <w:r w:rsidR="0082133F" w:rsidRPr="005D4990">
        <w:rPr>
          <w:rFonts w:cstheme="minorHAnsi"/>
        </w:rPr>
        <w:t>Ariz</w:t>
      </w:r>
      <w:r w:rsidRPr="005D4990">
        <w:rPr>
          <w:rFonts w:cstheme="minorHAnsi"/>
        </w:rPr>
        <w:t>. R. Civ. P. 26(b)(1) (emphasis added).</w:t>
      </w:r>
    </w:p>
  </w:footnote>
  <w:footnote w:id="53">
    <w:p w14:paraId="1CAD7FB1" w14:textId="5D389C17" w:rsidR="00AA13FC" w:rsidRPr="005D4990" w:rsidRDefault="00AA13FC"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r>
      <w:r w:rsidRPr="005D4990">
        <w:rPr>
          <w:rFonts w:cstheme="minorHAnsi"/>
          <w:i/>
        </w:rPr>
        <w:t>Abu-Ghazaleh v. Chaul</w:t>
      </w:r>
      <w:r w:rsidRPr="005D4990">
        <w:rPr>
          <w:rFonts w:cstheme="minorHAnsi"/>
        </w:rPr>
        <w:t xml:space="preserve">, </w:t>
      </w:r>
      <w:bookmarkStart w:id="13" w:name="_Hlk195524183"/>
      <w:r w:rsidRPr="005D4990">
        <w:rPr>
          <w:rFonts w:cstheme="minorHAnsi"/>
        </w:rPr>
        <w:t>36 So. 3d 691</w:t>
      </w:r>
      <w:bookmarkEnd w:id="13"/>
      <w:r w:rsidRPr="005D4990">
        <w:rPr>
          <w:rFonts w:cstheme="minorHAnsi"/>
        </w:rPr>
        <w:t xml:space="preserve">, 693-94 (Fla. Dist. Ct. App. 2009).  </w:t>
      </w:r>
    </w:p>
  </w:footnote>
  <w:footnote w:id="54">
    <w:p w14:paraId="47085E20" w14:textId="77777777" w:rsidR="00AA13FC" w:rsidRPr="005D4990" w:rsidRDefault="00AA13FC"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r>
      <w:r w:rsidRPr="005D4990">
        <w:rPr>
          <w:rFonts w:cstheme="minorHAnsi"/>
          <w:i/>
        </w:rPr>
        <w:t>Id.</w:t>
      </w:r>
      <w:r w:rsidRPr="005D4990">
        <w:rPr>
          <w:rFonts w:cstheme="minorHAnsi"/>
        </w:rPr>
        <w:t xml:space="preserve"> at 694 (citation omitted).</w:t>
      </w:r>
    </w:p>
  </w:footnote>
  <w:footnote w:id="55">
    <w:p w14:paraId="270FCDA4" w14:textId="77777777" w:rsidR="00AA13FC" w:rsidRPr="005D4990" w:rsidRDefault="00AA13FC"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r>
      <w:r w:rsidRPr="005D4990">
        <w:rPr>
          <w:rFonts w:cstheme="minorHAnsi"/>
          <w:i/>
        </w:rPr>
        <w:t>Id.</w:t>
      </w:r>
    </w:p>
  </w:footnote>
  <w:footnote w:id="56">
    <w:p w14:paraId="6DBFBB6C" w14:textId="62C2F4C1" w:rsidR="00533E25" w:rsidRPr="005D4990" w:rsidRDefault="00533E25"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t xml:space="preserve">Tripp Haston, </w:t>
      </w:r>
      <w:r w:rsidRPr="005D4990">
        <w:rPr>
          <w:rFonts w:cstheme="minorHAnsi"/>
          <w:i/>
        </w:rPr>
        <w:t>The Missing Key to 3</w:t>
      </w:r>
      <w:r w:rsidR="0043018B" w:rsidRPr="005D4990">
        <w:rPr>
          <w:rFonts w:cstheme="minorHAnsi"/>
          <w:i/>
        </w:rPr>
        <w:t>r</w:t>
      </w:r>
      <w:r w:rsidRPr="005D4990">
        <w:rPr>
          <w:rFonts w:cstheme="minorHAnsi"/>
          <w:i/>
        </w:rPr>
        <w:t>d-Party Litigation Funding</w:t>
      </w:r>
      <w:r w:rsidRPr="005D4990">
        <w:rPr>
          <w:rFonts w:cstheme="minorHAnsi"/>
        </w:rPr>
        <w:t>, Law360 (Feb. 7, 2017), https://www.law360.com/articles/888716/the-missing-key-to-3rd-party-litigation-funding.</w:t>
      </w:r>
    </w:p>
  </w:footnote>
  <w:footnote w:id="57">
    <w:p w14:paraId="6D794CC2" w14:textId="160F7200" w:rsidR="00F8661F" w:rsidRPr="005D4990" w:rsidRDefault="00F8661F"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t>A.R.S. Sup. Ct. Rules, Rule 81, Code of Jud. Conduct, Rule 2.11.</w:t>
      </w:r>
    </w:p>
  </w:footnote>
  <w:footnote w:id="58">
    <w:p w14:paraId="2EA39E5B" w14:textId="2AFC60F4" w:rsidR="00D03106" w:rsidRPr="005D4990" w:rsidRDefault="00D03106"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r>
      <w:r w:rsidR="00A468D9" w:rsidRPr="005D4990">
        <w:rPr>
          <w:rFonts w:cstheme="minorHAnsi"/>
        </w:rPr>
        <w:t>https://askabouttplf.com/?p=10699#:~:text=The%20possibility%20that%20a%20TPLF,‌family%</w:t>
      </w:r>
      <w:r w:rsidR="004249C1" w:rsidRPr="005D4990">
        <w:rPr>
          <w:rFonts w:cstheme="minorHAnsi"/>
        </w:rPr>
        <w:t>‌</w:t>
      </w:r>
      <w:r w:rsidR="00A468D9" w:rsidRPr="005D4990">
        <w:rPr>
          <w:rFonts w:cstheme="minorHAnsi"/>
        </w:rPr>
        <w:t>20offices%</w:t>
      </w:r>
      <w:r w:rsidR="004249C1" w:rsidRPr="005D4990">
        <w:rPr>
          <w:rFonts w:cstheme="minorHAnsi"/>
        </w:rPr>
        <w:t>‌</w:t>
      </w:r>
      <w:r w:rsidR="00A468D9" w:rsidRPr="005D4990">
        <w:rPr>
          <w:rFonts w:cstheme="minorHAnsi"/>
        </w:rPr>
        <w:t>2C%20and%20individuals%20both.</w:t>
      </w:r>
    </w:p>
  </w:footnote>
  <w:footnote w:id="59">
    <w:p w14:paraId="6F860C60" w14:textId="77777777" w:rsidR="00533E25" w:rsidRPr="005D4990" w:rsidRDefault="00533E25"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t xml:space="preserve">Jennifer A. Trusz, </w:t>
      </w:r>
      <w:r w:rsidRPr="005D4990">
        <w:rPr>
          <w:rFonts w:cstheme="minorHAnsi"/>
          <w:i/>
        </w:rPr>
        <w:t>Full Disclosure? Conflicts of Interest Arising from Third-Party Funding in International Commercial Arbitration</w:t>
      </w:r>
      <w:r w:rsidRPr="005D4990">
        <w:rPr>
          <w:rFonts w:cstheme="minorHAnsi"/>
        </w:rPr>
        <w:t>, 101 Geo. L.J. 1649, 1650, 1658 (2013).</w:t>
      </w:r>
    </w:p>
  </w:footnote>
  <w:footnote w:id="60">
    <w:p w14:paraId="0495BFAE" w14:textId="77777777" w:rsidR="00533E25" w:rsidRPr="005D4990" w:rsidRDefault="00533E25"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r>
      <w:r w:rsidRPr="005D4990">
        <w:rPr>
          <w:rFonts w:cstheme="minorHAnsi"/>
          <w:i/>
        </w:rPr>
        <w:t>Id.</w:t>
      </w:r>
      <w:r w:rsidRPr="005D4990">
        <w:rPr>
          <w:rFonts w:cstheme="minorHAnsi"/>
        </w:rPr>
        <w:t xml:space="preserve"> at 1650.</w:t>
      </w:r>
    </w:p>
  </w:footnote>
  <w:footnote w:id="61">
    <w:p w14:paraId="7FE732F9" w14:textId="77777777" w:rsidR="00533E25" w:rsidRPr="005D4990" w:rsidRDefault="00533E25"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r>
      <w:r w:rsidRPr="005D4990">
        <w:rPr>
          <w:rFonts w:cstheme="minorHAnsi"/>
          <w:i/>
        </w:rPr>
        <w:t>Id.</w:t>
      </w:r>
    </w:p>
  </w:footnote>
  <w:footnote w:id="62">
    <w:p w14:paraId="639B8692" w14:textId="77777777" w:rsidR="00533E25" w:rsidRPr="005D4990" w:rsidRDefault="00533E25"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r>
      <w:r w:rsidRPr="005D4990">
        <w:rPr>
          <w:rFonts w:cstheme="minorHAnsi"/>
          <w:i/>
        </w:rPr>
        <w:t>Id.</w:t>
      </w:r>
    </w:p>
  </w:footnote>
  <w:footnote w:id="63">
    <w:p w14:paraId="608682A7" w14:textId="77777777" w:rsidR="00533E25" w:rsidRPr="005D4990" w:rsidRDefault="00533E25"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r>
      <w:r w:rsidRPr="005D4990">
        <w:rPr>
          <w:rFonts w:cstheme="minorHAnsi"/>
          <w:i/>
        </w:rPr>
        <w:t>Id.</w:t>
      </w:r>
    </w:p>
  </w:footnote>
  <w:footnote w:id="64">
    <w:p w14:paraId="234F24ED" w14:textId="77777777" w:rsidR="00533E25" w:rsidRPr="005D4990" w:rsidRDefault="00533E25"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r>
      <w:r w:rsidRPr="005D4990">
        <w:rPr>
          <w:rFonts w:cstheme="minorHAnsi"/>
          <w:i/>
        </w:rPr>
        <w:t>Id.</w:t>
      </w:r>
    </w:p>
  </w:footnote>
  <w:footnote w:id="65">
    <w:p w14:paraId="2E484CEC" w14:textId="77777777" w:rsidR="00533E25" w:rsidRPr="005D4990" w:rsidRDefault="00533E25"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r>
      <w:r w:rsidRPr="005D4990">
        <w:rPr>
          <w:rFonts w:cstheme="minorHAnsi"/>
          <w:i/>
        </w:rPr>
        <w:t>Id.</w:t>
      </w:r>
      <w:r w:rsidRPr="005D4990">
        <w:rPr>
          <w:rFonts w:cstheme="minorHAnsi"/>
        </w:rPr>
        <w:t xml:space="preserve"> (citation omitted).</w:t>
      </w:r>
    </w:p>
  </w:footnote>
  <w:footnote w:id="66">
    <w:p w14:paraId="23292A56" w14:textId="0A7C2806" w:rsidR="009A5B26" w:rsidRPr="005D4990" w:rsidRDefault="009A5B26" w:rsidP="005D4990">
      <w:pPr>
        <w:pStyle w:val="FootnoteText"/>
        <w:spacing w:after="120"/>
        <w:ind w:left="0" w:firstLine="0"/>
        <w:rPr>
          <w:rFonts w:cstheme="minorHAnsi"/>
          <w:iCs/>
        </w:rPr>
      </w:pPr>
      <w:r w:rsidRPr="005D4990">
        <w:rPr>
          <w:rStyle w:val="FootnoteReference"/>
          <w:rFonts w:cstheme="minorHAnsi"/>
        </w:rPr>
        <w:footnoteRef/>
      </w:r>
      <w:r w:rsidRPr="005D4990">
        <w:rPr>
          <w:rFonts w:cstheme="minorHAnsi"/>
        </w:rPr>
        <w:t xml:space="preserve"> </w:t>
      </w:r>
      <w:r w:rsidRPr="005D4990">
        <w:rPr>
          <w:rFonts w:cstheme="minorHAnsi"/>
        </w:rPr>
        <w:tab/>
        <w:t xml:space="preserve">Maya Steinitz, </w:t>
      </w:r>
      <w:r w:rsidRPr="005D4990">
        <w:rPr>
          <w:rFonts w:cstheme="minorHAnsi"/>
          <w:i/>
        </w:rPr>
        <w:t>Whose Claim Is This Anyway? Third-Party Litigation Funding</w:t>
      </w:r>
      <w:r w:rsidRPr="005D4990">
        <w:rPr>
          <w:rFonts w:cstheme="minorHAnsi"/>
        </w:rPr>
        <w:t xml:space="preserve">, 95 Minn. L. Rev. 1268, 1270 (2011).  Another early warning on this score came from an ILR publication: Michael E. Leiter, John H. Beisner, Jordan M. Schwartz &amp; James E. Perry, </w:t>
      </w:r>
      <w:r w:rsidRPr="005D4990">
        <w:rPr>
          <w:rFonts w:cstheme="minorHAnsi"/>
          <w:i/>
          <w:iCs/>
        </w:rPr>
        <w:t>A New Threat: The National Security Risk of Third Party Litigation Funding</w:t>
      </w:r>
      <w:r w:rsidRPr="005D4990">
        <w:rPr>
          <w:rFonts w:cstheme="minorHAnsi"/>
        </w:rPr>
        <w:t>, ILR Briefly (Nov. 2022), https://instituteforlegalreform.com/wp-content/uploads/2022/11/‌TPLF-Briefly-Oct-2022-RBG-FINAL-1.pdf</w:t>
      </w:r>
      <w:r w:rsidRPr="005D4990">
        <w:rPr>
          <w:rFonts w:cstheme="minorHAnsi"/>
          <w:iCs/>
        </w:rPr>
        <w:t xml:space="preserve"> (</w:t>
      </w:r>
      <w:r w:rsidR="00F71C95" w:rsidRPr="005D4990">
        <w:rPr>
          <w:rFonts w:cstheme="minorHAnsi"/>
          <w:iCs/>
        </w:rPr>
        <w:t>“</w:t>
      </w:r>
      <w:r w:rsidRPr="005D4990">
        <w:rPr>
          <w:rFonts w:cstheme="minorHAnsi"/>
          <w:iCs/>
        </w:rPr>
        <w:t>[A] foreign adversary could encourage and exploit commercial disputes involving U.S. companies to advance their national interests in a variety of ways.</w:t>
      </w:r>
      <w:r w:rsidR="00F71C95" w:rsidRPr="005D4990">
        <w:rPr>
          <w:rFonts w:cstheme="minorHAnsi"/>
          <w:iCs/>
        </w:rPr>
        <w:t>”</w:t>
      </w:r>
      <w:r w:rsidRPr="005D4990">
        <w:rPr>
          <w:rFonts w:cstheme="minorHAnsi"/>
          <w:iCs/>
        </w:rPr>
        <w:t xml:space="preserve">).  </w:t>
      </w:r>
    </w:p>
  </w:footnote>
  <w:footnote w:id="67">
    <w:p w14:paraId="7D49E6CD" w14:textId="77777777" w:rsidR="009A5B26" w:rsidRPr="005D4990" w:rsidRDefault="009A5B26"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t xml:space="preserve">Press Release, U.S. Senator John Kennedy, </w:t>
      </w:r>
      <w:r w:rsidRPr="005D4990">
        <w:rPr>
          <w:rFonts w:cstheme="minorHAnsi"/>
          <w:i/>
        </w:rPr>
        <w:t xml:space="preserve">Kennedy Urges Roberts, Garland to Take Action to Protect National Security From Foreign Actors Meddling in U.S. Courts </w:t>
      </w:r>
      <w:r w:rsidRPr="005D4990">
        <w:rPr>
          <w:rFonts w:cstheme="minorHAnsi"/>
        </w:rPr>
        <w:t>(Jan. 9, 2023), https://www.kennedy.senate.gov/‌public/press-releases?ID=1FBC312C-94B8-409B-B0A3-859A9F35B9F5; Letter from Senator John Kennedy to Honorable Merrick Garland &amp; Honorable John Roberts (Jan. 6, 2023), https://www.kennedy.senate.gov/‌public/_cache/files/0/7/077acc52-6622-453b-b9a5-bbecd358e136/‌32C50A661400A5B670DC1D48B8D75E73‌.letter-to-ag-garland-cheif-justice-roberts.pdf.</w:t>
      </w:r>
    </w:p>
  </w:footnote>
  <w:footnote w:id="68">
    <w:p w14:paraId="17284435" w14:textId="1EAF12D3" w:rsidR="009A5B26" w:rsidRPr="005D4990" w:rsidRDefault="009A5B26" w:rsidP="005D4990">
      <w:pPr>
        <w:pStyle w:val="FootnoteText"/>
        <w:spacing w:after="120"/>
        <w:ind w:left="0" w:firstLine="0"/>
        <w:rPr>
          <w:rFonts w:cstheme="minorHAnsi"/>
          <w:i/>
          <w:iCs/>
        </w:rPr>
      </w:pPr>
      <w:r w:rsidRPr="005D4990">
        <w:rPr>
          <w:rStyle w:val="FootnoteReference"/>
          <w:rFonts w:cstheme="minorHAnsi"/>
        </w:rPr>
        <w:footnoteRef/>
      </w:r>
      <w:r w:rsidR="00493CD0" w:rsidRPr="005D4990">
        <w:rPr>
          <w:rFonts w:cstheme="minorHAnsi"/>
        </w:rPr>
        <w:t xml:space="preserve"> </w:t>
      </w:r>
      <w:r w:rsidR="00493CD0" w:rsidRPr="005D4990">
        <w:rPr>
          <w:rFonts w:cstheme="minorHAnsi"/>
        </w:rPr>
        <w:tab/>
      </w:r>
      <w:r w:rsidRPr="005D4990">
        <w:rPr>
          <w:rFonts w:cstheme="minorHAnsi"/>
          <w:i/>
          <w:iCs/>
        </w:rPr>
        <w:t xml:space="preserve">See </w:t>
      </w:r>
      <w:r w:rsidRPr="005D4990">
        <w:rPr>
          <w:rFonts w:cstheme="minorHAnsi"/>
        </w:rPr>
        <w:t xml:space="preserve">Press Release, U.S. Senator John Kennedy, </w:t>
      </w:r>
      <w:r w:rsidRPr="005D4990">
        <w:rPr>
          <w:rFonts w:cstheme="minorHAnsi"/>
          <w:i/>
          <w:iCs/>
        </w:rPr>
        <w:t xml:space="preserve">Kennedy, Manchin </w:t>
      </w:r>
      <w:r w:rsidR="002F7C0D" w:rsidRPr="005D4990">
        <w:rPr>
          <w:rFonts w:cstheme="minorHAnsi"/>
          <w:i/>
          <w:iCs/>
        </w:rPr>
        <w:t>I</w:t>
      </w:r>
      <w:r w:rsidRPr="005D4990">
        <w:rPr>
          <w:rFonts w:cstheme="minorHAnsi"/>
          <w:i/>
          <w:iCs/>
        </w:rPr>
        <w:t xml:space="preserve">ntroduce </w:t>
      </w:r>
      <w:r w:rsidR="002F7C0D" w:rsidRPr="005D4990">
        <w:rPr>
          <w:rFonts w:cstheme="minorHAnsi"/>
          <w:i/>
          <w:iCs/>
        </w:rPr>
        <w:t>B</w:t>
      </w:r>
      <w:r w:rsidRPr="005D4990">
        <w:rPr>
          <w:rFonts w:cstheme="minorHAnsi"/>
          <w:i/>
          <w:iCs/>
        </w:rPr>
        <w:t xml:space="preserve">ipartisan Protecting Our Courts from Foreign Influence Act to </w:t>
      </w:r>
      <w:r w:rsidR="002F7C0D" w:rsidRPr="005D4990">
        <w:rPr>
          <w:rFonts w:cstheme="minorHAnsi"/>
          <w:i/>
          <w:iCs/>
        </w:rPr>
        <w:t>E</w:t>
      </w:r>
      <w:r w:rsidRPr="005D4990">
        <w:rPr>
          <w:rFonts w:cstheme="minorHAnsi"/>
          <w:i/>
          <w:iCs/>
        </w:rPr>
        <w:t xml:space="preserve">nd </w:t>
      </w:r>
      <w:r w:rsidR="002F7C0D" w:rsidRPr="005D4990">
        <w:rPr>
          <w:rFonts w:cstheme="minorHAnsi"/>
          <w:i/>
          <w:iCs/>
        </w:rPr>
        <w:t>O</w:t>
      </w:r>
      <w:r w:rsidRPr="005D4990">
        <w:rPr>
          <w:rFonts w:cstheme="minorHAnsi"/>
          <w:i/>
          <w:iCs/>
        </w:rPr>
        <w:t xml:space="preserve">verseas </w:t>
      </w:r>
      <w:r w:rsidR="002F7C0D" w:rsidRPr="005D4990">
        <w:rPr>
          <w:rFonts w:cstheme="minorHAnsi"/>
          <w:i/>
          <w:iCs/>
        </w:rPr>
        <w:t>M</w:t>
      </w:r>
      <w:r w:rsidRPr="005D4990">
        <w:rPr>
          <w:rFonts w:cstheme="minorHAnsi"/>
          <w:i/>
          <w:iCs/>
        </w:rPr>
        <w:t xml:space="preserve">eddling in U.S. </w:t>
      </w:r>
      <w:r w:rsidR="002F7C0D" w:rsidRPr="005D4990">
        <w:rPr>
          <w:rFonts w:cstheme="minorHAnsi"/>
          <w:i/>
          <w:iCs/>
        </w:rPr>
        <w:t>L</w:t>
      </w:r>
      <w:r w:rsidRPr="005D4990">
        <w:rPr>
          <w:rFonts w:cstheme="minorHAnsi"/>
          <w:i/>
          <w:iCs/>
        </w:rPr>
        <w:t xml:space="preserve">itigation </w:t>
      </w:r>
      <w:r w:rsidRPr="005D4990">
        <w:rPr>
          <w:rFonts w:cstheme="minorHAnsi"/>
        </w:rPr>
        <w:t xml:space="preserve">(Sept. 14, 2023), https://www.kennedy.senate.gov/public/2023/9/kennedy-manchin-introduce-bipartisan-protecting-our-courts-from-foreign-manipulation-act-to-end-overseas-meddling-in-u-s-litigation.    </w:t>
      </w:r>
    </w:p>
  </w:footnote>
  <w:footnote w:id="69">
    <w:p w14:paraId="7ECD50EF" w14:textId="77777777" w:rsidR="009A5B26" w:rsidRPr="005D4990" w:rsidRDefault="009A5B26"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t>Letter from Senators John Cornyn &amp; Thom Tillis to H. Thomas Byron III (July 11, 2024), https://www.uscourts.gov/sites/default/files/24-cv-m_suggestion_from_senators_cornyn_tillis_-_rule_26_tplf.pdf.</w:t>
      </w:r>
    </w:p>
  </w:footnote>
  <w:footnote w:id="70">
    <w:p w14:paraId="25A6DD0F" w14:textId="77777777" w:rsidR="009A5B26" w:rsidRPr="005D4990" w:rsidRDefault="009A5B26"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t xml:space="preserve">Press Release, U.S. Senator Marco Rubio, </w:t>
      </w:r>
      <w:r w:rsidRPr="005D4990">
        <w:rPr>
          <w:rFonts w:cstheme="minorHAnsi"/>
          <w:i/>
        </w:rPr>
        <w:t xml:space="preserve">Rubio, Scott Push for Transparency for Foreign Third Party Litigation Funding in U.S. Courts </w:t>
      </w:r>
      <w:r w:rsidRPr="005D4990">
        <w:rPr>
          <w:rFonts w:cstheme="minorHAnsi"/>
        </w:rPr>
        <w:t>(Nov. 3, 2023), https://web.archive.org/web/20250111011234/‌https://www.rubio.senate.gov/rubio-scott-push-for-transparency-for-foreign-third-party-litigation-funding-in-u-s-courts/.</w:t>
      </w:r>
    </w:p>
  </w:footnote>
  <w:footnote w:id="71">
    <w:p w14:paraId="0D7B4239" w14:textId="77777777" w:rsidR="009A5B26" w:rsidRPr="005D4990" w:rsidRDefault="009A5B26"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r>
      <w:r w:rsidRPr="005D4990">
        <w:rPr>
          <w:rFonts w:cstheme="minorHAnsi"/>
          <w:i/>
          <w:iCs/>
        </w:rPr>
        <w:t>Id.</w:t>
      </w:r>
    </w:p>
  </w:footnote>
  <w:footnote w:id="72">
    <w:p w14:paraId="4CA839E8" w14:textId="32F923E8" w:rsidR="009A5B26" w:rsidRPr="005D4990" w:rsidRDefault="009A5B26"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t xml:space="preserve">House Select Committee on the Strategic Competition Between the United States and the Chinese Communist Party, </w:t>
      </w:r>
      <w:r w:rsidRPr="005D4990">
        <w:rPr>
          <w:rFonts w:cstheme="minorHAnsi"/>
          <w:i/>
          <w:iCs/>
        </w:rPr>
        <w:t>Reset, Prevent, Build: A Strategy to Win America</w:t>
      </w:r>
      <w:r w:rsidR="00F71C95" w:rsidRPr="005D4990">
        <w:rPr>
          <w:rFonts w:cstheme="minorHAnsi"/>
          <w:i/>
          <w:iCs/>
        </w:rPr>
        <w:t>’</w:t>
      </w:r>
      <w:r w:rsidRPr="005D4990">
        <w:rPr>
          <w:rFonts w:cstheme="minorHAnsi"/>
          <w:i/>
          <w:iCs/>
        </w:rPr>
        <w:t>s Economic Competition with the Chinese Communist Party</w:t>
      </w:r>
      <w:r w:rsidRPr="005D4990">
        <w:rPr>
          <w:rFonts w:cstheme="minorHAnsi"/>
        </w:rPr>
        <w:t xml:space="preserve"> (Dec. 12, 2023), at 21, https://selectcommitteeontheccp.house.gov/sites/evo-subsites/</w:t>
      </w:r>
      <w:r w:rsidR="004249C1" w:rsidRPr="005D4990">
        <w:rPr>
          <w:rFonts w:cstheme="minorHAnsi"/>
        </w:rPr>
        <w:t>‌</w:t>
      </w:r>
      <w:r w:rsidRPr="005D4990">
        <w:rPr>
          <w:rFonts w:cstheme="minorHAnsi"/>
        </w:rPr>
        <w:t>selectcommitteeontheccp.house.gov/files/evo-media-document/reset-prevent-build-scc-report.pdf.</w:t>
      </w:r>
    </w:p>
  </w:footnote>
  <w:footnote w:id="73">
    <w:p w14:paraId="6CC251C5" w14:textId="77777777" w:rsidR="009A5B26" w:rsidRPr="005D4990" w:rsidRDefault="009A5B26"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r>
      <w:r w:rsidRPr="005D4990">
        <w:rPr>
          <w:rFonts w:cstheme="minorHAnsi"/>
          <w:i/>
          <w:iCs/>
        </w:rPr>
        <w:t>Id.</w:t>
      </w:r>
      <w:r w:rsidRPr="005D4990">
        <w:rPr>
          <w:rFonts w:cstheme="minorHAnsi"/>
        </w:rPr>
        <w:t xml:space="preserve"> </w:t>
      </w:r>
    </w:p>
  </w:footnote>
  <w:footnote w:id="74">
    <w:p w14:paraId="75C7E042" w14:textId="77777777" w:rsidR="009A5B26" w:rsidRPr="005D4990" w:rsidRDefault="009A5B26"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r>
      <w:r w:rsidRPr="005D4990">
        <w:rPr>
          <w:rFonts w:cstheme="minorHAnsi"/>
          <w:i/>
        </w:rPr>
        <w:t xml:space="preserve">See generally </w:t>
      </w:r>
      <w:r w:rsidRPr="005D4990">
        <w:rPr>
          <w:rFonts w:cstheme="minorHAnsi"/>
          <w:iCs/>
        </w:rPr>
        <w:t xml:space="preserve">Letter from </w:t>
      </w:r>
      <w:r w:rsidRPr="005D4990">
        <w:rPr>
          <w:rFonts w:cstheme="minorHAnsi"/>
        </w:rPr>
        <w:t xml:space="preserve">Honorable Christopher M. Carr (GA), Honorable Jason Miyares (VA) </w:t>
      </w:r>
      <w:r w:rsidRPr="005D4990">
        <w:rPr>
          <w:rFonts w:cstheme="minorHAnsi"/>
          <w:iCs/>
        </w:rPr>
        <w:t>et al.</w:t>
      </w:r>
      <w:r w:rsidRPr="005D4990">
        <w:rPr>
          <w:rFonts w:cstheme="minorHAnsi"/>
        </w:rPr>
        <w:t xml:space="preserve"> to U.S. DOJ re: Threats Posed by Third-Party Litigation Funding (Dec. 22, 2022), https://www.tn.gov/content/‌dam/tn/attorneygeneral/documents/pr/2022/pr22-55-letter.pdf.</w:t>
      </w:r>
    </w:p>
  </w:footnote>
  <w:footnote w:id="75">
    <w:p w14:paraId="0FF3412F" w14:textId="1BE1137C" w:rsidR="009A5B26" w:rsidRPr="005D4990" w:rsidRDefault="009A5B26"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r>
      <w:r w:rsidRPr="005D4990">
        <w:rPr>
          <w:rFonts w:cstheme="minorHAnsi"/>
          <w:i/>
          <w:iCs/>
        </w:rPr>
        <w:t>See generally</w:t>
      </w:r>
      <w:r w:rsidRPr="005D4990">
        <w:rPr>
          <w:rFonts w:cstheme="minorHAnsi"/>
        </w:rPr>
        <w:t xml:space="preserve"> Robert Kelner, Brian Smith &amp; Alexandra Langton, </w:t>
      </w:r>
      <w:r w:rsidRPr="005D4990">
        <w:rPr>
          <w:rFonts w:cstheme="minorHAnsi"/>
          <w:i/>
          <w:iCs/>
        </w:rPr>
        <w:t>DOJ Officials</w:t>
      </w:r>
      <w:r w:rsidR="00F71C95" w:rsidRPr="005D4990">
        <w:rPr>
          <w:rFonts w:cstheme="minorHAnsi"/>
          <w:i/>
          <w:iCs/>
        </w:rPr>
        <w:t>’</w:t>
      </w:r>
      <w:r w:rsidRPr="005D4990">
        <w:rPr>
          <w:rFonts w:cstheme="minorHAnsi"/>
          <w:i/>
          <w:iCs/>
        </w:rPr>
        <w:t xml:space="preserve"> Remarks Signal New Trends In FARA Activity</w:t>
      </w:r>
      <w:r w:rsidRPr="005D4990">
        <w:rPr>
          <w:rFonts w:cstheme="minorHAnsi"/>
        </w:rPr>
        <w:t>, Law360 (Dec. 14, 2023), https://www.law360.com/articles/1776917/doj-officials-remarks-signal-new-trends-in-fara-activity.</w:t>
      </w:r>
    </w:p>
  </w:footnote>
  <w:footnote w:id="76">
    <w:p w14:paraId="02186FA3" w14:textId="77777777" w:rsidR="009A5B26" w:rsidRPr="005D4990" w:rsidRDefault="009A5B26"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r>
      <w:r w:rsidRPr="005D4990">
        <w:rPr>
          <w:rFonts w:cstheme="minorHAnsi"/>
          <w:i/>
          <w:iCs/>
        </w:rPr>
        <w:t>Id.</w:t>
      </w:r>
    </w:p>
  </w:footnote>
  <w:footnote w:id="77">
    <w:p w14:paraId="7E7F5F3B" w14:textId="77777777" w:rsidR="009A5B26" w:rsidRPr="005D4990" w:rsidRDefault="009A5B26"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t xml:space="preserve">Complaint, </w:t>
      </w:r>
      <w:r w:rsidRPr="005D4990">
        <w:rPr>
          <w:rFonts w:cstheme="minorHAnsi"/>
          <w:i/>
          <w:iCs/>
        </w:rPr>
        <w:t>ExxonMobil Corp. v. Bonta</w:t>
      </w:r>
      <w:r w:rsidRPr="005D4990">
        <w:rPr>
          <w:rFonts w:cstheme="minorHAnsi"/>
        </w:rPr>
        <w:t>, No. 1:25-cv-00011, ECF No. 1 (E.D. Tex. filed Jan. 6, 2025), https://s3.amazonaws.com/jnswire/jns-media/09/bd/20843388/ExxonMobil_v_Bonta.pdf.</w:t>
      </w:r>
    </w:p>
  </w:footnote>
  <w:footnote w:id="78">
    <w:p w14:paraId="77756247" w14:textId="77777777" w:rsidR="009A5B26" w:rsidRPr="005D4990" w:rsidRDefault="009A5B26"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t xml:space="preserve">Emily R. Siegel, </w:t>
      </w:r>
      <w:r w:rsidRPr="005D4990">
        <w:rPr>
          <w:rFonts w:cstheme="minorHAnsi"/>
          <w:i/>
          <w:iCs/>
        </w:rPr>
        <w:t>China Firm Funds US Suits Amid Push to Disclose Foreign Ties</w:t>
      </w:r>
      <w:r w:rsidRPr="005D4990">
        <w:rPr>
          <w:rFonts w:cstheme="minorHAnsi"/>
        </w:rPr>
        <w:t>, Bloomberg Law (Nov. 6, 2023), https://news.bloomberglaw.com/business-and-practice/china-firm-funds-us-lawsuits-amid-push-to-disclose-foreign-ties; https://www.purplevineip.com/en/.</w:t>
      </w:r>
    </w:p>
  </w:footnote>
  <w:footnote w:id="79">
    <w:p w14:paraId="6D483AB2" w14:textId="3150DBA2" w:rsidR="009A5B26" w:rsidRPr="005D4990" w:rsidRDefault="009A5B26"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r>
      <w:r w:rsidRPr="005D4990">
        <w:rPr>
          <w:rFonts w:cstheme="minorHAnsi"/>
          <w:i/>
          <w:iCs/>
        </w:rPr>
        <w:t xml:space="preserve">See </w:t>
      </w:r>
      <w:r w:rsidRPr="005D4990">
        <w:rPr>
          <w:rFonts w:cstheme="minorHAnsi"/>
        </w:rPr>
        <w:t>Plaintiff</w:t>
      </w:r>
      <w:r w:rsidR="00F71C95" w:rsidRPr="005D4990">
        <w:rPr>
          <w:rFonts w:cstheme="minorHAnsi"/>
        </w:rPr>
        <w:t>’</w:t>
      </w:r>
      <w:r w:rsidRPr="005D4990">
        <w:rPr>
          <w:rFonts w:cstheme="minorHAnsi"/>
        </w:rPr>
        <w:t xml:space="preserve">s Statement Regarding Third-Party Litigation Funding Arrangements, </w:t>
      </w:r>
      <w:r w:rsidRPr="005D4990">
        <w:rPr>
          <w:rFonts w:cstheme="minorHAnsi"/>
          <w:i/>
          <w:iCs/>
        </w:rPr>
        <w:t>Staton Techiya, LLC v. Harman Int</w:t>
      </w:r>
      <w:r w:rsidR="00F71C95" w:rsidRPr="005D4990">
        <w:rPr>
          <w:rFonts w:cstheme="minorHAnsi"/>
          <w:i/>
          <w:iCs/>
        </w:rPr>
        <w:t>’</w:t>
      </w:r>
      <w:r w:rsidRPr="005D4990">
        <w:rPr>
          <w:rFonts w:cstheme="minorHAnsi"/>
          <w:i/>
          <w:iCs/>
        </w:rPr>
        <w:t>l Indus., Inc.</w:t>
      </w:r>
      <w:r w:rsidRPr="005D4990">
        <w:rPr>
          <w:rFonts w:cstheme="minorHAnsi"/>
        </w:rPr>
        <w:t xml:space="preserve">, No. 1:23-cv-00801-JCG, ECF No. 7 (D. Del. filed Aug. 24, 2023). </w:t>
      </w:r>
    </w:p>
  </w:footnote>
  <w:footnote w:id="80">
    <w:p w14:paraId="0700B714" w14:textId="484FD954" w:rsidR="009A5B26" w:rsidRPr="005D4990" w:rsidRDefault="009A5B26"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r>
      <w:r w:rsidRPr="005D4990">
        <w:rPr>
          <w:rFonts w:cstheme="minorHAnsi"/>
          <w:i/>
          <w:iCs/>
        </w:rPr>
        <w:t xml:space="preserve">See </w:t>
      </w:r>
      <w:r w:rsidRPr="005D4990">
        <w:rPr>
          <w:rFonts w:cstheme="minorHAnsi"/>
        </w:rPr>
        <w:t>Samsung</w:t>
      </w:r>
      <w:r w:rsidR="00F71C95" w:rsidRPr="005D4990">
        <w:rPr>
          <w:rFonts w:cstheme="minorHAnsi"/>
        </w:rPr>
        <w:t>’</w:t>
      </w:r>
      <w:r w:rsidRPr="005D4990">
        <w:rPr>
          <w:rFonts w:cstheme="minorHAnsi"/>
        </w:rPr>
        <w:t xml:space="preserve">s Motion for Leave to Amend Answer &amp; Counterclaims to Join Purplevine &amp; PV Law as Counterclaim Defendants at 5-6, 14-15, </w:t>
      </w:r>
      <w:r w:rsidRPr="005D4990">
        <w:rPr>
          <w:rFonts w:cstheme="minorHAnsi"/>
          <w:i/>
          <w:iCs/>
        </w:rPr>
        <w:t>Staton Techiya, LLC v. Samsung Elecs. Co.</w:t>
      </w:r>
      <w:r w:rsidRPr="005D4990">
        <w:rPr>
          <w:rFonts w:cstheme="minorHAnsi"/>
        </w:rPr>
        <w:t>, No. 2:23-cv-00319-JRG-RSP, ECF No. 65 (E.D. Tex. filed June 13, 2024).</w:t>
      </w:r>
    </w:p>
  </w:footnote>
  <w:footnote w:id="81">
    <w:p w14:paraId="417C29D8" w14:textId="5A5D2B8C" w:rsidR="009A5B26" w:rsidRPr="005D4990" w:rsidRDefault="009A5B26"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r>
      <w:r w:rsidRPr="005D4990">
        <w:rPr>
          <w:rFonts w:cstheme="minorHAnsi"/>
          <w:i/>
          <w:iCs/>
        </w:rPr>
        <w:t>See generally</w:t>
      </w:r>
      <w:r w:rsidRPr="005D4990">
        <w:rPr>
          <w:rFonts w:cstheme="minorHAnsi"/>
        </w:rPr>
        <w:t xml:space="preserve"> Complaint, </w:t>
      </w:r>
      <w:r w:rsidRPr="005D4990">
        <w:rPr>
          <w:rFonts w:cstheme="minorHAnsi"/>
          <w:i/>
          <w:iCs/>
        </w:rPr>
        <w:t>Staton Techiya, LLC v. Harman Int</w:t>
      </w:r>
      <w:r w:rsidR="00F71C95" w:rsidRPr="005D4990">
        <w:rPr>
          <w:rFonts w:cstheme="minorHAnsi"/>
          <w:i/>
          <w:iCs/>
        </w:rPr>
        <w:t>’</w:t>
      </w:r>
      <w:r w:rsidRPr="005D4990">
        <w:rPr>
          <w:rFonts w:cstheme="minorHAnsi"/>
          <w:i/>
          <w:iCs/>
        </w:rPr>
        <w:t>l Indus., Inc.</w:t>
      </w:r>
      <w:r w:rsidRPr="005D4990">
        <w:rPr>
          <w:rFonts w:cstheme="minorHAnsi"/>
        </w:rPr>
        <w:t xml:space="preserve">, No. 1:23-cv-00801-JCG, ECF No. 1 (D. Del. filed July 25, 2023).  An apparent relationship between Purplevine and Chinese consumer electronics giant TCL Corp. raises further questions about whether it or any other foreign actors are investing in U.S. litigation for questionable purposes—i.e., to undermine competitors, including in sensitive industries.  </w:t>
      </w:r>
      <w:r w:rsidRPr="005D4990">
        <w:rPr>
          <w:rFonts w:cstheme="minorHAnsi"/>
          <w:i/>
          <w:iCs/>
        </w:rPr>
        <w:t>See</w:t>
      </w:r>
      <w:r w:rsidRPr="005D4990">
        <w:rPr>
          <w:rFonts w:cstheme="minorHAnsi"/>
        </w:rPr>
        <w:t xml:space="preserve"> Emily R. Siegel, </w:t>
      </w:r>
      <w:r w:rsidRPr="005D4990">
        <w:rPr>
          <w:rFonts w:cstheme="minorHAnsi"/>
          <w:i/>
          <w:iCs/>
        </w:rPr>
        <w:t>China Firm Funds US Suits Amid Push to Disclose Foreign Ties</w:t>
      </w:r>
      <w:r w:rsidRPr="005D4990">
        <w:rPr>
          <w:rFonts w:cstheme="minorHAnsi"/>
        </w:rPr>
        <w:t>, Bloomberg Law (Nov. 6, 2023), https://news.bloomberglaw.com/business-and-practice/china-firm-funds-us-lawsuits-amid-push-to-disclose-foreign-ties.</w:t>
      </w:r>
    </w:p>
  </w:footnote>
  <w:footnote w:id="82">
    <w:p w14:paraId="535E2A6B" w14:textId="77777777" w:rsidR="009A5B26" w:rsidRPr="005D4990" w:rsidRDefault="009A5B26"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t xml:space="preserve">Brad Hamilton &amp; Georgia Worrell, </w:t>
      </w:r>
      <w:r w:rsidRPr="005D4990">
        <w:rPr>
          <w:rFonts w:cstheme="minorHAnsi"/>
          <w:i/>
          <w:iCs/>
        </w:rPr>
        <w:t>MS-13, Russian Mobsters Use Migrants in Elaborate Injury Scam — Even Getting Spinal Surgery to Pull it Off</w:t>
      </w:r>
      <w:r w:rsidRPr="005D4990">
        <w:rPr>
          <w:rFonts w:cstheme="minorHAnsi"/>
        </w:rPr>
        <w:t>, N.Y. Post (June 16, 2024), https://nypost.com/2024/06/16/us-news/ms-13-russian-mobsters-use-migrants-in-elaborate-injury-scam-even-getting-spinal-surgery-to-pull-it-off-sources.</w:t>
      </w:r>
    </w:p>
  </w:footnote>
  <w:footnote w:id="83">
    <w:p w14:paraId="5E8E3ABD" w14:textId="4EFC388C" w:rsidR="009A5B26" w:rsidRPr="005D4990" w:rsidRDefault="009A5B26"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t xml:space="preserve">Published reports also indicate that </w:t>
      </w:r>
      <w:r w:rsidRPr="005D4990">
        <w:rPr>
          <w:rFonts w:eastAsia="MS Mincho" w:cstheme="minorHAnsi"/>
          <w:lang w:eastAsia="en-US"/>
        </w:rPr>
        <w:t xml:space="preserve">certain Russian billionaires have </w:t>
      </w:r>
      <w:r w:rsidRPr="005D4990">
        <w:rPr>
          <w:rFonts w:cstheme="minorHAnsi"/>
        </w:rPr>
        <w:t xml:space="preserve">financed lawsuits through their investment firms in an effort to evade international sanctions.  According to a Bloomberg Law investigation, a company named A1, a subsidiary of a Russian investment company called Alfa Group, has spent about $20 million in ongoing bankruptcy cases in New York and London on behalf of a Russian agency seeking to recover assets that were embezzled from a Moscow bank.  In fact, after three A1 directors were sanctioned in the UK, the three sanctioned directors sold A1 for about $900 to another A1 director who had not been sanctioned.  The director who purchased A1, admitted in a bankruptcy proceeding that he purchased A1 because of a </w:t>
      </w:r>
      <w:r w:rsidR="00F71C95" w:rsidRPr="005D4990">
        <w:rPr>
          <w:rFonts w:cstheme="minorHAnsi"/>
        </w:rPr>
        <w:t>“‘</w:t>
      </w:r>
      <w:r w:rsidRPr="005D4990">
        <w:rPr>
          <w:rFonts w:cstheme="minorHAnsi"/>
        </w:rPr>
        <w:t>complicated geopolitical situation</w:t>
      </w:r>
      <w:r w:rsidR="00F71C95" w:rsidRPr="005D4990">
        <w:rPr>
          <w:rFonts w:cstheme="minorHAnsi"/>
        </w:rPr>
        <w:t>’</w:t>
      </w:r>
      <w:r w:rsidRPr="005D4990">
        <w:rPr>
          <w:rFonts w:cstheme="minorHAnsi"/>
        </w:rPr>
        <w:t xml:space="preserve"> potentially affecting the litigation.</w:t>
      </w:r>
      <w:r w:rsidR="00F71C95" w:rsidRPr="005D4990">
        <w:rPr>
          <w:rFonts w:cstheme="minorHAnsi"/>
        </w:rPr>
        <w:t>”</w:t>
      </w:r>
      <w:r w:rsidRPr="005D4990">
        <w:rPr>
          <w:rFonts w:cstheme="minorHAnsi"/>
        </w:rPr>
        <w:t xml:space="preserve">  Emily R. Siegel &amp; John Holland, </w:t>
      </w:r>
      <w:r w:rsidRPr="005D4990">
        <w:rPr>
          <w:rFonts w:cstheme="minorHAnsi"/>
          <w:i/>
          <w:iCs/>
        </w:rPr>
        <w:t>Putin</w:t>
      </w:r>
      <w:r w:rsidR="00F71C95" w:rsidRPr="005D4990">
        <w:rPr>
          <w:rFonts w:cstheme="minorHAnsi"/>
          <w:i/>
          <w:iCs/>
        </w:rPr>
        <w:t>’</w:t>
      </w:r>
      <w:r w:rsidRPr="005D4990">
        <w:rPr>
          <w:rFonts w:cstheme="minorHAnsi"/>
          <w:i/>
          <w:iCs/>
        </w:rPr>
        <w:t>s Billionaires Dodge Sanctions by Financing Lawsuits</w:t>
      </w:r>
      <w:r w:rsidRPr="005D4990">
        <w:rPr>
          <w:rFonts w:cstheme="minorHAnsi"/>
        </w:rPr>
        <w:t>, Bloomberg Law (Mar. 28, 2024), https://news.bloomberglaw</w:t>
      </w:r>
      <w:r w:rsidR="004249C1" w:rsidRPr="005D4990">
        <w:rPr>
          <w:rFonts w:cstheme="minorHAnsi"/>
        </w:rPr>
        <w:t>‌</w:t>
      </w:r>
      <w:r w:rsidRPr="005D4990">
        <w:rPr>
          <w:rFonts w:cstheme="minorHAnsi"/>
        </w:rPr>
        <w:t>.com/</w:t>
      </w:r>
      <w:r w:rsidR="004249C1" w:rsidRPr="005D4990">
        <w:rPr>
          <w:rFonts w:cstheme="minorHAnsi"/>
        </w:rPr>
        <w:t>‌</w:t>
      </w:r>
      <w:r w:rsidRPr="005D4990">
        <w:rPr>
          <w:rFonts w:cstheme="minorHAnsi"/>
        </w:rPr>
        <w:t xml:space="preserve">litigation-finance/putins-billionaires-sidestep-sanctions-by-financing-lawsuits.  The Bloomberg investigation led to questions in Congress, and then-Deputy Treasury Secretary Wally Adeyemo testified at a Senate hearing that careful scrutiny should be given to the use of litigation finance in the U.S. by foreign actors.  Adeyemo noted that </w:t>
      </w:r>
      <w:r w:rsidR="00F71C95" w:rsidRPr="005D4990">
        <w:rPr>
          <w:rFonts w:cstheme="minorHAnsi"/>
        </w:rPr>
        <w:t>“</w:t>
      </w:r>
      <w:r w:rsidRPr="005D4990">
        <w:rPr>
          <w:rFonts w:cstheme="minorHAnsi"/>
        </w:rPr>
        <w:t>[o]ne of the challenges we have . . . is that these Russian oligarchs have become quite expert at trying to avoid our sanctions . . . [a]nd from what I</w:t>
      </w:r>
      <w:r w:rsidR="00F71C95" w:rsidRPr="005D4990">
        <w:rPr>
          <w:rFonts w:cstheme="minorHAnsi"/>
        </w:rPr>
        <w:t>’</w:t>
      </w:r>
      <w:r w:rsidRPr="005D4990">
        <w:rPr>
          <w:rFonts w:cstheme="minorHAnsi"/>
        </w:rPr>
        <w:t>ve seen, [TPLF] is one of the several ways they</w:t>
      </w:r>
      <w:r w:rsidR="00F71C95" w:rsidRPr="005D4990">
        <w:rPr>
          <w:rFonts w:cstheme="minorHAnsi"/>
        </w:rPr>
        <w:t>’</w:t>
      </w:r>
      <w:r w:rsidRPr="005D4990">
        <w:rPr>
          <w:rFonts w:cstheme="minorHAnsi"/>
        </w:rPr>
        <w:t>re trying to do that.</w:t>
      </w:r>
      <w:r w:rsidR="00F71C95" w:rsidRPr="005D4990">
        <w:rPr>
          <w:rFonts w:cstheme="minorHAnsi"/>
        </w:rPr>
        <w:t>”</w:t>
      </w:r>
      <w:r w:rsidRPr="005D4990">
        <w:rPr>
          <w:rFonts w:cstheme="minorHAnsi"/>
        </w:rPr>
        <w:t xml:space="preserve">  Emily R. Siegel, </w:t>
      </w:r>
      <w:r w:rsidRPr="005D4990">
        <w:rPr>
          <w:rFonts w:cstheme="minorHAnsi"/>
          <w:i/>
          <w:iCs/>
        </w:rPr>
        <w:t>Russian Use of Litigation Finance Needs Scrutiny, Treasury Says</w:t>
      </w:r>
      <w:r w:rsidRPr="005D4990">
        <w:rPr>
          <w:rFonts w:cstheme="minorHAnsi"/>
        </w:rPr>
        <w:t>, Bloomberg Law (Apr. 10, 2024), https://news.bloomberglaw.com/business-and-practice/russian-use-of-litigation-finance-needs-scrutiny-treasury-says.</w:t>
      </w:r>
    </w:p>
  </w:footnote>
  <w:footnote w:id="84">
    <w:p w14:paraId="4DB4D4E1" w14:textId="73CFEAD0" w:rsidR="00C04FB9" w:rsidRPr="005D4990" w:rsidRDefault="00C04FB9"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t xml:space="preserve">Emily R. Siegel, </w:t>
      </w:r>
      <w:r w:rsidRPr="005D4990">
        <w:rPr>
          <w:rFonts w:cstheme="minorHAnsi"/>
          <w:i/>
          <w:iCs/>
        </w:rPr>
        <w:t>Mass Tort Lawyers Trapped in Cycle of Debt as Cases Drag On</w:t>
      </w:r>
      <w:r w:rsidRPr="005D4990">
        <w:rPr>
          <w:rFonts w:cstheme="minorHAnsi"/>
        </w:rPr>
        <w:t xml:space="preserve">, Bloomberg </w:t>
      </w:r>
      <w:r w:rsidR="00E2428E" w:rsidRPr="005D4990">
        <w:rPr>
          <w:rFonts w:cstheme="minorHAnsi"/>
        </w:rPr>
        <w:t>Law</w:t>
      </w:r>
      <w:r w:rsidRPr="005D4990">
        <w:rPr>
          <w:rFonts w:cstheme="minorHAnsi"/>
        </w:rPr>
        <w:t xml:space="preserve"> (Nov. 18, 2024)</w:t>
      </w:r>
      <w:r w:rsidR="00E2428E" w:rsidRPr="005D4990">
        <w:rPr>
          <w:rFonts w:cstheme="minorHAnsi"/>
        </w:rPr>
        <w:t>, https://news.bloomberglaw.com/business-and-practice/mass-tort-lawyers-trapped-in-cycle-of-debt-as-cases-drag-on</w:t>
      </w:r>
      <w:r w:rsidRPr="005D4990">
        <w:rPr>
          <w:rFonts w:cstheme="minorHAnsi"/>
        </w:rPr>
        <w:t xml:space="preserve"> (</w:t>
      </w:r>
      <w:r w:rsidR="00F71C95" w:rsidRPr="005D4990">
        <w:rPr>
          <w:rFonts w:cstheme="minorHAnsi"/>
        </w:rPr>
        <w:t>“</w:t>
      </w:r>
      <w:r w:rsidRPr="005D4990">
        <w:rPr>
          <w:rFonts w:cstheme="minorHAnsi"/>
        </w:rPr>
        <w:t>Loans to law firms often come with double-digit interest rates that can exceed 20%.  The deals typically mature after three to four years.  If cases aren</w:t>
      </w:r>
      <w:r w:rsidR="00F71C95" w:rsidRPr="005D4990">
        <w:rPr>
          <w:rFonts w:cstheme="minorHAnsi"/>
        </w:rPr>
        <w:t>’</w:t>
      </w:r>
      <w:r w:rsidRPr="005D4990">
        <w:rPr>
          <w:rFonts w:cstheme="minorHAnsi"/>
        </w:rPr>
        <w:t>t resolved by that time, borrowers are forced to restructure the loans—with pricey concessions to lenders—or refinance with a new lender.</w:t>
      </w:r>
      <w:r w:rsidR="00F71C95" w:rsidRPr="005D4990">
        <w:rPr>
          <w:rFonts w:cstheme="minorHAnsi"/>
        </w:rPr>
        <w:t>”</w:t>
      </w:r>
      <w:r w:rsidRPr="005D4990">
        <w:rPr>
          <w:rFonts w:cstheme="minorHAnsi"/>
        </w:rPr>
        <w:t>).</w:t>
      </w:r>
    </w:p>
  </w:footnote>
  <w:footnote w:id="85">
    <w:p w14:paraId="2D578F6F" w14:textId="77777777" w:rsidR="00C04FB9" w:rsidRPr="005D4990" w:rsidRDefault="00C04FB9"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r>
      <w:r w:rsidRPr="005D4990">
        <w:rPr>
          <w:rFonts w:cstheme="minorHAnsi"/>
          <w:i/>
          <w:iCs/>
        </w:rPr>
        <w:t>Id.</w:t>
      </w:r>
      <w:r w:rsidRPr="005D4990">
        <w:rPr>
          <w:rFonts w:cstheme="minorHAnsi"/>
        </w:rPr>
        <w:t xml:space="preserve"> </w:t>
      </w:r>
    </w:p>
  </w:footnote>
  <w:footnote w:id="86">
    <w:p w14:paraId="13266B0C" w14:textId="39B6AD90" w:rsidR="00C04FB9" w:rsidRPr="005D4990" w:rsidRDefault="00C04FB9" w:rsidP="005D4990">
      <w:pPr>
        <w:pStyle w:val="FootnoteText"/>
        <w:spacing w:after="120"/>
        <w:ind w:left="0" w:firstLine="0"/>
        <w:rPr>
          <w:rFonts w:cstheme="minorHAnsi"/>
        </w:rPr>
      </w:pPr>
      <w:r w:rsidRPr="005D4990">
        <w:rPr>
          <w:rStyle w:val="FootnoteReference"/>
          <w:rFonts w:cstheme="minorHAnsi"/>
        </w:rPr>
        <w:footnoteRef/>
      </w:r>
      <w:r w:rsidRPr="005D4990">
        <w:rPr>
          <w:rFonts w:cstheme="minorHAnsi"/>
        </w:rPr>
        <w:t xml:space="preserve"> </w:t>
      </w:r>
      <w:r w:rsidRPr="005D4990">
        <w:rPr>
          <w:rFonts w:cstheme="minorHAnsi"/>
        </w:rPr>
        <w:tab/>
      </w:r>
      <w:r w:rsidRPr="005D4990">
        <w:rPr>
          <w:rFonts w:cstheme="minorHAnsi"/>
          <w:i/>
          <w:iCs/>
        </w:rPr>
        <w:t xml:space="preserve">See </w:t>
      </w:r>
      <w:r w:rsidRPr="005D4990">
        <w:rPr>
          <w:rFonts w:cstheme="minorHAnsi"/>
        </w:rPr>
        <w:t xml:space="preserve">Erin Joyce, </w:t>
      </w:r>
      <w:r w:rsidRPr="005D4990">
        <w:rPr>
          <w:rFonts w:cstheme="minorHAnsi"/>
          <w:i/>
          <w:iCs/>
        </w:rPr>
        <w:t xml:space="preserve">Pitfalls to </w:t>
      </w:r>
      <w:r w:rsidR="00E2428E" w:rsidRPr="005D4990">
        <w:rPr>
          <w:rFonts w:cstheme="minorHAnsi"/>
          <w:i/>
          <w:iCs/>
        </w:rPr>
        <w:t>A</w:t>
      </w:r>
      <w:r w:rsidRPr="005D4990">
        <w:rPr>
          <w:rFonts w:cstheme="minorHAnsi"/>
          <w:i/>
          <w:iCs/>
        </w:rPr>
        <w:t xml:space="preserve">void with </w:t>
      </w:r>
      <w:r w:rsidR="00E2428E" w:rsidRPr="005D4990">
        <w:rPr>
          <w:rFonts w:cstheme="minorHAnsi"/>
          <w:i/>
          <w:iCs/>
        </w:rPr>
        <w:t>L</w:t>
      </w:r>
      <w:r w:rsidRPr="005D4990">
        <w:rPr>
          <w:rFonts w:cstheme="minorHAnsi"/>
          <w:i/>
          <w:iCs/>
        </w:rPr>
        <w:t xml:space="preserve">itigation </w:t>
      </w:r>
      <w:r w:rsidR="00E2428E" w:rsidRPr="005D4990">
        <w:rPr>
          <w:rFonts w:cstheme="minorHAnsi"/>
          <w:i/>
          <w:iCs/>
        </w:rPr>
        <w:t>F</w:t>
      </w:r>
      <w:r w:rsidRPr="005D4990">
        <w:rPr>
          <w:rFonts w:cstheme="minorHAnsi"/>
          <w:i/>
          <w:iCs/>
        </w:rPr>
        <w:t>unding</w:t>
      </w:r>
      <w:r w:rsidRPr="005D4990">
        <w:rPr>
          <w:rFonts w:cstheme="minorHAnsi"/>
        </w:rPr>
        <w:t xml:space="preserve">, </w:t>
      </w:r>
      <w:r w:rsidR="00E2428E" w:rsidRPr="005D4990">
        <w:rPr>
          <w:rFonts w:cstheme="minorHAnsi"/>
        </w:rPr>
        <w:t xml:space="preserve">Advocate Magazine (Mar. 2021), </w:t>
      </w:r>
      <w:r w:rsidRPr="005D4990">
        <w:rPr>
          <w:rFonts w:cstheme="minorHAnsi"/>
        </w:rPr>
        <w:t>https://www.advocatemagazine.com/article/2021-march/pitfalls-to-avoid-with-litigation-funding (</w:t>
      </w:r>
      <w:r w:rsidR="00F71C95" w:rsidRPr="005D4990">
        <w:rPr>
          <w:rFonts w:cstheme="minorHAnsi"/>
        </w:rPr>
        <w:t>“</w:t>
      </w:r>
      <w:r w:rsidRPr="005D4990">
        <w:rPr>
          <w:rFonts w:cstheme="minorHAnsi"/>
        </w:rPr>
        <w:t>If, as a requirement to obtain and maintain a litigation-funding loan, the lender dictates the course of the litigation, there is a serious risk that the attorney</w:t>
      </w:r>
      <w:r w:rsidR="00F71C95" w:rsidRPr="005D4990">
        <w:rPr>
          <w:rFonts w:cstheme="minorHAnsi"/>
        </w:rPr>
        <w:t>’</w:t>
      </w:r>
      <w:r w:rsidRPr="005D4990">
        <w:rPr>
          <w:rFonts w:cstheme="minorHAnsi"/>
        </w:rPr>
        <w:t>s professional judgment might be impaired.</w:t>
      </w:r>
      <w:r w:rsidR="00F71C95" w:rsidRPr="005D4990">
        <w:rPr>
          <w:rFonts w:cstheme="minorHAnsi"/>
        </w:rPr>
        <w:t>”</w:t>
      </w:r>
      <w:r w:rsidRPr="005D4990">
        <w:rPr>
          <w:rFonts w:cstheme="minorHAnsi"/>
        </w:rPr>
        <w:t xml:space="preserve">). </w:t>
      </w:r>
    </w:p>
  </w:footnote>
  <w:footnote w:id="87">
    <w:p w14:paraId="485C7938" w14:textId="0FA1C64B" w:rsidR="005823DD" w:rsidRPr="005D4990" w:rsidRDefault="005823DD" w:rsidP="005D4990">
      <w:pPr>
        <w:pStyle w:val="FootnoteText"/>
        <w:spacing w:after="120"/>
        <w:rPr>
          <w:rFonts w:cstheme="minorHAnsi"/>
        </w:rPr>
      </w:pPr>
      <w:r w:rsidRPr="005D4990">
        <w:rPr>
          <w:rStyle w:val="FootnoteReference"/>
          <w:rFonts w:cstheme="minorHAnsi"/>
        </w:rPr>
        <w:footnoteRef/>
      </w:r>
      <w:r w:rsidRPr="005D4990">
        <w:rPr>
          <w:rFonts w:cstheme="minorHAnsi"/>
        </w:rPr>
        <w:t xml:space="preserve"> </w:t>
      </w:r>
      <w:r w:rsidR="00C553F0" w:rsidRPr="005D4990">
        <w:rPr>
          <w:rFonts w:cstheme="minorHAnsi"/>
        </w:rPr>
        <w:tab/>
      </w:r>
      <w:r w:rsidR="00C553F0" w:rsidRPr="005D4990">
        <w:rPr>
          <w:rFonts w:cstheme="minorHAnsi"/>
        </w:rPr>
        <w:tab/>
      </w:r>
      <w:r w:rsidRPr="005D4990">
        <w:rPr>
          <w:rFonts w:cstheme="minorHAnsi"/>
        </w:rPr>
        <w:t>Fed. R. Civ. P. 26</w:t>
      </w:r>
      <w:r w:rsidR="00881A29" w:rsidRPr="005D4990">
        <w:rPr>
          <w:rFonts w:cstheme="minorHAnsi"/>
        </w:rPr>
        <w:t xml:space="preserve">(a)(1)(A)(iv) </w:t>
      </w:r>
      <w:r w:rsidR="00031D0D" w:rsidRPr="005D4990">
        <w:rPr>
          <w:rFonts w:cstheme="minorHAnsi"/>
        </w:rPr>
        <w:t>advisory committee</w:t>
      </w:r>
      <w:r w:rsidR="00F71C95" w:rsidRPr="005D4990">
        <w:rPr>
          <w:rFonts w:cstheme="minorHAnsi"/>
        </w:rPr>
        <w:t>’</w:t>
      </w:r>
      <w:r w:rsidR="00031D0D" w:rsidRPr="005D4990">
        <w:rPr>
          <w:rFonts w:cstheme="minorHAnsi"/>
        </w:rPr>
        <w:t>s note to 1970 amendment</w:t>
      </w:r>
      <w:r w:rsidR="00881A29" w:rsidRPr="005D4990">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12FFA" w14:textId="0F0EE5C1" w:rsidR="005127C7" w:rsidRDefault="005127C7">
    <w:pPr>
      <w:pStyle w:val="Header"/>
    </w:pPr>
    <w:r>
      <w:rPr>
        <w:noProof/>
      </w:rPr>
      <w:drawing>
        <wp:inline distT="0" distB="0" distL="0" distR="0" wp14:anchorId="4990CC8B" wp14:editId="4809D91F">
          <wp:extent cx="2162432" cy="487749"/>
          <wp:effectExtent l="0" t="0" r="0" b="7620"/>
          <wp:docPr id="4" name="Picture 4"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91427" cy="4942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26748906"/>
    <w:lvl w:ilvl="0">
      <w:start w:val="1"/>
      <w:numFmt w:val="decimal"/>
      <w:lvlText w:val="%1."/>
      <w:lvlJc w:val="left"/>
      <w:pPr>
        <w:tabs>
          <w:tab w:val="num" w:pos="1080"/>
        </w:tabs>
        <w:ind w:left="1080" w:hanging="360"/>
      </w:pPr>
    </w:lvl>
  </w:abstractNum>
  <w:abstractNum w:abstractNumId="1" w15:restartNumberingAfterBreak="0">
    <w:nsid w:val="FFFFFF88"/>
    <w:multiLevelType w:val="singleLevel"/>
    <w:tmpl w:val="B6F42D56"/>
    <w:lvl w:ilvl="0">
      <w:start w:val="1"/>
      <w:numFmt w:val="decimal"/>
      <w:lvlText w:val="%1."/>
      <w:lvlJc w:val="left"/>
      <w:pPr>
        <w:tabs>
          <w:tab w:val="num" w:pos="360"/>
        </w:tabs>
        <w:ind w:left="360" w:hanging="360"/>
      </w:pPr>
    </w:lvl>
  </w:abstractNum>
  <w:abstractNum w:abstractNumId="2" w15:restartNumberingAfterBreak="0">
    <w:nsid w:val="04AD207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06A347FF"/>
    <w:multiLevelType w:val="multilevel"/>
    <w:tmpl w:val="A1BAF796"/>
    <w:name w:val="FlatBulletsListTemplate"/>
    <w:styleLink w:val="FlatBulletsList"/>
    <w:lvl w:ilvl="0">
      <w:start w:val="1"/>
      <w:numFmt w:val="bullet"/>
      <w:pStyle w:val="BulletPara"/>
      <w:lvlText w:val=""/>
      <w:lvlJc w:val="left"/>
      <w:pPr>
        <w:ind w:left="1080" w:hanging="360"/>
      </w:pPr>
      <w:rPr>
        <w:rFonts w:ascii="Symbol" w:hAnsi="Symbol" w:hint="default"/>
      </w:rPr>
    </w:lvl>
    <w:lvl w:ilvl="1">
      <w:start w:val="1"/>
      <w:numFmt w:val="bullet"/>
      <w:lvlRestart w:val="0"/>
      <w:pStyle w:val="BulletPara2"/>
      <w:lvlText w:val=""/>
      <w:lvlJc w:val="left"/>
      <w:pPr>
        <w:ind w:left="1440" w:hanging="360"/>
      </w:pPr>
      <w:rPr>
        <w:rFonts w:ascii="Symbol" w:hAnsi="Symbol" w:hint="default"/>
      </w:rPr>
    </w:lvl>
    <w:lvl w:ilvl="2">
      <w:start w:val="1"/>
      <w:numFmt w:val="bullet"/>
      <w:lvlRestart w:val="0"/>
      <w:pStyle w:val="BulletParaAlt"/>
      <w:lvlText w:val="▪"/>
      <w:lvlJc w:val="left"/>
      <w:pPr>
        <w:ind w:left="1080" w:hanging="360"/>
      </w:pPr>
      <w:rPr>
        <w:rFonts w:ascii="Times New Roman" w:hAnsi="Times New Roman" w:cs="Times New Roman" w:hint="default"/>
        <w:color w:val="auto"/>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b/>
        <w:i w:val="0"/>
      </w:rPr>
    </w:lvl>
    <w:lvl w:ilvl="5">
      <w:start w:val="1"/>
      <w:numFmt w:val="none"/>
      <w:lvlRestart w:val="0"/>
      <w:suff w:val="nothing"/>
      <w:lvlText w:val=""/>
      <w:lvlJc w:val="left"/>
      <w:pPr>
        <w:ind w:left="0" w:firstLine="0"/>
      </w:pPr>
      <w:rPr>
        <w:rFonts w:hint="default"/>
        <w:b/>
        <w:i w:val="0"/>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color w:val="auto"/>
      </w:rPr>
    </w:lvl>
    <w:lvl w:ilvl="8">
      <w:start w:val="1"/>
      <w:numFmt w:val="none"/>
      <w:lvlRestart w:val="0"/>
      <w:suff w:val="nothing"/>
      <w:lvlText w:val="%9"/>
      <w:lvlJc w:val="left"/>
      <w:pPr>
        <w:ind w:left="0" w:firstLine="0"/>
      </w:pPr>
      <w:rPr>
        <w:rFonts w:hint="default"/>
      </w:rPr>
    </w:lvl>
  </w:abstractNum>
  <w:abstractNum w:abstractNumId="4" w15:restartNumberingAfterBreak="0">
    <w:nsid w:val="10670303"/>
    <w:multiLevelType w:val="multilevel"/>
    <w:tmpl w:val="F6E8BE2C"/>
    <w:name w:val="ShortOutlineListTemplate"/>
    <w:styleLink w:val="ShortOutlineList"/>
    <w:lvl w:ilvl="0">
      <w:start w:val="1"/>
      <w:numFmt w:val="decimal"/>
      <w:pStyle w:val="ShortOutline1"/>
      <w:lvlText w:val="%1."/>
      <w:lvlJc w:val="left"/>
      <w:pPr>
        <w:tabs>
          <w:tab w:val="num" w:pos="720"/>
        </w:tabs>
        <w:ind w:left="720" w:hanging="720"/>
      </w:pPr>
      <w:rPr>
        <w:rFonts w:hint="default"/>
        <w:color w:val="000000"/>
      </w:rPr>
    </w:lvl>
    <w:lvl w:ilvl="1">
      <w:start w:val="1"/>
      <w:numFmt w:val="lowerLetter"/>
      <w:pStyle w:val="ShortOutline2"/>
      <w:lvlText w:val="(%2)"/>
      <w:lvlJc w:val="left"/>
      <w:pPr>
        <w:tabs>
          <w:tab w:val="num" w:pos="1440"/>
        </w:tabs>
        <w:ind w:left="1440" w:hanging="720"/>
      </w:pPr>
      <w:rPr>
        <w:rFonts w:hint="default"/>
        <w:color w:val="000000"/>
      </w:rPr>
    </w:lvl>
    <w:lvl w:ilvl="2">
      <w:start w:val="1"/>
      <w:numFmt w:val="lowerRoman"/>
      <w:pStyle w:val="ShortOutline3"/>
      <w:lvlText w:val="(%3)"/>
      <w:lvlJc w:val="left"/>
      <w:pPr>
        <w:tabs>
          <w:tab w:val="num" w:pos="2160"/>
        </w:tabs>
        <w:ind w:left="2160" w:hanging="720"/>
      </w:pPr>
      <w:rPr>
        <w:rFonts w:hint="default"/>
        <w:color w:val="000000"/>
      </w:rPr>
    </w:lvl>
    <w:lvl w:ilvl="3">
      <w:start w:val="1"/>
      <w:numFmt w:val="decimal"/>
      <w:pStyle w:val="ShortOutline4"/>
      <w:lvlText w:val="(%4)"/>
      <w:lvlJc w:val="left"/>
      <w:pPr>
        <w:tabs>
          <w:tab w:val="num" w:pos="2880"/>
        </w:tabs>
        <w:ind w:left="2880" w:hanging="720"/>
      </w:pPr>
      <w:rPr>
        <w:rFonts w:hint="default"/>
        <w:color w:val="000000"/>
      </w:rPr>
    </w:lvl>
    <w:lvl w:ilvl="4">
      <w:start w:val="1"/>
      <w:numFmt w:val="upperLetter"/>
      <w:pStyle w:val="ShortOutline5"/>
      <w:lvlText w:val="(%5)"/>
      <w:lvlJc w:val="left"/>
      <w:pPr>
        <w:tabs>
          <w:tab w:val="num" w:pos="3600"/>
        </w:tabs>
        <w:ind w:left="3600" w:hanging="720"/>
      </w:pPr>
      <w:rPr>
        <w:rFonts w:hint="default"/>
        <w:color w:val="00000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17F13FB6"/>
    <w:multiLevelType w:val="hybridMultilevel"/>
    <w:tmpl w:val="594E8198"/>
    <w:lvl w:ilvl="0" w:tplc="95C0525E">
      <w:start w:val="1"/>
      <w:numFmt w:val="decimal"/>
      <w:lvlText w:val="%1)"/>
      <w:lvlJc w:val="left"/>
      <w:pPr>
        <w:ind w:left="795" w:hanging="360"/>
      </w:pPr>
      <w:rPr>
        <w:color w:val="000000" w:themeColor="text1"/>
        <w:sz w:val="24"/>
        <w:szCs w:val="24"/>
      </w:rPr>
    </w:lvl>
    <w:lvl w:ilvl="1" w:tplc="0EB81830">
      <w:start w:val="1"/>
      <w:numFmt w:val="lowerLetter"/>
      <w:lvlText w:val="%2."/>
      <w:lvlJc w:val="left"/>
      <w:pPr>
        <w:ind w:left="1515" w:hanging="360"/>
      </w:pPr>
      <w:rPr>
        <w:b w:val="0"/>
        <w:bCs w:val="0"/>
        <w:color w:val="auto"/>
        <w:sz w:val="24"/>
        <w:szCs w:val="24"/>
      </w:r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6" w15:restartNumberingAfterBreak="0">
    <w:nsid w:val="28E4616B"/>
    <w:multiLevelType w:val="hybridMultilevel"/>
    <w:tmpl w:val="BB9E20D4"/>
    <w:lvl w:ilvl="0" w:tplc="CB8EB78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94670C"/>
    <w:multiLevelType w:val="multilevel"/>
    <w:tmpl w:val="ABB6E872"/>
    <w:name w:val="TableFootnotesListTemplate"/>
    <w:styleLink w:val="TableFootnotesList"/>
    <w:lvl w:ilvl="0">
      <w:start w:val="1"/>
      <w:numFmt w:val="none"/>
      <w:pStyle w:val="TableFootnoteLine"/>
      <w:suff w:val="nothing"/>
      <w:lvlText w:val=""/>
      <w:lvlJc w:val="left"/>
      <w:pPr>
        <w:ind w:left="0" w:firstLine="0"/>
      </w:pPr>
      <w:rPr>
        <w:rFonts w:hint="default"/>
        <w:u w:val="none"/>
      </w:rPr>
    </w:lvl>
    <w:lvl w:ilvl="1">
      <w:start w:val="1"/>
      <w:numFmt w:val="decimal"/>
      <w:pStyle w:val="TableFootnote"/>
      <w:lvlText w:val="(%2)"/>
      <w:lvlJc w:val="left"/>
      <w:pPr>
        <w:ind w:left="360" w:hanging="360"/>
      </w:pPr>
      <w:rPr>
        <w:rFonts w:hint="default"/>
      </w:rPr>
    </w:lvl>
    <w:lvl w:ilvl="2">
      <w:start w:val="1"/>
      <w:numFmt w:val="none"/>
      <w:lvlText w:val=""/>
      <w:lvlJc w:val="left"/>
      <w:pPr>
        <w:ind w:left="360" w:hanging="360"/>
      </w:pPr>
      <w:rPr>
        <w:rFonts w:hint="default"/>
      </w:rPr>
    </w:lvl>
    <w:lvl w:ilvl="3">
      <w:start w:val="1"/>
      <w:numFmt w:val="none"/>
      <w:lvlText w:val=""/>
      <w:lvlJc w:val="left"/>
      <w:pPr>
        <w:ind w:left="360" w:hanging="360"/>
      </w:pPr>
      <w:rPr>
        <w:rFonts w:hint="default"/>
      </w:rPr>
    </w:lvl>
    <w:lvl w:ilvl="4">
      <w:start w:val="1"/>
      <w:numFmt w:val="none"/>
      <w:lvlText w:val=""/>
      <w:lvlJc w:val="left"/>
      <w:pPr>
        <w:ind w:left="360" w:hanging="360"/>
      </w:pPr>
      <w:rPr>
        <w:rFonts w:hint="default"/>
      </w:rPr>
    </w:lvl>
    <w:lvl w:ilvl="5">
      <w:start w:val="1"/>
      <w:numFmt w:val="none"/>
      <w:lvlText w:val=""/>
      <w:lvlJc w:val="left"/>
      <w:pPr>
        <w:ind w:left="360" w:hanging="360"/>
      </w:pPr>
      <w:rPr>
        <w:rFonts w:hint="default"/>
      </w:rPr>
    </w:lvl>
    <w:lvl w:ilvl="6">
      <w:start w:val="1"/>
      <w:numFmt w:val="none"/>
      <w:lvlText w:val=""/>
      <w:lvlJc w:val="left"/>
      <w:pPr>
        <w:ind w:left="360" w:hanging="360"/>
      </w:pPr>
      <w:rPr>
        <w:rFonts w:hint="default"/>
      </w:rPr>
    </w:lvl>
    <w:lvl w:ilvl="7">
      <w:start w:val="1"/>
      <w:numFmt w:val="none"/>
      <w:lvlText w:val=""/>
      <w:lvlJc w:val="left"/>
      <w:pPr>
        <w:ind w:left="360" w:hanging="360"/>
      </w:pPr>
      <w:rPr>
        <w:rFonts w:hint="default"/>
      </w:rPr>
    </w:lvl>
    <w:lvl w:ilvl="8">
      <w:start w:val="1"/>
      <w:numFmt w:val="none"/>
      <w:lvlText w:val=""/>
      <w:lvlJc w:val="left"/>
      <w:pPr>
        <w:ind w:left="360" w:hanging="360"/>
      </w:pPr>
      <w:rPr>
        <w:rFonts w:hint="default"/>
      </w:rPr>
    </w:lvl>
  </w:abstractNum>
  <w:abstractNum w:abstractNumId="8" w15:restartNumberingAfterBreak="0">
    <w:nsid w:val="456D23BC"/>
    <w:multiLevelType w:val="hybridMultilevel"/>
    <w:tmpl w:val="1958C2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D5301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D2F6C15"/>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66A0133"/>
    <w:multiLevelType w:val="hybridMultilevel"/>
    <w:tmpl w:val="3F24B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B80A10"/>
    <w:multiLevelType w:val="multilevel"/>
    <w:tmpl w:val="B8E6F1D2"/>
    <w:name w:val="FlatNumbersListTemplate"/>
    <w:styleLink w:val="FlatNumbersList"/>
    <w:lvl w:ilvl="0">
      <w:start w:val="1"/>
      <w:numFmt w:val="decimal"/>
      <w:pStyle w:val="ListSinglePara"/>
      <w:lvlText w:val="%1."/>
      <w:lvlJc w:val="left"/>
      <w:pPr>
        <w:tabs>
          <w:tab w:val="num" w:pos="720"/>
        </w:tabs>
        <w:ind w:left="1080" w:hanging="360"/>
      </w:pPr>
      <w:rPr>
        <w:rFonts w:hint="default"/>
      </w:rPr>
    </w:lvl>
    <w:lvl w:ilvl="1">
      <w:start w:val="1"/>
      <w:numFmt w:val="decimal"/>
      <w:lvlRestart w:val="0"/>
      <w:pStyle w:val="ListDoublePara"/>
      <w:lvlText w:val="%2."/>
      <w:lvlJc w:val="left"/>
      <w:pPr>
        <w:ind w:left="0" w:firstLine="720"/>
      </w:pPr>
      <w:rPr>
        <w:rFonts w:hint="default"/>
      </w:rPr>
    </w:lvl>
    <w:lvl w:ilvl="2">
      <w:start w:val="1"/>
      <w:numFmt w:val="lowerLetter"/>
      <w:lvlRestart w:val="0"/>
      <w:pStyle w:val="abc"/>
      <w:lvlText w:val="(%3)"/>
      <w:lvlJc w:val="left"/>
      <w:pPr>
        <w:ind w:left="0" w:firstLine="720"/>
      </w:pPr>
      <w:rPr>
        <w:rFonts w:hint="default"/>
      </w:rPr>
    </w:lvl>
    <w:lvl w:ilvl="3">
      <w:start w:val="1"/>
      <w:numFmt w:val="lowerRoman"/>
      <w:lvlRestart w:val="0"/>
      <w:pStyle w:val="iiiiii"/>
      <w:lvlText w:val="(%4)"/>
      <w:lvlJc w:val="left"/>
      <w:pPr>
        <w:ind w:left="0" w:firstLine="720"/>
      </w:pPr>
      <w:rPr>
        <w:rFonts w:hint="default"/>
      </w:rPr>
    </w:lvl>
    <w:lvl w:ilvl="4">
      <w:start w:val="1"/>
      <w:numFmt w:val="ordinalText"/>
      <w:lvlRestart w:val="0"/>
      <w:pStyle w:val="OrdinalPara"/>
      <w:suff w:val="space"/>
      <w:lvlText w:val="%5,"/>
      <w:lvlJc w:val="left"/>
      <w:pPr>
        <w:ind w:left="0" w:firstLine="720"/>
      </w:pPr>
      <w:rPr>
        <w:rFonts w:hint="default"/>
      </w:rPr>
    </w:lvl>
    <w:lvl w:ilvl="5">
      <w:start w:val="1"/>
      <w:numFmt w:val="none"/>
      <w:lvlRestart w:val="0"/>
      <w:pStyle w:val="Question"/>
      <w:lvlText w:val="Q:"/>
      <w:lvlJc w:val="left"/>
      <w:pPr>
        <w:ind w:left="1440" w:hanging="720"/>
      </w:pPr>
      <w:rPr>
        <w:rFonts w:hint="default"/>
      </w:rPr>
    </w:lvl>
    <w:lvl w:ilvl="6">
      <w:start w:val="1"/>
      <w:numFmt w:val="none"/>
      <w:lvlRestart w:val="0"/>
      <w:pStyle w:val="Answer"/>
      <w:lvlText w:val="A:"/>
      <w:lvlJc w:val="left"/>
      <w:pPr>
        <w:ind w:left="1440" w:hanging="720"/>
      </w:pPr>
      <w:rPr>
        <w:rFonts w:hint="default"/>
      </w:rPr>
    </w:lvl>
    <w:lvl w:ilvl="7">
      <w:start w:val="1"/>
      <w:numFmt w:val="decimal"/>
      <w:lvlRestart w:val="0"/>
      <w:pStyle w:val="Parties"/>
      <w:lvlText w:val="(%8)"/>
      <w:lvlJc w:val="left"/>
      <w:pPr>
        <w:ind w:left="720" w:hanging="720"/>
      </w:pPr>
      <w:rPr>
        <w:rFonts w:hint="default"/>
        <w:b/>
        <w:i w:val="0"/>
      </w:rPr>
    </w:lvl>
    <w:lvl w:ilvl="8">
      <w:start w:val="1"/>
      <w:numFmt w:val="upperLetter"/>
      <w:lvlRestart w:val="0"/>
      <w:pStyle w:val="Recitals"/>
      <w:lvlText w:val="(%9)"/>
      <w:lvlJc w:val="left"/>
      <w:pPr>
        <w:ind w:left="720" w:hanging="720"/>
      </w:pPr>
      <w:rPr>
        <w:rFonts w:hint="default"/>
        <w:b/>
        <w:i w:val="0"/>
      </w:rPr>
    </w:lvl>
  </w:abstractNum>
  <w:num w:numId="1" w16cid:durableId="424764304">
    <w:abstractNumId w:val="12"/>
  </w:num>
  <w:num w:numId="2" w16cid:durableId="1438521164">
    <w:abstractNumId w:val="12"/>
  </w:num>
  <w:num w:numId="3" w16cid:durableId="694888670">
    <w:abstractNumId w:val="12"/>
  </w:num>
  <w:num w:numId="4" w16cid:durableId="1292594252">
    <w:abstractNumId w:val="3"/>
  </w:num>
  <w:num w:numId="5" w16cid:durableId="1625648147">
    <w:abstractNumId w:val="3"/>
  </w:num>
  <w:num w:numId="6" w16cid:durableId="2022466976">
    <w:abstractNumId w:val="3"/>
  </w:num>
  <w:num w:numId="7" w16cid:durableId="1711343140">
    <w:abstractNumId w:val="3"/>
  </w:num>
  <w:num w:numId="8" w16cid:durableId="1277700">
    <w:abstractNumId w:val="12"/>
  </w:num>
  <w:num w:numId="9" w16cid:durableId="187305088">
    <w:abstractNumId w:val="12"/>
  </w:num>
  <w:num w:numId="10" w16cid:durableId="1025257056">
    <w:abstractNumId w:val="12"/>
  </w:num>
  <w:num w:numId="11" w16cid:durableId="1182472698">
    <w:abstractNumId w:val="12"/>
  </w:num>
  <w:num w:numId="12" w16cid:durableId="2024281112">
    <w:abstractNumId w:val="12"/>
  </w:num>
  <w:num w:numId="13" w16cid:durableId="1559245226">
    <w:abstractNumId w:val="12"/>
  </w:num>
  <w:num w:numId="14" w16cid:durableId="869799101">
    <w:abstractNumId w:val="12"/>
  </w:num>
  <w:num w:numId="15" w16cid:durableId="2120559241">
    <w:abstractNumId w:val="7"/>
  </w:num>
  <w:num w:numId="16" w16cid:durableId="1871530600">
    <w:abstractNumId w:val="7"/>
  </w:num>
  <w:num w:numId="17" w16cid:durableId="355348950">
    <w:abstractNumId w:val="7"/>
  </w:num>
  <w:num w:numId="18" w16cid:durableId="246428024">
    <w:abstractNumId w:val="10"/>
  </w:num>
  <w:num w:numId="19" w16cid:durableId="1898514385">
    <w:abstractNumId w:val="9"/>
  </w:num>
  <w:num w:numId="20" w16cid:durableId="496846216">
    <w:abstractNumId w:val="4"/>
  </w:num>
  <w:num w:numId="21" w16cid:durableId="950279040">
    <w:abstractNumId w:val="4"/>
  </w:num>
  <w:num w:numId="22" w16cid:durableId="718627062">
    <w:abstractNumId w:val="4"/>
  </w:num>
  <w:num w:numId="23" w16cid:durableId="1139154161">
    <w:abstractNumId w:val="4"/>
  </w:num>
  <w:num w:numId="24" w16cid:durableId="1586843240">
    <w:abstractNumId w:val="4"/>
  </w:num>
  <w:num w:numId="25" w16cid:durableId="2124684909">
    <w:abstractNumId w:val="4"/>
  </w:num>
  <w:num w:numId="26" w16cid:durableId="1667589653">
    <w:abstractNumId w:val="2"/>
  </w:num>
  <w:num w:numId="27" w16cid:durableId="767965754">
    <w:abstractNumId w:val="1"/>
  </w:num>
  <w:num w:numId="28" w16cid:durableId="94176847">
    <w:abstractNumId w:val="0"/>
  </w:num>
  <w:num w:numId="29" w16cid:durableId="20684069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172126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319700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79348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558868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64294149">
    <w:abstractNumId w:val="6"/>
  </w:num>
  <w:num w:numId="35" w16cid:durableId="1396585862">
    <w:abstractNumId w:val="5"/>
  </w:num>
  <w:num w:numId="36" w16cid:durableId="242951740">
    <w:abstractNumId w:val="11"/>
  </w:num>
  <w:num w:numId="37" w16cid:durableId="9154806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suppressTop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3FC"/>
    <w:rsid w:val="00014242"/>
    <w:rsid w:val="000211B6"/>
    <w:rsid w:val="00031D0D"/>
    <w:rsid w:val="00044F07"/>
    <w:rsid w:val="00052939"/>
    <w:rsid w:val="0005332D"/>
    <w:rsid w:val="00054BF4"/>
    <w:rsid w:val="00055BEB"/>
    <w:rsid w:val="00060DE7"/>
    <w:rsid w:val="000627E8"/>
    <w:rsid w:val="0007010F"/>
    <w:rsid w:val="00082179"/>
    <w:rsid w:val="00090D0C"/>
    <w:rsid w:val="00091DBF"/>
    <w:rsid w:val="000A1BB6"/>
    <w:rsid w:val="000B4314"/>
    <w:rsid w:val="000C4F91"/>
    <w:rsid w:val="000D2329"/>
    <w:rsid w:val="000E1403"/>
    <w:rsid w:val="000E6DA3"/>
    <w:rsid w:val="000E7A6A"/>
    <w:rsid w:val="00101657"/>
    <w:rsid w:val="00107F73"/>
    <w:rsid w:val="00116F20"/>
    <w:rsid w:val="001208B5"/>
    <w:rsid w:val="00121C8B"/>
    <w:rsid w:val="00123204"/>
    <w:rsid w:val="00123975"/>
    <w:rsid w:val="001253F1"/>
    <w:rsid w:val="001333DB"/>
    <w:rsid w:val="00142151"/>
    <w:rsid w:val="001428F2"/>
    <w:rsid w:val="001472DD"/>
    <w:rsid w:val="00160A2B"/>
    <w:rsid w:val="001615EA"/>
    <w:rsid w:val="00163886"/>
    <w:rsid w:val="001822FE"/>
    <w:rsid w:val="001833B6"/>
    <w:rsid w:val="00185155"/>
    <w:rsid w:val="00196748"/>
    <w:rsid w:val="00197077"/>
    <w:rsid w:val="00197492"/>
    <w:rsid w:val="001A14C4"/>
    <w:rsid w:val="001A638B"/>
    <w:rsid w:val="001B0FAA"/>
    <w:rsid w:val="001B2DBB"/>
    <w:rsid w:val="001B3BEE"/>
    <w:rsid w:val="001B5CA4"/>
    <w:rsid w:val="001C3526"/>
    <w:rsid w:val="001C662B"/>
    <w:rsid w:val="001D0A95"/>
    <w:rsid w:val="001D10A7"/>
    <w:rsid w:val="001D6CF3"/>
    <w:rsid w:val="001E147E"/>
    <w:rsid w:val="00201E44"/>
    <w:rsid w:val="00205597"/>
    <w:rsid w:val="00205E0A"/>
    <w:rsid w:val="002074FD"/>
    <w:rsid w:val="0021154D"/>
    <w:rsid w:val="00212B08"/>
    <w:rsid w:val="00213E1B"/>
    <w:rsid w:val="002207A8"/>
    <w:rsid w:val="002213C9"/>
    <w:rsid w:val="002231F6"/>
    <w:rsid w:val="00225508"/>
    <w:rsid w:val="00232EDC"/>
    <w:rsid w:val="00234B73"/>
    <w:rsid w:val="002357EB"/>
    <w:rsid w:val="00235BE6"/>
    <w:rsid w:val="00237495"/>
    <w:rsid w:val="002405B0"/>
    <w:rsid w:val="00243F01"/>
    <w:rsid w:val="00246467"/>
    <w:rsid w:val="0025412F"/>
    <w:rsid w:val="00255BE1"/>
    <w:rsid w:val="00257E5A"/>
    <w:rsid w:val="00260B40"/>
    <w:rsid w:val="002615A1"/>
    <w:rsid w:val="00273C03"/>
    <w:rsid w:val="00274C9C"/>
    <w:rsid w:val="002767D0"/>
    <w:rsid w:val="00284ADF"/>
    <w:rsid w:val="002876AA"/>
    <w:rsid w:val="0029778C"/>
    <w:rsid w:val="002A3F60"/>
    <w:rsid w:val="002A4635"/>
    <w:rsid w:val="002C0D9F"/>
    <w:rsid w:val="002C609D"/>
    <w:rsid w:val="002E138A"/>
    <w:rsid w:val="002E4BF9"/>
    <w:rsid w:val="002F623C"/>
    <w:rsid w:val="002F7C0D"/>
    <w:rsid w:val="003076F7"/>
    <w:rsid w:val="003110DF"/>
    <w:rsid w:val="00313D36"/>
    <w:rsid w:val="00315E17"/>
    <w:rsid w:val="00323483"/>
    <w:rsid w:val="00325C44"/>
    <w:rsid w:val="00330108"/>
    <w:rsid w:val="00331004"/>
    <w:rsid w:val="00332792"/>
    <w:rsid w:val="00336A60"/>
    <w:rsid w:val="00337994"/>
    <w:rsid w:val="00343C46"/>
    <w:rsid w:val="00346FB8"/>
    <w:rsid w:val="0035226B"/>
    <w:rsid w:val="003547E5"/>
    <w:rsid w:val="00355E01"/>
    <w:rsid w:val="00364710"/>
    <w:rsid w:val="00364BFF"/>
    <w:rsid w:val="00365B0D"/>
    <w:rsid w:val="003667EF"/>
    <w:rsid w:val="0037078D"/>
    <w:rsid w:val="0037401B"/>
    <w:rsid w:val="003807FD"/>
    <w:rsid w:val="00381028"/>
    <w:rsid w:val="003822E1"/>
    <w:rsid w:val="003845B0"/>
    <w:rsid w:val="00390943"/>
    <w:rsid w:val="0039509A"/>
    <w:rsid w:val="00395C7A"/>
    <w:rsid w:val="00396356"/>
    <w:rsid w:val="00397843"/>
    <w:rsid w:val="003A0553"/>
    <w:rsid w:val="003A2B29"/>
    <w:rsid w:val="003A532B"/>
    <w:rsid w:val="003A5B91"/>
    <w:rsid w:val="003B183F"/>
    <w:rsid w:val="003B5442"/>
    <w:rsid w:val="003B7452"/>
    <w:rsid w:val="003C07FC"/>
    <w:rsid w:val="003C0A1A"/>
    <w:rsid w:val="003C326E"/>
    <w:rsid w:val="003C7719"/>
    <w:rsid w:val="003D0061"/>
    <w:rsid w:val="003D02B7"/>
    <w:rsid w:val="003D12F1"/>
    <w:rsid w:val="003D451E"/>
    <w:rsid w:val="003E13AA"/>
    <w:rsid w:val="003F1581"/>
    <w:rsid w:val="003F2E37"/>
    <w:rsid w:val="003F65BC"/>
    <w:rsid w:val="003F6662"/>
    <w:rsid w:val="00400E8A"/>
    <w:rsid w:val="00415B52"/>
    <w:rsid w:val="004249C1"/>
    <w:rsid w:val="0043018B"/>
    <w:rsid w:val="0043192B"/>
    <w:rsid w:val="00444965"/>
    <w:rsid w:val="00452083"/>
    <w:rsid w:val="00452D95"/>
    <w:rsid w:val="00452F96"/>
    <w:rsid w:val="00455410"/>
    <w:rsid w:val="00461EC7"/>
    <w:rsid w:val="0046642C"/>
    <w:rsid w:val="004704A4"/>
    <w:rsid w:val="004743C0"/>
    <w:rsid w:val="0047748E"/>
    <w:rsid w:val="0048200D"/>
    <w:rsid w:val="00482FCB"/>
    <w:rsid w:val="00493CD0"/>
    <w:rsid w:val="004A028A"/>
    <w:rsid w:val="004A62E7"/>
    <w:rsid w:val="004B4ABA"/>
    <w:rsid w:val="004C6FA8"/>
    <w:rsid w:val="004D5345"/>
    <w:rsid w:val="004E408C"/>
    <w:rsid w:val="004E78BB"/>
    <w:rsid w:val="005127C7"/>
    <w:rsid w:val="00513846"/>
    <w:rsid w:val="00513ACC"/>
    <w:rsid w:val="0051670B"/>
    <w:rsid w:val="005244D8"/>
    <w:rsid w:val="005262F2"/>
    <w:rsid w:val="0052635E"/>
    <w:rsid w:val="00533E25"/>
    <w:rsid w:val="00542B60"/>
    <w:rsid w:val="00564262"/>
    <w:rsid w:val="00570007"/>
    <w:rsid w:val="0057278D"/>
    <w:rsid w:val="00576C1A"/>
    <w:rsid w:val="00577C65"/>
    <w:rsid w:val="00580C7B"/>
    <w:rsid w:val="005823DD"/>
    <w:rsid w:val="00591331"/>
    <w:rsid w:val="0059793C"/>
    <w:rsid w:val="005A1B6A"/>
    <w:rsid w:val="005A7B57"/>
    <w:rsid w:val="005A7B64"/>
    <w:rsid w:val="005B010F"/>
    <w:rsid w:val="005B1B8D"/>
    <w:rsid w:val="005B3C39"/>
    <w:rsid w:val="005B6E6C"/>
    <w:rsid w:val="005D201F"/>
    <w:rsid w:val="005D4990"/>
    <w:rsid w:val="005D652E"/>
    <w:rsid w:val="005D744A"/>
    <w:rsid w:val="005D76FB"/>
    <w:rsid w:val="005E2439"/>
    <w:rsid w:val="005F2E4C"/>
    <w:rsid w:val="00603D8B"/>
    <w:rsid w:val="00605114"/>
    <w:rsid w:val="00605C8A"/>
    <w:rsid w:val="00610CB4"/>
    <w:rsid w:val="0061330B"/>
    <w:rsid w:val="006247C5"/>
    <w:rsid w:val="0063500E"/>
    <w:rsid w:val="00640BF6"/>
    <w:rsid w:val="00641E70"/>
    <w:rsid w:val="00642F9E"/>
    <w:rsid w:val="006472EA"/>
    <w:rsid w:val="006523D9"/>
    <w:rsid w:val="0066034D"/>
    <w:rsid w:val="006616C1"/>
    <w:rsid w:val="0066195E"/>
    <w:rsid w:val="0066260E"/>
    <w:rsid w:val="00664DA2"/>
    <w:rsid w:val="00676D27"/>
    <w:rsid w:val="00681BF1"/>
    <w:rsid w:val="00683F89"/>
    <w:rsid w:val="006922DA"/>
    <w:rsid w:val="00695A75"/>
    <w:rsid w:val="0069755B"/>
    <w:rsid w:val="006A6836"/>
    <w:rsid w:val="006B05C9"/>
    <w:rsid w:val="006B297E"/>
    <w:rsid w:val="006C02EE"/>
    <w:rsid w:val="006C61EC"/>
    <w:rsid w:val="006D0185"/>
    <w:rsid w:val="006D2C36"/>
    <w:rsid w:val="006D3E27"/>
    <w:rsid w:val="006D42AB"/>
    <w:rsid w:val="006E282B"/>
    <w:rsid w:val="006E4854"/>
    <w:rsid w:val="006E4904"/>
    <w:rsid w:val="006F3519"/>
    <w:rsid w:val="006F6E3D"/>
    <w:rsid w:val="00716899"/>
    <w:rsid w:val="00716C64"/>
    <w:rsid w:val="0072194C"/>
    <w:rsid w:val="00723A0D"/>
    <w:rsid w:val="00727A76"/>
    <w:rsid w:val="0073001A"/>
    <w:rsid w:val="00731EC8"/>
    <w:rsid w:val="00733419"/>
    <w:rsid w:val="00733B48"/>
    <w:rsid w:val="00734B43"/>
    <w:rsid w:val="00735724"/>
    <w:rsid w:val="00746595"/>
    <w:rsid w:val="00750A64"/>
    <w:rsid w:val="00750B36"/>
    <w:rsid w:val="00750B7D"/>
    <w:rsid w:val="007561EA"/>
    <w:rsid w:val="00761A42"/>
    <w:rsid w:val="007670A1"/>
    <w:rsid w:val="00767215"/>
    <w:rsid w:val="00770274"/>
    <w:rsid w:val="0077040B"/>
    <w:rsid w:val="00770537"/>
    <w:rsid w:val="00776C3F"/>
    <w:rsid w:val="00792D57"/>
    <w:rsid w:val="00795209"/>
    <w:rsid w:val="007B0C53"/>
    <w:rsid w:val="007C287D"/>
    <w:rsid w:val="007C55AA"/>
    <w:rsid w:val="007C563B"/>
    <w:rsid w:val="007C5F70"/>
    <w:rsid w:val="007C619F"/>
    <w:rsid w:val="007D2C85"/>
    <w:rsid w:val="007D64EB"/>
    <w:rsid w:val="007E3569"/>
    <w:rsid w:val="007E77B3"/>
    <w:rsid w:val="007F336B"/>
    <w:rsid w:val="007F52A8"/>
    <w:rsid w:val="00800340"/>
    <w:rsid w:val="0080127A"/>
    <w:rsid w:val="00802820"/>
    <w:rsid w:val="00804DDE"/>
    <w:rsid w:val="008145CD"/>
    <w:rsid w:val="0082133F"/>
    <w:rsid w:val="00832654"/>
    <w:rsid w:val="00835F0C"/>
    <w:rsid w:val="00840179"/>
    <w:rsid w:val="00853AB0"/>
    <w:rsid w:val="0085453E"/>
    <w:rsid w:val="00856861"/>
    <w:rsid w:val="00857C1A"/>
    <w:rsid w:val="008634F7"/>
    <w:rsid w:val="00867A11"/>
    <w:rsid w:val="00874C0F"/>
    <w:rsid w:val="00875569"/>
    <w:rsid w:val="00875C2A"/>
    <w:rsid w:val="00876D2D"/>
    <w:rsid w:val="00880CF7"/>
    <w:rsid w:val="00881A29"/>
    <w:rsid w:val="00894083"/>
    <w:rsid w:val="0089473D"/>
    <w:rsid w:val="008A1314"/>
    <w:rsid w:val="008A15D1"/>
    <w:rsid w:val="008A384C"/>
    <w:rsid w:val="008B1179"/>
    <w:rsid w:val="008B4E74"/>
    <w:rsid w:val="008B6558"/>
    <w:rsid w:val="008B6C43"/>
    <w:rsid w:val="008E1A54"/>
    <w:rsid w:val="008E488F"/>
    <w:rsid w:val="008E50CD"/>
    <w:rsid w:val="008E5F90"/>
    <w:rsid w:val="008F1FD4"/>
    <w:rsid w:val="008F3FAC"/>
    <w:rsid w:val="00923D19"/>
    <w:rsid w:val="00925912"/>
    <w:rsid w:val="00926A9E"/>
    <w:rsid w:val="009304F3"/>
    <w:rsid w:val="00930B8D"/>
    <w:rsid w:val="00932B8B"/>
    <w:rsid w:val="009376CC"/>
    <w:rsid w:val="00946BE8"/>
    <w:rsid w:val="00954085"/>
    <w:rsid w:val="009548A5"/>
    <w:rsid w:val="00956594"/>
    <w:rsid w:val="00962BDB"/>
    <w:rsid w:val="00967A49"/>
    <w:rsid w:val="00971624"/>
    <w:rsid w:val="00971D89"/>
    <w:rsid w:val="00973470"/>
    <w:rsid w:val="009737D3"/>
    <w:rsid w:val="009807CF"/>
    <w:rsid w:val="0098505E"/>
    <w:rsid w:val="009A37FB"/>
    <w:rsid w:val="009A5B26"/>
    <w:rsid w:val="009A6E6E"/>
    <w:rsid w:val="009B32D0"/>
    <w:rsid w:val="009B4E68"/>
    <w:rsid w:val="009B6CEF"/>
    <w:rsid w:val="009D0475"/>
    <w:rsid w:val="009D4731"/>
    <w:rsid w:val="009D7733"/>
    <w:rsid w:val="009E1EE1"/>
    <w:rsid w:val="009E3107"/>
    <w:rsid w:val="009E5BE3"/>
    <w:rsid w:val="009E606E"/>
    <w:rsid w:val="009F1FAF"/>
    <w:rsid w:val="009F44F6"/>
    <w:rsid w:val="009F7040"/>
    <w:rsid w:val="00A02640"/>
    <w:rsid w:val="00A02AC7"/>
    <w:rsid w:val="00A05088"/>
    <w:rsid w:val="00A05633"/>
    <w:rsid w:val="00A12D20"/>
    <w:rsid w:val="00A1606C"/>
    <w:rsid w:val="00A21AF8"/>
    <w:rsid w:val="00A225E7"/>
    <w:rsid w:val="00A25013"/>
    <w:rsid w:val="00A2590C"/>
    <w:rsid w:val="00A30DB7"/>
    <w:rsid w:val="00A34FC6"/>
    <w:rsid w:val="00A37E78"/>
    <w:rsid w:val="00A42A1C"/>
    <w:rsid w:val="00A42A59"/>
    <w:rsid w:val="00A468D9"/>
    <w:rsid w:val="00A47747"/>
    <w:rsid w:val="00A50E6E"/>
    <w:rsid w:val="00A5425D"/>
    <w:rsid w:val="00A56018"/>
    <w:rsid w:val="00A64A43"/>
    <w:rsid w:val="00A662EC"/>
    <w:rsid w:val="00A67E7F"/>
    <w:rsid w:val="00A704BA"/>
    <w:rsid w:val="00A86FFE"/>
    <w:rsid w:val="00A911CC"/>
    <w:rsid w:val="00A9435B"/>
    <w:rsid w:val="00A95C68"/>
    <w:rsid w:val="00AA13FC"/>
    <w:rsid w:val="00AA3FA4"/>
    <w:rsid w:val="00AB1A35"/>
    <w:rsid w:val="00AB6252"/>
    <w:rsid w:val="00AB66BD"/>
    <w:rsid w:val="00AC22D7"/>
    <w:rsid w:val="00AC7BFA"/>
    <w:rsid w:val="00AC7D87"/>
    <w:rsid w:val="00AD5785"/>
    <w:rsid w:val="00AE0BBD"/>
    <w:rsid w:val="00AE5DE7"/>
    <w:rsid w:val="00AF7957"/>
    <w:rsid w:val="00AF7CC1"/>
    <w:rsid w:val="00B006CA"/>
    <w:rsid w:val="00B024BA"/>
    <w:rsid w:val="00B036B5"/>
    <w:rsid w:val="00B040F0"/>
    <w:rsid w:val="00B14E9E"/>
    <w:rsid w:val="00B22A47"/>
    <w:rsid w:val="00B23F4C"/>
    <w:rsid w:val="00B30D16"/>
    <w:rsid w:val="00B32953"/>
    <w:rsid w:val="00B51184"/>
    <w:rsid w:val="00B53122"/>
    <w:rsid w:val="00B54B29"/>
    <w:rsid w:val="00B55B67"/>
    <w:rsid w:val="00B63FE5"/>
    <w:rsid w:val="00B70215"/>
    <w:rsid w:val="00B8155C"/>
    <w:rsid w:val="00B83CF8"/>
    <w:rsid w:val="00B8503F"/>
    <w:rsid w:val="00B8760D"/>
    <w:rsid w:val="00B87D28"/>
    <w:rsid w:val="00B902CD"/>
    <w:rsid w:val="00B94A61"/>
    <w:rsid w:val="00B95C08"/>
    <w:rsid w:val="00B96DDF"/>
    <w:rsid w:val="00B977A4"/>
    <w:rsid w:val="00B97938"/>
    <w:rsid w:val="00BA3734"/>
    <w:rsid w:val="00BA5BC7"/>
    <w:rsid w:val="00BA6E32"/>
    <w:rsid w:val="00BB2D28"/>
    <w:rsid w:val="00BB3BFF"/>
    <w:rsid w:val="00BB630E"/>
    <w:rsid w:val="00BB6988"/>
    <w:rsid w:val="00BC2EB1"/>
    <w:rsid w:val="00BC37E6"/>
    <w:rsid w:val="00BC55D2"/>
    <w:rsid w:val="00BC785F"/>
    <w:rsid w:val="00BD01B1"/>
    <w:rsid w:val="00BD5C76"/>
    <w:rsid w:val="00BD7D4F"/>
    <w:rsid w:val="00BE3AF3"/>
    <w:rsid w:val="00BF3226"/>
    <w:rsid w:val="00C03335"/>
    <w:rsid w:val="00C04FB9"/>
    <w:rsid w:val="00C1096D"/>
    <w:rsid w:val="00C13C32"/>
    <w:rsid w:val="00C14A7C"/>
    <w:rsid w:val="00C160DB"/>
    <w:rsid w:val="00C250E9"/>
    <w:rsid w:val="00C26EB1"/>
    <w:rsid w:val="00C3252E"/>
    <w:rsid w:val="00C36E28"/>
    <w:rsid w:val="00C400F5"/>
    <w:rsid w:val="00C4214A"/>
    <w:rsid w:val="00C44105"/>
    <w:rsid w:val="00C5022F"/>
    <w:rsid w:val="00C55240"/>
    <w:rsid w:val="00C553F0"/>
    <w:rsid w:val="00C650ED"/>
    <w:rsid w:val="00C672FE"/>
    <w:rsid w:val="00C70B78"/>
    <w:rsid w:val="00C740B2"/>
    <w:rsid w:val="00C8239F"/>
    <w:rsid w:val="00C85A41"/>
    <w:rsid w:val="00C907AA"/>
    <w:rsid w:val="00C945C4"/>
    <w:rsid w:val="00CA16A8"/>
    <w:rsid w:val="00CA4F56"/>
    <w:rsid w:val="00CA66F1"/>
    <w:rsid w:val="00CB3968"/>
    <w:rsid w:val="00CC03DC"/>
    <w:rsid w:val="00CC172E"/>
    <w:rsid w:val="00CC51DC"/>
    <w:rsid w:val="00CC6024"/>
    <w:rsid w:val="00CD4A35"/>
    <w:rsid w:val="00CD5781"/>
    <w:rsid w:val="00CD7BED"/>
    <w:rsid w:val="00CE6FE0"/>
    <w:rsid w:val="00CF1848"/>
    <w:rsid w:val="00CF1C03"/>
    <w:rsid w:val="00CF3623"/>
    <w:rsid w:val="00CF67CF"/>
    <w:rsid w:val="00D02F53"/>
    <w:rsid w:val="00D02F7C"/>
    <w:rsid w:val="00D03106"/>
    <w:rsid w:val="00D17749"/>
    <w:rsid w:val="00D2379D"/>
    <w:rsid w:val="00D23E32"/>
    <w:rsid w:val="00D308E4"/>
    <w:rsid w:val="00D41A69"/>
    <w:rsid w:val="00D45C55"/>
    <w:rsid w:val="00D472B6"/>
    <w:rsid w:val="00D50666"/>
    <w:rsid w:val="00D51F6D"/>
    <w:rsid w:val="00D60459"/>
    <w:rsid w:val="00D630B8"/>
    <w:rsid w:val="00D63151"/>
    <w:rsid w:val="00D8182E"/>
    <w:rsid w:val="00D849C7"/>
    <w:rsid w:val="00D87EA4"/>
    <w:rsid w:val="00D90DF1"/>
    <w:rsid w:val="00D92B96"/>
    <w:rsid w:val="00D97ADA"/>
    <w:rsid w:val="00DA51FF"/>
    <w:rsid w:val="00DA620F"/>
    <w:rsid w:val="00DA7050"/>
    <w:rsid w:val="00DB178E"/>
    <w:rsid w:val="00DB45F3"/>
    <w:rsid w:val="00DB54ED"/>
    <w:rsid w:val="00DD0237"/>
    <w:rsid w:val="00DD21C8"/>
    <w:rsid w:val="00DD63A4"/>
    <w:rsid w:val="00DE1A7D"/>
    <w:rsid w:val="00DE2E87"/>
    <w:rsid w:val="00DE55BD"/>
    <w:rsid w:val="00DF0494"/>
    <w:rsid w:val="00DF51F0"/>
    <w:rsid w:val="00DF77E7"/>
    <w:rsid w:val="00E01601"/>
    <w:rsid w:val="00E1048D"/>
    <w:rsid w:val="00E12649"/>
    <w:rsid w:val="00E134C0"/>
    <w:rsid w:val="00E1469A"/>
    <w:rsid w:val="00E20CAE"/>
    <w:rsid w:val="00E23359"/>
    <w:rsid w:val="00E2349A"/>
    <w:rsid w:val="00E234B1"/>
    <w:rsid w:val="00E2428E"/>
    <w:rsid w:val="00E25DDE"/>
    <w:rsid w:val="00E269F9"/>
    <w:rsid w:val="00E32C4D"/>
    <w:rsid w:val="00E3463C"/>
    <w:rsid w:val="00E4140D"/>
    <w:rsid w:val="00E4414A"/>
    <w:rsid w:val="00E468F0"/>
    <w:rsid w:val="00E475FF"/>
    <w:rsid w:val="00E630F6"/>
    <w:rsid w:val="00E65F75"/>
    <w:rsid w:val="00E66C67"/>
    <w:rsid w:val="00E72900"/>
    <w:rsid w:val="00E86BE6"/>
    <w:rsid w:val="00E91E05"/>
    <w:rsid w:val="00E92595"/>
    <w:rsid w:val="00E96D13"/>
    <w:rsid w:val="00EA5BA9"/>
    <w:rsid w:val="00EB1F50"/>
    <w:rsid w:val="00EB58F7"/>
    <w:rsid w:val="00EB5FE4"/>
    <w:rsid w:val="00EB7A05"/>
    <w:rsid w:val="00EC0254"/>
    <w:rsid w:val="00EC07C7"/>
    <w:rsid w:val="00ED4455"/>
    <w:rsid w:val="00ED4B5D"/>
    <w:rsid w:val="00ED4FFD"/>
    <w:rsid w:val="00EE60D9"/>
    <w:rsid w:val="00EF0E98"/>
    <w:rsid w:val="00EF3F04"/>
    <w:rsid w:val="00EF5ABA"/>
    <w:rsid w:val="00F01946"/>
    <w:rsid w:val="00F03C4B"/>
    <w:rsid w:val="00F0687A"/>
    <w:rsid w:val="00F07133"/>
    <w:rsid w:val="00F1158D"/>
    <w:rsid w:val="00F11F28"/>
    <w:rsid w:val="00F13AA2"/>
    <w:rsid w:val="00F15382"/>
    <w:rsid w:val="00F21164"/>
    <w:rsid w:val="00F249F5"/>
    <w:rsid w:val="00F26832"/>
    <w:rsid w:val="00F36167"/>
    <w:rsid w:val="00F42CD3"/>
    <w:rsid w:val="00F460FA"/>
    <w:rsid w:val="00F46959"/>
    <w:rsid w:val="00F500CB"/>
    <w:rsid w:val="00F57F3B"/>
    <w:rsid w:val="00F67C97"/>
    <w:rsid w:val="00F71C95"/>
    <w:rsid w:val="00F75A88"/>
    <w:rsid w:val="00F8102E"/>
    <w:rsid w:val="00F8661F"/>
    <w:rsid w:val="00FA70E7"/>
    <w:rsid w:val="00FB4129"/>
    <w:rsid w:val="00FB4746"/>
    <w:rsid w:val="00FD1581"/>
    <w:rsid w:val="00FD1DC7"/>
    <w:rsid w:val="00FD1E35"/>
    <w:rsid w:val="00FD343B"/>
    <w:rsid w:val="00FD5C78"/>
    <w:rsid w:val="00FD5CC5"/>
    <w:rsid w:val="00FE02A2"/>
    <w:rsid w:val="00FF15BD"/>
    <w:rsid w:val="00FF2055"/>
    <w:rsid w:val="00FF224D"/>
    <w:rsid w:val="00FF36D2"/>
    <w:rsid w:val="00FF7F3F"/>
    <w:rsid w:val="1B3B6C1E"/>
    <w:rsid w:val="56D334F4"/>
    <w:rsid w:val="6D143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2C9992"/>
  <w15:chartTrackingRefBased/>
  <w15:docId w15:val="{788C6DAE-D7BB-4B04-9286-E3E07DD2C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9" w:qFormat="1"/>
    <w:lsdException w:name="heading 2" w:semiHidden="1" w:uiPriority="1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3FC"/>
    <w:rPr>
      <w:rFonts w:eastAsiaTheme="minorEastAsia"/>
      <w:lang w:eastAsia="zh-CN"/>
    </w:rPr>
  </w:style>
  <w:style w:type="paragraph" w:styleId="Heading1">
    <w:name w:val="heading 1"/>
    <w:basedOn w:val="Normal"/>
    <w:next w:val="Normal"/>
    <w:link w:val="Heading1Char"/>
    <w:uiPriority w:val="19"/>
    <w:unhideWhenUsed/>
    <w:rsid w:val="003D0061"/>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19"/>
    <w:unhideWhenUsed/>
    <w:rsid w:val="003D0061"/>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rsid w:val="003D0061"/>
    <w:pPr>
      <w:keepNext/>
      <w:keepLines/>
      <w:spacing w:before="20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1"/>
    <w:semiHidden/>
    <w:unhideWhenUsed/>
    <w:rsid w:val="00197077"/>
    <w:pPr>
      <w:keepNext/>
      <w:keepLines/>
      <w:numPr>
        <w:ilvl w:val="3"/>
        <w:numId w:val="26"/>
      </w:numPr>
      <w:spacing w:before="20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AA13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13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13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13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13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
    <w:name w:val="(a)(b)(c)"/>
    <w:basedOn w:val="Normal"/>
    <w:uiPriority w:val="4"/>
    <w:rsid w:val="009A37FB"/>
    <w:pPr>
      <w:numPr>
        <w:ilvl w:val="2"/>
        <w:numId w:val="1"/>
      </w:numPr>
      <w:tabs>
        <w:tab w:val="num" w:pos="360"/>
      </w:tabs>
      <w:spacing w:before="240" w:after="240"/>
      <w:ind w:firstLine="0"/>
    </w:pPr>
  </w:style>
  <w:style w:type="paragraph" w:customStyle="1" w:styleId="iiiiii">
    <w:name w:val="(i)(ii)(iii)"/>
    <w:basedOn w:val="Normal"/>
    <w:uiPriority w:val="4"/>
    <w:rsid w:val="009A37FB"/>
    <w:pPr>
      <w:numPr>
        <w:ilvl w:val="3"/>
        <w:numId w:val="1"/>
      </w:numPr>
      <w:spacing w:before="240" w:after="240"/>
    </w:pPr>
  </w:style>
  <w:style w:type="paragraph" w:customStyle="1" w:styleId="Answer">
    <w:name w:val="Answer"/>
    <w:aliases w:val="an"/>
    <w:basedOn w:val="Normal"/>
    <w:next w:val="Question"/>
    <w:uiPriority w:val="4"/>
    <w:rsid w:val="009A37FB"/>
    <w:pPr>
      <w:numPr>
        <w:ilvl w:val="6"/>
        <w:numId w:val="1"/>
      </w:numPr>
      <w:tabs>
        <w:tab w:val="num" w:pos="360"/>
      </w:tabs>
      <w:spacing w:before="240"/>
      <w:ind w:left="0" w:firstLine="0"/>
    </w:pPr>
    <w:rPr>
      <w:lang w:bidi="he-IL"/>
    </w:rPr>
  </w:style>
  <w:style w:type="paragraph" w:styleId="BalloonText">
    <w:name w:val="Balloon Text"/>
    <w:basedOn w:val="Normal"/>
    <w:link w:val="BalloonTextChar"/>
    <w:uiPriority w:val="99"/>
    <w:semiHidden/>
    <w:unhideWhenUsed/>
    <w:rsid w:val="00197077"/>
    <w:rPr>
      <w:rFonts w:ascii="Tahoma" w:hAnsi="Tahoma" w:cs="Tahoma"/>
      <w:sz w:val="16"/>
      <w:szCs w:val="16"/>
    </w:rPr>
  </w:style>
  <w:style w:type="character" w:customStyle="1" w:styleId="BalloonTextChar">
    <w:name w:val="Balloon Text Char"/>
    <w:basedOn w:val="DefaultParagraphFont"/>
    <w:link w:val="BalloonText"/>
    <w:uiPriority w:val="99"/>
    <w:semiHidden/>
    <w:rsid w:val="00197077"/>
    <w:rPr>
      <w:rFonts w:ascii="Tahoma" w:eastAsiaTheme="minorEastAsia" w:hAnsi="Tahoma" w:cs="Tahoma"/>
      <w:sz w:val="16"/>
      <w:szCs w:val="16"/>
      <w:lang w:eastAsia="zh-CN"/>
    </w:rPr>
  </w:style>
  <w:style w:type="table" w:customStyle="1" w:styleId="BandedTable">
    <w:name w:val="Banded Table"/>
    <w:basedOn w:val="TableNormal"/>
    <w:uiPriority w:val="99"/>
    <w:rsid w:val="00197077"/>
    <w:rPr>
      <w:rFonts w:eastAsiaTheme="minorEastAsia"/>
      <w:lang w:eastAsia="zh-C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86" w:type="dxa"/>
        <w:bottom w:w="29" w:type="dxa"/>
        <w:right w:w="86" w:type="dxa"/>
      </w:tblCellMar>
    </w:tblPr>
    <w:trPr>
      <w:cantSplit/>
    </w:trPr>
    <w:tcPr>
      <w:vAlign w:val="bottom"/>
    </w:tcPr>
    <w:tblStylePr w:type="firstRow">
      <w:pPr>
        <w:jc w:val="center"/>
      </w:pPr>
      <w:rPr>
        <w:b/>
        <w:color w:val="auto"/>
      </w:rPr>
      <w:tblPr/>
      <w:tcPr>
        <w:shd w:val="clear" w:color="auto" w:fill="D9D9D9" w:themeFill="background1" w:themeFillShade="D9"/>
      </w:tcPr>
    </w:tblStylePr>
    <w:tblStylePr w:type="band2Horz">
      <w:tblPr/>
      <w:tcPr>
        <w:shd w:val="clear" w:color="auto" w:fill="F2F2F2" w:themeFill="background1" w:themeFillShade="F2"/>
      </w:tcPr>
    </w:tblStylePr>
  </w:style>
  <w:style w:type="paragraph" w:styleId="BlockText">
    <w:name w:val="Block Text"/>
    <w:basedOn w:val="Normal"/>
    <w:uiPriority w:val="99"/>
    <w:unhideWhenUsed/>
    <w:rsid w:val="00197077"/>
    <w:pPr>
      <w:pBdr>
        <w:top w:val="single" w:sz="2" w:space="10" w:color="156082" w:themeColor="accent1" w:frame="1"/>
        <w:left w:val="single" w:sz="2" w:space="10" w:color="156082" w:themeColor="accent1" w:frame="1"/>
        <w:bottom w:val="single" w:sz="2" w:space="10" w:color="156082" w:themeColor="accent1" w:frame="1"/>
        <w:right w:val="single" w:sz="2" w:space="10" w:color="156082" w:themeColor="accent1" w:frame="1"/>
      </w:pBdr>
      <w:ind w:left="1152" w:right="1152"/>
    </w:pPr>
    <w:rPr>
      <w:i/>
      <w:iCs/>
      <w:color w:val="156082" w:themeColor="accent1"/>
    </w:rPr>
  </w:style>
  <w:style w:type="character" w:styleId="BookTitle">
    <w:name w:val="Book Title"/>
    <w:basedOn w:val="DefaultParagraphFont"/>
    <w:uiPriority w:val="33"/>
    <w:semiHidden/>
    <w:rsid w:val="00197077"/>
    <w:rPr>
      <w:b/>
      <w:bCs/>
      <w:smallCaps/>
      <w:spacing w:val="5"/>
    </w:rPr>
  </w:style>
  <w:style w:type="character" w:customStyle="1" w:styleId="BracketedComment">
    <w:name w:val="Bracketed Comment"/>
    <w:aliases w:val="br"/>
    <w:basedOn w:val="DefaultParagraphFont"/>
    <w:uiPriority w:val="9"/>
    <w:rsid w:val="00197077"/>
    <w:rPr>
      <w:b/>
    </w:rPr>
  </w:style>
  <w:style w:type="paragraph" w:customStyle="1" w:styleId="BulletParaAlt">
    <w:name w:val="Bullet Para Alt"/>
    <w:aliases w:val="bpa"/>
    <w:basedOn w:val="Normal"/>
    <w:uiPriority w:val="4"/>
    <w:rsid w:val="009A37FB"/>
    <w:pPr>
      <w:numPr>
        <w:ilvl w:val="2"/>
        <w:numId w:val="4"/>
      </w:numPr>
    </w:pPr>
  </w:style>
  <w:style w:type="paragraph" w:customStyle="1" w:styleId="BulletPara">
    <w:name w:val="Bullet Para"/>
    <w:aliases w:val="bp"/>
    <w:basedOn w:val="Normal"/>
    <w:uiPriority w:val="4"/>
    <w:qFormat/>
    <w:rsid w:val="009A37FB"/>
    <w:pPr>
      <w:numPr>
        <w:numId w:val="4"/>
      </w:numPr>
    </w:pPr>
  </w:style>
  <w:style w:type="paragraph" w:customStyle="1" w:styleId="BulletPara2">
    <w:name w:val="Bullet Para2"/>
    <w:aliases w:val="bp2"/>
    <w:basedOn w:val="Normal"/>
    <w:uiPriority w:val="4"/>
    <w:rsid w:val="009A37FB"/>
    <w:pPr>
      <w:numPr>
        <w:ilvl w:val="1"/>
        <w:numId w:val="4"/>
      </w:numPr>
    </w:pPr>
  </w:style>
  <w:style w:type="character" w:customStyle="1" w:styleId="Citation">
    <w:name w:val="Citation"/>
    <w:aliases w:val="ct"/>
    <w:basedOn w:val="DefaultParagraphFont"/>
    <w:uiPriority w:val="9"/>
    <w:rsid w:val="00197077"/>
    <w:rPr>
      <w:u w:val="single"/>
    </w:rPr>
  </w:style>
  <w:style w:type="paragraph" w:customStyle="1" w:styleId="CoverPara">
    <w:name w:val="Cover: Para"/>
    <w:aliases w:val="cp"/>
    <w:basedOn w:val="Normal"/>
    <w:rsid w:val="00197077"/>
    <w:pPr>
      <w:spacing w:before="120"/>
      <w:jc w:val="both"/>
    </w:pPr>
    <w:rPr>
      <w:sz w:val="20"/>
      <w:lang w:bidi="he-IL"/>
    </w:rPr>
  </w:style>
  <w:style w:type="paragraph" w:customStyle="1" w:styleId="CoverCenter">
    <w:name w:val="Cover: Center"/>
    <w:aliases w:val="cc"/>
    <w:basedOn w:val="CoverPara"/>
    <w:rsid w:val="00197077"/>
    <w:pPr>
      <w:keepLines/>
      <w:jc w:val="center"/>
    </w:pPr>
    <w:rPr>
      <w:b/>
      <w:sz w:val="24"/>
    </w:rPr>
  </w:style>
  <w:style w:type="paragraph" w:customStyle="1" w:styleId="CoverCenterLarge">
    <w:name w:val="Cover: CenterLarge"/>
    <w:aliases w:val="ccl"/>
    <w:basedOn w:val="CoverPara"/>
    <w:rsid w:val="00197077"/>
    <w:pPr>
      <w:keepLines/>
      <w:spacing w:before="200" w:after="120"/>
      <w:jc w:val="center"/>
    </w:pPr>
    <w:rPr>
      <w:b/>
      <w:bCs/>
      <w:sz w:val="32"/>
      <w:szCs w:val="32"/>
    </w:rPr>
  </w:style>
  <w:style w:type="paragraph" w:customStyle="1" w:styleId="CoverDivider">
    <w:name w:val="Cover: Divider"/>
    <w:aliases w:val="cd"/>
    <w:basedOn w:val="Normal"/>
    <w:next w:val="CoverPara"/>
    <w:rsid w:val="00197077"/>
    <w:pPr>
      <w:jc w:val="center"/>
    </w:pPr>
    <w:rPr>
      <w:sz w:val="16"/>
      <w:u w:val="single"/>
      <w:lang w:bidi="he-IL"/>
    </w:rPr>
  </w:style>
  <w:style w:type="table" w:styleId="DarkList">
    <w:name w:val="Dark List"/>
    <w:basedOn w:val="TableNormal"/>
    <w:uiPriority w:val="70"/>
    <w:rsid w:val="00197077"/>
    <w:rPr>
      <w:rFonts w:eastAsiaTheme="minorEastAsia"/>
      <w:color w:val="FFFFFF" w:themeColor="background1"/>
      <w:lang w:eastAsia="zh-CN"/>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character" w:customStyle="1" w:styleId="DefinedTerm">
    <w:name w:val="Defined Term"/>
    <w:aliases w:val="dt"/>
    <w:basedOn w:val="DefaultParagraphFont"/>
    <w:uiPriority w:val="9"/>
    <w:rsid w:val="00197077"/>
    <w:rPr>
      <w:b/>
      <w:bCs/>
    </w:rPr>
  </w:style>
  <w:style w:type="paragraph" w:customStyle="1" w:styleId="DoublePara">
    <w:name w:val="Double Para"/>
    <w:aliases w:val="dp"/>
    <w:basedOn w:val="Normal"/>
    <w:qFormat/>
    <w:rsid w:val="00197077"/>
    <w:pPr>
      <w:spacing w:line="480" w:lineRule="auto"/>
      <w:ind w:firstLine="1440"/>
    </w:pPr>
    <w:rPr>
      <w:lang w:bidi="he-IL"/>
    </w:rPr>
  </w:style>
  <w:style w:type="paragraph" w:customStyle="1" w:styleId="DoubleParaFlush">
    <w:name w:val="Double Para Flush"/>
    <w:aliases w:val="dpf"/>
    <w:basedOn w:val="DoublePara"/>
    <w:next w:val="DoublePara"/>
    <w:rsid w:val="00197077"/>
    <w:pPr>
      <w:ind w:firstLine="0"/>
    </w:pPr>
  </w:style>
  <w:style w:type="character" w:customStyle="1" w:styleId="Draftline">
    <w:name w:val="Draftline"/>
    <w:basedOn w:val="DefaultParagraphFont"/>
    <w:semiHidden/>
    <w:rsid w:val="00197077"/>
    <w:rPr>
      <w:rFonts w:ascii="Times New Roman" w:hAnsi="Times New Roman" w:cs="Times New Roman"/>
      <w:dstrike w:val="0"/>
      <w:vanish/>
      <w:color w:val="FF0000"/>
      <w:sz w:val="15"/>
      <w:szCs w:val="15"/>
      <w:u w:val="none"/>
      <w:vertAlign w:val="baseline"/>
    </w:rPr>
  </w:style>
  <w:style w:type="character" w:styleId="Emphasis">
    <w:name w:val="Emphasis"/>
    <w:basedOn w:val="DefaultParagraphFont"/>
    <w:uiPriority w:val="2"/>
    <w:rsid w:val="00197077"/>
    <w:rPr>
      <w:i/>
      <w:iCs/>
    </w:rPr>
  </w:style>
  <w:style w:type="paragraph" w:styleId="EndnoteText">
    <w:name w:val="endnote text"/>
    <w:basedOn w:val="Normal"/>
    <w:link w:val="EndnoteTextChar"/>
    <w:uiPriority w:val="99"/>
    <w:semiHidden/>
    <w:unhideWhenUsed/>
    <w:rsid w:val="00197077"/>
    <w:pPr>
      <w:spacing w:after="200"/>
      <w:ind w:left="360" w:hanging="360"/>
    </w:pPr>
    <w:rPr>
      <w:sz w:val="20"/>
      <w:szCs w:val="20"/>
    </w:rPr>
  </w:style>
  <w:style w:type="character" w:customStyle="1" w:styleId="EndnoteTextChar">
    <w:name w:val="Endnote Text Char"/>
    <w:basedOn w:val="DefaultParagraphFont"/>
    <w:link w:val="EndnoteText"/>
    <w:uiPriority w:val="99"/>
    <w:semiHidden/>
    <w:rsid w:val="00197077"/>
    <w:rPr>
      <w:rFonts w:eastAsiaTheme="minorEastAsia"/>
      <w:sz w:val="20"/>
      <w:szCs w:val="20"/>
      <w:lang w:eastAsia="zh-CN"/>
    </w:rPr>
  </w:style>
  <w:style w:type="table" w:customStyle="1" w:styleId="FinancialTable">
    <w:name w:val="Financial Table"/>
    <w:basedOn w:val="TableNormal"/>
    <w:uiPriority w:val="99"/>
    <w:rsid w:val="00197077"/>
    <w:rPr>
      <w:rFonts w:eastAsiaTheme="minorEastAsia"/>
      <w:sz w:val="18"/>
      <w:lang w:eastAsia="zh-CN"/>
    </w:rPr>
    <w:tblPr>
      <w:tblCellMar>
        <w:top w:w="29" w:type="dxa"/>
        <w:left w:w="86" w:type="dxa"/>
        <w:bottom w:w="29" w:type="dxa"/>
        <w:right w:w="86" w:type="dxa"/>
      </w:tblCellMar>
    </w:tblPr>
    <w:trPr>
      <w:cantSplit/>
    </w:trPr>
    <w:tcPr>
      <w:vAlign w:val="bottom"/>
    </w:tcPr>
    <w:tblStylePr w:type="firstRow">
      <w:pPr>
        <w:jc w:val="center"/>
      </w:pPr>
      <w:rPr>
        <w:b/>
      </w:rPr>
      <w:tblPr/>
      <w:trPr>
        <w:cantSplit w:val="0"/>
        <w:tblHeader/>
      </w:trPr>
    </w:tblStylePr>
    <w:tblStylePr w:type="firstCol">
      <w:pPr>
        <w:wordWrap/>
        <w:ind w:hangingChars="120" w:hanging="120"/>
      </w:pPr>
    </w:tblStylePr>
  </w:style>
  <w:style w:type="numbering" w:customStyle="1" w:styleId="FlatBulletsList">
    <w:name w:val="FlatBulletsList"/>
    <w:basedOn w:val="NoList"/>
    <w:uiPriority w:val="99"/>
    <w:rsid w:val="009A37FB"/>
    <w:pPr>
      <w:numPr>
        <w:numId w:val="4"/>
      </w:numPr>
    </w:pPr>
  </w:style>
  <w:style w:type="numbering" w:customStyle="1" w:styleId="FlatNumbersList">
    <w:name w:val="FlatNumbersList"/>
    <w:basedOn w:val="NoList"/>
    <w:uiPriority w:val="99"/>
    <w:rsid w:val="009A37FB"/>
    <w:pPr>
      <w:numPr>
        <w:numId w:val="1"/>
      </w:numPr>
    </w:pPr>
  </w:style>
  <w:style w:type="paragraph" w:styleId="Footer">
    <w:name w:val="footer"/>
    <w:basedOn w:val="Normal"/>
    <w:link w:val="FooterChar"/>
    <w:uiPriority w:val="99"/>
    <w:unhideWhenUsed/>
    <w:rsid w:val="00197077"/>
    <w:pPr>
      <w:tabs>
        <w:tab w:val="center" w:pos="4680"/>
        <w:tab w:val="right" w:pos="9360"/>
      </w:tabs>
    </w:pPr>
  </w:style>
  <w:style w:type="character" w:customStyle="1" w:styleId="FooterChar">
    <w:name w:val="Footer Char"/>
    <w:basedOn w:val="DefaultParagraphFont"/>
    <w:link w:val="Footer"/>
    <w:uiPriority w:val="99"/>
    <w:rsid w:val="00197077"/>
    <w:rPr>
      <w:rFonts w:eastAsiaTheme="minorEastAsia"/>
      <w:lang w:eastAsia="zh-CN"/>
    </w:rPr>
  </w:style>
  <w:style w:type="paragraph" w:customStyle="1" w:styleId="FooterB">
    <w:name w:val="Footer B"/>
    <w:semiHidden/>
    <w:rsid w:val="00197077"/>
    <w:pPr>
      <w:tabs>
        <w:tab w:val="center" w:pos="4320"/>
        <w:tab w:val="right" w:pos="8640"/>
      </w:tabs>
    </w:pPr>
    <w:rPr>
      <w:rFonts w:eastAsia="Times New Roman" w:cs="Times New Roman"/>
      <w:sz w:val="15"/>
      <w:szCs w:val="20"/>
    </w:rPr>
  </w:style>
  <w:style w:type="paragraph" w:styleId="FootnoteText">
    <w:name w:val="footnote text"/>
    <w:aliases w:val="Char, Char,Footnote Text Char1 Char1 Char,Footnote Text Char Char Char Char,Footnote Text Char1 Char Char Char Char,Footnote Text Char Char Char Char Char Char,Footnote Text Char3 Char Char Char Char Char Char,Footnote Text Char2"/>
    <w:basedOn w:val="Normal"/>
    <w:link w:val="FootnoteTextChar"/>
    <w:uiPriority w:val="99"/>
    <w:unhideWhenUsed/>
    <w:qFormat/>
    <w:rsid w:val="00197077"/>
    <w:pPr>
      <w:spacing w:after="200"/>
      <w:ind w:left="360" w:hanging="360"/>
    </w:pPr>
    <w:rPr>
      <w:sz w:val="20"/>
      <w:szCs w:val="20"/>
      <w:lang w:bidi="he-IL"/>
    </w:rPr>
  </w:style>
  <w:style w:type="character" w:customStyle="1" w:styleId="FootnoteTextChar">
    <w:name w:val="Footnote Text Char"/>
    <w:aliases w:val="Char Char, Char Char,Footnote Text Char1 Char1 Char Char,Footnote Text Char Char Char Char Char,Footnote Text Char1 Char Char Char Char Char,Footnote Text Char Char Char Char Char Char Char,Footnote Text Char2 Char"/>
    <w:basedOn w:val="DefaultParagraphFont"/>
    <w:link w:val="FootnoteText"/>
    <w:uiPriority w:val="99"/>
    <w:rsid w:val="00197077"/>
    <w:rPr>
      <w:rFonts w:eastAsiaTheme="minorEastAsia"/>
      <w:sz w:val="20"/>
      <w:szCs w:val="20"/>
      <w:lang w:eastAsia="zh-CN" w:bidi="he-IL"/>
    </w:rPr>
  </w:style>
  <w:style w:type="paragraph" w:customStyle="1" w:styleId="FootnoteText2">
    <w:name w:val="Footnote Text2"/>
    <w:basedOn w:val="Normal"/>
    <w:semiHidden/>
    <w:rsid w:val="00197077"/>
    <w:pPr>
      <w:spacing w:after="240"/>
      <w:ind w:left="720"/>
    </w:pPr>
    <w:rPr>
      <w:lang w:bidi="he-IL"/>
    </w:rPr>
  </w:style>
  <w:style w:type="paragraph" w:customStyle="1" w:styleId="Graphic">
    <w:name w:val="Graphic"/>
    <w:aliases w:val="g"/>
    <w:basedOn w:val="Normal"/>
    <w:next w:val="SinglePara"/>
    <w:rsid w:val="00197077"/>
    <w:pPr>
      <w:spacing w:before="240"/>
      <w:jc w:val="center"/>
    </w:pPr>
    <w:rPr>
      <w:sz w:val="16"/>
      <w:szCs w:val="16"/>
      <w:lang w:bidi="he-IL"/>
    </w:rPr>
  </w:style>
  <w:style w:type="paragraph" w:styleId="Header">
    <w:name w:val="header"/>
    <w:basedOn w:val="Normal"/>
    <w:link w:val="HeaderChar"/>
    <w:uiPriority w:val="99"/>
    <w:unhideWhenUsed/>
    <w:rsid w:val="00197077"/>
    <w:pPr>
      <w:tabs>
        <w:tab w:val="center" w:pos="4680"/>
        <w:tab w:val="right" w:pos="9360"/>
      </w:tabs>
    </w:pPr>
  </w:style>
  <w:style w:type="character" w:customStyle="1" w:styleId="HeaderChar">
    <w:name w:val="Header Char"/>
    <w:basedOn w:val="DefaultParagraphFont"/>
    <w:link w:val="Header"/>
    <w:uiPriority w:val="99"/>
    <w:rsid w:val="00197077"/>
    <w:rPr>
      <w:rFonts w:eastAsiaTheme="minorEastAsia"/>
      <w:lang w:eastAsia="zh-CN"/>
    </w:rPr>
  </w:style>
  <w:style w:type="character" w:customStyle="1" w:styleId="Heading1Char">
    <w:name w:val="Heading 1 Char"/>
    <w:basedOn w:val="DefaultParagraphFont"/>
    <w:link w:val="Heading1"/>
    <w:uiPriority w:val="19"/>
    <w:rsid w:val="003D0061"/>
    <w:rPr>
      <w:rFonts w:asciiTheme="majorHAnsi" w:eastAsiaTheme="majorEastAsia" w:hAnsiTheme="majorHAnsi" w:cstheme="majorBidi"/>
      <w:b/>
      <w:bCs/>
      <w:color w:val="0F4761" w:themeColor="accent1" w:themeShade="BF"/>
      <w:sz w:val="28"/>
      <w:szCs w:val="28"/>
      <w:lang w:eastAsia="zh-CN"/>
    </w:rPr>
  </w:style>
  <w:style w:type="character" w:customStyle="1" w:styleId="Heading2Char">
    <w:name w:val="Heading 2 Char"/>
    <w:basedOn w:val="DefaultParagraphFont"/>
    <w:link w:val="Heading2"/>
    <w:uiPriority w:val="19"/>
    <w:rsid w:val="00197077"/>
    <w:rPr>
      <w:rFonts w:asciiTheme="majorHAnsi" w:eastAsiaTheme="majorEastAsia" w:hAnsiTheme="majorHAnsi" w:cstheme="majorBidi"/>
      <w:b/>
      <w:bCs/>
      <w:color w:val="156082" w:themeColor="accent1"/>
      <w:sz w:val="26"/>
      <w:szCs w:val="26"/>
      <w:lang w:eastAsia="zh-CN"/>
    </w:rPr>
  </w:style>
  <w:style w:type="character" w:customStyle="1" w:styleId="Heading3Char">
    <w:name w:val="Heading 3 Char"/>
    <w:basedOn w:val="DefaultParagraphFont"/>
    <w:link w:val="Heading3"/>
    <w:uiPriority w:val="9"/>
    <w:rsid w:val="009D0475"/>
    <w:rPr>
      <w:rFonts w:asciiTheme="majorHAnsi" w:eastAsiaTheme="majorEastAsia" w:hAnsiTheme="majorHAnsi" w:cstheme="majorBidi"/>
      <w:b/>
      <w:bCs/>
      <w:color w:val="156082" w:themeColor="accent1"/>
      <w:lang w:eastAsia="zh-CN"/>
    </w:rPr>
  </w:style>
  <w:style w:type="character" w:customStyle="1" w:styleId="Heading4Char">
    <w:name w:val="Heading 4 Char"/>
    <w:basedOn w:val="DefaultParagraphFont"/>
    <w:link w:val="Heading4"/>
    <w:uiPriority w:val="1"/>
    <w:semiHidden/>
    <w:rsid w:val="00197077"/>
    <w:rPr>
      <w:rFonts w:asciiTheme="majorHAnsi" w:eastAsiaTheme="majorEastAsia" w:hAnsiTheme="majorHAnsi" w:cstheme="majorBidi"/>
      <w:b/>
      <w:bCs/>
      <w:i/>
      <w:iCs/>
      <w:color w:val="156082" w:themeColor="accent1"/>
      <w:lang w:eastAsia="zh-CN"/>
    </w:rPr>
  </w:style>
  <w:style w:type="paragraph" w:customStyle="1" w:styleId="HeadingCenter">
    <w:name w:val="Heading: Center"/>
    <w:aliases w:val="hc"/>
    <w:basedOn w:val="Normal"/>
    <w:next w:val="SinglePara"/>
    <w:link w:val="HeadingCenterChar"/>
    <w:rsid w:val="00197077"/>
    <w:pPr>
      <w:keepNext/>
      <w:keepLines/>
      <w:spacing w:before="240" w:after="240"/>
      <w:jc w:val="center"/>
    </w:pPr>
    <w:rPr>
      <w:rFonts w:asciiTheme="majorHAnsi" w:hAnsiTheme="majorHAnsi"/>
      <w:lang w:bidi="he-IL"/>
    </w:rPr>
  </w:style>
  <w:style w:type="character" w:customStyle="1" w:styleId="HeadingCenterChar">
    <w:name w:val="Heading: Center Char"/>
    <w:aliases w:val="hc Char"/>
    <w:basedOn w:val="DefaultParagraphFont"/>
    <w:link w:val="HeadingCenter"/>
    <w:rsid w:val="00197077"/>
    <w:rPr>
      <w:rFonts w:asciiTheme="majorHAnsi" w:eastAsiaTheme="minorEastAsia" w:hAnsiTheme="majorHAnsi"/>
      <w:lang w:eastAsia="zh-CN" w:bidi="he-IL"/>
    </w:rPr>
  </w:style>
  <w:style w:type="paragraph" w:customStyle="1" w:styleId="HeadingCenterBold">
    <w:name w:val="Heading: CenterBold"/>
    <w:aliases w:val="hcb"/>
    <w:basedOn w:val="HeadingCenter"/>
    <w:next w:val="SinglePara"/>
    <w:qFormat/>
    <w:rsid w:val="00197077"/>
    <w:rPr>
      <w:rFonts w:cs="Times New Roman Bold"/>
      <w:b/>
    </w:rPr>
  </w:style>
  <w:style w:type="paragraph" w:customStyle="1" w:styleId="HeadingCenterLarge">
    <w:name w:val="Heading: CenterLarge"/>
    <w:aliases w:val="hcl"/>
    <w:basedOn w:val="HeadingCenter"/>
    <w:next w:val="SinglePara"/>
    <w:rsid w:val="00197077"/>
    <w:rPr>
      <w:b/>
      <w:sz w:val="32"/>
    </w:rPr>
  </w:style>
  <w:style w:type="paragraph" w:customStyle="1" w:styleId="HeadingCenterUnd">
    <w:name w:val="Heading: CenterUnd"/>
    <w:aliases w:val="hcu"/>
    <w:basedOn w:val="HeadingCenter"/>
    <w:next w:val="SinglePara"/>
    <w:rsid w:val="00197077"/>
    <w:rPr>
      <w:u w:val="single"/>
    </w:rPr>
  </w:style>
  <w:style w:type="paragraph" w:customStyle="1" w:styleId="HeadingLeftBold">
    <w:name w:val="Heading: LeftBold"/>
    <w:aliases w:val="hlb"/>
    <w:basedOn w:val="Normal"/>
    <w:next w:val="SinglePara"/>
    <w:link w:val="HeadingLeftBoldChar"/>
    <w:qFormat/>
    <w:rsid w:val="00197077"/>
    <w:pPr>
      <w:keepNext/>
      <w:keepLines/>
      <w:spacing w:before="240"/>
    </w:pPr>
    <w:rPr>
      <w:rFonts w:asciiTheme="majorHAnsi" w:hAnsiTheme="majorHAnsi"/>
      <w:b/>
      <w:bCs/>
      <w:lang w:bidi="he-IL"/>
    </w:rPr>
  </w:style>
  <w:style w:type="character" w:customStyle="1" w:styleId="HeadingLeftBoldChar">
    <w:name w:val="Heading: LeftBold Char"/>
    <w:aliases w:val="hlb Char"/>
    <w:basedOn w:val="DefaultParagraphFont"/>
    <w:link w:val="HeadingLeftBold"/>
    <w:rsid w:val="00197077"/>
    <w:rPr>
      <w:rFonts w:asciiTheme="majorHAnsi" w:eastAsiaTheme="minorEastAsia" w:hAnsiTheme="majorHAnsi"/>
      <w:b/>
      <w:bCs/>
      <w:lang w:eastAsia="zh-CN" w:bidi="he-IL"/>
    </w:rPr>
  </w:style>
  <w:style w:type="paragraph" w:customStyle="1" w:styleId="HeadingIndent">
    <w:name w:val="Heading: Indent"/>
    <w:aliases w:val="hin"/>
    <w:basedOn w:val="HeadingLeftBold"/>
    <w:next w:val="SinglePara"/>
    <w:rsid w:val="00197077"/>
    <w:pPr>
      <w:ind w:left="360"/>
    </w:pPr>
    <w:rPr>
      <w:i/>
    </w:rPr>
  </w:style>
  <w:style w:type="paragraph" w:customStyle="1" w:styleId="HeadingLeftBoldItal">
    <w:name w:val="Heading: LeftBoldItal"/>
    <w:aliases w:val="hlbi"/>
    <w:basedOn w:val="HeadingLeftBold"/>
    <w:next w:val="SinglePara"/>
    <w:rsid w:val="00197077"/>
    <w:rPr>
      <w:rFonts w:cs="Times New Roman Bold"/>
      <w:i/>
      <w:iCs/>
    </w:rPr>
  </w:style>
  <w:style w:type="paragraph" w:customStyle="1" w:styleId="HeadingLeftBoldUnd">
    <w:name w:val="Heading: LeftBoldUnd"/>
    <w:aliases w:val="hlbu"/>
    <w:basedOn w:val="HeadingLeftBold"/>
    <w:next w:val="SinglePara"/>
    <w:rsid w:val="00197077"/>
    <w:rPr>
      <w:rFonts w:cs="Times New Roman Bold"/>
      <w:u w:val="single"/>
    </w:rPr>
  </w:style>
  <w:style w:type="paragraph" w:customStyle="1" w:styleId="HeadingLeftItal">
    <w:name w:val="Heading: LeftItal"/>
    <w:aliases w:val="hli"/>
    <w:basedOn w:val="HeadingLeftBold"/>
    <w:next w:val="SinglePara"/>
    <w:rsid w:val="00197077"/>
    <w:rPr>
      <w:b w:val="0"/>
      <w:i/>
    </w:rPr>
  </w:style>
  <w:style w:type="paragraph" w:customStyle="1" w:styleId="HeadingLeftUnd">
    <w:name w:val="Heading: LeftUnd"/>
    <w:aliases w:val="hlu"/>
    <w:basedOn w:val="HeadingLeftBold"/>
    <w:next w:val="SinglePara"/>
    <w:rsid w:val="00197077"/>
    <w:rPr>
      <w:b w:val="0"/>
      <w:u w:val="single"/>
    </w:rPr>
  </w:style>
  <w:style w:type="paragraph" w:customStyle="1" w:styleId="HeadingRight">
    <w:name w:val="Heading: Right"/>
    <w:aliases w:val="hr"/>
    <w:basedOn w:val="Normal"/>
    <w:next w:val="Normal"/>
    <w:rsid w:val="00197077"/>
    <w:pPr>
      <w:keepNext/>
      <w:keepLines/>
      <w:spacing w:before="240"/>
      <w:jc w:val="right"/>
    </w:pPr>
    <w:rPr>
      <w:rFonts w:asciiTheme="majorHAnsi" w:hAnsiTheme="majorHAnsi"/>
      <w:u w:val="single"/>
      <w:lang w:bidi="he-IL"/>
    </w:rPr>
  </w:style>
  <w:style w:type="paragraph" w:customStyle="1" w:styleId="HeadingRightTitle">
    <w:name w:val="Heading: RightTitle"/>
    <w:aliases w:val="hrt"/>
    <w:basedOn w:val="HeadingRight"/>
    <w:next w:val="HeadingCenterBold"/>
    <w:rsid w:val="00197077"/>
    <w:pPr>
      <w:spacing w:after="240"/>
    </w:pPr>
    <w:rPr>
      <w:rFonts w:cs="Times New Roman Bold"/>
      <w:b/>
      <w:bCs/>
      <w:u w:val="none"/>
    </w:rPr>
  </w:style>
  <w:style w:type="paragraph" w:customStyle="1" w:styleId="HeadingTOC1">
    <w:name w:val="Heading: TOC1"/>
    <w:aliases w:val="ht1"/>
    <w:basedOn w:val="HeadingCenter"/>
    <w:next w:val="SinglePara"/>
    <w:link w:val="HeadingTOC1Char"/>
    <w:qFormat/>
    <w:rsid w:val="00197077"/>
    <w:pPr>
      <w:outlineLvl w:val="0"/>
    </w:pPr>
    <w:rPr>
      <w:b/>
    </w:rPr>
  </w:style>
  <w:style w:type="character" w:customStyle="1" w:styleId="HeadingTOC1Char">
    <w:name w:val="Heading: TOC1 Char"/>
    <w:aliases w:val="ht1 Char"/>
    <w:basedOn w:val="HeadingCenterChar"/>
    <w:link w:val="HeadingTOC1"/>
    <w:rsid w:val="00197077"/>
    <w:rPr>
      <w:rFonts w:asciiTheme="majorHAnsi" w:eastAsiaTheme="minorEastAsia" w:hAnsiTheme="majorHAnsi"/>
      <w:b/>
      <w:lang w:eastAsia="zh-CN" w:bidi="he-IL"/>
    </w:rPr>
  </w:style>
  <w:style w:type="paragraph" w:customStyle="1" w:styleId="HeadingTOC2">
    <w:name w:val="Heading: TOC2"/>
    <w:aliases w:val="ht2"/>
    <w:basedOn w:val="HeadingLeftBold"/>
    <w:next w:val="SinglePara"/>
    <w:link w:val="HeadingTOC2Char"/>
    <w:qFormat/>
    <w:rsid w:val="00197077"/>
    <w:pPr>
      <w:outlineLvl w:val="1"/>
    </w:pPr>
    <w:rPr>
      <w:b w:val="0"/>
      <w:u w:val="single"/>
    </w:rPr>
  </w:style>
  <w:style w:type="character" w:customStyle="1" w:styleId="HeadingTOC2Char">
    <w:name w:val="Heading: TOC2 Char"/>
    <w:aliases w:val="ht2 Char"/>
    <w:basedOn w:val="DefaultParagraphFont"/>
    <w:link w:val="HeadingTOC2"/>
    <w:rsid w:val="00197077"/>
    <w:rPr>
      <w:rFonts w:asciiTheme="majorHAnsi" w:eastAsiaTheme="minorEastAsia" w:hAnsiTheme="majorHAnsi"/>
      <w:bCs/>
      <w:u w:val="single"/>
      <w:lang w:eastAsia="zh-CN" w:bidi="he-IL"/>
    </w:rPr>
  </w:style>
  <w:style w:type="table" w:customStyle="1" w:styleId="IndentedTable">
    <w:name w:val="Indented Table"/>
    <w:basedOn w:val="TableNormal"/>
    <w:uiPriority w:val="99"/>
    <w:rsid w:val="00197077"/>
    <w:rPr>
      <w:rFonts w:eastAsiaTheme="minorEastAsia"/>
      <w:lang w:eastAsia="zh-CN"/>
    </w:rPr>
    <w:tblPr>
      <w:tblInd w:w="720" w:type="dxa"/>
      <w:tblCellMar>
        <w:top w:w="29" w:type="dxa"/>
        <w:left w:w="86" w:type="dxa"/>
        <w:bottom w:w="29" w:type="dxa"/>
        <w:right w:w="86" w:type="dxa"/>
      </w:tblCellMar>
    </w:tblPr>
    <w:trPr>
      <w:cantSplit/>
    </w:trPr>
  </w:style>
  <w:style w:type="character" w:styleId="IntenseEmphasis">
    <w:name w:val="Intense Emphasis"/>
    <w:basedOn w:val="DefaultParagraphFont"/>
    <w:uiPriority w:val="21"/>
    <w:rsid w:val="00197077"/>
    <w:rPr>
      <w:b/>
      <w:bCs/>
      <w:i/>
      <w:iCs/>
      <w:color w:val="156082" w:themeColor="accent1"/>
    </w:rPr>
  </w:style>
  <w:style w:type="paragraph" w:styleId="IntenseQuote">
    <w:name w:val="Intense Quote"/>
    <w:basedOn w:val="Normal"/>
    <w:next w:val="Normal"/>
    <w:link w:val="IntenseQuoteChar"/>
    <w:uiPriority w:val="30"/>
    <w:semiHidden/>
    <w:rsid w:val="00197077"/>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semiHidden/>
    <w:rsid w:val="009D0475"/>
    <w:rPr>
      <w:rFonts w:eastAsiaTheme="minorEastAsia"/>
      <w:b/>
      <w:bCs/>
      <w:i/>
      <w:iCs/>
      <w:color w:val="156082" w:themeColor="accent1"/>
      <w:lang w:eastAsia="zh-CN"/>
    </w:rPr>
  </w:style>
  <w:style w:type="character" w:styleId="IntenseReference">
    <w:name w:val="Intense Reference"/>
    <w:basedOn w:val="DefaultParagraphFont"/>
    <w:uiPriority w:val="32"/>
    <w:rsid w:val="00197077"/>
    <w:rPr>
      <w:b/>
      <w:bCs/>
      <w:smallCaps/>
      <w:color w:val="E97132" w:themeColor="accent2"/>
      <w:spacing w:val="5"/>
      <w:u w:val="single"/>
    </w:rPr>
  </w:style>
  <w:style w:type="paragraph" w:customStyle="1" w:styleId="ListDoublePara">
    <w:name w:val="List Double Para"/>
    <w:aliases w:val="ldp"/>
    <w:basedOn w:val="Normal"/>
    <w:uiPriority w:val="4"/>
    <w:rsid w:val="009A37FB"/>
    <w:pPr>
      <w:numPr>
        <w:ilvl w:val="1"/>
        <w:numId w:val="1"/>
      </w:numPr>
      <w:spacing w:line="480" w:lineRule="auto"/>
    </w:pPr>
  </w:style>
  <w:style w:type="paragraph" w:styleId="ListParagraph">
    <w:name w:val="List Paragraph"/>
    <w:basedOn w:val="Normal"/>
    <w:uiPriority w:val="34"/>
    <w:semiHidden/>
    <w:rsid w:val="00197077"/>
    <w:pPr>
      <w:ind w:left="720"/>
      <w:contextualSpacing/>
    </w:pPr>
  </w:style>
  <w:style w:type="paragraph" w:customStyle="1" w:styleId="ListSinglePara">
    <w:name w:val="List Single Para"/>
    <w:aliases w:val="lsp"/>
    <w:basedOn w:val="Normal"/>
    <w:uiPriority w:val="4"/>
    <w:rsid w:val="009A37FB"/>
    <w:pPr>
      <w:numPr>
        <w:numId w:val="1"/>
      </w:numPr>
      <w:spacing w:before="240" w:after="240"/>
    </w:pPr>
  </w:style>
  <w:style w:type="paragraph" w:customStyle="1" w:styleId="NoticeAddress">
    <w:name w:val="Notice Address"/>
    <w:aliases w:val="na"/>
    <w:basedOn w:val="Normal"/>
    <w:next w:val="NoticeHeading"/>
    <w:rsid w:val="00197077"/>
    <w:pPr>
      <w:keepLines/>
      <w:tabs>
        <w:tab w:val="left" w:pos="2880"/>
      </w:tabs>
      <w:spacing w:before="240"/>
      <w:ind w:left="2160"/>
    </w:pPr>
    <w:rPr>
      <w:lang w:bidi="he-IL"/>
    </w:rPr>
  </w:style>
  <w:style w:type="paragraph" w:customStyle="1" w:styleId="NoticeHeading">
    <w:name w:val="Notice Heading"/>
    <w:aliases w:val="nh"/>
    <w:basedOn w:val="Normal"/>
    <w:next w:val="NoticeAddress"/>
    <w:rsid w:val="00197077"/>
    <w:pPr>
      <w:keepNext/>
      <w:keepLines/>
      <w:spacing w:before="240"/>
      <w:ind w:left="1440"/>
    </w:pPr>
    <w:rPr>
      <w:lang w:bidi="he-IL"/>
    </w:rPr>
  </w:style>
  <w:style w:type="paragraph" w:customStyle="1" w:styleId="OrdinalPara">
    <w:name w:val="Ordinal Para"/>
    <w:aliases w:val="op"/>
    <w:basedOn w:val="Normal"/>
    <w:uiPriority w:val="4"/>
    <w:rsid w:val="009A37FB"/>
    <w:pPr>
      <w:numPr>
        <w:ilvl w:val="4"/>
        <w:numId w:val="1"/>
      </w:numPr>
      <w:spacing w:before="240" w:after="240"/>
    </w:pPr>
  </w:style>
  <w:style w:type="paragraph" w:customStyle="1" w:styleId="Parties">
    <w:name w:val="Parties"/>
    <w:basedOn w:val="Normal"/>
    <w:uiPriority w:val="4"/>
    <w:rsid w:val="009A37FB"/>
    <w:pPr>
      <w:keepLines/>
      <w:numPr>
        <w:ilvl w:val="7"/>
        <w:numId w:val="1"/>
      </w:numPr>
      <w:spacing w:before="240" w:after="240"/>
    </w:pPr>
  </w:style>
  <w:style w:type="paragraph" w:customStyle="1" w:styleId="Question">
    <w:name w:val="Question"/>
    <w:aliases w:val="qt"/>
    <w:basedOn w:val="Normal"/>
    <w:next w:val="Answer"/>
    <w:uiPriority w:val="4"/>
    <w:rsid w:val="009A37FB"/>
    <w:pPr>
      <w:numPr>
        <w:ilvl w:val="5"/>
        <w:numId w:val="1"/>
      </w:numPr>
      <w:spacing w:before="240"/>
    </w:pPr>
    <w:rPr>
      <w:lang w:bidi="he-IL"/>
    </w:rPr>
  </w:style>
  <w:style w:type="paragraph" w:styleId="Quote">
    <w:name w:val="Quote"/>
    <w:basedOn w:val="Normal"/>
    <w:next w:val="Normal"/>
    <w:link w:val="QuoteChar"/>
    <w:uiPriority w:val="29"/>
    <w:semiHidden/>
    <w:rsid w:val="00197077"/>
    <w:rPr>
      <w:i/>
      <w:iCs/>
      <w:color w:val="000000" w:themeColor="text1"/>
    </w:rPr>
  </w:style>
  <w:style w:type="character" w:customStyle="1" w:styleId="QuoteChar">
    <w:name w:val="Quote Char"/>
    <w:basedOn w:val="DefaultParagraphFont"/>
    <w:link w:val="Quote"/>
    <w:uiPriority w:val="29"/>
    <w:semiHidden/>
    <w:rsid w:val="009D0475"/>
    <w:rPr>
      <w:rFonts w:eastAsiaTheme="minorEastAsia"/>
      <w:i/>
      <w:iCs/>
      <w:color w:val="000000" w:themeColor="text1"/>
      <w:lang w:eastAsia="zh-CN"/>
    </w:rPr>
  </w:style>
  <w:style w:type="paragraph" w:customStyle="1" w:styleId="QuoteBlock">
    <w:name w:val="Quote Block"/>
    <w:aliases w:val="qb"/>
    <w:basedOn w:val="Normal"/>
    <w:next w:val="DoubleParaFlush"/>
    <w:qFormat/>
    <w:rsid w:val="00197077"/>
    <w:pPr>
      <w:spacing w:after="240"/>
      <w:ind w:left="720" w:right="720"/>
      <w:jc w:val="both"/>
    </w:pPr>
    <w:rPr>
      <w:lang w:bidi="he-IL"/>
    </w:rPr>
  </w:style>
  <w:style w:type="paragraph" w:customStyle="1" w:styleId="QuoteBlockIndent">
    <w:name w:val="Quote Block Indent"/>
    <w:aliases w:val="qbi"/>
    <w:basedOn w:val="QuoteBlock"/>
    <w:next w:val="DoubleParaFlush"/>
    <w:rsid w:val="00197077"/>
    <w:pPr>
      <w:ind w:firstLine="720"/>
    </w:pPr>
  </w:style>
  <w:style w:type="paragraph" w:customStyle="1" w:styleId="Recitals">
    <w:name w:val="Recitals"/>
    <w:basedOn w:val="Normal"/>
    <w:uiPriority w:val="4"/>
    <w:rsid w:val="009A37FB"/>
    <w:pPr>
      <w:keepLines/>
      <w:numPr>
        <w:ilvl w:val="8"/>
        <w:numId w:val="1"/>
      </w:numPr>
      <w:spacing w:before="240" w:after="240"/>
    </w:pPr>
  </w:style>
  <w:style w:type="character" w:customStyle="1" w:styleId="Reference">
    <w:name w:val="Reference"/>
    <w:aliases w:val="rf"/>
    <w:basedOn w:val="DefaultParagraphFont"/>
    <w:uiPriority w:val="9"/>
    <w:rsid w:val="00197077"/>
    <w:rPr>
      <w:u w:val="single"/>
    </w:rPr>
  </w:style>
  <w:style w:type="character" w:customStyle="1" w:styleId="Run-inheading">
    <w:name w:val="Run-in heading"/>
    <w:aliases w:val="ri"/>
    <w:basedOn w:val="DefaultParagraphFont"/>
    <w:uiPriority w:val="9"/>
    <w:rsid w:val="00197077"/>
    <w:rPr>
      <w:i/>
      <w:iCs/>
    </w:rPr>
  </w:style>
  <w:style w:type="table" w:customStyle="1" w:styleId="ShadedTable">
    <w:name w:val="Shaded Table"/>
    <w:basedOn w:val="TableNormal"/>
    <w:uiPriority w:val="99"/>
    <w:rsid w:val="00197077"/>
    <w:rPr>
      <w:rFonts w:eastAsiaTheme="minorEastAsia"/>
      <w:lang w:eastAsia="zh-CN"/>
    </w:rPr>
    <w:tblPr>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rPr>
      <w:cantSplit/>
      <w:jc w:val="center"/>
    </w:trPr>
    <w:tcPr>
      <w:shd w:val="clear" w:color="auto" w:fill="auto"/>
      <w:vAlign w:val="bottom"/>
    </w:tcPr>
    <w:tblStylePr w:type="firstRow">
      <w:pPr>
        <w:jc w:val="center"/>
      </w:pPr>
      <w:rPr>
        <w:b/>
      </w:rPr>
      <w:tblPr/>
      <w:tcPr>
        <w:tcBorders>
          <w:top w:val="double" w:sz="4" w:space="0" w:color="auto"/>
          <w:left w:val="double" w:sz="4" w:space="0" w:color="auto"/>
          <w:bottom w:val="double" w:sz="4" w:space="0" w:color="auto"/>
          <w:right w:val="double" w:sz="4" w:space="0" w:color="auto"/>
          <w:insideH w:val="nil"/>
          <w:insideV w:val="single" w:sz="4" w:space="0" w:color="auto"/>
          <w:tl2br w:val="nil"/>
          <w:tr2bl w:val="nil"/>
        </w:tcBorders>
        <w:shd w:val="clear" w:color="auto" w:fill="D9D9D9" w:themeFill="background1" w:themeFillShade="D9"/>
      </w:tcPr>
    </w:tblStylePr>
  </w:style>
  <w:style w:type="paragraph" w:customStyle="1" w:styleId="SignatureBlock">
    <w:name w:val="Signature Block"/>
    <w:aliases w:val="sb"/>
    <w:basedOn w:val="Normal"/>
    <w:rsid w:val="00197077"/>
    <w:pPr>
      <w:keepLines/>
      <w:tabs>
        <w:tab w:val="left" w:pos="5472"/>
        <w:tab w:val="left" w:pos="6192"/>
        <w:tab w:val="right" w:pos="9360"/>
      </w:tabs>
      <w:spacing w:before="480"/>
      <w:ind w:left="5040"/>
    </w:pPr>
    <w:rPr>
      <w:lang w:bidi="he-IL"/>
    </w:rPr>
  </w:style>
  <w:style w:type="paragraph" w:customStyle="1" w:styleId="SingleParaAlt">
    <w:name w:val="Single Para Alt"/>
    <w:aliases w:val="spa"/>
    <w:basedOn w:val="Normal"/>
    <w:rsid w:val="00197077"/>
    <w:pPr>
      <w:spacing w:before="240" w:after="240"/>
      <w:ind w:firstLine="1440"/>
    </w:pPr>
    <w:rPr>
      <w:lang w:bidi="he-IL"/>
    </w:rPr>
  </w:style>
  <w:style w:type="paragraph" w:customStyle="1" w:styleId="SinglePara">
    <w:name w:val="Single Para"/>
    <w:aliases w:val="sp"/>
    <w:basedOn w:val="Normal"/>
    <w:qFormat/>
    <w:rsid w:val="00197077"/>
    <w:pPr>
      <w:spacing w:before="240" w:after="240"/>
      <w:ind w:firstLine="720"/>
    </w:pPr>
    <w:rPr>
      <w:lang w:bidi="he-IL"/>
    </w:rPr>
  </w:style>
  <w:style w:type="paragraph" w:customStyle="1" w:styleId="SingleParaFlush">
    <w:name w:val="Single Para Flush"/>
    <w:aliases w:val="spf"/>
    <w:basedOn w:val="SinglePara"/>
    <w:rsid w:val="00197077"/>
    <w:pPr>
      <w:ind w:firstLine="0"/>
    </w:pPr>
  </w:style>
  <w:style w:type="character" w:styleId="Strong">
    <w:name w:val="Strong"/>
    <w:basedOn w:val="DefaultParagraphFont"/>
    <w:uiPriority w:val="2"/>
    <w:rsid w:val="00197077"/>
    <w:rPr>
      <w:b/>
      <w:bCs/>
    </w:rPr>
  </w:style>
  <w:style w:type="paragraph" w:customStyle="1" w:styleId="SubheadBold">
    <w:name w:val="Subhead: Bold"/>
    <w:aliases w:val="shb"/>
    <w:basedOn w:val="Normal"/>
    <w:next w:val="SingleParaFlush"/>
    <w:rsid w:val="00197077"/>
    <w:pPr>
      <w:keepNext/>
      <w:keepLines/>
      <w:spacing w:before="240"/>
      <w:ind w:left="720"/>
    </w:pPr>
    <w:rPr>
      <w:rFonts w:asciiTheme="majorHAnsi" w:hAnsiTheme="majorHAnsi"/>
      <w:b/>
    </w:rPr>
  </w:style>
  <w:style w:type="paragraph" w:customStyle="1" w:styleId="SubheadBoldItal">
    <w:name w:val="Subhead: BoldItal"/>
    <w:aliases w:val="shbi"/>
    <w:basedOn w:val="SubheadBold"/>
    <w:next w:val="SingleParaFlush"/>
    <w:rsid w:val="00197077"/>
    <w:rPr>
      <w:i/>
    </w:rPr>
  </w:style>
  <w:style w:type="paragraph" w:customStyle="1" w:styleId="SubheadItal">
    <w:name w:val="Subhead: Ital"/>
    <w:aliases w:val="shi"/>
    <w:basedOn w:val="SubheadBold"/>
    <w:next w:val="SingleParaFlush"/>
    <w:rsid w:val="00197077"/>
    <w:rPr>
      <w:b w:val="0"/>
      <w:i/>
    </w:rPr>
  </w:style>
  <w:style w:type="paragraph" w:styleId="Subtitle">
    <w:name w:val="Subtitle"/>
    <w:basedOn w:val="Normal"/>
    <w:next w:val="Normal"/>
    <w:link w:val="SubtitleChar"/>
    <w:uiPriority w:val="5"/>
    <w:rsid w:val="00197077"/>
    <w:pPr>
      <w:numPr>
        <w:ilvl w:val="1"/>
      </w:numPr>
    </w:pPr>
    <w:rPr>
      <w:rFonts w:asciiTheme="majorHAnsi" w:eastAsiaTheme="majorEastAsia" w:hAnsiTheme="majorHAnsi" w:cstheme="majorBidi"/>
      <w:i/>
      <w:iCs/>
      <w:color w:val="156082" w:themeColor="accent1"/>
      <w:spacing w:val="15"/>
    </w:rPr>
  </w:style>
  <w:style w:type="character" w:customStyle="1" w:styleId="SubtitleChar">
    <w:name w:val="Subtitle Char"/>
    <w:basedOn w:val="DefaultParagraphFont"/>
    <w:link w:val="Subtitle"/>
    <w:uiPriority w:val="5"/>
    <w:rsid w:val="00197077"/>
    <w:rPr>
      <w:rFonts w:asciiTheme="majorHAnsi" w:eastAsiaTheme="majorEastAsia" w:hAnsiTheme="majorHAnsi" w:cstheme="majorBidi"/>
      <w:i/>
      <w:iCs/>
      <w:color w:val="156082" w:themeColor="accent1"/>
      <w:spacing w:val="15"/>
      <w:lang w:eastAsia="zh-CN"/>
    </w:rPr>
  </w:style>
  <w:style w:type="character" w:styleId="SubtleEmphasis">
    <w:name w:val="Subtle Emphasis"/>
    <w:basedOn w:val="DefaultParagraphFont"/>
    <w:uiPriority w:val="19"/>
    <w:rsid w:val="00197077"/>
    <w:rPr>
      <w:i/>
      <w:iCs/>
      <w:color w:val="808080" w:themeColor="text1" w:themeTint="7F"/>
    </w:rPr>
  </w:style>
  <w:style w:type="character" w:styleId="SubtleReference">
    <w:name w:val="Subtle Reference"/>
    <w:basedOn w:val="DefaultParagraphFont"/>
    <w:uiPriority w:val="31"/>
    <w:rsid w:val="00197077"/>
    <w:rPr>
      <w:smallCaps/>
      <w:color w:val="E97132" w:themeColor="accent2"/>
      <w:u w:val="single"/>
    </w:rPr>
  </w:style>
  <w:style w:type="table" w:styleId="TableGrid">
    <w:name w:val="Table Grid"/>
    <w:basedOn w:val="TableNormal"/>
    <w:uiPriority w:val="59"/>
    <w:rsid w:val="00197077"/>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ootnoteLine">
    <w:name w:val="Table: Footnote Line"/>
    <w:aliases w:val="tfl"/>
    <w:basedOn w:val="Normal"/>
    <w:next w:val="TableFootnote"/>
    <w:uiPriority w:val="4"/>
    <w:rsid w:val="009A37FB"/>
    <w:pPr>
      <w:keepNext/>
      <w:keepLines/>
      <w:numPr>
        <w:numId w:val="15"/>
      </w:numPr>
      <w:pBdr>
        <w:bottom w:val="single" w:sz="8" w:space="1" w:color="auto"/>
      </w:pBdr>
      <w:ind w:right="6480"/>
    </w:pPr>
    <w:rPr>
      <w:lang w:bidi="he-IL"/>
    </w:rPr>
  </w:style>
  <w:style w:type="paragraph" w:customStyle="1" w:styleId="TableFootnote">
    <w:name w:val="Table: Footnote"/>
    <w:aliases w:val="tf"/>
    <w:basedOn w:val="Normal"/>
    <w:uiPriority w:val="4"/>
    <w:rsid w:val="009A37FB"/>
    <w:pPr>
      <w:numPr>
        <w:ilvl w:val="1"/>
        <w:numId w:val="15"/>
      </w:numPr>
      <w:spacing w:after="120"/>
    </w:pPr>
    <w:rPr>
      <w:sz w:val="20"/>
      <w:szCs w:val="20"/>
      <w:lang w:bidi="he-IL"/>
    </w:rPr>
  </w:style>
  <w:style w:type="numbering" w:customStyle="1" w:styleId="TableFootnotesList">
    <w:name w:val="TableFootnotesList"/>
    <w:basedOn w:val="NoList"/>
    <w:uiPriority w:val="99"/>
    <w:rsid w:val="009A37FB"/>
    <w:pPr>
      <w:numPr>
        <w:numId w:val="15"/>
      </w:numPr>
    </w:pPr>
  </w:style>
  <w:style w:type="table" w:customStyle="1" w:styleId="TextTable">
    <w:name w:val="Text Table"/>
    <w:basedOn w:val="TableNormal"/>
    <w:uiPriority w:val="99"/>
    <w:rsid w:val="00197077"/>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Pr>
    <w:tblStylePr w:type="firstRow">
      <w:pPr>
        <w:jc w:val="left"/>
      </w:pPr>
      <w:tblPr/>
      <w:trPr>
        <w:tblHeader/>
      </w:trPr>
      <w:tcPr>
        <w:vAlign w:val="bottom"/>
      </w:tcPr>
    </w:tblStylePr>
  </w:style>
  <w:style w:type="paragraph" w:styleId="Title">
    <w:name w:val="Title"/>
    <w:basedOn w:val="Normal"/>
    <w:next w:val="Normal"/>
    <w:link w:val="TitleChar"/>
    <w:uiPriority w:val="4"/>
    <w:rsid w:val="00197077"/>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4"/>
    <w:rsid w:val="00197077"/>
    <w:rPr>
      <w:rFonts w:asciiTheme="majorHAnsi" w:eastAsiaTheme="majorEastAsia" w:hAnsiTheme="majorHAnsi" w:cstheme="majorBidi"/>
      <w:color w:val="0A1D30" w:themeColor="text2" w:themeShade="BF"/>
      <w:spacing w:val="5"/>
      <w:kern w:val="28"/>
      <w:sz w:val="52"/>
      <w:szCs w:val="52"/>
      <w:lang w:eastAsia="zh-CN"/>
    </w:rPr>
  </w:style>
  <w:style w:type="paragraph" w:styleId="TOC1">
    <w:name w:val="toc 1"/>
    <w:basedOn w:val="Normal"/>
    <w:next w:val="Normal"/>
    <w:autoRedefine/>
    <w:uiPriority w:val="39"/>
    <w:semiHidden/>
    <w:unhideWhenUsed/>
    <w:rsid w:val="00197077"/>
    <w:pPr>
      <w:tabs>
        <w:tab w:val="right" w:leader="dot" w:pos="9360"/>
      </w:tabs>
      <w:spacing w:before="240"/>
      <w:ind w:left="720" w:right="720" w:hanging="720"/>
    </w:pPr>
  </w:style>
  <w:style w:type="paragraph" w:styleId="TOC2">
    <w:name w:val="toc 2"/>
    <w:basedOn w:val="Normal"/>
    <w:next w:val="Normal"/>
    <w:autoRedefine/>
    <w:uiPriority w:val="39"/>
    <w:semiHidden/>
    <w:unhideWhenUsed/>
    <w:rsid w:val="00197077"/>
    <w:pPr>
      <w:tabs>
        <w:tab w:val="right" w:leader="dot" w:pos="9360"/>
      </w:tabs>
      <w:spacing w:before="240"/>
      <w:ind w:left="1440" w:right="720" w:hanging="720"/>
    </w:pPr>
  </w:style>
  <w:style w:type="paragraph" w:styleId="TOC3">
    <w:name w:val="toc 3"/>
    <w:basedOn w:val="Normal"/>
    <w:next w:val="Normal"/>
    <w:autoRedefine/>
    <w:uiPriority w:val="39"/>
    <w:semiHidden/>
    <w:unhideWhenUsed/>
    <w:rsid w:val="00197077"/>
    <w:pPr>
      <w:tabs>
        <w:tab w:val="right" w:leader="dot" w:pos="9360"/>
      </w:tabs>
      <w:spacing w:before="240"/>
      <w:ind w:left="2160" w:right="720" w:hanging="720"/>
    </w:pPr>
  </w:style>
  <w:style w:type="paragraph" w:styleId="TOC4">
    <w:name w:val="toc 4"/>
    <w:basedOn w:val="Normal"/>
    <w:next w:val="Normal"/>
    <w:autoRedefine/>
    <w:uiPriority w:val="39"/>
    <w:semiHidden/>
    <w:unhideWhenUsed/>
    <w:rsid w:val="00197077"/>
    <w:pPr>
      <w:tabs>
        <w:tab w:val="right" w:leader="dot" w:pos="9360"/>
      </w:tabs>
      <w:spacing w:before="240"/>
      <w:ind w:left="2880" w:right="720" w:hanging="720"/>
    </w:pPr>
  </w:style>
  <w:style w:type="paragraph" w:styleId="TOC5">
    <w:name w:val="toc 5"/>
    <w:basedOn w:val="Normal"/>
    <w:next w:val="Normal"/>
    <w:autoRedefine/>
    <w:uiPriority w:val="39"/>
    <w:semiHidden/>
    <w:unhideWhenUsed/>
    <w:rsid w:val="00197077"/>
    <w:pPr>
      <w:tabs>
        <w:tab w:val="right" w:leader="dot" w:pos="9360"/>
      </w:tabs>
      <w:spacing w:before="40"/>
      <w:ind w:left="3600" w:right="720" w:hanging="720"/>
    </w:pPr>
  </w:style>
  <w:style w:type="paragraph" w:styleId="TOC6">
    <w:name w:val="toc 6"/>
    <w:basedOn w:val="Normal"/>
    <w:next w:val="Normal"/>
    <w:autoRedefine/>
    <w:uiPriority w:val="39"/>
    <w:semiHidden/>
    <w:unhideWhenUsed/>
    <w:rsid w:val="00197077"/>
    <w:pPr>
      <w:tabs>
        <w:tab w:val="right" w:leader="dot" w:pos="9360"/>
      </w:tabs>
      <w:spacing w:before="240"/>
      <w:ind w:left="4320" w:right="720" w:hanging="720"/>
    </w:pPr>
  </w:style>
  <w:style w:type="paragraph" w:styleId="TOC7">
    <w:name w:val="toc 7"/>
    <w:basedOn w:val="Normal"/>
    <w:next w:val="Normal"/>
    <w:autoRedefine/>
    <w:uiPriority w:val="39"/>
    <w:semiHidden/>
    <w:unhideWhenUsed/>
    <w:rsid w:val="00197077"/>
    <w:pPr>
      <w:tabs>
        <w:tab w:val="right" w:leader="dot" w:pos="9360"/>
      </w:tabs>
      <w:spacing w:before="240"/>
      <w:ind w:left="5040" w:right="720" w:hanging="720"/>
    </w:pPr>
  </w:style>
  <w:style w:type="paragraph" w:styleId="TOC8">
    <w:name w:val="toc 8"/>
    <w:basedOn w:val="Normal"/>
    <w:next w:val="Normal"/>
    <w:autoRedefine/>
    <w:uiPriority w:val="39"/>
    <w:semiHidden/>
    <w:unhideWhenUsed/>
    <w:rsid w:val="00197077"/>
    <w:pPr>
      <w:tabs>
        <w:tab w:val="right" w:leader="dot" w:pos="9360"/>
      </w:tabs>
      <w:spacing w:before="240"/>
      <w:ind w:left="5760" w:right="720" w:hanging="720"/>
    </w:pPr>
  </w:style>
  <w:style w:type="paragraph" w:styleId="TOC9">
    <w:name w:val="toc 9"/>
    <w:basedOn w:val="Normal"/>
    <w:next w:val="Normal"/>
    <w:autoRedefine/>
    <w:uiPriority w:val="39"/>
    <w:semiHidden/>
    <w:unhideWhenUsed/>
    <w:rsid w:val="00197077"/>
    <w:pPr>
      <w:tabs>
        <w:tab w:val="right" w:leader="dot" w:pos="9360"/>
      </w:tabs>
      <w:spacing w:before="240"/>
      <w:ind w:left="6480" w:right="720" w:hanging="720"/>
    </w:pPr>
  </w:style>
  <w:style w:type="paragraph" w:customStyle="1" w:styleId="WarningPara">
    <w:name w:val="Warning Para"/>
    <w:aliases w:val="wp"/>
    <w:basedOn w:val="SinglePara"/>
    <w:next w:val="SinglePara"/>
    <w:rsid w:val="00197077"/>
    <w:rPr>
      <w:b/>
      <w:caps/>
    </w:rPr>
  </w:style>
  <w:style w:type="numbering" w:styleId="111111">
    <w:name w:val="Outline List 2"/>
    <w:basedOn w:val="NoList"/>
    <w:uiPriority w:val="99"/>
    <w:semiHidden/>
    <w:unhideWhenUsed/>
    <w:rsid w:val="00EB5FE4"/>
    <w:pPr>
      <w:numPr>
        <w:numId w:val="18"/>
      </w:numPr>
    </w:pPr>
  </w:style>
  <w:style w:type="paragraph" w:styleId="BodyText">
    <w:name w:val="Body Text"/>
    <w:basedOn w:val="Normal"/>
    <w:link w:val="BodyTextChar"/>
    <w:uiPriority w:val="99"/>
    <w:semiHidden/>
    <w:unhideWhenUsed/>
    <w:rsid w:val="00EB5FE4"/>
    <w:pPr>
      <w:spacing w:after="120"/>
    </w:pPr>
  </w:style>
  <w:style w:type="character" w:customStyle="1" w:styleId="BodyTextChar">
    <w:name w:val="Body Text Char"/>
    <w:basedOn w:val="DefaultParagraphFont"/>
    <w:link w:val="BodyText"/>
    <w:uiPriority w:val="99"/>
    <w:semiHidden/>
    <w:rsid w:val="00EB5FE4"/>
    <w:rPr>
      <w:rFonts w:eastAsiaTheme="minorEastAsia"/>
      <w:lang w:eastAsia="zh-CN"/>
    </w:rPr>
  </w:style>
  <w:style w:type="paragraph" w:styleId="BodyText2">
    <w:name w:val="Body Text 2"/>
    <w:basedOn w:val="Normal"/>
    <w:link w:val="BodyText2Char"/>
    <w:uiPriority w:val="99"/>
    <w:semiHidden/>
    <w:unhideWhenUsed/>
    <w:rsid w:val="00EB5FE4"/>
    <w:pPr>
      <w:spacing w:after="120" w:line="480" w:lineRule="auto"/>
    </w:pPr>
  </w:style>
  <w:style w:type="character" w:customStyle="1" w:styleId="BodyText2Char">
    <w:name w:val="Body Text 2 Char"/>
    <w:basedOn w:val="DefaultParagraphFont"/>
    <w:link w:val="BodyText2"/>
    <w:uiPriority w:val="99"/>
    <w:semiHidden/>
    <w:rsid w:val="00EB5FE4"/>
    <w:rPr>
      <w:rFonts w:eastAsiaTheme="minorEastAsia"/>
      <w:lang w:eastAsia="zh-CN"/>
    </w:rPr>
  </w:style>
  <w:style w:type="character" w:styleId="FootnoteReference">
    <w:name w:val="footnote reference"/>
    <w:aliases w:val="FT Char1,JM Footnote,Ref,Style 18,Style 3,Style 4,Style 8,de nota al pie,fr,Style 19,Style 16,Style 35,o,Style 13,Style 12,(NECG) Footnote Reference,Tory Footnotes,Style 15,Style 17,Style 28,Style 20,o1,fr1,o2,fr2,o3,fr3,Style 9"/>
    <w:basedOn w:val="DefaultParagraphFont"/>
    <w:uiPriority w:val="99"/>
    <w:unhideWhenUsed/>
    <w:qFormat/>
    <w:rsid w:val="00EB5FE4"/>
    <w:rPr>
      <w:vertAlign w:val="superscript"/>
    </w:rPr>
  </w:style>
  <w:style w:type="paragraph" w:styleId="NoSpacing">
    <w:name w:val="No Spacing"/>
    <w:uiPriority w:val="1"/>
    <w:semiHidden/>
    <w:rsid w:val="009D0475"/>
    <w:rPr>
      <w:szCs w:val="22"/>
    </w:rPr>
  </w:style>
  <w:style w:type="paragraph" w:customStyle="1" w:styleId="ShortOutline1">
    <w:name w:val="ShortOutline1"/>
    <w:basedOn w:val="Normal"/>
    <w:link w:val="ShortOutline1Char"/>
    <w:rsid w:val="009376CC"/>
    <w:pPr>
      <w:numPr>
        <w:numId w:val="20"/>
      </w:numPr>
      <w:spacing w:before="240" w:after="240"/>
      <w:outlineLvl w:val="0"/>
    </w:pPr>
  </w:style>
  <w:style w:type="character" w:customStyle="1" w:styleId="ShortOutline1Char">
    <w:name w:val="ShortOutline1 Char"/>
    <w:basedOn w:val="DefaultParagraphFont"/>
    <w:link w:val="ShortOutline1"/>
    <w:rsid w:val="00EB5FE4"/>
    <w:rPr>
      <w:rFonts w:eastAsiaTheme="minorEastAsia"/>
      <w:lang w:eastAsia="zh-CN"/>
    </w:rPr>
  </w:style>
  <w:style w:type="paragraph" w:customStyle="1" w:styleId="ShortOutline2">
    <w:name w:val="ShortOutline2"/>
    <w:basedOn w:val="Normal"/>
    <w:link w:val="ShortOutline2Char"/>
    <w:rsid w:val="009376CC"/>
    <w:pPr>
      <w:numPr>
        <w:ilvl w:val="1"/>
        <w:numId w:val="20"/>
      </w:numPr>
      <w:spacing w:before="240" w:after="240"/>
      <w:outlineLvl w:val="1"/>
    </w:pPr>
    <w:rPr>
      <w:color w:val="000000"/>
    </w:rPr>
  </w:style>
  <w:style w:type="character" w:customStyle="1" w:styleId="ShortOutline2Char">
    <w:name w:val="ShortOutline2 Char"/>
    <w:basedOn w:val="DefaultParagraphFont"/>
    <w:link w:val="ShortOutline2"/>
    <w:rsid w:val="00EB5FE4"/>
    <w:rPr>
      <w:rFonts w:eastAsiaTheme="minorEastAsia"/>
      <w:color w:val="000000"/>
      <w:lang w:eastAsia="zh-CN"/>
    </w:rPr>
  </w:style>
  <w:style w:type="paragraph" w:customStyle="1" w:styleId="ShortOutline3">
    <w:name w:val="ShortOutline3"/>
    <w:basedOn w:val="Normal"/>
    <w:link w:val="ShortOutline3Char"/>
    <w:rsid w:val="009376CC"/>
    <w:pPr>
      <w:numPr>
        <w:ilvl w:val="2"/>
        <w:numId w:val="20"/>
      </w:numPr>
      <w:spacing w:before="240" w:after="240"/>
      <w:outlineLvl w:val="2"/>
    </w:pPr>
    <w:rPr>
      <w:color w:val="000000"/>
    </w:rPr>
  </w:style>
  <w:style w:type="character" w:customStyle="1" w:styleId="ShortOutline3Char">
    <w:name w:val="ShortOutline3 Char"/>
    <w:basedOn w:val="DefaultParagraphFont"/>
    <w:link w:val="ShortOutline3"/>
    <w:rsid w:val="00EB5FE4"/>
    <w:rPr>
      <w:rFonts w:eastAsiaTheme="minorEastAsia"/>
      <w:color w:val="000000"/>
      <w:lang w:eastAsia="zh-CN"/>
    </w:rPr>
  </w:style>
  <w:style w:type="paragraph" w:customStyle="1" w:styleId="ShortOutline4">
    <w:name w:val="ShortOutline4"/>
    <w:basedOn w:val="Normal"/>
    <w:link w:val="ShortOutline4Char"/>
    <w:rsid w:val="009376CC"/>
    <w:pPr>
      <w:numPr>
        <w:ilvl w:val="3"/>
        <w:numId w:val="20"/>
      </w:numPr>
      <w:spacing w:before="240" w:after="240"/>
      <w:outlineLvl w:val="3"/>
    </w:pPr>
    <w:rPr>
      <w:color w:val="000000"/>
    </w:rPr>
  </w:style>
  <w:style w:type="character" w:customStyle="1" w:styleId="ShortOutline4Char">
    <w:name w:val="ShortOutline4 Char"/>
    <w:basedOn w:val="DefaultParagraphFont"/>
    <w:link w:val="ShortOutline4"/>
    <w:rsid w:val="00EB5FE4"/>
    <w:rPr>
      <w:rFonts w:eastAsiaTheme="minorEastAsia"/>
      <w:color w:val="000000"/>
      <w:lang w:eastAsia="zh-CN"/>
    </w:rPr>
  </w:style>
  <w:style w:type="paragraph" w:customStyle="1" w:styleId="ShortOutline5">
    <w:name w:val="ShortOutline5"/>
    <w:basedOn w:val="Normal"/>
    <w:link w:val="ShortOutline5Char"/>
    <w:rsid w:val="009376CC"/>
    <w:pPr>
      <w:numPr>
        <w:ilvl w:val="4"/>
        <w:numId w:val="20"/>
      </w:numPr>
      <w:spacing w:before="240" w:after="240"/>
      <w:outlineLvl w:val="4"/>
    </w:pPr>
    <w:rPr>
      <w:color w:val="000000"/>
    </w:rPr>
  </w:style>
  <w:style w:type="character" w:customStyle="1" w:styleId="ShortOutline5Char">
    <w:name w:val="ShortOutline5 Char"/>
    <w:basedOn w:val="DefaultParagraphFont"/>
    <w:link w:val="ShortOutline5"/>
    <w:rsid w:val="00EB5FE4"/>
    <w:rPr>
      <w:rFonts w:eastAsiaTheme="minorEastAsia"/>
      <w:color w:val="000000"/>
      <w:lang w:eastAsia="zh-CN"/>
    </w:rPr>
  </w:style>
  <w:style w:type="numbering" w:customStyle="1" w:styleId="ShortOutlineList">
    <w:name w:val="ShortOutlineList"/>
    <w:basedOn w:val="NoList"/>
    <w:rsid w:val="009376CC"/>
    <w:pPr>
      <w:numPr>
        <w:numId w:val="20"/>
      </w:numPr>
    </w:pPr>
  </w:style>
  <w:style w:type="character" w:customStyle="1" w:styleId="Heading5Char">
    <w:name w:val="Heading 5 Char"/>
    <w:basedOn w:val="DefaultParagraphFont"/>
    <w:link w:val="Heading5"/>
    <w:uiPriority w:val="9"/>
    <w:semiHidden/>
    <w:rsid w:val="00AA13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13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13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13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13FC"/>
    <w:rPr>
      <w:rFonts w:eastAsiaTheme="majorEastAsia" w:cstheme="majorBidi"/>
      <w:color w:val="272727" w:themeColor="text1" w:themeTint="D8"/>
    </w:rPr>
  </w:style>
  <w:style w:type="character" w:styleId="CommentReference">
    <w:name w:val="annotation reference"/>
    <w:basedOn w:val="DefaultParagraphFont"/>
    <w:uiPriority w:val="99"/>
    <w:semiHidden/>
    <w:unhideWhenUsed/>
    <w:rsid w:val="00AA13FC"/>
    <w:rPr>
      <w:sz w:val="16"/>
      <w:szCs w:val="16"/>
    </w:rPr>
  </w:style>
  <w:style w:type="paragraph" w:styleId="CommentText">
    <w:name w:val="annotation text"/>
    <w:basedOn w:val="Normal"/>
    <w:link w:val="CommentTextChar"/>
    <w:uiPriority w:val="99"/>
    <w:unhideWhenUsed/>
    <w:rsid w:val="00AA13FC"/>
    <w:rPr>
      <w:rFonts w:ascii="Times New Roman" w:eastAsia="SimSun" w:hAnsi="Times New Roman" w:cs="Times New Roman"/>
      <w:sz w:val="20"/>
      <w:szCs w:val="20"/>
      <w:lang w:bidi="he-IL"/>
    </w:rPr>
  </w:style>
  <w:style w:type="character" w:customStyle="1" w:styleId="CommentTextChar">
    <w:name w:val="Comment Text Char"/>
    <w:basedOn w:val="DefaultParagraphFont"/>
    <w:link w:val="CommentText"/>
    <w:uiPriority w:val="99"/>
    <w:rsid w:val="00AA13FC"/>
    <w:rPr>
      <w:rFonts w:ascii="Times New Roman" w:eastAsia="SimSun" w:hAnsi="Times New Roman" w:cs="Times New Roman"/>
      <w:sz w:val="20"/>
      <w:szCs w:val="20"/>
      <w:lang w:eastAsia="zh-CN" w:bidi="he-IL"/>
    </w:rPr>
  </w:style>
  <w:style w:type="paragraph" w:customStyle="1" w:styleId="Block">
    <w:name w:val="Block"/>
    <w:basedOn w:val="Normal"/>
    <w:rsid w:val="00AA13FC"/>
    <w:pPr>
      <w:ind w:firstLine="720"/>
    </w:pPr>
    <w:rPr>
      <w:rFonts w:ascii="Times New Roman" w:eastAsia="Times New Roman" w:hAnsi="Times New Roman" w:cs="Times New Roman"/>
    </w:rPr>
  </w:style>
  <w:style w:type="character" w:styleId="Hyperlink">
    <w:name w:val="Hyperlink"/>
    <w:basedOn w:val="DefaultParagraphFont"/>
    <w:uiPriority w:val="99"/>
    <w:unhideWhenUsed/>
    <w:rsid w:val="00AA13FC"/>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BE3AF3"/>
    <w:rPr>
      <w:rFonts w:asciiTheme="minorHAnsi" w:eastAsiaTheme="minorEastAsia" w:hAnsiTheme="minorHAnsi" w:cstheme="minorBidi"/>
      <w:b/>
      <w:bCs/>
      <w:lang w:bidi="ar-SA"/>
    </w:rPr>
  </w:style>
  <w:style w:type="character" w:customStyle="1" w:styleId="CommentSubjectChar">
    <w:name w:val="Comment Subject Char"/>
    <w:basedOn w:val="CommentTextChar"/>
    <w:link w:val="CommentSubject"/>
    <w:uiPriority w:val="99"/>
    <w:semiHidden/>
    <w:rsid w:val="00BE3AF3"/>
    <w:rPr>
      <w:rFonts w:ascii="Times New Roman" w:eastAsiaTheme="minorEastAsia" w:hAnsi="Times New Roman" w:cs="Times New Roman"/>
      <w:b/>
      <w:bCs/>
      <w:sz w:val="20"/>
      <w:szCs w:val="20"/>
      <w:lang w:eastAsia="zh-CN" w:bidi="he-IL"/>
    </w:rPr>
  </w:style>
  <w:style w:type="character" w:styleId="UnresolvedMention">
    <w:name w:val="Unresolved Mention"/>
    <w:basedOn w:val="DefaultParagraphFont"/>
    <w:uiPriority w:val="99"/>
    <w:semiHidden/>
    <w:unhideWhenUsed/>
    <w:rsid w:val="00C04FB9"/>
    <w:rPr>
      <w:color w:val="605E5C"/>
      <w:shd w:val="clear" w:color="auto" w:fill="E1DFDD"/>
    </w:rPr>
  </w:style>
  <w:style w:type="paragraph" w:styleId="Revision">
    <w:name w:val="Revision"/>
    <w:hidden/>
    <w:uiPriority w:val="99"/>
    <w:semiHidden/>
    <w:rsid w:val="009A5B26"/>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144492">
      <w:bodyDiv w:val="1"/>
      <w:marLeft w:val="0"/>
      <w:marRight w:val="0"/>
      <w:marTop w:val="0"/>
      <w:marBottom w:val="0"/>
      <w:divBdr>
        <w:top w:val="none" w:sz="0" w:space="0" w:color="auto"/>
        <w:left w:val="none" w:sz="0" w:space="0" w:color="auto"/>
        <w:bottom w:val="none" w:sz="0" w:space="0" w:color="auto"/>
        <w:right w:val="none" w:sz="0" w:space="0" w:color="auto"/>
      </w:divBdr>
    </w:div>
    <w:div w:id="436364473">
      <w:bodyDiv w:val="1"/>
      <w:marLeft w:val="0"/>
      <w:marRight w:val="0"/>
      <w:marTop w:val="0"/>
      <w:marBottom w:val="0"/>
      <w:divBdr>
        <w:top w:val="none" w:sz="0" w:space="0" w:color="auto"/>
        <w:left w:val="none" w:sz="0" w:space="0" w:color="auto"/>
        <w:bottom w:val="none" w:sz="0" w:space="0" w:color="auto"/>
        <w:right w:val="none" w:sz="0" w:space="0" w:color="auto"/>
      </w:divBdr>
    </w:div>
    <w:div w:id="513807882">
      <w:bodyDiv w:val="1"/>
      <w:marLeft w:val="0"/>
      <w:marRight w:val="0"/>
      <w:marTop w:val="0"/>
      <w:marBottom w:val="0"/>
      <w:divBdr>
        <w:top w:val="none" w:sz="0" w:space="0" w:color="auto"/>
        <w:left w:val="none" w:sz="0" w:space="0" w:color="auto"/>
        <w:bottom w:val="none" w:sz="0" w:space="0" w:color="auto"/>
        <w:right w:val="none" w:sz="0" w:space="0" w:color="auto"/>
      </w:divBdr>
    </w:div>
    <w:div w:id="544948468">
      <w:bodyDiv w:val="1"/>
      <w:marLeft w:val="0"/>
      <w:marRight w:val="0"/>
      <w:marTop w:val="0"/>
      <w:marBottom w:val="0"/>
      <w:divBdr>
        <w:top w:val="none" w:sz="0" w:space="0" w:color="auto"/>
        <w:left w:val="none" w:sz="0" w:space="0" w:color="auto"/>
        <w:bottom w:val="none" w:sz="0" w:space="0" w:color="auto"/>
        <w:right w:val="none" w:sz="0" w:space="0" w:color="auto"/>
      </w:divBdr>
    </w:div>
    <w:div w:id="561715579">
      <w:bodyDiv w:val="1"/>
      <w:marLeft w:val="0"/>
      <w:marRight w:val="0"/>
      <w:marTop w:val="0"/>
      <w:marBottom w:val="0"/>
      <w:divBdr>
        <w:top w:val="none" w:sz="0" w:space="0" w:color="auto"/>
        <w:left w:val="none" w:sz="0" w:space="0" w:color="auto"/>
        <w:bottom w:val="none" w:sz="0" w:space="0" w:color="auto"/>
        <w:right w:val="none" w:sz="0" w:space="0" w:color="auto"/>
      </w:divBdr>
    </w:div>
    <w:div w:id="772896218">
      <w:bodyDiv w:val="1"/>
      <w:marLeft w:val="0"/>
      <w:marRight w:val="0"/>
      <w:marTop w:val="0"/>
      <w:marBottom w:val="0"/>
      <w:divBdr>
        <w:top w:val="none" w:sz="0" w:space="0" w:color="auto"/>
        <w:left w:val="none" w:sz="0" w:space="0" w:color="auto"/>
        <w:bottom w:val="none" w:sz="0" w:space="0" w:color="auto"/>
        <w:right w:val="none" w:sz="0" w:space="0" w:color="auto"/>
      </w:divBdr>
    </w:div>
    <w:div w:id="1060785099">
      <w:bodyDiv w:val="1"/>
      <w:marLeft w:val="0"/>
      <w:marRight w:val="0"/>
      <w:marTop w:val="0"/>
      <w:marBottom w:val="0"/>
      <w:divBdr>
        <w:top w:val="none" w:sz="0" w:space="0" w:color="auto"/>
        <w:left w:val="none" w:sz="0" w:space="0" w:color="auto"/>
        <w:bottom w:val="none" w:sz="0" w:space="0" w:color="auto"/>
        <w:right w:val="none" w:sz="0" w:space="0" w:color="auto"/>
      </w:divBdr>
    </w:div>
    <w:div w:id="1255746435">
      <w:bodyDiv w:val="1"/>
      <w:marLeft w:val="0"/>
      <w:marRight w:val="0"/>
      <w:marTop w:val="0"/>
      <w:marBottom w:val="0"/>
      <w:divBdr>
        <w:top w:val="none" w:sz="0" w:space="0" w:color="auto"/>
        <w:left w:val="none" w:sz="0" w:space="0" w:color="auto"/>
        <w:bottom w:val="none" w:sz="0" w:space="0" w:color="auto"/>
        <w:right w:val="none" w:sz="0" w:space="0" w:color="auto"/>
      </w:divBdr>
    </w:div>
    <w:div w:id="1293705013">
      <w:bodyDiv w:val="1"/>
      <w:marLeft w:val="0"/>
      <w:marRight w:val="0"/>
      <w:marTop w:val="0"/>
      <w:marBottom w:val="0"/>
      <w:divBdr>
        <w:top w:val="none" w:sz="0" w:space="0" w:color="auto"/>
        <w:left w:val="none" w:sz="0" w:space="0" w:color="auto"/>
        <w:bottom w:val="none" w:sz="0" w:space="0" w:color="auto"/>
        <w:right w:val="none" w:sz="0" w:space="0" w:color="auto"/>
      </w:divBdr>
    </w:div>
    <w:div w:id="1419643215">
      <w:bodyDiv w:val="1"/>
      <w:marLeft w:val="0"/>
      <w:marRight w:val="0"/>
      <w:marTop w:val="0"/>
      <w:marBottom w:val="0"/>
      <w:divBdr>
        <w:top w:val="none" w:sz="0" w:space="0" w:color="auto"/>
        <w:left w:val="none" w:sz="0" w:space="0" w:color="auto"/>
        <w:bottom w:val="none" w:sz="0" w:space="0" w:color="auto"/>
        <w:right w:val="none" w:sz="0" w:space="0" w:color="auto"/>
      </w:divBdr>
    </w:div>
    <w:div w:id="1579824948">
      <w:bodyDiv w:val="1"/>
      <w:marLeft w:val="0"/>
      <w:marRight w:val="0"/>
      <w:marTop w:val="0"/>
      <w:marBottom w:val="0"/>
      <w:divBdr>
        <w:top w:val="none" w:sz="0" w:space="0" w:color="auto"/>
        <w:left w:val="none" w:sz="0" w:space="0" w:color="auto"/>
        <w:bottom w:val="none" w:sz="0" w:space="0" w:color="auto"/>
        <w:right w:val="none" w:sz="0" w:space="0" w:color="auto"/>
      </w:divBdr>
    </w:div>
    <w:div w:id="168362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faulk@uschamber.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file.fara.gov/docs/7480-Exhibit-AB-20241021-4.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file.fara.gov/docs/7480-Registration-Statement-20241021-1.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news.bloomberglaw.com/business-and-practice/clients-cry-foul-over-litigious-litigation-finance-compan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Skadden Times NR  (defaul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296fe03-dafd-43ac-a961-44f1a1555b4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465B0FBF6C8E438B7EDCB00FDFA353" ma:contentTypeVersion="16" ma:contentTypeDescription="Create a new document." ma:contentTypeScope="" ma:versionID="450e43d37ad2f45509aaa53d9a335ef5">
  <xsd:schema xmlns:xsd="http://www.w3.org/2001/XMLSchema" xmlns:xs="http://www.w3.org/2001/XMLSchema" xmlns:p="http://schemas.microsoft.com/office/2006/metadata/properties" xmlns:ns3="c296fe03-dafd-43ac-a961-44f1a1555b48" xmlns:ns4="b5b2a9d6-bcec-4e73-bdf4-0c047c48d8ef" targetNamespace="http://schemas.microsoft.com/office/2006/metadata/properties" ma:root="true" ma:fieldsID="79413e2aa9be6e15c756c734708635ec" ns3:_="" ns4:_="">
    <xsd:import namespace="c296fe03-dafd-43ac-a961-44f1a1555b48"/>
    <xsd:import namespace="b5b2a9d6-bcec-4e73-bdf4-0c047c48d8ef"/>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96fe03-dafd-43ac-a961-44f1a1555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b2a9d6-bcec-4e73-bdf4-0c047c48d8e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B3723-A277-46D2-84C2-F0541B93B603}">
  <ds:schemaRefs>
    <ds:schemaRef ds:uri="http://schemas.microsoft.com/office/2006/metadata/properties"/>
    <ds:schemaRef ds:uri="http://schemas.microsoft.com/office/infopath/2007/PartnerControls"/>
    <ds:schemaRef ds:uri="c296fe03-dafd-43ac-a961-44f1a1555b48"/>
  </ds:schemaRefs>
</ds:datastoreItem>
</file>

<file path=customXml/itemProps2.xml><?xml version="1.0" encoding="utf-8"?>
<ds:datastoreItem xmlns:ds="http://schemas.openxmlformats.org/officeDocument/2006/customXml" ds:itemID="{7D78EE18-8F2E-4F63-85BA-9B1C4D84B7A6}">
  <ds:schemaRefs>
    <ds:schemaRef ds:uri="http://schemas.microsoft.com/sharepoint/v3/contenttype/forms"/>
  </ds:schemaRefs>
</ds:datastoreItem>
</file>

<file path=customXml/itemProps3.xml><?xml version="1.0" encoding="utf-8"?>
<ds:datastoreItem xmlns:ds="http://schemas.openxmlformats.org/officeDocument/2006/customXml" ds:itemID="{782907E1-C875-46D0-9B7F-109B2EDE7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96fe03-dafd-43ac-a961-44f1a1555b48"/>
    <ds:schemaRef ds:uri="b5b2a9d6-bcec-4e73-bdf4-0c047c48d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FF15C1-6A58-4540-83E1-39084275A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7289</Words>
  <Characters>41548</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Skadden, Arps</Company>
  <LinksUpToDate>false</LinksUpToDate>
  <CharactersWithSpaces>48740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Faulk, Page</dc:creator>
  <cp:keywords/>
  <dc:description/>
  <cp:lastModifiedBy>Faulk, Page</cp:lastModifiedBy>
  <cp:revision>2</cp:revision>
  <cp:lastPrinted>2025-05-01T21:11:00Z</cp:lastPrinted>
  <dcterms:created xsi:type="dcterms:W3CDTF">2025-05-01T21:14:00Z</dcterms:created>
  <dcterms:modified xsi:type="dcterms:W3CDTF">2025-05-01T21:14:00Z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032090</vt:lpwstr>
  </property>
  <property fmtid="{D5CDD505-2E9C-101B-9397-08002B2CF9AE}" pid="3" name="Matter">
    <vt:lpwstr>0019</vt:lpwstr>
  </property>
  <property fmtid="{D5CDD505-2E9C-101B-9397-08002B2CF9AE}" pid="4" name="ContentTypeId">
    <vt:lpwstr>0x01010091465B0FBF6C8E438B7EDCB00FDFA353</vt:lpwstr>
  </property>
  <property fmtid="{D5CDD505-2E9C-101B-9397-08002B2CF9AE}" pid="5" name="GrammarlyDocumentId">
    <vt:lpwstr>d81740a4-df51-4c6d-a1fc-2b901bb9243e</vt:lpwstr>
  </property>
</Properties>
</file>