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36" w:type="dxa"/>
        <w:tblLayout w:type="fixed"/>
        <w:tblLook w:val="0000" w:firstRow="0" w:lastRow="0" w:firstColumn="0" w:lastColumn="0" w:noHBand="0" w:noVBand="0"/>
      </w:tblPr>
      <w:tblGrid>
        <w:gridCol w:w="4836"/>
        <w:gridCol w:w="4200"/>
      </w:tblGrid>
      <w:tr w:rsidR="00357F4D" w:rsidRPr="004B64A7" w14:paraId="2DD96AE8" w14:textId="77777777" w:rsidTr="006F63FD">
        <w:trPr>
          <w:cantSplit/>
          <w:trHeight w:val="1987"/>
        </w:trPr>
        <w:tc>
          <w:tcPr>
            <w:tcW w:w="4836" w:type="dxa"/>
          </w:tcPr>
          <w:p w14:paraId="3B92AF78" w14:textId="7CA6F3B4" w:rsidR="00000C35" w:rsidRPr="004B64A7" w:rsidRDefault="00F850BE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bookmarkStart w:id="0" w:name="_zzmpFIXED_CounselTable"/>
            <w:r w:rsidRPr="004B64A7">
              <w:rPr>
                <w:sz w:val="28"/>
                <w:szCs w:val="28"/>
              </w:rPr>
              <w:t>Lisa M. Panahi</w:t>
            </w:r>
            <w:r w:rsidR="00732169" w:rsidRPr="004B64A7">
              <w:rPr>
                <w:sz w:val="28"/>
                <w:szCs w:val="28"/>
              </w:rPr>
              <w:br/>
            </w:r>
            <w:r w:rsidR="00583916" w:rsidRPr="004B64A7">
              <w:rPr>
                <w:sz w:val="28"/>
                <w:szCs w:val="28"/>
              </w:rPr>
              <w:t>Bar No. 023421</w:t>
            </w:r>
          </w:p>
          <w:p w14:paraId="056261EB" w14:textId="77777777" w:rsidR="00494BDF" w:rsidRPr="004B64A7" w:rsidRDefault="00494BDF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4B64A7">
              <w:rPr>
                <w:sz w:val="28"/>
                <w:szCs w:val="28"/>
              </w:rPr>
              <w:t>State Bar of Arizona</w:t>
            </w:r>
          </w:p>
          <w:p w14:paraId="2A532740" w14:textId="77777777" w:rsidR="00357F4D" w:rsidRPr="004B64A7" w:rsidRDefault="00357F4D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4B64A7">
              <w:rPr>
                <w:sz w:val="28"/>
                <w:szCs w:val="28"/>
              </w:rPr>
              <w:t>4201 N. 24th Street, Suite 100</w:t>
            </w:r>
          </w:p>
          <w:p w14:paraId="5315828A" w14:textId="77777777" w:rsidR="00357F4D" w:rsidRPr="004B64A7" w:rsidRDefault="00357F4D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4B64A7">
              <w:rPr>
                <w:sz w:val="28"/>
                <w:szCs w:val="28"/>
              </w:rPr>
              <w:t>Phoenix, AZ  85016-6288</w:t>
            </w:r>
          </w:p>
          <w:p w14:paraId="667412DB" w14:textId="77777777" w:rsidR="006F63FD" w:rsidRPr="004B64A7" w:rsidRDefault="00352347" w:rsidP="00735659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4B64A7">
              <w:rPr>
                <w:sz w:val="28"/>
                <w:szCs w:val="28"/>
              </w:rPr>
              <w:t>(602) 340-7236</w:t>
            </w:r>
          </w:p>
          <w:p w14:paraId="58103BB6" w14:textId="77777777" w:rsidR="00583916" w:rsidRPr="004B64A7" w:rsidRDefault="00583916" w:rsidP="00735659">
            <w:pPr>
              <w:pStyle w:val="FirmInformation"/>
              <w:spacing w:line="240" w:lineRule="auto"/>
              <w:rPr>
                <w:sz w:val="28"/>
                <w:szCs w:val="28"/>
              </w:rPr>
            </w:pPr>
          </w:p>
          <w:p w14:paraId="7B3DBC20" w14:textId="77777777" w:rsidR="00583916" w:rsidRPr="004B64A7" w:rsidRDefault="00583916" w:rsidP="00735659">
            <w:pPr>
              <w:pStyle w:val="FirmInformation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200" w:type="dxa"/>
          </w:tcPr>
          <w:p w14:paraId="0A670938" w14:textId="77777777" w:rsidR="00357F4D" w:rsidRPr="004B64A7" w:rsidRDefault="00357F4D" w:rsidP="00000C35">
            <w:pPr>
              <w:ind w:left="113" w:right="113"/>
              <w:rPr>
                <w:sz w:val="28"/>
                <w:szCs w:val="28"/>
              </w:rPr>
            </w:pPr>
          </w:p>
        </w:tc>
      </w:tr>
      <w:bookmarkEnd w:id="0"/>
    </w:tbl>
    <w:p w14:paraId="71D0A5D6" w14:textId="77777777" w:rsidR="00583916" w:rsidRPr="004B64A7" w:rsidRDefault="00583916" w:rsidP="00583916">
      <w:pPr>
        <w:spacing w:line="240" w:lineRule="exact"/>
        <w:jc w:val="center"/>
        <w:rPr>
          <w:color w:val="FF0000"/>
          <w:sz w:val="28"/>
          <w:szCs w:val="28"/>
        </w:rPr>
      </w:pPr>
    </w:p>
    <w:p w14:paraId="25693B34" w14:textId="074798EC" w:rsidR="000C48A9" w:rsidRPr="004B64A7" w:rsidRDefault="00583916" w:rsidP="00583916">
      <w:pPr>
        <w:pStyle w:val="Court"/>
        <w:spacing w:line="240" w:lineRule="auto"/>
        <w:rPr>
          <w:b/>
          <w:sz w:val="28"/>
          <w:szCs w:val="28"/>
        </w:rPr>
      </w:pPr>
      <w:r w:rsidRPr="004B64A7">
        <w:rPr>
          <w:b/>
          <w:sz w:val="28"/>
          <w:szCs w:val="28"/>
        </w:rPr>
        <w:t>IN THE SUPREME COURT</w:t>
      </w:r>
      <w:r w:rsidRPr="004B64A7">
        <w:rPr>
          <w:b/>
          <w:sz w:val="28"/>
          <w:szCs w:val="28"/>
        </w:rPr>
        <w:br/>
        <w:t>STATE OF ARIZONA</w:t>
      </w:r>
    </w:p>
    <w:tbl>
      <w:tblPr>
        <w:tblW w:w="9204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524"/>
      </w:tblGrid>
      <w:tr w:rsidR="00357F4D" w:rsidRPr="004B64A7" w14:paraId="024B1021" w14:textId="77777777" w:rsidTr="004331B2">
        <w:tc>
          <w:tcPr>
            <w:tcW w:w="468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101D2" w14:textId="77777777" w:rsidR="00357F4D" w:rsidRPr="004B64A7" w:rsidRDefault="00357F4D" w:rsidP="00E321C5">
            <w:pPr>
              <w:pStyle w:val="Caption"/>
              <w:spacing w:before="240" w:line="260" w:lineRule="exact"/>
              <w:rPr>
                <w:sz w:val="28"/>
                <w:szCs w:val="28"/>
              </w:rPr>
            </w:pPr>
            <w:bookmarkStart w:id="1" w:name="_zzmpFIXED_CaptionTable"/>
            <w:r w:rsidRPr="004B64A7">
              <w:rPr>
                <w:sz w:val="28"/>
                <w:szCs w:val="28"/>
              </w:rPr>
              <w:t>In the Matter of:</w:t>
            </w:r>
          </w:p>
          <w:p w14:paraId="03963DD5" w14:textId="470E26E6" w:rsidR="00357F4D" w:rsidRPr="004B64A7" w:rsidRDefault="00E67511" w:rsidP="0095731B">
            <w:pPr>
              <w:pStyle w:val="Caption"/>
              <w:spacing w:before="240" w:line="240" w:lineRule="auto"/>
              <w:rPr>
                <w:b/>
                <w:bCs w:val="0"/>
                <w:sz w:val="28"/>
                <w:szCs w:val="28"/>
              </w:rPr>
            </w:pPr>
            <w:r w:rsidRPr="004B64A7">
              <w:rPr>
                <w:b/>
                <w:bCs w:val="0"/>
                <w:sz w:val="28"/>
                <w:szCs w:val="28"/>
              </w:rPr>
              <w:t xml:space="preserve">PETITION TO </w:t>
            </w:r>
            <w:r w:rsidR="00186136" w:rsidRPr="004B64A7">
              <w:rPr>
                <w:b/>
                <w:bCs w:val="0"/>
                <w:sz w:val="28"/>
                <w:szCs w:val="28"/>
              </w:rPr>
              <w:t xml:space="preserve">AMEND </w:t>
            </w:r>
            <w:r w:rsidR="00583916" w:rsidRPr="004B64A7">
              <w:rPr>
                <w:b/>
                <w:bCs w:val="0"/>
                <w:sz w:val="28"/>
                <w:szCs w:val="28"/>
              </w:rPr>
              <w:t xml:space="preserve">RULE 31.20 OF THE ARIZONA RULES OF CRIMINAL PROCEDURE </w:t>
            </w:r>
            <w:r w:rsidR="00D04C2B" w:rsidRPr="004B64A7">
              <w:rPr>
                <w:b/>
                <w:bCs w:val="0"/>
                <w:sz w:val="28"/>
                <w:szCs w:val="28"/>
              </w:rPr>
              <w:t xml:space="preserve">AND </w:t>
            </w:r>
            <w:r w:rsidR="00583916" w:rsidRPr="004B64A7">
              <w:rPr>
                <w:b/>
                <w:bCs w:val="0"/>
                <w:sz w:val="28"/>
                <w:szCs w:val="28"/>
              </w:rPr>
              <w:t>RULE 22 OF THE ARIZONA RULES OF CIVIL APPELLATE PROCEDURE</w:t>
            </w:r>
            <w:r w:rsidR="00D04C2B" w:rsidRPr="004B64A7">
              <w:rPr>
                <w:b/>
                <w:bCs w:val="0"/>
                <w:sz w:val="28"/>
                <w:szCs w:val="28"/>
              </w:rPr>
              <w:t xml:space="preserve"> </w:t>
            </w:r>
            <w:r w:rsidR="00186136" w:rsidRPr="004B64A7">
              <w:rPr>
                <w:b/>
                <w:bCs w:val="0"/>
                <w:sz w:val="28"/>
                <w:szCs w:val="28"/>
              </w:rPr>
              <w:br/>
            </w:r>
          </w:p>
        </w:tc>
        <w:tc>
          <w:tcPr>
            <w:tcW w:w="4524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35CED5CB" w14:textId="5298DC28" w:rsidR="00357F4D" w:rsidRPr="004B64A7" w:rsidRDefault="00357F4D" w:rsidP="00E321C5">
            <w:pPr>
              <w:pStyle w:val="Caption"/>
              <w:tabs>
                <w:tab w:val="left" w:pos="1238"/>
              </w:tabs>
              <w:spacing w:before="240" w:after="240"/>
              <w:ind w:left="259" w:right="115"/>
              <w:rPr>
                <w:sz w:val="28"/>
                <w:szCs w:val="28"/>
              </w:rPr>
            </w:pPr>
            <w:r w:rsidRPr="004B64A7">
              <w:rPr>
                <w:sz w:val="28"/>
                <w:szCs w:val="28"/>
              </w:rPr>
              <w:t>Supreme Court No. R-</w:t>
            </w:r>
            <w:r w:rsidR="008A4EB3" w:rsidRPr="004B64A7">
              <w:rPr>
                <w:sz w:val="28"/>
                <w:szCs w:val="28"/>
              </w:rPr>
              <w:t>2</w:t>
            </w:r>
            <w:r w:rsidR="00A97EDB" w:rsidRPr="004B64A7">
              <w:rPr>
                <w:sz w:val="28"/>
                <w:szCs w:val="28"/>
              </w:rPr>
              <w:t>5</w:t>
            </w:r>
            <w:r w:rsidR="00F850BE" w:rsidRPr="004B64A7">
              <w:rPr>
                <w:sz w:val="28"/>
                <w:szCs w:val="28"/>
              </w:rPr>
              <w:t>-</w:t>
            </w:r>
            <w:r w:rsidR="00186136" w:rsidRPr="004B64A7">
              <w:rPr>
                <w:sz w:val="28"/>
                <w:szCs w:val="28"/>
              </w:rPr>
              <w:t>00</w:t>
            </w:r>
            <w:r w:rsidR="00A97EDB" w:rsidRPr="004B64A7">
              <w:rPr>
                <w:sz w:val="28"/>
                <w:szCs w:val="28"/>
              </w:rPr>
              <w:t>12</w:t>
            </w:r>
          </w:p>
          <w:p w14:paraId="5AEC962D" w14:textId="07CAE560" w:rsidR="00357F4D" w:rsidRPr="004B64A7" w:rsidRDefault="00065747" w:rsidP="00042156">
            <w:pPr>
              <w:pStyle w:val="Caption"/>
              <w:tabs>
                <w:tab w:val="left" w:pos="1238"/>
              </w:tabs>
              <w:spacing w:line="260" w:lineRule="exact"/>
              <w:ind w:right="115"/>
              <w:jc w:val="center"/>
              <w:rPr>
                <w:b/>
                <w:sz w:val="28"/>
                <w:szCs w:val="28"/>
              </w:rPr>
            </w:pPr>
            <w:r w:rsidRPr="004B64A7">
              <w:rPr>
                <w:b/>
                <w:sz w:val="28"/>
                <w:szCs w:val="28"/>
              </w:rPr>
              <w:t>STATE BAR OF ARIZONA COMMENT</w:t>
            </w:r>
          </w:p>
          <w:p w14:paraId="414A167D" w14:textId="77777777" w:rsidR="00357F4D" w:rsidRPr="004B64A7" w:rsidRDefault="00357F4D" w:rsidP="00E321C5">
            <w:pPr>
              <w:pStyle w:val="DocumentTitle"/>
              <w:rPr>
                <w:sz w:val="28"/>
                <w:szCs w:val="28"/>
              </w:rPr>
            </w:pPr>
          </w:p>
          <w:p w14:paraId="524D8097" w14:textId="77777777" w:rsidR="00357F4D" w:rsidRPr="004B64A7" w:rsidRDefault="00357F4D" w:rsidP="00E321C5">
            <w:pPr>
              <w:pStyle w:val="Caption"/>
              <w:ind w:left="1512" w:right="115" w:hanging="1253"/>
              <w:rPr>
                <w:sz w:val="28"/>
                <w:szCs w:val="28"/>
              </w:rPr>
            </w:pPr>
          </w:p>
        </w:tc>
      </w:tr>
      <w:bookmarkEnd w:id="1"/>
    </w:tbl>
    <w:p w14:paraId="168F18B6" w14:textId="77777777" w:rsidR="00065747" w:rsidRPr="004B64A7" w:rsidRDefault="00065747" w:rsidP="00065747">
      <w:pPr>
        <w:pStyle w:val="Body"/>
        <w:widowControl w:val="0"/>
        <w:spacing w:before="60" w:line="480" w:lineRule="auto"/>
        <w:ind w:firstLine="0"/>
        <w:jc w:val="both"/>
        <w:rPr>
          <w:sz w:val="28"/>
          <w:szCs w:val="28"/>
        </w:rPr>
      </w:pPr>
    </w:p>
    <w:p w14:paraId="066FD7B9" w14:textId="0CF46338" w:rsidR="00186136" w:rsidRPr="004B64A7" w:rsidRDefault="0008003D" w:rsidP="00065747">
      <w:pPr>
        <w:pStyle w:val="Body"/>
        <w:widowControl w:val="0"/>
        <w:spacing w:before="60" w:line="480" w:lineRule="auto"/>
        <w:ind w:firstLine="720"/>
        <w:jc w:val="both"/>
        <w:rPr>
          <w:sz w:val="28"/>
          <w:szCs w:val="28"/>
        </w:rPr>
      </w:pPr>
      <w:r w:rsidRPr="004B64A7">
        <w:rPr>
          <w:sz w:val="28"/>
          <w:szCs w:val="28"/>
        </w:rPr>
        <w:t xml:space="preserve">Pursuant to </w:t>
      </w:r>
      <w:r w:rsidR="007451B6" w:rsidRPr="004B64A7">
        <w:rPr>
          <w:sz w:val="28"/>
          <w:szCs w:val="28"/>
        </w:rPr>
        <w:t xml:space="preserve">Supreme Court </w:t>
      </w:r>
      <w:r w:rsidRPr="004B64A7">
        <w:rPr>
          <w:sz w:val="28"/>
          <w:szCs w:val="28"/>
        </w:rPr>
        <w:t>Rule 28(</w:t>
      </w:r>
      <w:r w:rsidR="00A4249C" w:rsidRPr="004B64A7">
        <w:rPr>
          <w:sz w:val="28"/>
          <w:szCs w:val="28"/>
        </w:rPr>
        <w:t>e</w:t>
      </w:r>
      <w:r w:rsidRPr="004B64A7">
        <w:rPr>
          <w:sz w:val="28"/>
          <w:szCs w:val="28"/>
        </w:rPr>
        <w:t xml:space="preserve">), the State Bar of Arizona </w:t>
      </w:r>
      <w:r w:rsidR="00A4249C" w:rsidRPr="004B64A7">
        <w:rPr>
          <w:sz w:val="28"/>
          <w:szCs w:val="28"/>
        </w:rPr>
        <w:t>submits th</w:t>
      </w:r>
      <w:r w:rsidR="0095731B" w:rsidRPr="004B64A7">
        <w:rPr>
          <w:sz w:val="28"/>
          <w:szCs w:val="28"/>
        </w:rPr>
        <w:t xml:space="preserve">is </w:t>
      </w:r>
      <w:r w:rsidR="00A4249C" w:rsidRPr="004B64A7">
        <w:rPr>
          <w:sz w:val="28"/>
          <w:szCs w:val="28"/>
        </w:rPr>
        <w:t xml:space="preserve">comment </w:t>
      </w:r>
      <w:r w:rsidR="005E0586" w:rsidRPr="004B64A7">
        <w:rPr>
          <w:sz w:val="28"/>
          <w:szCs w:val="28"/>
        </w:rPr>
        <w:t>in</w:t>
      </w:r>
      <w:r w:rsidR="0093468B" w:rsidRPr="004B64A7">
        <w:rPr>
          <w:sz w:val="28"/>
          <w:szCs w:val="28"/>
        </w:rPr>
        <w:t xml:space="preserve"> opposition to the </w:t>
      </w:r>
      <w:r w:rsidR="00E34535" w:rsidRPr="004B64A7">
        <w:rPr>
          <w:sz w:val="28"/>
          <w:szCs w:val="28"/>
        </w:rPr>
        <w:t>P</w:t>
      </w:r>
      <w:r w:rsidR="0093468B" w:rsidRPr="004B64A7">
        <w:rPr>
          <w:sz w:val="28"/>
          <w:szCs w:val="28"/>
        </w:rPr>
        <w:t xml:space="preserve">etition </w:t>
      </w:r>
      <w:r w:rsidR="00457A62" w:rsidRPr="004B64A7">
        <w:rPr>
          <w:sz w:val="28"/>
          <w:szCs w:val="28"/>
        </w:rPr>
        <w:t>R-25-</w:t>
      </w:r>
      <w:r w:rsidR="00065747" w:rsidRPr="004B64A7">
        <w:rPr>
          <w:sz w:val="28"/>
          <w:szCs w:val="28"/>
        </w:rPr>
        <w:t>0012 to</w:t>
      </w:r>
      <w:r w:rsidR="0093468B" w:rsidRPr="004B64A7">
        <w:rPr>
          <w:sz w:val="28"/>
          <w:szCs w:val="28"/>
        </w:rPr>
        <w:t xml:space="preserve"> amend </w:t>
      </w:r>
      <w:r w:rsidR="00381272" w:rsidRPr="004B64A7">
        <w:rPr>
          <w:sz w:val="28"/>
          <w:szCs w:val="28"/>
        </w:rPr>
        <w:t>Arizona Rule of Civil Appellate Procedure</w:t>
      </w:r>
      <w:r w:rsidR="00162D42" w:rsidRPr="004B64A7">
        <w:rPr>
          <w:sz w:val="28"/>
          <w:szCs w:val="28"/>
        </w:rPr>
        <w:t xml:space="preserve"> (ARCAP)</w:t>
      </w:r>
      <w:r w:rsidR="00381272" w:rsidRPr="004B64A7">
        <w:rPr>
          <w:sz w:val="28"/>
          <w:szCs w:val="28"/>
        </w:rPr>
        <w:t xml:space="preserve"> 22</w:t>
      </w:r>
      <w:r w:rsidR="00B04149" w:rsidRPr="004B64A7">
        <w:rPr>
          <w:sz w:val="28"/>
          <w:szCs w:val="28"/>
        </w:rPr>
        <w:t xml:space="preserve"> and Criminal Rule 31.20</w:t>
      </w:r>
      <w:r w:rsidR="00D05269" w:rsidRPr="004B64A7">
        <w:rPr>
          <w:sz w:val="28"/>
          <w:szCs w:val="28"/>
        </w:rPr>
        <w:t xml:space="preserve"> </w:t>
      </w:r>
      <w:r w:rsidR="0093468B" w:rsidRPr="004B64A7">
        <w:rPr>
          <w:sz w:val="28"/>
          <w:szCs w:val="28"/>
        </w:rPr>
        <w:t xml:space="preserve">to </w:t>
      </w:r>
      <w:r w:rsidR="00C35354" w:rsidRPr="004B64A7">
        <w:rPr>
          <w:sz w:val="28"/>
          <w:szCs w:val="28"/>
        </w:rPr>
        <w:t>add</w:t>
      </w:r>
      <w:r w:rsidR="00381272" w:rsidRPr="004B64A7">
        <w:rPr>
          <w:sz w:val="28"/>
          <w:szCs w:val="28"/>
        </w:rPr>
        <w:t xml:space="preserve"> a procedure </w:t>
      </w:r>
      <w:r w:rsidR="0070008D" w:rsidRPr="004B64A7">
        <w:rPr>
          <w:sz w:val="28"/>
          <w:szCs w:val="28"/>
        </w:rPr>
        <w:t xml:space="preserve">for </w:t>
      </w:r>
      <w:proofErr w:type="spellStart"/>
      <w:r w:rsidR="0070008D" w:rsidRPr="004B64A7">
        <w:rPr>
          <w:i/>
          <w:iCs/>
          <w:sz w:val="28"/>
          <w:szCs w:val="28"/>
        </w:rPr>
        <w:t>en</w:t>
      </w:r>
      <w:proofErr w:type="spellEnd"/>
      <w:r w:rsidR="0070008D" w:rsidRPr="004B64A7">
        <w:rPr>
          <w:i/>
          <w:iCs/>
          <w:sz w:val="28"/>
          <w:szCs w:val="28"/>
        </w:rPr>
        <w:t xml:space="preserve"> banc</w:t>
      </w:r>
      <w:r w:rsidR="0070008D" w:rsidRPr="004B64A7">
        <w:rPr>
          <w:sz w:val="28"/>
          <w:szCs w:val="28"/>
        </w:rPr>
        <w:t xml:space="preserve"> review in the Arizona Court of Appeals. </w:t>
      </w:r>
      <w:r w:rsidR="00CA36FD" w:rsidRPr="004B64A7">
        <w:rPr>
          <w:sz w:val="28"/>
          <w:szCs w:val="28"/>
        </w:rPr>
        <w:t xml:space="preserve"> </w:t>
      </w:r>
      <w:r w:rsidR="00C43184" w:rsidRPr="004B64A7">
        <w:rPr>
          <w:sz w:val="28"/>
          <w:szCs w:val="28"/>
        </w:rPr>
        <w:t xml:space="preserve"> As explained in more detail below, the State Bar believes that</w:t>
      </w:r>
      <w:r w:rsidR="00A3403C" w:rsidRPr="004B64A7">
        <w:rPr>
          <w:sz w:val="28"/>
          <w:szCs w:val="28"/>
        </w:rPr>
        <w:t xml:space="preserve"> the current procedure for </w:t>
      </w:r>
      <w:r w:rsidR="00FD531C" w:rsidRPr="004B64A7">
        <w:rPr>
          <w:sz w:val="28"/>
          <w:szCs w:val="28"/>
        </w:rPr>
        <w:t xml:space="preserve">dealing with conflicting </w:t>
      </w:r>
      <w:r w:rsidR="00C51BF3" w:rsidRPr="004B64A7">
        <w:rPr>
          <w:sz w:val="28"/>
          <w:szCs w:val="28"/>
        </w:rPr>
        <w:t xml:space="preserve">Court of Appeals </w:t>
      </w:r>
      <w:r w:rsidR="00FD531C" w:rsidRPr="004B64A7">
        <w:rPr>
          <w:sz w:val="28"/>
          <w:szCs w:val="28"/>
        </w:rPr>
        <w:t>decisions</w:t>
      </w:r>
      <w:r w:rsidR="00C51BF3" w:rsidRPr="004B64A7">
        <w:rPr>
          <w:sz w:val="28"/>
          <w:szCs w:val="28"/>
        </w:rPr>
        <w:t xml:space="preserve"> </w:t>
      </w:r>
      <w:r w:rsidR="00FD531C" w:rsidRPr="004B64A7">
        <w:rPr>
          <w:sz w:val="28"/>
          <w:szCs w:val="28"/>
        </w:rPr>
        <w:t>is sufficient</w:t>
      </w:r>
      <w:r w:rsidR="00DA3AB5" w:rsidRPr="004B64A7">
        <w:rPr>
          <w:sz w:val="28"/>
          <w:szCs w:val="28"/>
        </w:rPr>
        <w:t xml:space="preserve"> and the proposed amendment is not needed</w:t>
      </w:r>
      <w:r w:rsidR="00FD531C" w:rsidRPr="004B64A7">
        <w:rPr>
          <w:sz w:val="28"/>
          <w:szCs w:val="28"/>
        </w:rPr>
        <w:t>.</w:t>
      </w:r>
    </w:p>
    <w:p w14:paraId="6D02F4E9" w14:textId="77777777" w:rsidR="00583916" w:rsidRPr="004B64A7" w:rsidRDefault="00583916" w:rsidP="00583916">
      <w:pPr>
        <w:pStyle w:val="Body"/>
        <w:widowControl w:val="0"/>
        <w:spacing w:before="60" w:line="480" w:lineRule="auto"/>
        <w:ind w:firstLine="720"/>
        <w:jc w:val="both"/>
        <w:rPr>
          <w:sz w:val="28"/>
          <w:szCs w:val="28"/>
        </w:rPr>
      </w:pPr>
    </w:p>
    <w:p w14:paraId="2F14D353" w14:textId="77777777" w:rsidR="00065747" w:rsidRPr="004B64A7" w:rsidRDefault="00065747" w:rsidP="00583916">
      <w:pPr>
        <w:pStyle w:val="Body"/>
        <w:widowControl w:val="0"/>
        <w:spacing w:before="60" w:line="480" w:lineRule="auto"/>
        <w:ind w:firstLine="720"/>
        <w:jc w:val="both"/>
        <w:rPr>
          <w:sz w:val="28"/>
          <w:szCs w:val="28"/>
        </w:rPr>
      </w:pPr>
    </w:p>
    <w:p w14:paraId="6266CC7F" w14:textId="31730301" w:rsidR="00C35354" w:rsidRPr="004B64A7" w:rsidRDefault="00C35354" w:rsidP="008B17A1">
      <w:pPr>
        <w:pStyle w:val="ListParagraph"/>
        <w:numPr>
          <w:ilvl w:val="0"/>
          <w:numId w:val="15"/>
        </w:numPr>
        <w:spacing w:after="0" w:line="480" w:lineRule="exact"/>
        <w:ind w:left="720"/>
        <w:contextualSpacing w:val="0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4B64A7"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 xml:space="preserve">The </w:t>
      </w:r>
      <w:r w:rsidR="00482B89" w:rsidRPr="004B64A7">
        <w:rPr>
          <w:rFonts w:ascii="Times New Roman" w:hAnsi="Times New Roman" w:cs="Times New Roman"/>
          <w:b/>
          <w:bCs/>
          <w:caps/>
          <w:sz w:val="28"/>
          <w:szCs w:val="28"/>
        </w:rPr>
        <w:t>PETITION</w:t>
      </w:r>
    </w:p>
    <w:p w14:paraId="55BC7E49" w14:textId="77777777" w:rsidR="00583916" w:rsidRPr="004B64A7" w:rsidRDefault="00583916" w:rsidP="00583916">
      <w:pPr>
        <w:pStyle w:val="ListParagraph"/>
        <w:spacing w:after="0" w:line="480" w:lineRule="exact"/>
        <w:contextualSpacing w:val="0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2919CE55" w14:textId="250CEE88" w:rsidR="00482B89" w:rsidRPr="004B64A7" w:rsidRDefault="003C2210" w:rsidP="00583916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</w:rPr>
      </w:pPr>
      <w:r w:rsidRPr="004B64A7">
        <w:rPr>
          <w:sz w:val="28"/>
          <w:szCs w:val="28"/>
        </w:rPr>
        <w:t xml:space="preserve">The Petition seeks to “provide a procedure for the Arizona Court of Appeals to conduct </w:t>
      </w:r>
      <w:proofErr w:type="spellStart"/>
      <w:r w:rsidRPr="004B64A7">
        <w:rPr>
          <w:sz w:val="28"/>
          <w:szCs w:val="28"/>
        </w:rPr>
        <w:t>en</w:t>
      </w:r>
      <w:proofErr w:type="spellEnd"/>
      <w:r w:rsidRPr="004B64A7">
        <w:rPr>
          <w:sz w:val="28"/>
          <w:szCs w:val="28"/>
        </w:rPr>
        <w:t xml:space="preserve"> banc reconsideration of appeals and other proceedings.”  (Pet. at 1.)  </w:t>
      </w:r>
      <w:r w:rsidR="00B36E62" w:rsidRPr="004B64A7">
        <w:rPr>
          <w:sz w:val="28"/>
          <w:szCs w:val="28"/>
        </w:rPr>
        <w:t xml:space="preserve">The proposed rule amendment would </w:t>
      </w:r>
      <w:r w:rsidR="00AA7CC2" w:rsidRPr="004B64A7">
        <w:rPr>
          <w:sz w:val="28"/>
          <w:szCs w:val="28"/>
        </w:rPr>
        <w:t xml:space="preserve">create the opportunity for </w:t>
      </w:r>
      <w:proofErr w:type="spellStart"/>
      <w:r w:rsidR="00AA7CC2" w:rsidRPr="004B64A7">
        <w:rPr>
          <w:i/>
          <w:iCs/>
          <w:sz w:val="28"/>
          <w:szCs w:val="28"/>
        </w:rPr>
        <w:t>en</w:t>
      </w:r>
      <w:proofErr w:type="spellEnd"/>
      <w:r w:rsidR="00AA7CC2" w:rsidRPr="004B64A7">
        <w:rPr>
          <w:i/>
          <w:iCs/>
          <w:sz w:val="28"/>
          <w:szCs w:val="28"/>
        </w:rPr>
        <w:t xml:space="preserve"> banc</w:t>
      </w:r>
      <w:r w:rsidR="00AA7CC2" w:rsidRPr="004B64A7">
        <w:rPr>
          <w:sz w:val="28"/>
          <w:szCs w:val="28"/>
        </w:rPr>
        <w:t xml:space="preserve"> review</w:t>
      </w:r>
      <w:r w:rsidR="00A57C82" w:rsidRPr="004B64A7">
        <w:rPr>
          <w:sz w:val="28"/>
          <w:szCs w:val="28"/>
        </w:rPr>
        <w:t xml:space="preserve"> by adding new </w:t>
      </w:r>
      <w:r w:rsidR="00C235DC" w:rsidRPr="004B64A7">
        <w:rPr>
          <w:sz w:val="28"/>
          <w:szCs w:val="28"/>
        </w:rPr>
        <w:t>s</w:t>
      </w:r>
      <w:r w:rsidR="00A57C82" w:rsidRPr="004B64A7">
        <w:rPr>
          <w:sz w:val="28"/>
          <w:szCs w:val="28"/>
        </w:rPr>
        <w:t>ubsection</w:t>
      </w:r>
      <w:r w:rsidR="00C235DC" w:rsidRPr="004B64A7">
        <w:rPr>
          <w:sz w:val="28"/>
          <w:szCs w:val="28"/>
        </w:rPr>
        <w:t>s</w:t>
      </w:r>
      <w:r w:rsidR="00F32814" w:rsidRPr="004B64A7">
        <w:rPr>
          <w:sz w:val="28"/>
          <w:szCs w:val="28"/>
        </w:rPr>
        <w:t xml:space="preserve"> and conforming changes</w:t>
      </w:r>
      <w:r w:rsidR="00A57C82" w:rsidRPr="004B64A7">
        <w:rPr>
          <w:sz w:val="28"/>
          <w:szCs w:val="28"/>
        </w:rPr>
        <w:t xml:space="preserve"> to ARCAP 22</w:t>
      </w:r>
      <w:r w:rsidR="00663A18" w:rsidRPr="004B64A7">
        <w:rPr>
          <w:sz w:val="28"/>
          <w:szCs w:val="28"/>
        </w:rPr>
        <w:t xml:space="preserve"> </w:t>
      </w:r>
      <w:r w:rsidR="00C235DC" w:rsidRPr="004B64A7">
        <w:rPr>
          <w:sz w:val="28"/>
          <w:szCs w:val="28"/>
        </w:rPr>
        <w:t>and Criminal Rule 31.20</w:t>
      </w:r>
      <w:r w:rsidR="00663A18" w:rsidRPr="004B64A7">
        <w:rPr>
          <w:sz w:val="28"/>
          <w:szCs w:val="28"/>
        </w:rPr>
        <w:t xml:space="preserve">.  The new </w:t>
      </w:r>
      <w:r w:rsidR="00F32814" w:rsidRPr="004B64A7">
        <w:rPr>
          <w:sz w:val="28"/>
          <w:szCs w:val="28"/>
        </w:rPr>
        <w:t>s</w:t>
      </w:r>
      <w:r w:rsidR="00663A18" w:rsidRPr="004B64A7">
        <w:rPr>
          <w:sz w:val="28"/>
          <w:szCs w:val="28"/>
        </w:rPr>
        <w:t>ubsection</w:t>
      </w:r>
      <w:r w:rsidR="00F32814" w:rsidRPr="004B64A7">
        <w:rPr>
          <w:sz w:val="28"/>
          <w:szCs w:val="28"/>
        </w:rPr>
        <w:t>s (which are substantively identical for the civil and criminal rule sets</w:t>
      </w:r>
      <w:r w:rsidR="00663A18" w:rsidRPr="004B64A7">
        <w:rPr>
          <w:sz w:val="28"/>
          <w:szCs w:val="28"/>
        </w:rPr>
        <w:t>) would provide</w:t>
      </w:r>
      <w:r w:rsidR="00A57C82" w:rsidRPr="004B64A7">
        <w:rPr>
          <w:sz w:val="28"/>
          <w:szCs w:val="28"/>
        </w:rPr>
        <w:t>:</w:t>
      </w:r>
    </w:p>
    <w:p w14:paraId="628D204D" w14:textId="7844F2D9" w:rsidR="002568CA" w:rsidRPr="004B64A7" w:rsidRDefault="00402861" w:rsidP="00583916">
      <w:pPr>
        <w:pStyle w:val="Body"/>
        <w:widowControl w:val="0"/>
        <w:spacing w:before="240" w:after="120" w:line="240" w:lineRule="auto"/>
        <w:ind w:left="720" w:right="720" w:firstLine="0"/>
        <w:jc w:val="both"/>
        <w:rPr>
          <w:sz w:val="28"/>
          <w:szCs w:val="28"/>
        </w:rPr>
      </w:pPr>
      <w:r w:rsidRPr="004B64A7">
        <w:rPr>
          <w:b/>
          <w:bCs/>
          <w:sz w:val="28"/>
          <w:szCs w:val="28"/>
        </w:rPr>
        <w:t xml:space="preserve">(a) When Reconsideration En Banc May Be Ordered: </w:t>
      </w:r>
      <w:r w:rsidRPr="004B64A7">
        <w:rPr>
          <w:sz w:val="28"/>
          <w:szCs w:val="28"/>
        </w:rPr>
        <w:t>An appeal or other</w:t>
      </w:r>
      <w:r w:rsidR="002568CA" w:rsidRPr="004B64A7">
        <w:rPr>
          <w:sz w:val="28"/>
          <w:szCs w:val="28"/>
        </w:rPr>
        <w:t xml:space="preserve"> </w:t>
      </w:r>
      <w:r w:rsidRPr="004B64A7">
        <w:rPr>
          <w:sz w:val="28"/>
          <w:szCs w:val="28"/>
        </w:rPr>
        <w:t xml:space="preserve">proceeding may be reconsidered by the Court of Appeals </w:t>
      </w:r>
      <w:proofErr w:type="spellStart"/>
      <w:r w:rsidRPr="004B64A7">
        <w:rPr>
          <w:sz w:val="28"/>
          <w:szCs w:val="28"/>
        </w:rPr>
        <w:t>en</w:t>
      </w:r>
      <w:proofErr w:type="spellEnd"/>
      <w:r w:rsidRPr="004B64A7">
        <w:rPr>
          <w:sz w:val="28"/>
          <w:szCs w:val="28"/>
        </w:rPr>
        <w:t xml:space="preserve"> banc if </w:t>
      </w:r>
      <w:proofErr w:type="gramStart"/>
      <w:r w:rsidRPr="004B64A7">
        <w:rPr>
          <w:sz w:val="28"/>
          <w:szCs w:val="28"/>
        </w:rPr>
        <w:t>a majority of</w:t>
      </w:r>
      <w:proofErr w:type="gramEnd"/>
      <w:r w:rsidR="002568CA" w:rsidRPr="004B64A7">
        <w:rPr>
          <w:sz w:val="28"/>
          <w:szCs w:val="28"/>
        </w:rPr>
        <w:t xml:space="preserve"> </w:t>
      </w:r>
      <w:r w:rsidRPr="004B64A7">
        <w:rPr>
          <w:sz w:val="28"/>
          <w:szCs w:val="28"/>
        </w:rPr>
        <w:t xml:space="preserve">judges within each division of the Court of Appeals vote to grant reconsideration </w:t>
      </w:r>
      <w:proofErr w:type="spellStart"/>
      <w:r w:rsidRPr="004B64A7">
        <w:rPr>
          <w:sz w:val="28"/>
          <w:szCs w:val="28"/>
        </w:rPr>
        <w:t>en</w:t>
      </w:r>
      <w:proofErr w:type="spellEnd"/>
      <w:r w:rsidR="002568CA" w:rsidRPr="004B64A7">
        <w:rPr>
          <w:sz w:val="28"/>
          <w:szCs w:val="28"/>
        </w:rPr>
        <w:t xml:space="preserve"> </w:t>
      </w:r>
      <w:r w:rsidRPr="004B64A7">
        <w:rPr>
          <w:sz w:val="28"/>
          <w:szCs w:val="28"/>
        </w:rPr>
        <w:t xml:space="preserve">banc. Unless one judge calls for a vote, a vote </w:t>
      </w:r>
      <w:proofErr w:type="gramStart"/>
      <w:r w:rsidRPr="004B64A7">
        <w:rPr>
          <w:sz w:val="28"/>
          <w:szCs w:val="28"/>
        </w:rPr>
        <w:t>need</w:t>
      </w:r>
      <w:proofErr w:type="gramEnd"/>
      <w:r w:rsidRPr="004B64A7">
        <w:rPr>
          <w:sz w:val="28"/>
          <w:szCs w:val="28"/>
        </w:rPr>
        <w:t xml:space="preserve"> not be taken to determine whether</w:t>
      </w:r>
      <w:r w:rsidR="002568CA" w:rsidRPr="004B64A7">
        <w:rPr>
          <w:sz w:val="28"/>
          <w:szCs w:val="28"/>
        </w:rPr>
        <w:t xml:space="preserve"> </w:t>
      </w:r>
      <w:r w:rsidRPr="004B64A7">
        <w:rPr>
          <w:sz w:val="28"/>
          <w:szCs w:val="28"/>
        </w:rPr>
        <w:t xml:space="preserve">the case will be so reheard. If granted, </w:t>
      </w:r>
      <w:proofErr w:type="spellStart"/>
      <w:r w:rsidRPr="004B64A7">
        <w:rPr>
          <w:sz w:val="28"/>
          <w:szCs w:val="28"/>
        </w:rPr>
        <w:t>en</w:t>
      </w:r>
      <w:proofErr w:type="spellEnd"/>
      <w:r w:rsidRPr="004B64A7">
        <w:rPr>
          <w:sz w:val="28"/>
          <w:szCs w:val="28"/>
        </w:rPr>
        <w:t xml:space="preserve"> banc reconsideration is conducted by 11</w:t>
      </w:r>
      <w:r w:rsidR="002568CA" w:rsidRPr="004B64A7">
        <w:rPr>
          <w:sz w:val="28"/>
          <w:szCs w:val="28"/>
        </w:rPr>
        <w:t xml:space="preserve"> </w:t>
      </w:r>
      <w:r w:rsidRPr="004B64A7">
        <w:rPr>
          <w:sz w:val="28"/>
          <w:szCs w:val="28"/>
        </w:rPr>
        <w:t xml:space="preserve">randomly selected judges from the combined divisions. An </w:t>
      </w:r>
      <w:proofErr w:type="spellStart"/>
      <w:r w:rsidRPr="004B64A7">
        <w:rPr>
          <w:sz w:val="28"/>
          <w:szCs w:val="28"/>
        </w:rPr>
        <w:t>en</w:t>
      </w:r>
      <w:proofErr w:type="spellEnd"/>
      <w:r w:rsidRPr="004B64A7">
        <w:rPr>
          <w:sz w:val="28"/>
          <w:szCs w:val="28"/>
        </w:rPr>
        <w:t xml:space="preserve"> banc reconsideration</w:t>
      </w:r>
      <w:r w:rsidR="002568CA" w:rsidRPr="004B64A7">
        <w:rPr>
          <w:sz w:val="28"/>
          <w:szCs w:val="28"/>
        </w:rPr>
        <w:t xml:space="preserve"> </w:t>
      </w:r>
      <w:r w:rsidRPr="004B64A7">
        <w:rPr>
          <w:sz w:val="28"/>
          <w:szCs w:val="28"/>
        </w:rPr>
        <w:t xml:space="preserve">is not favored and ordinarily </w:t>
      </w:r>
      <w:r w:rsidR="00065747" w:rsidRPr="004B64A7">
        <w:rPr>
          <w:sz w:val="28"/>
          <w:szCs w:val="28"/>
        </w:rPr>
        <w:t>will not be</w:t>
      </w:r>
      <w:r w:rsidRPr="004B64A7">
        <w:rPr>
          <w:sz w:val="28"/>
          <w:szCs w:val="28"/>
        </w:rPr>
        <w:t xml:space="preserve"> ordered unless:</w:t>
      </w:r>
      <w:r w:rsidR="002568CA" w:rsidRPr="004B64A7">
        <w:rPr>
          <w:sz w:val="28"/>
          <w:szCs w:val="28"/>
        </w:rPr>
        <w:t xml:space="preserve"> </w:t>
      </w:r>
    </w:p>
    <w:p w14:paraId="14D1B755" w14:textId="3B861AAE" w:rsidR="002568CA" w:rsidRPr="004B64A7" w:rsidRDefault="00402861" w:rsidP="00583916">
      <w:pPr>
        <w:pStyle w:val="Body"/>
        <w:widowControl w:val="0"/>
        <w:spacing w:after="120" w:line="240" w:lineRule="auto"/>
        <w:ind w:left="720" w:right="720" w:firstLine="0"/>
        <w:jc w:val="both"/>
        <w:rPr>
          <w:sz w:val="28"/>
          <w:szCs w:val="28"/>
        </w:rPr>
      </w:pPr>
      <w:r w:rsidRPr="004B64A7">
        <w:rPr>
          <w:sz w:val="28"/>
          <w:szCs w:val="28"/>
        </w:rPr>
        <w:t>(1)</w:t>
      </w:r>
      <w:r w:rsidR="002568CA" w:rsidRPr="004B64A7">
        <w:rPr>
          <w:sz w:val="28"/>
          <w:szCs w:val="28"/>
        </w:rPr>
        <w:t xml:space="preserve"> </w:t>
      </w:r>
      <w:proofErr w:type="spellStart"/>
      <w:r w:rsidRPr="004B64A7">
        <w:rPr>
          <w:sz w:val="28"/>
          <w:szCs w:val="28"/>
        </w:rPr>
        <w:t>en</w:t>
      </w:r>
      <w:proofErr w:type="spellEnd"/>
      <w:r w:rsidRPr="004B64A7">
        <w:rPr>
          <w:sz w:val="28"/>
          <w:szCs w:val="28"/>
        </w:rPr>
        <w:t xml:space="preserve"> banc reconsideration is necessary to secure or maintain uniformity of the</w:t>
      </w:r>
      <w:r w:rsidR="002568CA" w:rsidRPr="004B64A7">
        <w:rPr>
          <w:sz w:val="28"/>
          <w:szCs w:val="28"/>
        </w:rPr>
        <w:t xml:space="preserve"> </w:t>
      </w:r>
      <w:r w:rsidRPr="004B64A7">
        <w:rPr>
          <w:sz w:val="28"/>
          <w:szCs w:val="28"/>
        </w:rPr>
        <w:t>court’s decisions; or</w:t>
      </w:r>
    </w:p>
    <w:p w14:paraId="10ECBB30" w14:textId="62F1667D" w:rsidR="00A57C82" w:rsidRPr="004B64A7" w:rsidRDefault="00402861" w:rsidP="00583916">
      <w:pPr>
        <w:pStyle w:val="Body"/>
        <w:widowControl w:val="0"/>
        <w:spacing w:after="120" w:line="240" w:lineRule="auto"/>
        <w:ind w:left="720" w:right="720" w:firstLine="0"/>
        <w:jc w:val="both"/>
        <w:rPr>
          <w:sz w:val="28"/>
          <w:szCs w:val="28"/>
        </w:rPr>
      </w:pPr>
      <w:r w:rsidRPr="004B64A7">
        <w:rPr>
          <w:sz w:val="28"/>
          <w:szCs w:val="28"/>
        </w:rPr>
        <w:t>(2)</w:t>
      </w:r>
      <w:r w:rsidR="002568CA" w:rsidRPr="004B64A7">
        <w:rPr>
          <w:sz w:val="28"/>
          <w:szCs w:val="28"/>
        </w:rPr>
        <w:t xml:space="preserve"> </w:t>
      </w:r>
      <w:r w:rsidRPr="004B64A7">
        <w:rPr>
          <w:sz w:val="28"/>
          <w:szCs w:val="28"/>
        </w:rPr>
        <w:t>the proceeding involves a question of exceptional importance.</w:t>
      </w:r>
    </w:p>
    <w:p w14:paraId="7AD19748" w14:textId="77777777" w:rsidR="00583916" w:rsidRPr="004B64A7" w:rsidRDefault="00A57C82" w:rsidP="00A57C82">
      <w:pPr>
        <w:pStyle w:val="Body"/>
        <w:widowControl w:val="0"/>
        <w:ind w:firstLine="0"/>
        <w:rPr>
          <w:sz w:val="28"/>
          <w:szCs w:val="28"/>
        </w:rPr>
      </w:pPr>
      <w:r w:rsidRPr="004B64A7">
        <w:rPr>
          <w:sz w:val="28"/>
          <w:szCs w:val="28"/>
        </w:rPr>
        <w:t>(Pet. App. B.)</w:t>
      </w:r>
      <w:r w:rsidR="00274388" w:rsidRPr="004B64A7">
        <w:rPr>
          <w:sz w:val="28"/>
          <w:szCs w:val="28"/>
        </w:rPr>
        <w:t xml:space="preserve"> </w:t>
      </w:r>
    </w:p>
    <w:p w14:paraId="7932950F" w14:textId="5E40E658" w:rsidR="00A57C82" w:rsidRPr="004B64A7" w:rsidRDefault="00274388" w:rsidP="00A57C82">
      <w:pPr>
        <w:pStyle w:val="Body"/>
        <w:widowControl w:val="0"/>
        <w:ind w:firstLine="0"/>
        <w:rPr>
          <w:sz w:val="28"/>
          <w:szCs w:val="28"/>
        </w:rPr>
      </w:pPr>
      <w:r w:rsidRPr="004B64A7">
        <w:rPr>
          <w:sz w:val="28"/>
          <w:szCs w:val="28"/>
        </w:rPr>
        <w:t xml:space="preserve"> </w:t>
      </w:r>
    </w:p>
    <w:p w14:paraId="7FB19194" w14:textId="01C99152" w:rsidR="007A3CC6" w:rsidRPr="004B64A7" w:rsidRDefault="00AD2305" w:rsidP="00583916">
      <w:pPr>
        <w:pStyle w:val="Body"/>
        <w:widowControl w:val="0"/>
        <w:spacing w:line="480" w:lineRule="auto"/>
        <w:ind w:firstLine="0"/>
        <w:jc w:val="both"/>
        <w:rPr>
          <w:sz w:val="28"/>
          <w:szCs w:val="28"/>
        </w:rPr>
      </w:pPr>
      <w:r w:rsidRPr="004B64A7">
        <w:rPr>
          <w:sz w:val="28"/>
          <w:szCs w:val="28"/>
        </w:rPr>
        <w:tab/>
      </w:r>
      <w:r w:rsidR="00DE6057" w:rsidRPr="004B64A7">
        <w:rPr>
          <w:sz w:val="28"/>
          <w:szCs w:val="28"/>
        </w:rPr>
        <w:t>The primary justification the Petition offers for the new process is avoiding conflict.  In particular, the Petition argues that,</w:t>
      </w:r>
      <w:r w:rsidR="00355FEF" w:rsidRPr="004B64A7">
        <w:rPr>
          <w:iCs/>
          <w:sz w:val="28"/>
          <w:szCs w:val="28"/>
        </w:rPr>
        <w:t xml:space="preserve"> </w:t>
      </w:r>
      <w:r w:rsidR="00355FEF" w:rsidRPr="004B64A7">
        <w:rPr>
          <w:sz w:val="28"/>
          <w:szCs w:val="28"/>
        </w:rPr>
        <w:t xml:space="preserve">because the Court of Appeals sits as a single court with separate divisions, it is possible for </w:t>
      </w:r>
      <w:r w:rsidR="00422FA8" w:rsidRPr="004B64A7">
        <w:rPr>
          <w:sz w:val="28"/>
          <w:szCs w:val="28"/>
        </w:rPr>
        <w:t>different divisions</w:t>
      </w:r>
      <w:r w:rsidR="008E4140" w:rsidRPr="004B64A7">
        <w:rPr>
          <w:sz w:val="28"/>
          <w:szCs w:val="28"/>
        </w:rPr>
        <w:t xml:space="preserve"> (or different panels within the same division)</w:t>
      </w:r>
      <w:r w:rsidR="00422FA8" w:rsidRPr="004B64A7">
        <w:rPr>
          <w:sz w:val="28"/>
          <w:szCs w:val="28"/>
        </w:rPr>
        <w:t xml:space="preserve"> to issue conflicting decisions.  And</w:t>
      </w:r>
      <w:r w:rsidR="008B1714" w:rsidRPr="004B64A7">
        <w:rPr>
          <w:sz w:val="28"/>
          <w:szCs w:val="28"/>
        </w:rPr>
        <w:t>,</w:t>
      </w:r>
      <w:r w:rsidR="00422FA8" w:rsidRPr="004B64A7">
        <w:rPr>
          <w:sz w:val="28"/>
          <w:szCs w:val="28"/>
        </w:rPr>
        <w:t xml:space="preserve"> </w:t>
      </w:r>
      <w:r w:rsidR="00422FA8" w:rsidRPr="004B64A7">
        <w:rPr>
          <w:sz w:val="28"/>
          <w:szCs w:val="28"/>
        </w:rPr>
        <w:lastRenderedPageBreak/>
        <w:t xml:space="preserve">because those conflicting decisions, technically issued by the same Court, are entitled to the same precedential value, litigants and lower courts </w:t>
      </w:r>
      <w:r w:rsidR="009632C2" w:rsidRPr="004B64A7">
        <w:rPr>
          <w:sz w:val="28"/>
          <w:szCs w:val="28"/>
        </w:rPr>
        <w:t xml:space="preserve">alike </w:t>
      </w:r>
      <w:r w:rsidR="00422FA8" w:rsidRPr="004B64A7">
        <w:rPr>
          <w:sz w:val="28"/>
          <w:szCs w:val="28"/>
        </w:rPr>
        <w:t xml:space="preserve">are </w:t>
      </w:r>
      <w:r w:rsidR="00C97A18" w:rsidRPr="004B64A7">
        <w:rPr>
          <w:sz w:val="28"/>
          <w:szCs w:val="28"/>
        </w:rPr>
        <w:t>left unsure about the state of the law</w:t>
      </w:r>
      <w:r w:rsidR="009632C2" w:rsidRPr="004B64A7">
        <w:rPr>
          <w:sz w:val="28"/>
          <w:szCs w:val="28"/>
        </w:rPr>
        <w:t xml:space="preserve"> whenever a conflict arises</w:t>
      </w:r>
      <w:r w:rsidR="00C97A18" w:rsidRPr="004B64A7">
        <w:rPr>
          <w:sz w:val="28"/>
          <w:szCs w:val="28"/>
        </w:rPr>
        <w:t>.</w:t>
      </w:r>
      <w:r w:rsidR="009632C2" w:rsidRPr="004B64A7">
        <w:rPr>
          <w:sz w:val="28"/>
          <w:szCs w:val="28"/>
        </w:rPr>
        <w:t xml:space="preserve"> </w:t>
      </w:r>
      <w:r w:rsidR="00F11726" w:rsidRPr="004B64A7">
        <w:rPr>
          <w:sz w:val="28"/>
          <w:szCs w:val="28"/>
        </w:rPr>
        <w:t xml:space="preserve"> (Pet. at 2-3.) </w:t>
      </w:r>
      <w:r w:rsidR="009632C2" w:rsidRPr="004B64A7">
        <w:rPr>
          <w:sz w:val="28"/>
          <w:szCs w:val="28"/>
        </w:rPr>
        <w:t xml:space="preserve"> </w:t>
      </w:r>
      <w:r w:rsidR="00764380" w:rsidRPr="004B64A7">
        <w:rPr>
          <w:sz w:val="28"/>
          <w:szCs w:val="28"/>
        </w:rPr>
        <w:t>In support of its feasibility, the Petition cites several other states</w:t>
      </w:r>
      <w:r w:rsidR="00A073FC" w:rsidRPr="004B64A7">
        <w:rPr>
          <w:sz w:val="28"/>
          <w:szCs w:val="28"/>
        </w:rPr>
        <w:t xml:space="preserve"> that have similarly large intermediate appellate courts and an </w:t>
      </w:r>
      <w:proofErr w:type="spellStart"/>
      <w:r w:rsidR="00A073FC" w:rsidRPr="004B64A7">
        <w:rPr>
          <w:i/>
          <w:iCs/>
          <w:sz w:val="28"/>
          <w:szCs w:val="28"/>
        </w:rPr>
        <w:t>en</w:t>
      </w:r>
      <w:proofErr w:type="spellEnd"/>
      <w:r w:rsidR="00A073FC" w:rsidRPr="004B64A7">
        <w:rPr>
          <w:i/>
          <w:iCs/>
          <w:sz w:val="28"/>
          <w:szCs w:val="28"/>
        </w:rPr>
        <w:t xml:space="preserve"> banc</w:t>
      </w:r>
      <w:r w:rsidR="00A073FC" w:rsidRPr="004B64A7">
        <w:rPr>
          <w:sz w:val="28"/>
          <w:szCs w:val="28"/>
        </w:rPr>
        <w:t xml:space="preserve"> process that is available before an appeal makes it to the state’s highest court.</w:t>
      </w:r>
      <w:r w:rsidR="00F61005" w:rsidRPr="004B64A7">
        <w:rPr>
          <w:rStyle w:val="FootnoteReference"/>
          <w:sz w:val="28"/>
          <w:szCs w:val="28"/>
        </w:rPr>
        <w:footnoteReference w:id="1"/>
      </w:r>
      <w:r w:rsidR="00F11726" w:rsidRPr="004B64A7">
        <w:rPr>
          <w:sz w:val="28"/>
          <w:szCs w:val="28"/>
        </w:rPr>
        <w:t xml:space="preserve">  (Pet. at 5.)</w:t>
      </w:r>
    </w:p>
    <w:p w14:paraId="67436B2F" w14:textId="744AA98D" w:rsidR="007A3CC6" w:rsidRPr="004B64A7" w:rsidRDefault="007A3CC6" w:rsidP="008E4140">
      <w:pPr>
        <w:pStyle w:val="ListParagraph"/>
        <w:numPr>
          <w:ilvl w:val="0"/>
          <w:numId w:val="15"/>
        </w:numPr>
        <w:spacing w:after="0" w:line="480" w:lineRule="exact"/>
        <w:ind w:left="720"/>
        <w:contextualSpacing w:val="0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4B64A7">
        <w:rPr>
          <w:rFonts w:ascii="Times New Roman" w:hAnsi="Times New Roman" w:cs="Times New Roman"/>
          <w:b/>
          <w:bCs/>
          <w:caps/>
          <w:sz w:val="28"/>
          <w:szCs w:val="28"/>
        </w:rPr>
        <w:t>THE STATE BAR OPPOSES THE PETITION</w:t>
      </w:r>
      <w:r w:rsidR="00923264" w:rsidRPr="004B64A7">
        <w:rPr>
          <w:rFonts w:ascii="Times New Roman" w:hAnsi="Times New Roman" w:cs="Times New Roman"/>
          <w:b/>
          <w:bCs/>
          <w:caps/>
          <w:sz w:val="28"/>
          <w:szCs w:val="28"/>
        </w:rPr>
        <w:t>.</w:t>
      </w:r>
    </w:p>
    <w:p w14:paraId="119B0AF7" w14:textId="77777777" w:rsidR="00583916" w:rsidRPr="004B64A7" w:rsidRDefault="00583916" w:rsidP="00583916">
      <w:pPr>
        <w:pStyle w:val="ListParagraph"/>
        <w:spacing w:after="0" w:line="480" w:lineRule="exact"/>
        <w:contextualSpacing w:val="0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17321706" w14:textId="6C996FE3" w:rsidR="007A3CC6" w:rsidRPr="004B64A7" w:rsidRDefault="007A3CC6" w:rsidP="00583916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</w:rPr>
      </w:pPr>
      <w:r w:rsidRPr="004B64A7">
        <w:rPr>
          <w:sz w:val="28"/>
          <w:szCs w:val="28"/>
        </w:rPr>
        <w:t xml:space="preserve">The State Bar opposes the </w:t>
      </w:r>
      <w:r w:rsidR="00E354D6" w:rsidRPr="004B64A7">
        <w:rPr>
          <w:sz w:val="28"/>
          <w:szCs w:val="28"/>
        </w:rPr>
        <w:t>P</w:t>
      </w:r>
      <w:r w:rsidRPr="004B64A7">
        <w:rPr>
          <w:sz w:val="28"/>
          <w:szCs w:val="28"/>
        </w:rPr>
        <w:t>etition and recommends this Court deny it</w:t>
      </w:r>
      <w:r w:rsidR="007613B2" w:rsidRPr="004B64A7">
        <w:rPr>
          <w:sz w:val="28"/>
          <w:szCs w:val="28"/>
        </w:rPr>
        <w:t xml:space="preserve"> because</w:t>
      </w:r>
      <w:r w:rsidR="001C68E3" w:rsidRPr="004B64A7">
        <w:rPr>
          <w:sz w:val="28"/>
          <w:szCs w:val="28"/>
        </w:rPr>
        <w:t>: (1) to the extent conflicts arise in Court of Appeals opinion</w:t>
      </w:r>
      <w:r w:rsidR="0094140A" w:rsidRPr="004B64A7">
        <w:rPr>
          <w:sz w:val="28"/>
          <w:szCs w:val="28"/>
        </w:rPr>
        <w:t>s</w:t>
      </w:r>
      <w:r w:rsidR="001C68E3" w:rsidRPr="004B64A7">
        <w:rPr>
          <w:sz w:val="28"/>
          <w:szCs w:val="28"/>
        </w:rPr>
        <w:t xml:space="preserve">, there are existing procedures that sufficiently address the issue; (2) </w:t>
      </w:r>
      <w:r w:rsidR="00A12283" w:rsidRPr="004B64A7">
        <w:rPr>
          <w:sz w:val="28"/>
          <w:szCs w:val="28"/>
        </w:rPr>
        <w:t>adding a</w:t>
      </w:r>
      <w:r w:rsidR="003E2D89" w:rsidRPr="004B64A7">
        <w:rPr>
          <w:sz w:val="28"/>
          <w:szCs w:val="28"/>
        </w:rPr>
        <w:t>n</w:t>
      </w:r>
      <w:r w:rsidR="00A12283" w:rsidRPr="004B64A7">
        <w:rPr>
          <w:sz w:val="28"/>
          <w:szCs w:val="28"/>
        </w:rPr>
        <w:t xml:space="preserve"> </w:t>
      </w:r>
      <w:proofErr w:type="spellStart"/>
      <w:r w:rsidR="00A12283" w:rsidRPr="004B64A7">
        <w:rPr>
          <w:i/>
          <w:iCs/>
          <w:sz w:val="28"/>
          <w:szCs w:val="28"/>
        </w:rPr>
        <w:t>en</w:t>
      </w:r>
      <w:proofErr w:type="spellEnd"/>
      <w:r w:rsidR="00A12283" w:rsidRPr="004B64A7">
        <w:rPr>
          <w:i/>
          <w:iCs/>
          <w:sz w:val="28"/>
          <w:szCs w:val="28"/>
        </w:rPr>
        <w:t xml:space="preserve"> banc</w:t>
      </w:r>
      <w:r w:rsidR="00A12283" w:rsidRPr="004B64A7">
        <w:rPr>
          <w:sz w:val="28"/>
          <w:szCs w:val="28"/>
        </w:rPr>
        <w:t xml:space="preserve"> option would increase the burden on the Court of Appeals and delay resolution of appeals; and (3) the language the </w:t>
      </w:r>
      <w:r w:rsidR="00E354D6" w:rsidRPr="004B64A7">
        <w:rPr>
          <w:sz w:val="28"/>
          <w:szCs w:val="28"/>
        </w:rPr>
        <w:t>P</w:t>
      </w:r>
      <w:r w:rsidR="00A12283" w:rsidRPr="004B64A7">
        <w:rPr>
          <w:sz w:val="28"/>
          <w:szCs w:val="28"/>
        </w:rPr>
        <w:t>etition proposes to implement the new process is</w:t>
      </w:r>
      <w:r w:rsidR="00592E05" w:rsidRPr="004B64A7">
        <w:rPr>
          <w:sz w:val="28"/>
          <w:szCs w:val="28"/>
        </w:rPr>
        <w:t xml:space="preserve"> broad and</w:t>
      </w:r>
      <w:r w:rsidR="00A12283" w:rsidRPr="004B64A7">
        <w:rPr>
          <w:sz w:val="28"/>
          <w:szCs w:val="28"/>
        </w:rPr>
        <w:t xml:space="preserve"> unclear.</w:t>
      </w:r>
    </w:p>
    <w:p w14:paraId="22BE5DAD" w14:textId="2B2FDDA6" w:rsidR="00C35354" w:rsidRPr="004B64A7" w:rsidRDefault="00A12283" w:rsidP="00DF1891">
      <w:pPr>
        <w:pStyle w:val="ListParagraph"/>
        <w:numPr>
          <w:ilvl w:val="1"/>
          <w:numId w:val="15"/>
        </w:numPr>
        <w:spacing w:before="240" w:after="120" w:line="240" w:lineRule="auto"/>
        <w:ind w:hanging="720"/>
        <w:contextualSpacing w:val="0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4B64A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Existing procedural mechanisms are sufficient to deal with conflicting opinions from the </w:t>
      </w:r>
      <w:r w:rsidR="001C63D0" w:rsidRPr="004B64A7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Pr="004B64A7">
        <w:rPr>
          <w:rFonts w:ascii="Times New Roman" w:hAnsi="Times New Roman" w:cs="Times New Roman"/>
          <w:b/>
          <w:bCs/>
          <w:sz w:val="28"/>
          <w:szCs w:val="28"/>
        </w:rPr>
        <w:t xml:space="preserve">ourt of </w:t>
      </w:r>
      <w:r w:rsidR="001C63D0" w:rsidRPr="004B64A7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4B64A7">
        <w:rPr>
          <w:rFonts w:ascii="Times New Roman" w:hAnsi="Times New Roman" w:cs="Times New Roman"/>
          <w:b/>
          <w:bCs/>
          <w:sz w:val="28"/>
          <w:szCs w:val="28"/>
        </w:rPr>
        <w:t>ppeals.</w:t>
      </w:r>
    </w:p>
    <w:p w14:paraId="3A44A6B9" w14:textId="77777777" w:rsidR="00583916" w:rsidRPr="004B64A7" w:rsidRDefault="00583916" w:rsidP="00583916">
      <w:pPr>
        <w:pStyle w:val="ListParagraph"/>
        <w:spacing w:before="240" w:after="120" w:line="240" w:lineRule="auto"/>
        <w:ind w:left="1440"/>
        <w:contextualSpacing w:val="0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3C475CFA" w14:textId="0FFEED76" w:rsidR="009A03A0" w:rsidRPr="004B64A7" w:rsidRDefault="00D252FE" w:rsidP="00583916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</w:rPr>
      </w:pPr>
      <w:r w:rsidRPr="004B64A7">
        <w:rPr>
          <w:sz w:val="28"/>
          <w:szCs w:val="28"/>
        </w:rPr>
        <w:t xml:space="preserve">The single most significant </w:t>
      </w:r>
      <w:r w:rsidR="009A49D7" w:rsidRPr="004B64A7">
        <w:rPr>
          <w:sz w:val="28"/>
          <w:szCs w:val="28"/>
        </w:rPr>
        <w:t xml:space="preserve">reason </w:t>
      </w:r>
      <w:proofErr w:type="spellStart"/>
      <w:r w:rsidR="009A49D7" w:rsidRPr="004B64A7">
        <w:rPr>
          <w:i/>
          <w:iCs/>
          <w:sz w:val="28"/>
          <w:szCs w:val="28"/>
        </w:rPr>
        <w:t>en</w:t>
      </w:r>
      <w:proofErr w:type="spellEnd"/>
      <w:r w:rsidR="009A49D7" w:rsidRPr="004B64A7">
        <w:rPr>
          <w:i/>
          <w:iCs/>
          <w:sz w:val="28"/>
          <w:szCs w:val="28"/>
        </w:rPr>
        <w:t xml:space="preserve"> banc</w:t>
      </w:r>
      <w:r w:rsidR="009A49D7" w:rsidRPr="004B64A7">
        <w:rPr>
          <w:sz w:val="28"/>
          <w:szCs w:val="28"/>
        </w:rPr>
        <w:t xml:space="preserve"> review is unnecessary is that </w:t>
      </w:r>
      <w:r w:rsidR="007C65AE" w:rsidRPr="004B64A7">
        <w:rPr>
          <w:sz w:val="28"/>
          <w:szCs w:val="28"/>
        </w:rPr>
        <w:t>the primary justification the Petition offers for the process–resolving conflicts–is already add</w:t>
      </w:r>
      <w:r w:rsidR="00EA5FB0" w:rsidRPr="004B64A7">
        <w:rPr>
          <w:sz w:val="28"/>
          <w:szCs w:val="28"/>
        </w:rPr>
        <w:t xml:space="preserve">ressed by existing </w:t>
      </w:r>
      <w:r w:rsidR="00425D35" w:rsidRPr="004B64A7">
        <w:rPr>
          <w:sz w:val="28"/>
          <w:szCs w:val="28"/>
        </w:rPr>
        <w:t xml:space="preserve">procedures.  </w:t>
      </w:r>
    </w:p>
    <w:p w14:paraId="4FD0948C" w14:textId="7530CDEE" w:rsidR="003C7244" w:rsidRPr="004B64A7" w:rsidRDefault="009A03A0" w:rsidP="00583916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</w:rPr>
      </w:pPr>
      <w:r w:rsidRPr="004B64A7">
        <w:rPr>
          <w:sz w:val="28"/>
          <w:szCs w:val="28"/>
        </w:rPr>
        <w:t>First,</w:t>
      </w:r>
      <w:r w:rsidR="003C7244" w:rsidRPr="004B64A7">
        <w:rPr>
          <w:sz w:val="28"/>
          <w:szCs w:val="28"/>
        </w:rPr>
        <w:t xml:space="preserve"> </w:t>
      </w:r>
      <w:r w:rsidR="00EF6EAA" w:rsidRPr="004B64A7">
        <w:rPr>
          <w:sz w:val="28"/>
          <w:szCs w:val="28"/>
        </w:rPr>
        <w:t>at least in Division One, where 8</w:t>
      </w:r>
      <w:r w:rsidR="00633A32" w:rsidRPr="004B64A7">
        <w:rPr>
          <w:sz w:val="28"/>
          <w:szCs w:val="28"/>
        </w:rPr>
        <w:t>5</w:t>
      </w:r>
      <w:r w:rsidR="00EF6EAA" w:rsidRPr="004B64A7">
        <w:rPr>
          <w:sz w:val="28"/>
          <w:szCs w:val="28"/>
        </w:rPr>
        <w:t xml:space="preserve">% </w:t>
      </w:r>
      <w:r w:rsidR="00602DD1" w:rsidRPr="004B64A7">
        <w:rPr>
          <w:sz w:val="28"/>
          <w:szCs w:val="28"/>
        </w:rPr>
        <w:t xml:space="preserve">of </w:t>
      </w:r>
      <w:r w:rsidR="00EF6EAA" w:rsidRPr="004B64A7">
        <w:rPr>
          <w:sz w:val="28"/>
          <w:szCs w:val="28"/>
        </w:rPr>
        <w:t xml:space="preserve">published opinions </w:t>
      </w:r>
      <w:r w:rsidR="00602DD1" w:rsidRPr="004B64A7">
        <w:rPr>
          <w:sz w:val="28"/>
          <w:szCs w:val="28"/>
        </w:rPr>
        <w:t>wer</w:t>
      </w:r>
      <w:r w:rsidR="00EF6EAA" w:rsidRPr="004B64A7">
        <w:rPr>
          <w:sz w:val="28"/>
          <w:szCs w:val="28"/>
        </w:rPr>
        <w:t>e issued</w:t>
      </w:r>
      <w:r w:rsidR="00602DD1" w:rsidRPr="004B64A7">
        <w:rPr>
          <w:sz w:val="28"/>
          <w:szCs w:val="28"/>
        </w:rPr>
        <w:t xml:space="preserve"> in 2023</w:t>
      </w:r>
      <w:r w:rsidR="00EF6EAA" w:rsidRPr="004B64A7">
        <w:rPr>
          <w:sz w:val="28"/>
          <w:szCs w:val="28"/>
        </w:rPr>
        <w:t xml:space="preserve">, the Court of Appeals circulates draft opinions before they are published to elicit comments from judges who are not members of the panel deciding the case.  </w:t>
      </w:r>
      <w:r w:rsidR="00602DD1" w:rsidRPr="004B64A7">
        <w:rPr>
          <w:i/>
          <w:iCs/>
          <w:sz w:val="28"/>
          <w:szCs w:val="28"/>
        </w:rPr>
        <w:t>See</w:t>
      </w:r>
      <w:r w:rsidR="00602DD1" w:rsidRPr="004B64A7">
        <w:rPr>
          <w:sz w:val="28"/>
          <w:szCs w:val="28"/>
        </w:rPr>
        <w:t xml:space="preserve"> </w:t>
      </w:r>
      <w:r w:rsidR="006D2A1B" w:rsidRPr="004B64A7">
        <w:rPr>
          <w:sz w:val="28"/>
          <w:szCs w:val="28"/>
        </w:rPr>
        <w:t xml:space="preserve">Court of Appeals Case Activity Report, Fiscal Year 2023, at </w:t>
      </w:r>
      <w:r w:rsidR="00113261" w:rsidRPr="004B64A7">
        <w:rPr>
          <w:sz w:val="28"/>
          <w:szCs w:val="28"/>
        </w:rPr>
        <w:t>10 (Div. I), 14 (Div. II)</w:t>
      </w:r>
      <w:r w:rsidR="00804BE9" w:rsidRPr="004B64A7">
        <w:rPr>
          <w:sz w:val="28"/>
          <w:szCs w:val="28"/>
        </w:rPr>
        <w:t xml:space="preserve"> (hereafter “2023 Activity Report”)</w:t>
      </w:r>
      <w:r w:rsidR="00113261" w:rsidRPr="004B64A7">
        <w:rPr>
          <w:sz w:val="28"/>
          <w:szCs w:val="28"/>
        </w:rPr>
        <w:t>.</w:t>
      </w:r>
      <w:r w:rsidR="00AB0A05" w:rsidRPr="004B64A7">
        <w:rPr>
          <w:rStyle w:val="FootnoteReference"/>
          <w:sz w:val="28"/>
          <w:szCs w:val="28"/>
        </w:rPr>
        <w:footnoteReference w:id="2"/>
      </w:r>
      <w:r w:rsidR="00BC15BF" w:rsidRPr="004B64A7">
        <w:rPr>
          <w:sz w:val="28"/>
          <w:szCs w:val="28"/>
        </w:rPr>
        <w:t xml:space="preserve">  Among other things, the purpose of </w:t>
      </w:r>
      <w:r w:rsidR="00F72DC1" w:rsidRPr="004B64A7">
        <w:rPr>
          <w:sz w:val="28"/>
          <w:szCs w:val="28"/>
        </w:rPr>
        <w:t xml:space="preserve">this process is to identify potential conflicts with other decisions that can be addressed, if necessary, before an opinion is published.  </w:t>
      </w:r>
    </w:p>
    <w:p w14:paraId="54CE4F0D" w14:textId="77777777" w:rsidR="004B64A7" w:rsidRDefault="003C7244" w:rsidP="00583916">
      <w:pPr>
        <w:pStyle w:val="Body"/>
        <w:widowControl w:val="0"/>
        <w:spacing w:line="480" w:lineRule="auto"/>
        <w:ind w:firstLine="720"/>
        <w:jc w:val="both"/>
        <w:rPr>
          <w:i/>
          <w:iCs/>
          <w:sz w:val="28"/>
          <w:szCs w:val="28"/>
        </w:rPr>
      </w:pPr>
      <w:r w:rsidRPr="004B64A7">
        <w:rPr>
          <w:sz w:val="28"/>
          <w:szCs w:val="28"/>
        </w:rPr>
        <w:t>Second,</w:t>
      </w:r>
      <w:r w:rsidR="009A03A0" w:rsidRPr="004B64A7">
        <w:rPr>
          <w:sz w:val="28"/>
          <w:szCs w:val="28"/>
        </w:rPr>
        <w:t xml:space="preserve"> </w:t>
      </w:r>
      <w:r w:rsidR="004005D5" w:rsidRPr="004B64A7">
        <w:rPr>
          <w:sz w:val="28"/>
          <w:szCs w:val="28"/>
        </w:rPr>
        <w:t xml:space="preserve">if the Court of Appeals </w:t>
      </w:r>
      <w:r w:rsidR="009C5F7F" w:rsidRPr="004B64A7">
        <w:rPr>
          <w:sz w:val="28"/>
          <w:szCs w:val="28"/>
        </w:rPr>
        <w:t>issues</w:t>
      </w:r>
      <w:r w:rsidR="004005D5" w:rsidRPr="004B64A7">
        <w:rPr>
          <w:sz w:val="28"/>
          <w:szCs w:val="28"/>
        </w:rPr>
        <w:t xml:space="preserve"> a decision that </w:t>
      </w:r>
      <w:r w:rsidR="0040041F" w:rsidRPr="004B64A7">
        <w:rPr>
          <w:sz w:val="28"/>
          <w:szCs w:val="28"/>
        </w:rPr>
        <w:t>a</w:t>
      </w:r>
      <w:r w:rsidR="004005D5" w:rsidRPr="004B64A7">
        <w:rPr>
          <w:sz w:val="28"/>
          <w:szCs w:val="28"/>
        </w:rPr>
        <w:t xml:space="preserve"> part</w:t>
      </w:r>
      <w:r w:rsidR="0040041F" w:rsidRPr="004B64A7">
        <w:rPr>
          <w:sz w:val="28"/>
          <w:szCs w:val="28"/>
        </w:rPr>
        <w:t>y</w:t>
      </w:r>
      <w:r w:rsidR="004005D5" w:rsidRPr="004B64A7">
        <w:rPr>
          <w:sz w:val="28"/>
          <w:szCs w:val="28"/>
        </w:rPr>
        <w:t xml:space="preserve"> believes </w:t>
      </w:r>
      <w:r w:rsidR="0040041F" w:rsidRPr="004B64A7">
        <w:rPr>
          <w:sz w:val="28"/>
          <w:szCs w:val="28"/>
        </w:rPr>
        <w:t xml:space="preserve">erroneously </w:t>
      </w:r>
      <w:r w:rsidR="004005D5" w:rsidRPr="004B64A7">
        <w:rPr>
          <w:sz w:val="28"/>
          <w:szCs w:val="28"/>
        </w:rPr>
        <w:t>conflicts with another Court of Appeals decision, the aggrieved party can seek reconsideration</w:t>
      </w:r>
      <w:r w:rsidR="005057E1" w:rsidRPr="004B64A7">
        <w:rPr>
          <w:sz w:val="28"/>
          <w:szCs w:val="28"/>
        </w:rPr>
        <w:t xml:space="preserve">.  </w:t>
      </w:r>
      <w:r w:rsidR="005057E1" w:rsidRPr="004B64A7">
        <w:rPr>
          <w:i/>
          <w:iCs/>
          <w:sz w:val="28"/>
          <w:szCs w:val="28"/>
        </w:rPr>
        <w:t xml:space="preserve">See </w:t>
      </w:r>
      <w:r w:rsidR="005057E1" w:rsidRPr="004B64A7">
        <w:rPr>
          <w:sz w:val="28"/>
          <w:szCs w:val="28"/>
        </w:rPr>
        <w:t xml:space="preserve">A.R.S. § 12-120.24 (“A party against whom a decision has been rendered . . . may file in such court a motion for rehearing after the rendition of the decision or order of dismissal, setting forth with particularity the reasons why </w:t>
      </w:r>
      <w:r w:rsidR="005057E1" w:rsidRPr="004B64A7">
        <w:rPr>
          <w:sz w:val="28"/>
          <w:szCs w:val="28"/>
        </w:rPr>
        <w:lastRenderedPageBreak/>
        <w:t>he believes the decision or order of dismissal erroneous.”); ARCAP 22 (“</w:t>
      </w:r>
      <w:r w:rsidR="006A7EFA" w:rsidRPr="004B64A7">
        <w:rPr>
          <w:sz w:val="28"/>
          <w:szCs w:val="28"/>
        </w:rPr>
        <w:t>A motion for reconsideration requests an appellate court to consider whether its decision contained erroneous determinations of fact or law.</w:t>
      </w:r>
      <w:r w:rsidR="005057E1" w:rsidRPr="004B64A7">
        <w:rPr>
          <w:sz w:val="28"/>
          <w:szCs w:val="28"/>
        </w:rPr>
        <w:t>”).</w:t>
      </w:r>
      <w:r w:rsidR="00630CA2" w:rsidRPr="004B64A7">
        <w:rPr>
          <w:sz w:val="28"/>
          <w:szCs w:val="28"/>
        </w:rPr>
        <w:t xml:space="preserve">  The number of instances in which reconsideration is granted is not insignificant.  In 2023, for example, </w:t>
      </w:r>
      <w:r w:rsidR="00F2075D" w:rsidRPr="004B64A7">
        <w:rPr>
          <w:sz w:val="28"/>
          <w:szCs w:val="28"/>
        </w:rPr>
        <w:t xml:space="preserve">litigants filed 214 motions for reconsideration in </w:t>
      </w:r>
      <w:r w:rsidR="00926F5D" w:rsidRPr="004B64A7">
        <w:rPr>
          <w:sz w:val="28"/>
          <w:szCs w:val="28"/>
        </w:rPr>
        <w:t xml:space="preserve">Division One, 32 of which </w:t>
      </w:r>
      <w:r w:rsidR="00F2075D" w:rsidRPr="004B64A7">
        <w:rPr>
          <w:sz w:val="28"/>
          <w:szCs w:val="28"/>
        </w:rPr>
        <w:t xml:space="preserve">(or 15%) </w:t>
      </w:r>
      <w:r w:rsidR="00926F5D" w:rsidRPr="004B64A7">
        <w:rPr>
          <w:sz w:val="28"/>
          <w:szCs w:val="28"/>
        </w:rPr>
        <w:t xml:space="preserve">were granted. </w:t>
      </w:r>
      <w:r w:rsidR="00F2075D" w:rsidRPr="004B64A7">
        <w:rPr>
          <w:sz w:val="28"/>
          <w:szCs w:val="28"/>
        </w:rPr>
        <w:t xml:space="preserve"> </w:t>
      </w:r>
      <w:r w:rsidR="00F2075D" w:rsidRPr="004B64A7">
        <w:rPr>
          <w:i/>
          <w:iCs/>
          <w:sz w:val="28"/>
          <w:szCs w:val="28"/>
        </w:rPr>
        <w:t>See</w:t>
      </w:r>
      <w:r w:rsidR="00926F5D" w:rsidRPr="004B64A7">
        <w:rPr>
          <w:sz w:val="28"/>
          <w:szCs w:val="28"/>
        </w:rPr>
        <w:t xml:space="preserve"> </w:t>
      </w:r>
      <w:r w:rsidR="00DF76B9" w:rsidRPr="004B64A7">
        <w:rPr>
          <w:sz w:val="28"/>
          <w:szCs w:val="28"/>
        </w:rPr>
        <w:t>Arizona Court of Appeals Division One 2023: The Year in Review</w:t>
      </w:r>
      <w:r w:rsidR="00B90167" w:rsidRPr="004B64A7">
        <w:rPr>
          <w:sz w:val="28"/>
          <w:szCs w:val="28"/>
        </w:rPr>
        <w:t xml:space="preserve">, at </w:t>
      </w:r>
      <w:r w:rsidR="00CF7A48" w:rsidRPr="004B64A7">
        <w:rPr>
          <w:sz w:val="28"/>
          <w:szCs w:val="28"/>
        </w:rPr>
        <w:t>16</w:t>
      </w:r>
      <w:r w:rsidR="00B90167" w:rsidRPr="004B64A7">
        <w:rPr>
          <w:sz w:val="28"/>
          <w:szCs w:val="28"/>
        </w:rPr>
        <w:t xml:space="preserve"> (</w:t>
      </w:r>
      <w:r w:rsidR="00B90167" w:rsidRPr="004B64A7">
        <w:rPr>
          <w:i/>
          <w:iCs/>
          <w:sz w:val="28"/>
          <w:szCs w:val="28"/>
        </w:rPr>
        <w:t>available at:</w:t>
      </w:r>
    </w:p>
    <w:p w14:paraId="684DF76E" w14:textId="279F8E85" w:rsidR="00583916" w:rsidRPr="004B64A7" w:rsidRDefault="004B64A7" w:rsidP="004B64A7">
      <w:pPr>
        <w:pStyle w:val="Body"/>
        <w:widowControl w:val="0"/>
        <w:spacing w:line="480" w:lineRule="auto"/>
        <w:ind w:firstLine="0"/>
        <w:jc w:val="both"/>
        <w:rPr>
          <w:sz w:val="28"/>
          <w:szCs w:val="28"/>
        </w:rPr>
      </w:pPr>
      <w:hyperlink r:id="rId11" w:history="1">
        <w:r w:rsidRPr="00CC0952">
          <w:rPr>
            <w:rStyle w:val="Hyperlink"/>
            <w:sz w:val="28"/>
            <w:szCs w:val="28"/>
          </w:rPr>
          <w:t>https://www.azcourts.gov/Portals/89/Annual%2</w:t>
        </w:r>
        <w:r w:rsidRPr="00CC0952">
          <w:rPr>
            <w:rStyle w:val="Hyperlink"/>
            <w:sz w:val="28"/>
            <w:szCs w:val="28"/>
          </w:rPr>
          <w:t>0</w:t>
        </w:r>
        <w:r w:rsidRPr="00CC0952">
          <w:rPr>
            <w:rStyle w:val="Hyperlink"/>
            <w:sz w:val="28"/>
            <w:szCs w:val="28"/>
          </w:rPr>
          <w:t>Report/2023ANNUAL%20REPORT%20Clean%20Draft%202024FINAL.pdf?ver=s_h7F6Ma472lPL1NB7EpIA%3d%3d</w:t>
        </w:r>
      </w:hyperlink>
      <w:r w:rsidR="00B90167" w:rsidRPr="004B64A7">
        <w:rPr>
          <w:sz w:val="28"/>
          <w:szCs w:val="28"/>
        </w:rPr>
        <w:t>)</w:t>
      </w:r>
      <w:r w:rsidR="00F72DC1" w:rsidRPr="004B64A7">
        <w:rPr>
          <w:sz w:val="28"/>
          <w:szCs w:val="28"/>
        </w:rPr>
        <w:t>.</w:t>
      </w:r>
    </w:p>
    <w:p w14:paraId="32969205" w14:textId="25AA50C1" w:rsidR="000C6550" w:rsidRPr="004B64A7" w:rsidRDefault="007405DD" w:rsidP="00583916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</w:rPr>
      </w:pPr>
      <w:r w:rsidRPr="004B64A7">
        <w:rPr>
          <w:sz w:val="28"/>
          <w:szCs w:val="28"/>
        </w:rPr>
        <w:t>Finally</w:t>
      </w:r>
      <w:r w:rsidR="009A03A0" w:rsidRPr="004B64A7">
        <w:rPr>
          <w:sz w:val="28"/>
          <w:szCs w:val="28"/>
        </w:rPr>
        <w:t xml:space="preserve">, </w:t>
      </w:r>
      <w:r w:rsidR="004443EC" w:rsidRPr="004B64A7">
        <w:rPr>
          <w:sz w:val="28"/>
          <w:szCs w:val="28"/>
        </w:rPr>
        <w:t xml:space="preserve">one of the </w:t>
      </w:r>
      <w:r w:rsidR="000744D6" w:rsidRPr="004B64A7">
        <w:rPr>
          <w:sz w:val="28"/>
          <w:szCs w:val="28"/>
        </w:rPr>
        <w:t xml:space="preserve">enumerated reasons for this Court to accept a petition for review is if it presents </w:t>
      </w:r>
      <w:r w:rsidR="00425D35" w:rsidRPr="004B64A7">
        <w:rPr>
          <w:sz w:val="28"/>
          <w:szCs w:val="28"/>
        </w:rPr>
        <w:t>“conflicting decisions by the Court of Appeals</w:t>
      </w:r>
      <w:r w:rsidR="000744D6" w:rsidRPr="004B64A7">
        <w:rPr>
          <w:sz w:val="28"/>
          <w:szCs w:val="28"/>
        </w:rPr>
        <w:t>.</w:t>
      </w:r>
      <w:r w:rsidR="00425D35" w:rsidRPr="004B64A7">
        <w:rPr>
          <w:sz w:val="28"/>
          <w:szCs w:val="28"/>
        </w:rPr>
        <w:t>”</w:t>
      </w:r>
      <w:r w:rsidR="000744D6" w:rsidRPr="004B64A7">
        <w:rPr>
          <w:sz w:val="28"/>
          <w:szCs w:val="28"/>
        </w:rPr>
        <w:t xml:space="preserve">  ARCAP 23(d)(3).</w:t>
      </w:r>
      <w:r w:rsidR="00425D35" w:rsidRPr="004B64A7">
        <w:rPr>
          <w:sz w:val="28"/>
          <w:szCs w:val="28"/>
        </w:rPr>
        <w:t xml:space="preserve"> </w:t>
      </w:r>
      <w:r w:rsidR="000744D6" w:rsidRPr="004B64A7">
        <w:rPr>
          <w:sz w:val="28"/>
          <w:szCs w:val="28"/>
        </w:rPr>
        <w:t xml:space="preserve"> </w:t>
      </w:r>
      <w:r w:rsidR="00C97DDF" w:rsidRPr="004B64A7">
        <w:rPr>
          <w:sz w:val="28"/>
          <w:szCs w:val="28"/>
        </w:rPr>
        <w:t xml:space="preserve">Unsurprisingly, this Court </w:t>
      </w:r>
      <w:r w:rsidR="00B93903" w:rsidRPr="004B64A7">
        <w:rPr>
          <w:sz w:val="28"/>
          <w:szCs w:val="28"/>
        </w:rPr>
        <w:t>regularly</w:t>
      </w:r>
      <w:r w:rsidR="00C97DDF" w:rsidRPr="004B64A7">
        <w:rPr>
          <w:sz w:val="28"/>
          <w:szCs w:val="28"/>
        </w:rPr>
        <w:t xml:space="preserve"> invokes</w:t>
      </w:r>
      <w:r w:rsidR="000744D6" w:rsidRPr="004B64A7">
        <w:rPr>
          <w:sz w:val="28"/>
          <w:szCs w:val="28"/>
        </w:rPr>
        <w:t xml:space="preserve"> this rule</w:t>
      </w:r>
      <w:r w:rsidR="00C97DDF" w:rsidRPr="004B64A7">
        <w:rPr>
          <w:sz w:val="28"/>
          <w:szCs w:val="28"/>
        </w:rPr>
        <w:t xml:space="preserve"> as </w:t>
      </w:r>
      <w:r w:rsidR="000744D6" w:rsidRPr="004B64A7">
        <w:rPr>
          <w:sz w:val="28"/>
          <w:szCs w:val="28"/>
        </w:rPr>
        <w:t>its reason</w:t>
      </w:r>
      <w:r w:rsidR="00C97DDF" w:rsidRPr="004B64A7">
        <w:rPr>
          <w:sz w:val="28"/>
          <w:szCs w:val="28"/>
        </w:rPr>
        <w:t xml:space="preserve"> for accepting review.  Although the list </w:t>
      </w:r>
      <w:r w:rsidR="00C20621" w:rsidRPr="004B64A7">
        <w:rPr>
          <w:sz w:val="28"/>
          <w:szCs w:val="28"/>
        </w:rPr>
        <w:t>is not comprehensive (and is not intended to be), the State Bar identif</w:t>
      </w:r>
      <w:r w:rsidR="00B93903" w:rsidRPr="004B64A7">
        <w:rPr>
          <w:sz w:val="28"/>
          <w:szCs w:val="28"/>
        </w:rPr>
        <w:t>ied</w:t>
      </w:r>
      <w:r w:rsidR="00C20621" w:rsidRPr="004B64A7">
        <w:rPr>
          <w:sz w:val="28"/>
          <w:szCs w:val="28"/>
        </w:rPr>
        <w:t xml:space="preserve"> 36 decisions in which this Court granted a petition</w:t>
      </w:r>
      <w:r w:rsidR="0049714F" w:rsidRPr="004B64A7">
        <w:rPr>
          <w:sz w:val="28"/>
          <w:szCs w:val="28"/>
        </w:rPr>
        <w:t xml:space="preserve"> for</w:t>
      </w:r>
      <w:r w:rsidR="00C20621" w:rsidRPr="004B64A7">
        <w:rPr>
          <w:sz w:val="28"/>
          <w:szCs w:val="28"/>
        </w:rPr>
        <w:t xml:space="preserve"> review expressly </w:t>
      </w:r>
      <w:r w:rsidR="006D21D6" w:rsidRPr="004B64A7">
        <w:rPr>
          <w:sz w:val="28"/>
          <w:szCs w:val="28"/>
        </w:rPr>
        <w:t>to resolve a conflict among Court of Appeals decisions.</w:t>
      </w:r>
      <w:r w:rsidR="006D21D6" w:rsidRPr="004B64A7">
        <w:rPr>
          <w:rStyle w:val="FootnoteReference"/>
          <w:sz w:val="28"/>
          <w:szCs w:val="28"/>
        </w:rPr>
        <w:footnoteReference w:id="3"/>
      </w:r>
      <w:r w:rsidR="006D21D6" w:rsidRPr="004B64A7">
        <w:rPr>
          <w:sz w:val="28"/>
          <w:szCs w:val="28"/>
        </w:rPr>
        <w:t xml:space="preserve">  There are likely </w:t>
      </w:r>
      <w:r w:rsidR="00822504" w:rsidRPr="004B64A7">
        <w:rPr>
          <w:sz w:val="28"/>
          <w:szCs w:val="28"/>
        </w:rPr>
        <w:lastRenderedPageBreak/>
        <w:t>many more decisions in which resolution of a petition for review involved reconciling a conflict, or potential conflict, despite that it was not the reason</w:t>
      </w:r>
      <w:r w:rsidR="003C7244" w:rsidRPr="004B64A7">
        <w:rPr>
          <w:sz w:val="28"/>
          <w:szCs w:val="28"/>
        </w:rPr>
        <w:t xml:space="preserve"> stated</w:t>
      </w:r>
      <w:r w:rsidR="00822504" w:rsidRPr="004B64A7">
        <w:rPr>
          <w:sz w:val="28"/>
          <w:szCs w:val="28"/>
        </w:rPr>
        <w:t xml:space="preserve"> for accepting </w:t>
      </w:r>
      <w:r w:rsidR="00281974" w:rsidRPr="004B64A7">
        <w:rPr>
          <w:sz w:val="28"/>
          <w:szCs w:val="28"/>
        </w:rPr>
        <w:t>review.</w:t>
      </w:r>
      <w:r w:rsidR="009A03A0" w:rsidRPr="004B64A7">
        <w:rPr>
          <w:sz w:val="28"/>
          <w:szCs w:val="28"/>
        </w:rPr>
        <w:t xml:space="preserve">  </w:t>
      </w:r>
      <w:r w:rsidR="00281974" w:rsidRPr="004B64A7">
        <w:rPr>
          <w:sz w:val="28"/>
          <w:szCs w:val="28"/>
        </w:rPr>
        <w:t>Given the relatively few instances in which a true conflict can arise (</w:t>
      </w:r>
      <w:r w:rsidR="00281974" w:rsidRPr="004B64A7">
        <w:rPr>
          <w:i/>
          <w:iCs/>
          <w:sz w:val="28"/>
          <w:szCs w:val="28"/>
        </w:rPr>
        <w:t>see</w:t>
      </w:r>
      <w:r w:rsidR="00281974" w:rsidRPr="004B64A7">
        <w:rPr>
          <w:sz w:val="28"/>
          <w:szCs w:val="28"/>
        </w:rPr>
        <w:t xml:space="preserve"> Sec. </w:t>
      </w:r>
      <w:r w:rsidR="00A61B7C" w:rsidRPr="004B64A7">
        <w:rPr>
          <w:sz w:val="28"/>
          <w:szCs w:val="28"/>
        </w:rPr>
        <w:t>II.B</w:t>
      </w:r>
      <w:r w:rsidR="00281974" w:rsidRPr="004B64A7">
        <w:rPr>
          <w:sz w:val="28"/>
          <w:szCs w:val="28"/>
        </w:rPr>
        <w:t xml:space="preserve">, </w:t>
      </w:r>
      <w:r w:rsidR="00281974" w:rsidRPr="004B64A7">
        <w:rPr>
          <w:i/>
          <w:iCs/>
          <w:sz w:val="28"/>
          <w:szCs w:val="28"/>
        </w:rPr>
        <w:t>infra</w:t>
      </w:r>
      <w:r w:rsidR="00281974" w:rsidRPr="004B64A7">
        <w:rPr>
          <w:sz w:val="28"/>
          <w:szCs w:val="28"/>
        </w:rPr>
        <w:t>), th</w:t>
      </w:r>
      <w:r w:rsidR="00896015" w:rsidRPr="004B64A7">
        <w:rPr>
          <w:sz w:val="28"/>
          <w:szCs w:val="28"/>
        </w:rPr>
        <w:t xml:space="preserve">is Court’s demonstrated willingness to accept review expressly to resolve a conflict is </w:t>
      </w:r>
      <w:r w:rsidR="004A63C2" w:rsidRPr="004B64A7">
        <w:rPr>
          <w:sz w:val="28"/>
          <w:szCs w:val="28"/>
        </w:rPr>
        <w:t>sufficient to address the primary concern animating the Petition.</w:t>
      </w:r>
    </w:p>
    <w:p w14:paraId="0B8AB312" w14:textId="58BFACA6" w:rsidR="005C3AFF" w:rsidRPr="004B64A7" w:rsidRDefault="0008546E" w:rsidP="00B926CD">
      <w:pPr>
        <w:pStyle w:val="ListParagraph"/>
        <w:numPr>
          <w:ilvl w:val="1"/>
          <w:numId w:val="15"/>
        </w:numPr>
        <w:spacing w:before="240" w:after="120" w:line="240" w:lineRule="auto"/>
        <w:ind w:hanging="720"/>
        <w:contextualSpacing w:val="0"/>
        <w:rPr>
          <w:rFonts w:ascii="Times New Roman" w:hAnsi="Times New Roman" w:cs="Times New Roman"/>
          <w:b/>
          <w:bCs/>
          <w:sz w:val="28"/>
          <w:szCs w:val="28"/>
        </w:rPr>
      </w:pPr>
      <w:r w:rsidRPr="004B64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En banc</w:t>
      </w:r>
      <w:r w:rsidR="00482B89" w:rsidRPr="004B64A7">
        <w:rPr>
          <w:rFonts w:ascii="Times New Roman" w:hAnsi="Times New Roman" w:cs="Times New Roman"/>
          <w:b/>
          <w:bCs/>
          <w:sz w:val="28"/>
          <w:szCs w:val="28"/>
        </w:rPr>
        <w:t xml:space="preserve"> review would </w:t>
      </w:r>
      <w:r w:rsidR="00972409" w:rsidRPr="004B64A7">
        <w:rPr>
          <w:rFonts w:ascii="Times New Roman" w:hAnsi="Times New Roman" w:cs="Times New Roman"/>
          <w:b/>
          <w:bCs/>
          <w:sz w:val="28"/>
          <w:szCs w:val="28"/>
        </w:rPr>
        <w:t xml:space="preserve">add </w:t>
      </w:r>
      <w:r w:rsidR="00B926CD" w:rsidRPr="004B64A7">
        <w:rPr>
          <w:rFonts w:ascii="Times New Roman" w:hAnsi="Times New Roman" w:cs="Times New Roman"/>
          <w:b/>
          <w:bCs/>
          <w:sz w:val="28"/>
          <w:szCs w:val="28"/>
        </w:rPr>
        <w:t xml:space="preserve">unnecessary </w:t>
      </w:r>
      <w:r w:rsidR="00972409" w:rsidRPr="004B64A7">
        <w:rPr>
          <w:rFonts w:ascii="Times New Roman" w:hAnsi="Times New Roman" w:cs="Times New Roman"/>
          <w:b/>
          <w:bCs/>
          <w:sz w:val="28"/>
          <w:szCs w:val="28"/>
        </w:rPr>
        <w:t>burden and delay to the appellate process.</w:t>
      </w:r>
    </w:p>
    <w:p w14:paraId="73F73ACE" w14:textId="77777777" w:rsidR="00583916" w:rsidRPr="004B64A7" w:rsidRDefault="00583916" w:rsidP="00583916">
      <w:pPr>
        <w:pStyle w:val="ListParagraph"/>
        <w:spacing w:before="240" w:after="120" w:line="240" w:lineRule="auto"/>
        <w:ind w:left="1440"/>
        <w:contextualSpacing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A676BA0" w14:textId="6860716D" w:rsidR="009D57A6" w:rsidRPr="004B64A7" w:rsidRDefault="00AA03B0" w:rsidP="00583916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</w:rPr>
      </w:pPr>
      <w:r w:rsidRPr="004B64A7">
        <w:rPr>
          <w:sz w:val="28"/>
          <w:szCs w:val="28"/>
        </w:rPr>
        <w:t xml:space="preserve">Even if existing procedures did not allow the Court of Appeals and Supreme </w:t>
      </w:r>
      <w:r w:rsidRPr="004B64A7">
        <w:rPr>
          <w:sz w:val="28"/>
          <w:szCs w:val="28"/>
        </w:rPr>
        <w:lastRenderedPageBreak/>
        <w:t xml:space="preserve">Court to deal with conflicting Court of </w:t>
      </w:r>
      <w:proofErr w:type="gramStart"/>
      <w:r w:rsidRPr="004B64A7">
        <w:rPr>
          <w:sz w:val="28"/>
          <w:szCs w:val="28"/>
        </w:rPr>
        <w:t>Appeals’</w:t>
      </w:r>
      <w:proofErr w:type="gramEnd"/>
      <w:r w:rsidRPr="004B64A7">
        <w:rPr>
          <w:sz w:val="28"/>
          <w:szCs w:val="28"/>
        </w:rPr>
        <w:t xml:space="preserve"> decisions, a</w:t>
      </w:r>
      <w:r w:rsidR="000315E9" w:rsidRPr="004B64A7">
        <w:rPr>
          <w:sz w:val="28"/>
          <w:szCs w:val="28"/>
        </w:rPr>
        <w:t>dding</w:t>
      </w:r>
      <w:r w:rsidRPr="004B64A7">
        <w:rPr>
          <w:sz w:val="28"/>
          <w:szCs w:val="28"/>
        </w:rPr>
        <w:t xml:space="preserve"> </w:t>
      </w:r>
      <w:proofErr w:type="spellStart"/>
      <w:r w:rsidRPr="004B64A7">
        <w:rPr>
          <w:i/>
          <w:iCs/>
          <w:sz w:val="28"/>
          <w:szCs w:val="28"/>
        </w:rPr>
        <w:t>en</w:t>
      </w:r>
      <w:proofErr w:type="spellEnd"/>
      <w:r w:rsidRPr="004B64A7">
        <w:rPr>
          <w:i/>
          <w:iCs/>
          <w:sz w:val="28"/>
          <w:szCs w:val="28"/>
        </w:rPr>
        <w:t xml:space="preserve"> banc</w:t>
      </w:r>
      <w:r w:rsidRPr="004B64A7">
        <w:rPr>
          <w:sz w:val="28"/>
          <w:szCs w:val="28"/>
        </w:rPr>
        <w:t xml:space="preserve"> </w:t>
      </w:r>
      <w:r w:rsidR="0079342D" w:rsidRPr="004B64A7">
        <w:rPr>
          <w:sz w:val="28"/>
          <w:szCs w:val="28"/>
        </w:rPr>
        <w:t xml:space="preserve">review </w:t>
      </w:r>
      <w:r w:rsidR="000315E9" w:rsidRPr="004B64A7">
        <w:rPr>
          <w:sz w:val="28"/>
          <w:szCs w:val="28"/>
        </w:rPr>
        <w:t>is not the appropriate mechanism for dealing with that issue</w:t>
      </w:r>
      <w:r w:rsidR="00675976" w:rsidRPr="004B64A7">
        <w:rPr>
          <w:sz w:val="28"/>
          <w:szCs w:val="28"/>
        </w:rPr>
        <w:t xml:space="preserve">.  </w:t>
      </w:r>
      <w:r w:rsidR="00CF7765" w:rsidRPr="004B64A7">
        <w:rPr>
          <w:sz w:val="28"/>
          <w:szCs w:val="28"/>
        </w:rPr>
        <w:t>Two consideration</w:t>
      </w:r>
      <w:r w:rsidR="00E1435F" w:rsidRPr="004B64A7">
        <w:rPr>
          <w:sz w:val="28"/>
          <w:szCs w:val="28"/>
        </w:rPr>
        <w:t>s</w:t>
      </w:r>
      <w:r w:rsidR="00A41BAE" w:rsidRPr="004B64A7">
        <w:rPr>
          <w:sz w:val="28"/>
          <w:szCs w:val="28"/>
        </w:rPr>
        <w:t>, when taken together, drive a concern that such a process would add unnecessary burden and delay to an already burdened appellate process.</w:t>
      </w:r>
    </w:p>
    <w:p w14:paraId="591D6CD3" w14:textId="0AA04D28" w:rsidR="00B71EC5" w:rsidRPr="004B64A7" w:rsidRDefault="00A41BAE" w:rsidP="00583916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</w:rPr>
      </w:pPr>
      <w:r w:rsidRPr="004B64A7">
        <w:rPr>
          <w:sz w:val="28"/>
          <w:szCs w:val="28"/>
        </w:rPr>
        <w:t xml:space="preserve">On the one hand, a true “conflict” can only exist </w:t>
      </w:r>
      <w:r w:rsidR="00B77B5F" w:rsidRPr="004B64A7">
        <w:rPr>
          <w:sz w:val="28"/>
          <w:szCs w:val="28"/>
        </w:rPr>
        <w:t xml:space="preserve">between two or more published opinions.  </w:t>
      </w:r>
      <w:r w:rsidR="00B77B5F" w:rsidRPr="004B64A7">
        <w:rPr>
          <w:i/>
          <w:iCs/>
          <w:sz w:val="28"/>
          <w:szCs w:val="28"/>
        </w:rPr>
        <w:t>See</w:t>
      </w:r>
      <w:r w:rsidR="00B77B5F" w:rsidRPr="004B64A7">
        <w:rPr>
          <w:sz w:val="28"/>
          <w:szCs w:val="28"/>
        </w:rPr>
        <w:t xml:space="preserve"> </w:t>
      </w:r>
      <w:r w:rsidR="00B71EC5" w:rsidRPr="004B64A7">
        <w:rPr>
          <w:sz w:val="28"/>
          <w:szCs w:val="28"/>
        </w:rPr>
        <w:t xml:space="preserve">Ariz. Sup. Ct. R. 111(c)(1) (“Memorandum decisions of Arizona state courts are not precedential </w:t>
      </w:r>
      <w:proofErr w:type="gramStart"/>
      <w:r w:rsidR="00B71EC5" w:rsidRPr="004B64A7">
        <w:rPr>
          <w:sz w:val="28"/>
          <w:szCs w:val="28"/>
        </w:rPr>
        <w:t>. . . .</w:t>
      </w:r>
      <w:proofErr w:type="gramEnd"/>
      <w:r w:rsidR="00B71EC5" w:rsidRPr="004B64A7">
        <w:rPr>
          <w:sz w:val="28"/>
          <w:szCs w:val="28"/>
        </w:rPr>
        <w:t>”).</w:t>
      </w:r>
      <w:r w:rsidR="00B77B5F" w:rsidRPr="004B64A7">
        <w:rPr>
          <w:sz w:val="28"/>
          <w:szCs w:val="28"/>
        </w:rPr>
        <w:t xml:space="preserve">  In 2023, </w:t>
      </w:r>
      <w:r w:rsidR="00804BE9" w:rsidRPr="004B64A7">
        <w:rPr>
          <w:sz w:val="28"/>
          <w:szCs w:val="28"/>
        </w:rPr>
        <w:t xml:space="preserve">Divisions One and Two terminated a total of 3,375 appeals.  </w:t>
      </w:r>
      <w:r w:rsidR="00804BE9" w:rsidRPr="004B64A7">
        <w:rPr>
          <w:i/>
          <w:iCs/>
          <w:sz w:val="28"/>
          <w:szCs w:val="28"/>
        </w:rPr>
        <w:t xml:space="preserve">See </w:t>
      </w:r>
      <w:r w:rsidR="00804BE9" w:rsidRPr="004B64A7">
        <w:rPr>
          <w:sz w:val="28"/>
          <w:szCs w:val="28"/>
        </w:rPr>
        <w:t xml:space="preserve">2023 Activity Report, at </w:t>
      </w:r>
      <w:r w:rsidR="005E7066" w:rsidRPr="004B64A7">
        <w:rPr>
          <w:sz w:val="28"/>
          <w:szCs w:val="28"/>
        </w:rPr>
        <w:t xml:space="preserve">10 (Div. I), 14 (Div. II).  Of those, only </w:t>
      </w:r>
      <w:r w:rsidR="007E3BFF" w:rsidRPr="004B64A7">
        <w:rPr>
          <w:sz w:val="28"/>
          <w:szCs w:val="28"/>
        </w:rPr>
        <w:t>93 (</w:t>
      </w:r>
      <w:r w:rsidR="00A46A79" w:rsidRPr="004B64A7">
        <w:rPr>
          <w:sz w:val="28"/>
          <w:szCs w:val="28"/>
        </w:rPr>
        <w:t xml:space="preserve">2.75%) resulted in published opinions that could have resulted in </w:t>
      </w:r>
      <w:proofErr w:type="gramStart"/>
      <w:r w:rsidR="00A46A79" w:rsidRPr="004B64A7">
        <w:rPr>
          <w:sz w:val="28"/>
          <w:szCs w:val="28"/>
        </w:rPr>
        <w:t>a conflict</w:t>
      </w:r>
      <w:proofErr w:type="gramEnd"/>
      <w:r w:rsidR="00A46A79" w:rsidRPr="004B64A7">
        <w:rPr>
          <w:sz w:val="28"/>
          <w:szCs w:val="28"/>
        </w:rPr>
        <w:t xml:space="preserve">.  </w:t>
      </w:r>
      <w:r w:rsidR="00954116" w:rsidRPr="004B64A7">
        <w:rPr>
          <w:sz w:val="28"/>
          <w:szCs w:val="28"/>
        </w:rPr>
        <w:t>(</w:t>
      </w:r>
      <w:r w:rsidR="00954116" w:rsidRPr="004B64A7">
        <w:rPr>
          <w:i/>
          <w:iCs/>
          <w:sz w:val="28"/>
          <w:szCs w:val="28"/>
        </w:rPr>
        <w:t>Id.</w:t>
      </w:r>
      <w:r w:rsidR="00954116" w:rsidRPr="004B64A7">
        <w:rPr>
          <w:sz w:val="28"/>
          <w:szCs w:val="28"/>
        </w:rPr>
        <w:t xml:space="preserve">)  </w:t>
      </w:r>
      <w:r w:rsidR="00A46A79" w:rsidRPr="004B64A7">
        <w:rPr>
          <w:sz w:val="28"/>
          <w:szCs w:val="28"/>
        </w:rPr>
        <w:t xml:space="preserve">Granted, each of those </w:t>
      </w:r>
      <w:r w:rsidR="006B733D" w:rsidRPr="004B64A7">
        <w:rPr>
          <w:sz w:val="28"/>
          <w:szCs w:val="28"/>
        </w:rPr>
        <w:t xml:space="preserve">93 decisions had the potential to create a conflict with an existing opinion, but given the </w:t>
      </w:r>
      <w:r w:rsidR="00BC34B2" w:rsidRPr="004B64A7">
        <w:rPr>
          <w:sz w:val="28"/>
          <w:szCs w:val="28"/>
        </w:rPr>
        <w:t xml:space="preserve">tiny proportion of cases that can even possibly result in a conflict, the potential for </w:t>
      </w:r>
      <w:r w:rsidR="00F27A65" w:rsidRPr="004B64A7">
        <w:rPr>
          <w:sz w:val="28"/>
          <w:szCs w:val="28"/>
        </w:rPr>
        <w:t>a new conflict each year is exceedingly minimal.  And, in those instances where a conflict is created, the processes above remain available to prevent or resolve it.</w:t>
      </w:r>
    </w:p>
    <w:p w14:paraId="5A123CCD" w14:textId="0CBD7BDD" w:rsidR="00DF73D5" w:rsidRPr="004B64A7" w:rsidRDefault="00492B2D" w:rsidP="00583916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</w:rPr>
      </w:pPr>
      <w:r w:rsidRPr="004B64A7">
        <w:rPr>
          <w:sz w:val="28"/>
          <w:szCs w:val="28"/>
        </w:rPr>
        <w:t>On the other hand, the process that the Petition proposes would likely result in a significant</w:t>
      </w:r>
      <w:r w:rsidR="00740868" w:rsidRPr="004B64A7">
        <w:rPr>
          <w:sz w:val="28"/>
          <w:szCs w:val="28"/>
        </w:rPr>
        <w:t>ly greater percentage of request</w:t>
      </w:r>
      <w:r w:rsidR="00F2425E" w:rsidRPr="004B64A7">
        <w:rPr>
          <w:sz w:val="28"/>
          <w:szCs w:val="28"/>
        </w:rPr>
        <w:t>s</w:t>
      </w:r>
      <w:r w:rsidR="00740868" w:rsidRPr="004B64A7">
        <w:rPr>
          <w:sz w:val="28"/>
          <w:szCs w:val="28"/>
        </w:rPr>
        <w:t xml:space="preserve"> for </w:t>
      </w:r>
      <w:proofErr w:type="spellStart"/>
      <w:r w:rsidR="00740868" w:rsidRPr="004B64A7">
        <w:rPr>
          <w:i/>
          <w:iCs/>
          <w:sz w:val="28"/>
          <w:szCs w:val="28"/>
        </w:rPr>
        <w:t>en</w:t>
      </w:r>
      <w:proofErr w:type="spellEnd"/>
      <w:r w:rsidR="00740868" w:rsidRPr="004B64A7">
        <w:rPr>
          <w:i/>
          <w:iCs/>
          <w:sz w:val="28"/>
          <w:szCs w:val="28"/>
        </w:rPr>
        <w:t xml:space="preserve"> banc</w:t>
      </w:r>
      <w:r w:rsidR="00740868" w:rsidRPr="004B64A7">
        <w:rPr>
          <w:sz w:val="28"/>
          <w:szCs w:val="28"/>
        </w:rPr>
        <w:t xml:space="preserve"> review than the percentage of case terminations that could lead to a potential conflict.  For one, </w:t>
      </w:r>
      <w:r w:rsidR="00BA4650" w:rsidRPr="004B64A7">
        <w:rPr>
          <w:sz w:val="28"/>
          <w:szCs w:val="28"/>
        </w:rPr>
        <w:t xml:space="preserve">as the proposed rule is drafted, litigants are not limited to </w:t>
      </w:r>
      <w:r w:rsidR="001257C2" w:rsidRPr="004B64A7">
        <w:rPr>
          <w:sz w:val="28"/>
          <w:szCs w:val="28"/>
        </w:rPr>
        <w:t xml:space="preserve">only </w:t>
      </w:r>
      <w:r w:rsidR="00BA4650" w:rsidRPr="004B64A7">
        <w:rPr>
          <w:sz w:val="28"/>
          <w:szCs w:val="28"/>
        </w:rPr>
        <w:t xml:space="preserve">seeking </w:t>
      </w:r>
      <w:proofErr w:type="spellStart"/>
      <w:proofErr w:type="gramStart"/>
      <w:r w:rsidR="00BA4650" w:rsidRPr="004B64A7">
        <w:rPr>
          <w:i/>
          <w:iCs/>
          <w:sz w:val="28"/>
          <w:szCs w:val="28"/>
        </w:rPr>
        <w:t>en</w:t>
      </w:r>
      <w:proofErr w:type="spellEnd"/>
      <w:proofErr w:type="gramEnd"/>
      <w:r w:rsidR="00BA4650" w:rsidRPr="004B64A7">
        <w:rPr>
          <w:i/>
          <w:iCs/>
          <w:sz w:val="28"/>
          <w:szCs w:val="28"/>
        </w:rPr>
        <w:t xml:space="preserve"> banc</w:t>
      </w:r>
      <w:r w:rsidR="00BA4650" w:rsidRPr="004B64A7">
        <w:rPr>
          <w:sz w:val="28"/>
          <w:szCs w:val="28"/>
        </w:rPr>
        <w:t xml:space="preserve"> review </w:t>
      </w:r>
      <w:r w:rsidR="00FB0CD1" w:rsidRPr="004B64A7">
        <w:rPr>
          <w:sz w:val="28"/>
          <w:szCs w:val="28"/>
        </w:rPr>
        <w:t xml:space="preserve">when a conflict arises, which means litigants will inevitably file petitions for </w:t>
      </w:r>
      <w:proofErr w:type="spellStart"/>
      <w:r w:rsidR="00FB0CD1" w:rsidRPr="004B64A7">
        <w:rPr>
          <w:i/>
          <w:iCs/>
          <w:sz w:val="28"/>
          <w:szCs w:val="28"/>
        </w:rPr>
        <w:t>en</w:t>
      </w:r>
      <w:proofErr w:type="spellEnd"/>
      <w:r w:rsidR="00FB0CD1" w:rsidRPr="004B64A7">
        <w:rPr>
          <w:i/>
          <w:iCs/>
          <w:sz w:val="28"/>
          <w:szCs w:val="28"/>
        </w:rPr>
        <w:t xml:space="preserve"> banc</w:t>
      </w:r>
      <w:r w:rsidR="00FB0CD1" w:rsidRPr="004B64A7">
        <w:rPr>
          <w:sz w:val="28"/>
          <w:szCs w:val="28"/>
        </w:rPr>
        <w:t xml:space="preserve"> review for any number of reasons that have nothing to do with the </w:t>
      </w:r>
      <w:r w:rsidR="001D7762" w:rsidRPr="004B64A7">
        <w:rPr>
          <w:sz w:val="28"/>
          <w:szCs w:val="28"/>
        </w:rPr>
        <w:t xml:space="preserve">reason for creating </w:t>
      </w:r>
      <w:r w:rsidR="001D7762" w:rsidRPr="004B64A7">
        <w:rPr>
          <w:sz w:val="28"/>
          <w:szCs w:val="28"/>
        </w:rPr>
        <w:lastRenderedPageBreak/>
        <w:t xml:space="preserve">the process.  Furthermore, litigants are likely to view </w:t>
      </w:r>
      <w:proofErr w:type="spellStart"/>
      <w:r w:rsidR="001D7762" w:rsidRPr="004B64A7">
        <w:rPr>
          <w:i/>
          <w:iCs/>
          <w:sz w:val="28"/>
          <w:szCs w:val="28"/>
        </w:rPr>
        <w:t>en</w:t>
      </w:r>
      <w:proofErr w:type="spellEnd"/>
      <w:r w:rsidR="001D7762" w:rsidRPr="004B64A7">
        <w:rPr>
          <w:i/>
          <w:iCs/>
          <w:sz w:val="28"/>
          <w:szCs w:val="28"/>
        </w:rPr>
        <w:t xml:space="preserve"> banc</w:t>
      </w:r>
      <w:r w:rsidR="001D7762" w:rsidRPr="004B64A7">
        <w:rPr>
          <w:sz w:val="28"/>
          <w:szCs w:val="28"/>
        </w:rPr>
        <w:t xml:space="preserve"> review </w:t>
      </w:r>
      <w:r w:rsidR="00324A7F" w:rsidRPr="004B64A7">
        <w:rPr>
          <w:sz w:val="28"/>
          <w:szCs w:val="28"/>
        </w:rPr>
        <w:t>as just another form of reconsideration, rather than a</w:t>
      </w:r>
      <w:r w:rsidR="00AD3F51" w:rsidRPr="004B64A7">
        <w:rPr>
          <w:sz w:val="28"/>
          <w:szCs w:val="28"/>
        </w:rPr>
        <w:t xml:space="preserve"> truly</w:t>
      </w:r>
      <w:r w:rsidR="00324A7F" w:rsidRPr="004B64A7">
        <w:rPr>
          <w:sz w:val="28"/>
          <w:szCs w:val="28"/>
        </w:rPr>
        <w:t xml:space="preserve"> unique process that should be pursued in </w:t>
      </w:r>
      <w:r w:rsidR="00876BB1" w:rsidRPr="004B64A7">
        <w:rPr>
          <w:sz w:val="28"/>
          <w:szCs w:val="28"/>
        </w:rPr>
        <w:t xml:space="preserve">rare circumstances.  And every time a petition for </w:t>
      </w:r>
      <w:proofErr w:type="spellStart"/>
      <w:proofErr w:type="gramStart"/>
      <w:r w:rsidR="00876BB1" w:rsidRPr="004B64A7">
        <w:rPr>
          <w:i/>
          <w:iCs/>
          <w:sz w:val="28"/>
          <w:szCs w:val="28"/>
        </w:rPr>
        <w:t>en</w:t>
      </w:r>
      <w:proofErr w:type="spellEnd"/>
      <w:proofErr w:type="gramEnd"/>
      <w:r w:rsidR="00876BB1" w:rsidRPr="004B64A7">
        <w:rPr>
          <w:i/>
          <w:iCs/>
          <w:sz w:val="28"/>
          <w:szCs w:val="28"/>
        </w:rPr>
        <w:t xml:space="preserve"> banc</w:t>
      </w:r>
      <w:r w:rsidR="00876BB1" w:rsidRPr="004B64A7">
        <w:rPr>
          <w:sz w:val="28"/>
          <w:szCs w:val="28"/>
        </w:rPr>
        <w:t xml:space="preserve"> review is filed, </w:t>
      </w:r>
      <w:r w:rsidR="00F645CF" w:rsidRPr="004B64A7">
        <w:rPr>
          <w:sz w:val="28"/>
          <w:szCs w:val="28"/>
        </w:rPr>
        <w:t xml:space="preserve">the entire division where the petition is filed will be forced to consider the petition because the proposed rule says a petition can be granted only if </w:t>
      </w:r>
      <w:proofErr w:type="gramStart"/>
      <w:r w:rsidR="00F645CF" w:rsidRPr="004B64A7">
        <w:rPr>
          <w:sz w:val="28"/>
          <w:szCs w:val="28"/>
        </w:rPr>
        <w:t>a majority of</w:t>
      </w:r>
      <w:proofErr w:type="gramEnd"/>
      <w:r w:rsidR="00F645CF" w:rsidRPr="004B64A7">
        <w:rPr>
          <w:sz w:val="28"/>
          <w:szCs w:val="28"/>
        </w:rPr>
        <w:t xml:space="preserve"> judges in the division agree.  </w:t>
      </w:r>
      <w:r w:rsidR="00592E05" w:rsidRPr="004B64A7">
        <w:rPr>
          <w:sz w:val="28"/>
          <w:szCs w:val="28"/>
        </w:rPr>
        <w:t xml:space="preserve">Taking these considerations together with the relatively few instances in which a true conflict can be created, the </w:t>
      </w:r>
      <w:r w:rsidR="00B3695D" w:rsidRPr="004B64A7">
        <w:rPr>
          <w:sz w:val="28"/>
          <w:szCs w:val="28"/>
        </w:rPr>
        <w:t xml:space="preserve">State </w:t>
      </w:r>
      <w:r w:rsidR="00592E05" w:rsidRPr="004B64A7">
        <w:rPr>
          <w:sz w:val="28"/>
          <w:szCs w:val="28"/>
        </w:rPr>
        <w:t xml:space="preserve">Bar foresees </w:t>
      </w:r>
      <w:r w:rsidR="00FC1B84" w:rsidRPr="004B64A7">
        <w:rPr>
          <w:sz w:val="28"/>
          <w:szCs w:val="28"/>
        </w:rPr>
        <w:t xml:space="preserve">a situation in which </w:t>
      </w:r>
      <w:proofErr w:type="spellStart"/>
      <w:r w:rsidR="00FC1B84" w:rsidRPr="004B64A7">
        <w:rPr>
          <w:i/>
          <w:iCs/>
          <w:sz w:val="28"/>
          <w:szCs w:val="28"/>
        </w:rPr>
        <w:t>en</w:t>
      </w:r>
      <w:proofErr w:type="spellEnd"/>
      <w:r w:rsidR="00FC1B84" w:rsidRPr="004B64A7">
        <w:rPr>
          <w:i/>
          <w:iCs/>
          <w:sz w:val="28"/>
          <w:szCs w:val="28"/>
        </w:rPr>
        <w:t xml:space="preserve"> banc</w:t>
      </w:r>
      <w:r w:rsidR="00FC1B84" w:rsidRPr="004B64A7">
        <w:rPr>
          <w:sz w:val="28"/>
          <w:szCs w:val="28"/>
        </w:rPr>
        <w:t xml:space="preserve"> petitions w</w:t>
      </w:r>
      <w:r w:rsidR="00B3695D" w:rsidRPr="004B64A7">
        <w:rPr>
          <w:sz w:val="28"/>
          <w:szCs w:val="28"/>
        </w:rPr>
        <w:t>ould</w:t>
      </w:r>
      <w:r w:rsidR="00FC1B84" w:rsidRPr="004B64A7">
        <w:rPr>
          <w:sz w:val="28"/>
          <w:szCs w:val="28"/>
        </w:rPr>
        <w:t xml:space="preserve"> be abused–or at the very least, overused–creating </w:t>
      </w:r>
      <w:r w:rsidR="00251E5D" w:rsidRPr="004B64A7">
        <w:rPr>
          <w:sz w:val="28"/>
          <w:szCs w:val="28"/>
        </w:rPr>
        <w:t>delay and adding burden to an already taxed appellate court system.</w:t>
      </w:r>
    </w:p>
    <w:p w14:paraId="71371D3F" w14:textId="66202BCA" w:rsidR="00402861" w:rsidRPr="004B64A7" w:rsidRDefault="00402861" w:rsidP="00907764">
      <w:pPr>
        <w:pStyle w:val="ListParagraph"/>
        <w:keepNext/>
        <w:numPr>
          <w:ilvl w:val="1"/>
          <w:numId w:val="15"/>
        </w:numPr>
        <w:spacing w:before="240" w:after="0" w:line="240" w:lineRule="auto"/>
        <w:ind w:hanging="720"/>
        <w:contextualSpacing w:val="0"/>
        <w:rPr>
          <w:rFonts w:ascii="Times New Roman" w:hAnsi="Times New Roman" w:cs="Times New Roman"/>
          <w:b/>
          <w:bCs/>
          <w:sz w:val="28"/>
          <w:szCs w:val="28"/>
        </w:rPr>
      </w:pPr>
      <w:r w:rsidRPr="004B64A7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="0008546E" w:rsidRPr="004B64A7">
        <w:rPr>
          <w:rFonts w:ascii="Times New Roman" w:hAnsi="Times New Roman" w:cs="Times New Roman"/>
          <w:b/>
          <w:bCs/>
          <w:sz w:val="28"/>
          <w:szCs w:val="28"/>
        </w:rPr>
        <w:t>he language of the proposed new rule is</w:t>
      </w:r>
      <w:r w:rsidR="00592E05" w:rsidRPr="004B64A7">
        <w:rPr>
          <w:rFonts w:ascii="Times New Roman" w:hAnsi="Times New Roman" w:cs="Times New Roman"/>
          <w:b/>
          <w:bCs/>
          <w:sz w:val="28"/>
          <w:szCs w:val="28"/>
        </w:rPr>
        <w:t xml:space="preserve"> broad and</w:t>
      </w:r>
      <w:r w:rsidR="0008546E" w:rsidRPr="004B64A7">
        <w:rPr>
          <w:rFonts w:ascii="Times New Roman" w:hAnsi="Times New Roman" w:cs="Times New Roman"/>
          <w:b/>
          <w:bCs/>
          <w:sz w:val="28"/>
          <w:szCs w:val="28"/>
        </w:rPr>
        <w:t xml:space="preserve"> unclear.</w:t>
      </w:r>
    </w:p>
    <w:p w14:paraId="35FD290C" w14:textId="77777777" w:rsidR="00583916" w:rsidRPr="004B64A7" w:rsidRDefault="00583916" w:rsidP="00583916">
      <w:pPr>
        <w:keepNext/>
        <w:spacing w:before="240" w:line="240" w:lineRule="auto"/>
        <w:ind w:left="720"/>
        <w:rPr>
          <w:b/>
          <w:bCs/>
          <w:sz w:val="28"/>
          <w:szCs w:val="28"/>
        </w:rPr>
      </w:pPr>
    </w:p>
    <w:p w14:paraId="374D9B48" w14:textId="332DCCAA" w:rsidR="00F80DAF" w:rsidRPr="004B64A7" w:rsidRDefault="00F80DAF" w:rsidP="00583916">
      <w:pPr>
        <w:spacing w:line="480" w:lineRule="auto"/>
        <w:ind w:firstLine="720"/>
        <w:jc w:val="both"/>
        <w:rPr>
          <w:sz w:val="28"/>
          <w:szCs w:val="28"/>
        </w:rPr>
      </w:pPr>
      <w:r w:rsidRPr="004B64A7">
        <w:rPr>
          <w:sz w:val="28"/>
          <w:szCs w:val="28"/>
        </w:rPr>
        <w:t xml:space="preserve">If the Court </w:t>
      </w:r>
      <w:r w:rsidR="00D302D0" w:rsidRPr="004B64A7">
        <w:rPr>
          <w:sz w:val="28"/>
          <w:szCs w:val="28"/>
        </w:rPr>
        <w:t xml:space="preserve">decides an </w:t>
      </w:r>
      <w:proofErr w:type="spellStart"/>
      <w:r w:rsidR="00D302D0" w:rsidRPr="004B64A7">
        <w:rPr>
          <w:i/>
          <w:iCs/>
          <w:sz w:val="28"/>
          <w:szCs w:val="28"/>
        </w:rPr>
        <w:t>en</w:t>
      </w:r>
      <w:proofErr w:type="spellEnd"/>
      <w:r w:rsidR="00D302D0" w:rsidRPr="004B64A7">
        <w:rPr>
          <w:i/>
          <w:iCs/>
          <w:sz w:val="28"/>
          <w:szCs w:val="28"/>
        </w:rPr>
        <w:t xml:space="preserve"> banc</w:t>
      </w:r>
      <w:r w:rsidR="00D302D0" w:rsidRPr="004B64A7">
        <w:rPr>
          <w:sz w:val="28"/>
          <w:szCs w:val="28"/>
        </w:rPr>
        <w:t xml:space="preserve"> review process is worthwhile, it should nonetheless deny the Petition and </w:t>
      </w:r>
      <w:r w:rsidR="00A12286" w:rsidRPr="004B64A7">
        <w:rPr>
          <w:sz w:val="28"/>
          <w:szCs w:val="28"/>
        </w:rPr>
        <w:t xml:space="preserve">investigate other avenues for implementing the process because the </w:t>
      </w:r>
      <w:r w:rsidR="00E3534A" w:rsidRPr="004B64A7">
        <w:rPr>
          <w:sz w:val="28"/>
          <w:szCs w:val="28"/>
        </w:rPr>
        <w:t>language</w:t>
      </w:r>
      <w:r w:rsidR="00A12286" w:rsidRPr="004B64A7">
        <w:rPr>
          <w:sz w:val="28"/>
          <w:szCs w:val="28"/>
        </w:rPr>
        <w:t xml:space="preserve"> proposed in the Petition is</w:t>
      </w:r>
      <w:r w:rsidR="00251E5D" w:rsidRPr="004B64A7">
        <w:rPr>
          <w:sz w:val="28"/>
          <w:szCs w:val="28"/>
        </w:rPr>
        <w:t xml:space="preserve"> too broad and</w:t>
      </w:r>
      <w:r w:rsidR="00A12286" w:rsidRPr="004B64A7">
        <w:rPr>
          <w:sz w:val="28"/>
          <w:szCs w:val="28"/>
        </w:rPr>
        <w:t xml:space="preserve"> unclear.  </w:t>
      </w:r>
    </w:p>
    <w:p w14:paraId="472FA142" w14:textId="2010ABB8" w:rsidR="00251E5D" w:rsidRPr="004B64A7" w:rsidRDefault="00251E5D" w:rsidP="00583916">
      <w:pPr>
        <w:spacing w:line="480" w:lineRule="auto"/>
        <w:ind w:firstLine="720"/>
        <w:jc w:val="both"/>
        <w:rPr>
          <w:sz w:val="28"/>
          <w:szCs w:val="28"/>
        </w:rPr>
      </w:pPr>
      <w:r w:rsidRPr="004B64A7">
        <w:rPr>
          <w:sz w:val="28"/>
          <w:szCs w:val="28"/>
        </w:rPr>
        <w:t xml:space="preserve">As implied above, there are insufficient guardrails built into the rule to ensure </w:t>
      </w:r>
      <w:proofErr w:type="gramStart"/>
      <w:r w:rsidRPr="004B64A7">
        <w:rPr>
          <w:sz w:val="28"/>
          <w:szCs w:val="28"/>
        </w:rPr>
        <w:t>it is</w:t>
      </w:r>
      <w:proofErr w:type="gramEnd"/>
      <w:r w:rsidRPr="004B64A7">
        <w:rPr>
          <w:sz w:val="28"/>
          <w:szCs w:val="28"/>
        </w:rPr>
        <w:t xml:space="preserve"> not abused or over-used.  </w:t>
      </w:r>
      <w:r w:rsidR="00D6257E" w:rsidRPr="004B64A7">
        <w:rPr>
          <w:sz w:val="28"/>
          <w:szCs w:val="28"/>
        </w:rPr>
        <w:t xml:space="preserve">Although the proposed rule states the process is “not favored,” </w:t>
      </w:r>
      <w:r w:rsidR="003046E5" w:rsidRPr="004B64A7">
        <w:rPr>
          <w:sz w:val="28"/>
          <w:szCs w:val="28"/>
        </w:rPr>
        <w:t xml:space="preserve">it does not limit </w:t>
      </w:r>
      <w:r w:rsidR="006F4640" w:rsidRPr="004B64A7">
        <w:rPr>
          <w:sz w:val="28"/>
          <w:szCs w:val="28"/>
        </w:rPr>
        <w:t xml:space="preserve">the </w:t>
      </w:r>
      <w:r w:rsidR="006F4640" w:rsidRPr="004B64A7">
        <w:rPr>
          <w:i/>
          <w:iCs/>
          <w:sz w:val="28"/>
          <w:szCs w:val="28"/>
        </w:rPr>
        <w:t>types</w:t>
      </w:r>
      <w:r w:rsidR="006F4640" w:rsidRPr="004B64A7">
        <w:rPr>
          <w:sz w:val="28"/>
          <w:szCs w:val="28"/>
        </w:rPr>
        <w:t xml:space="preserve"> of decisions </w:t>
      </w:r>
      <w:r w:rsidR="002F4101" w:rsidRPr="004B64A7">
        <w:rPr>
          <w:sz w:val="28"/>
          <w:szCs w:val="28"/>
        </w:rPr>
        <w:t xml:space="preserve">that can be </w:t>
      </w:r>
      <w:r w:rsidR="006F4640" w:rsidRPr="004B64A7">
        <w:rPr>
          <w:sz w:val="28"/>
          <w:szCs w:val="28"/>
        </w:rPr>
        <w:t>reconsider</w:t>
      </w:r>
      <w:r w:rsidR="002F4101" w:rsidRPr="004B64A7">
        <w:rPr>
          <w:sz w:val="28"/>
          <w:szCs w:val="28"/>
        </w:rPr>
        <w:t>ed</w:t>
      </w:r>
      <w:r w:rsidR="006F4640" w:rsidRPr="004B64A7">
        <w:rPr>
          <w:sz w:val="28"/>
          <w:szCs w:val="28"/>
        </w:rPr>
        <w:t xml:space="preserve"> </w:t>
      </w:r>
      <w:proofErr w:type="spellStart"/>
      <w:r w:rsidR="006F4640" w:rsidRPr="004B64A7">
        <w:rPr>
          <w:i/>
          <w:iCs/>
          <w:sz w:val="28"/>
          <w:szCs w:val="28"/>
        </w:rPr>
        <w:t>en</w:t>
      </w:r>
      <w:proofErr w:type="spellEnd"/>
      <w:r w:rsidR="006F4640" w:rsidRPr="004B64A7">
        <w:rPr>
          <w:i/>
          <w:iCs/>
          <w:sz w:val="28"/>
          <w:szCs w:val="28"/>
        </w:rPr>
        <w:t xml:space="preserve"> banc</w:t>
      </w:r>
      <w:r w:rsidR="006F4640" w:rsidRPr="004B64A7">
        <w:rPr>
          <w:sz w:val="28"/>
          <w:szCs w:val="28"/>
        </w:rPr>
        <w:t xml:space="preserve">.  As explained above, only </w:t>
      </w:r>
      <w:r w:rsidR="002A432F" w:rsidRPr="004B64A7">
        <w:rPr>
          <w:sz w:val="28"/>
          <w:szCs w:val="28"/>
        </w:rPr>
        <w:t>published opinions can create true conflicts, yet there is no</w:t>
      </w:r>
      <w:r w:rsidR="0030113C" w:rsidRPr="004B64A7">
        <w:rPr>
          <w:sz w:val="28"/>
          <w:szCs w:val="28"/>
        </w:rPr>
        <w:t xml:space="preserve">thing in the proposed rule </w:t>
      </w:r>
      <w:r w:rsidR="008857BA" w:rsidRPr="004B64A7">
        <w:rPr>
          <w:sz w:val="28"/>
          <w:szCs w:val="28"/>
        </w:rPr>
        <w:t xml:space="preserve">to clarify that only published opinions should be subject to a request for </w:t>
      </w:r>
      <w:proofErr w:type="spellStart"/>
      <w:r w:rsidR="008857BA" w:rsidRPr="004B64A7">
        <w:rPr>
          <w:i/>
          <w:iCs/>
          <w:sz w:val="28"/>
          <w:szCs w:val="28"/>
        </w:rPr>
        <w:t>en</w:t>
      </w:r>
      <w:proofErr w:type="spellEnd"/>
      <w:r w:rsidR="008857BA" w:rsidRPr="004B64A7">
        <w:rPr>
          <w:i/>
          <w:iCs/>
          <w:sz w:val="28"/>
          <w:szCs w:val="28"/>
        </w:rPr>
        <w:t xml:space="preserve"> banc</w:t>
      </w:r>
      <w:r w:rsidR="008857BA" w:rsidRPr="004B64A7">
        <w:rPr>
          <w:sz w:val="28"/>
          <w:szCs w:val="28"/>
        </w:rPr>
        <w:t xml:space="preserve"> review grounded in a quest for “uniformity.”</w:t>
      </w:r>
      <w:r w:rsidR="002A432F" w:rsidRPr="004B64A7">
        <w:rPr>
          <w:sz w:val="28"/>
          <w:szCs w:val="28"/>
        </w:rPr>
        <w:t xml:space="preserve"> </w:t>
      </w:r>
      <w:r w:rsidR="00FC5477" w:rsidRPr="004B64A7">
        <w:rPr>
          <w:sz w:val="28"/>
          <w:szCs w:val="28"/>
        </w:rPr>
        <w:t xml:space="preserve"> Litigants are </w:t>
      </w:r>
      <w:proofErr w:type="gramStart"/>
      <w:r w:rsidR="00FC5477" w:rsidRPr="004B64A7">
        <w:rPr>
          <w:sz w:val="28"/>
          <w:szCs w:val="28"/>
        </w:rPr>
        <w:lastRenderedPageBreak/>
        <w:t>thus</w:t>
      </w:r>
      <w:proofErr w:type="gramEnd"/>
      <w:r w:rsidR="00FC5477" w:rsidRPr="004B64A7">
        <w:rPr>
          <w:sz w:val="28"/>
          <w:szCs w:val="28"/>
        </w:rPr>
        <w:t xml:space="preserve"> likely to bog down the Court of Appeals with requests for </w:t>
      </w:r>
      <w:proofErr w:type="spellStart"/>
      <w:r w:rsidR="00FC5477" w:rsidRPr="004B64A7">
        <w:rPr>
          <w:i/>
          <w:iCs/>
          <w:sz w:val="28"/>
          <w:szCs w:val="28"/>
        </w:rPr>
        <w:t>en</w:t>
      </w:r>
      <w:proofErr w:type="spellEnd"/>
      <w:r w:rsidR="00FC5477" w:rsidRPr="004B64A7">
        <w:rPr>
          <w:i/>
          <w:iCs/>
          <w:sz w:val="28"/>
          <w:szCs w:val="28"/>
        </w:rPr>
        <w:t xml:space="preserve"> banc</w:t>
      </w:r>
      <w:r w:rsidR="00FC5477" w:rsidRPr="004B64A7">
        <w:rPr>
          <w:sz w:val="28"/>
          <w:szCs w:val="28"/>
        </w:rPr>
        <w:t xml:space="preserve"> reconsideration of memorandum decisions that</w:t>
      </w:r>
      <w:r w:rsidR="00005B86" w:rsidRPr="004B64A7">
        <w:rPr>
          <w:sz w:val="28"/>
          <w:szCs w:val="28"/>
        </w:rPr>
        <w:t>, as a matter of law, cannot</w:t>
      </w:r>
      <w:r w:rsidR="00FC5477" w:rsidRPr="004B64A7">
        <w:rPr>
          <w:sz w:val="28"/>
          <w:szCs w:val="28"/>
        </w:rPr>
        <w:t xml:space="preserve"> pose </w:t>
      </w:r>
      <w:r w:rsidR="00005B86" w:rsidRPr="004B64A7">
        <w:rPr>
          <w:sz w:val="28"/>
          <w:szCs w:val="28"/>
        </w:rPr>
        <w:t>any</w:t>
      </w:r>
      <w:r w:rsidR="00FC5477" w:rsidRPr="004B64A7">
        <w:rPr>
          <w:sz w:val="28"/>
          <w:szCs w:val="28"/>
        </w:rPr>
        <w:t xml:space="preserve"> real threat to “uniformity.”</w:t>
      </w:r>
    </w:p>
    <w:p w14:paraId="58A620EB" w14:textId="5C457692" w:rsidR="00402861" w:rsidRPr="004B64A7" w:rsidRDefault="006E5088" w:rsidP="00583916">
      <w:pPr>
        <w:spacing w:line="480" w:lineRule="auto"/>
        <w:jc w:val="both"/>
        <w:rPr>
          <w:sz w:val="28"/>
          <w:szCs w:val="28"/>
        </w:rPr>
      </w:pPr>
      <w:r w:rsidRPr="004B64A7">
        <w:rPr>
          <w:sz w:val="28"/>
          <w:szCs w:val="28"/>
        </w:rPr>
        <w:tab/>
        <w:t>The scope of the rule</w:t>
      </w:r>
      <w:r w:rsidR="004F3DB8" w:rsidRPr="004B64A7">
        <w:rPr>
          <w:sz w:val="28"/>
          <w:szCs w:val="28"/>
        </w:rPr>
        <w:t>, and particularly</w:t>
      </w:r>
      <w:r w:rsidRPr="004B64A7">
        <w:rPr>
          <w:sz w:val="28"/>
          <w:szCs w:val="28"/>
        </w:rPr>
        <w:t xml:space="preserve"> the impact on motions for reconsideration, is also unclear.  </w:t>
      </w:r>
      <w:r w:rsidR="00B83414" w:rsidRPr="004B64A7">
        <w:rPr>
          <w:sz w:val="28"/>
          <w:szCs w:val="28"/>
        </w:rPr>
        <w:t>The proposed rule would a</w:t>
      </w:r>
      <w:r w:rsidR="009F4F2D" w:rsidRPr="004B64A7">
        <w:rPr>
          <w:sz w:val="28"/>
          <w:szCs w:val="28"/>
        </w:rPr>
        <w:t>d</w:t>
      </w:r>
      <w:r w:rsidR="00B83414" w:rsidRPr="004B64A7">
        <w:rPr>
          <w:sz w:val="28"/>
          <w:szCs w:val="28"/>
        </w:rPr>
        <w:t xml:space="preserve">d </w:t>
      </w:r>
      <w:r w:rsidR="009F4F2D" w:rsidRPr="004B64A7">
        <w:rPr>
          <w:sz w:val="28"/>
          <w:szCs w:val="28"/>
        </w:rPr>
        <w:t>a new</w:t>
      </w:r>
      <w:r w:rsidR="00B83414" w:rsidRPr="004B64A7">
        <w:rPr>
          <w:sz w:val="28"/>
          <w:szCs w:val="28"/>
        </w:rPr>
        <w:t xml:space="preserve"> Subsection (a)</w:t>
      </w:r>
      <w:r w:rsidR="009F4F2D" w:rsidRPr="004B64A7">
        <w:rPr>
          <w:sz w:val="28"/>
          <w:szCs w:val="28"/>
        </w:rPr>
        <w:t>, titled “When Reconsideration En Banc May Be Ordered,”</w:t>
      </w:r>
      <w:r w:rsidR="00DF310B" w:rsidRPr="004B64A7">
        <w:rPr>
          <w:sz w:val="28"/>
          <w:szCs w:val="28"/>
        </w:rPr>
        <w:t xml:space="preserve"> but there is no corresponding section to explain when </w:t>
      </w:r>
      <w:r w:rsidR="00BA3558" w:rsidRPr="004B64A7">
        <w:rPr>
          <w:sz w:val="28"/>
          <w:szCs w:val="28"/>
        </w:rPr>
        <w:t xml:space="preserve">standard </w:t>
      </w:r>
      <w:r w:rsidR="00DF310B" w:rsidRPr="004B64A7">
        <w:rPr>
          <w:sz w:val="28"/>
          <w:szCs w:val="28"/>
        </w:rPr>
        <w:t xml:space="preserve">reconsideration may be ordered.  Nor does the </w:t>
      </w:r>
      <w:r w:rsidR="00D32CAC" w:rsidRPr="004B64A7">
        <w:rPr>
          <w:sz w:val="28"/>
          <w:szCs w:val="28"/>
        </w:rPr>
        <w:t xml:space="preserve">proposed rule explain when it is appropriate to file a standard motion for reconsideration, as opposed to reconsideration </w:t>
      </w:r>
      <w:proofErr w:type="spellStart"/>
      <w:r w:rsidR="00D32CAC" w:rsidRPr="004B64A7">
        <w:rPr>
          <w:i/>
          <w:iCs/>
          <w:sz w:val="28"/>
          <w:szCs w:val="28"/>
        </w:rPr>
        <w:t>en</w:t>
      </w:r>
      <w:proofErr w:type="spellEnd"/>
      <w:r w:rsidR="00D32CAC" w:rsidRPr="004B64A7">
        <w:rPr>
          <w:i/>
          <w:iCs/>
          <w:sz w:val="28"/>
          <w:szCs w:val="28"/>
        </w:rPr>
        <w:t xml:space="preserve"> banc</w:t>
      </w:r>
      <w:r w:rsidR="00D32CAC" w:rsidRPr="004B64A7">
        <w:rPr>
          <w:sz w:val="28"/>
          <w:szCs w:val="28"/>
        </w:rPr>
        <w:t xml:space="preserve">.  </w:t>
      </w:r>
      <w:r w:rsidR="00BA3558" w:rsidRPr="004B64A7">
        <w:rPr>
          <w:sz w:val="28"/>
          <w:szCs w:val="28"/>
        </w:rPr>
        <w:t xml:space="preserve">Like </w:t>
      </w:r>
      <w:proofErr w:type="spellStart"/>
      <w:r w:rsidR="00BA3558" w:rsidRPr="004B64A7">
        <w:rPr>
          <w:i/>
          <w:iCs/>
          <w:sz w:val="28"/>
          <w:szCs w:val="28"/>
        </w:rPr>
        <w:t>en</w:t>
      </w:r>
      <w:proofErr w:type="spellEnd"/>
      <w:r w:rsidR="00BA3558" w:rsidRPr="004B64A7">
        <w:rPr>
          <w:i/>
          <w:iCs/>
          <w:sz w:val="28"/>
          <w:szCs w:val="28"/>
        </w:rPr>
        <w:t xml:space="preserve"> banc </w:t>
      </w:r>
      <w:r w:rsidR="00BA3558" w:rsidRPr="004B64A7">
        <w:rPr>
          <w:sz w:val="28"/>
          <w:szCs w:val="28"/>
        </w:rPr>
        <w:t>motions, standard motions for reconsideration are already “disfavored.”  So, u</w:t>
      </w:r>
      <w:r w:rsidR="00D32CAC" w:rsidRPr="004B64A7">
        <w:rPr>
          <w:sz w:val="28"/>
          <w:szCs w:val="28"/>
        </w:rPr>
        <w:t xml:space="preserve">nder this proposal, would a standard motion for reconsideration </w:t>
      </w:r>
      <w:r w:rsidR="0044119D" w:rsidRPr="004B64A7">
        <w:rPr>
          <w:sz w:val="28"/>
          <w:szCs w:val="28"/>
        </w:rPr>
        <w:t>eve</w:t>
      </w:r>
      <w:r w:rsidR="00BA3558" w:rsidRPr="004B64A7">
        <w:rPr>
          <w:sz w:val="28"/>
          <w:szCs w:val="28"/>
        </w:rPr>
        <w:t>r</w:t>
      </w:r>
      <w:r w:rsidR="0044119D" w:rsidRPr="004B64A7">
        <w:rPr>
          <w:sz w:val="28"/>
          <w:szCs w:val="28"/>
        </w:rPr>
        <w:t xml:space="preserve"> be necessary?  If so, when?  It is also unclear how the two</w:t>
      </w:r>
      <w:r w:rsidR="00CF1191" w:rsidRPr="004B64A7">
        <w:rPr>
          <w:sz w:val="28"/>
          <w:szCs w:val="28"/>
        </w:rPr>
        <w:t xml:space="preserve"> kinds of</w:t>
      </w:r>
      <w:r w:rsidR="0044119D" w:rsidRPr="004B64A7">
        <w:rPr>
          <w:sz w:val="28"/>
          <w:szCs w:val="28"/>
        </w:rPr>
        <w:t xml:space="preserve"> motions</w:t>
      </w:r>
      <w:r w:rsidR="00CF1191" w:rsidRPr="004B64A7">
        <w:rPr>
          <w:sz w:val="28"/>
          <w:szCs w:val="28"/>
        </w:rPr>
        <w:t xml:space="preserve"> would</w:t>
      </w:r>
      <w:r w:rsidR="0044119D" w:rsidRPr="004B64A7">
        <w:rPr>
          <w:sz w:val="28"/>
          <w:szCs w:val="28"/>
        </w:rPr>
        <w:t xml:space="preserve"> work together, if at all.  </w:t>
      </w:r>
      <w:r w:rsidR="00CF1191" w:rsidRPr="004B64A7">
        <w:rPr>
          <w:sz w:val="28"/>
          <w:szCs w:val="28"/>
        </w:rPr>
        <w:t>Would the proposed new language require</w:t>
      </w:r>
      <w:r w:rsidR="0044119D" w:rsidRPr="004B64A7">
        <w:rPr>
          <w:sz w:val="28"/>
          <w:szCs w:val="28"/>
        </w:rPr>
        <w:t xml:space="preserve"> a litigant to choose </w:t>
      </w:r>
      <w:r w:rsidR="00820C59" w:rsidRPr="004B64A7">
        <w:rPr>
          <w:sz w:val="28"/>
          <w:szCs w:val="28"/>
        </w:rPr>
        <w:t>one</w:t>
      </w:r>
      <w:r w:rsidR="00CF1191" w:rsidRPr="004B64A7">
        <w:rPr>
          <w:sz w:val="28"/>
          <w:szCs w:val="28"/>
        </w:rPr>
        <w:t xml:space="preserve"> kind of motion</w:t>
      </w:r>
      <w:r w:rsidR="00820C59" w:rsidRPr="004B64A7">
        <w:rPr>
          <w:sz w:val="28"/>
          <w:szCs w:val="28"/>
        </w:rPr>
        <w:t xml:space="preserve"> or the other?  Can litigants file </w:t>
      </w:r>
      <w:r w:rsidR="00CF1191" w:rsidRPr="004B64A7">
        <w:rPr>
          <w:sz w:val="28"/>
          <w:szCs w:val="28"/>
        </w:rPr>
        <w:t>each kind of motion</w:t>
      </w:r>
      <w:r w:rsidR="00820C59" w:rsidRPr="004B64A7">
        <w:rPr>
          <w:sz w:val="28"/>
          <w:szCs w:val="28"/>
        </w:rPr>
        <w:t xml:space="preserve"> in succession, seeking reconsideration first and reconsideration </w:t>
      </w:r>
      <w:proofErr w:type="spellStart"/>
      <w:r w:rsidR="00820C59" w:rsidRPr="004B64A7">
        <w:rPr>
          <w:i/>
          <w:iCs/>
          <w:sz w:val="28"/>
          <w:szCs w:val="28"/>
        </w:rPr>
        <w:t>en</w:t>
      </w:r>
      <w:proofErr w:type="spellEnd"/>
      <w:r w:rsidR="00820C59" w:rsidRPr="004B64A7">
        <w:rPr>
          <w:i/>
          <w:iCs/>
          <w:sz w:val="28"/>
          <w:szCs w:val="28"/>
        </w:rPr>
        <w:t xml:space="preserve"> banc</w:t>
      </w:r>
      <w:r w:rsidR="00820C59" w:rsidRPr="004B64A7">
        <w:rPr>
          <w:sz w:val="28"/>
          <w:szCs w:val="28"/>
        </w:rPr>
        <w:t xml:space="preserve"> second, only if the first request is denied?  Can litigants file a standard motion for </w:t>
      </w:r>
      <w:r w:rsidR="005F3A43" w:rsidRPr="004B64A7">
        <w:rPr>
          <w:sz w:val="28"/>
          <w:szCs w:val="28"/>
        </w:rPr>
        <w:t>re</w:t>
      </w:r>
      <w:r w:rsidR="00820C59" w:rsidRPr="004B64A7">
        <w:rPr>
          <w:sz w:val="28"/>
          <w:szCs w:val="28"/>
        </w:rPr>
        <w:t>consideration</w:t>
      </w:r>
      <w:r w:rsidR="005F3A43" w:rsidRPr="004B64A7">
        <w:rPr>
          <w:sz w:val="28"/>
          <w:szCs w:val="28"/>
        </w:rPr>
        <w:t xml:space="preserve"> </w:t>
      </w:r>
      <w:r w:rsidR="00820C59" w:rsidRPr="004B64A7">
        <w:rPr>
          <w:sz w:val="28"/>
          <w:szCs w:val="28"/>
        </w:rPr>
        <w:t xml:space="preserve">and a motion for reconsideration </w:t>
      </w:r>
      <w:proofErr w:type="spellStart"/>
      <w:r w:rsidR="00820C59" w:rsidRPr="004B64A7">
        <w:rPr>
          <w:i/>
          <w:iCs/>
          <w:sz w:val="28"/>
          <w:szCs w:val="28"/>
        </w:rPr>
        <w:t>en</w:t>
      </w:r>
      <w:proofErr w:type="spellEnd"/>
      <w:r w:rsidR="00820C59" w:rsidRPr="004B64A7">
        <w:rPr>
          <w:i/>
          <w:iCs/>
          <w:sz w:val="28"/>
          <w:szCs w:val="28"/>
        </w:rPr>
        <w:t xml:space="preserve"> banc</w:t>
      </w:r>
      <w:r w:rsidR="00820C59" w:rsidRPr="004B64A7">
        <w:rPr>
          <w:sz w:val="28"/>
          <w:szCs w:val="28"/>
        </w:rPr>
        <w:t xml:space="preserve"> at the same time?  If so, </w:t>
      </w:r>
      <w:r w:rsidR="0078664B" w:rsidRPr="004B64A7">
        <w:rPr>
          <w:sz w:val="28"/>
          <w:szCs w:val="28"/>
        </w:rPr>
        <w:t>must</w:t>
      </w:r>
      <w:r w:rsidR="00820C59" w:rsidRPr="004B64A7">
        <w:rPr>
          <w:sz w:val="28"/>
          <w:szCs w:val="28"/>
        </w:rPr>
        <w:t xml:space="preserve"> the grounds </w:t>
      </w:r>
      <w:r w:rsidR="0078664B" w:rsidRPr="004B64A7">
        <w:rPr>
          <w:sz w:val="28"/>
          <w:szCs w:val="28"/>
        </w:rPr>
        <w:t xml:space="preserve">supporting each motion </w:t>
      </w:r>
      <w:r w:rsidR="00820C59" w:rsidRPr="004B64A7">
        <w:rPr>
          <w:sz w:val="28"/>
          <w:szCs w:val="28"/>
        </w:rPr>
        <w:t>differ?</w:t>
      </w:r>
    </w:p>
    <w:p w14:paraId="61BFE2C4" w14:textId="2AF7DC9E" w:rsidR="00583916" w:rsidRPr="004B64A7" w:rsidRDefault="00820C59" w:rsidP="00583916">
      <w:pPr>
        <w:spacing w:line="480" w:lineRule="auto"/>
        <w:jc w:val="both"/>
        <w:rPr>
          <w:sz w:val="28"/>
          <w:szCs w:val="28"/>
        </w:rPr>
      </w:pPr>
      <w:r w:rsidRPr="004B64A7">
        <w:rPr>
          <w:sz w:val="28"/>
          <w:szCs w:val="28"/>
        </w:rPr>
        <w:tab/>
      </w:r>
      <w:r w:rsidR="005F3A43" w:rsidRPr="004B64A7">
        <w:rPr>
          <w:sz w:val="28"/>
          <w:szCs w:val="28"/>
        </w:rPr>
        <w:t>The State Bar does not purport to know the answer</w:t>
      </w:r>
      <w:r w:rsidR="000E365B" w:rsidRPr="004B64A7">
        <w:rPr>
          <w:sz w:val="28"/>
          <w:szCs w:val="28"/>
        </w:rPr>
        <w:t>s</w:t>
      </w:r>
      <w:r w:rsidR="005F3A43" w:rsidRPr="004B64A7">
        <w:rPr>
          <w:sz w:val="28"/>
          <w:szCs w:val="28"/>
        </w:rPr>
        <w:t xml:space="preserve"> to these questions, but they highlight</w:t>
      </w:r>
      <w:r w:rsidR="0025618B" w:rsidRPr="004B64A7">
        <w:rPr>
          <w:sz w:val="28"/>
          <w:szCs w:val="28"/>
        </w:rPr>
        <w:t xml:space="preserve"> just some of the issues that need to be considered and addressed </w:t>
      </w:r>
      <w:r w:rsidR="00906BB4" w:rsidRPr="004B64A7">
        <w:rPr>
          <w:sz w:val="28"/>
          <w:szCs w:val="28"/>
        </w:rPr>
        <w:t xml:space="preserve">before </w:t>
      </w:r>
      <w:r w:rsidR="00906BB4" w:rsidRPr="004B64A7">
        <w:rPr>
          <w:sz w:val="28"/>
          <w:szCs w:val="28"/>
        </w:rPr>
        <w:lastRenderedPageBreak/>
        <w:t>a new rule</w:t>
      </w:r>
      <w:r w:rsidR="004C17D5" w:rsidRPr="004B64A7">
        <w:rPr>
          <w:sz w:val="28"/>
          <w:szCs w:val="28"/>
        </w:rPr>
        <w:t>, if any,</w:t>
      </w:r>
      <w:r w:rsidR="00906BB4" w:rsidRPr="004B64A7">
        <w:rPr>
          <w:sz w:val="28"/>
          <w:szCs w:val="28"/>
        </w:rPr>
        <w:t xml:space="preserve"> is adopted.  If the Court is inclined to consider a</w:t>
      </w:r>
      <w:r w:rsidR="008B4DAC" w:rsidRPr="004B64A7">
        <w:rPr>
          <w:sz w:val="28"/>
          <w:szCs w:val="28"/>
        </w:rPr>
        <w:t xml:space="preserve">n </w:t>
      </w:r>
      <w:proofErr w:type="spellStart"/>
      <w:r w:rsidR="008B4DAC" w:rsidRPr="004B64A7">
        <w:rPr>
          <w:i/>
          <w:iCs/>
          <w:sz w:val="28"/>
          <w:szCs w:val="28"/>
        </w:rPr>
        <w:t>en</w:t>
      </w:r>
      <w:proofErr w:type="spellEnd"/>
      <w:r w:rsidR="008B4DAC" w:rsidRPr="004B64A7">
        <w:rPr>
          <w:i/>
          <w:iCs/>
          <w:sz w:val="28"/>
          <w:szCs w:val="28"/>
        </w:rPr>
        <w:t xml:space="preserve"> banc</w:t>
      </w:r>
      <w:r w:rsidR="008B4DAC" w:rsidRPr="004B64A7">
        <w:rPr>
          <w:sz w:val="28"/>
          <w:szCs w:val="28"/>
        </w:rPr>
        <w:t xml:space="preserve"> process, it should</w:t>
      </w:r>
      <w:r w:rsidR="004C17D5" w:rsidRPr="004B64A7">
        <w:rPr>
          <w:sz w:val="28"/>
          <w:szCs w:val="28"/>
        </w:rPr>
        <w:t xml:space="preserve"> thus</w:t>
      </w:r>
      <w:r w:rsidR="008B4DAC" w:rsidRPr="004B64A7">
        <w:rPr>
          <w:sz w:val="28"/>
          <w:szCs w:val="28"/>
        </w:rPr>
        <w:t xml:space="preserve"> first investigate how best to address these issues and </w:t>
      </w:r>
      <w:r w:rsidR="00FD1198" w:rsidRPr="004B64A7">
        <w:rPr>
          <w:sz w:val="28"/>
          <w:szCs w:val="28"/>
        </w:rPr>
        <w:t>solicit</w:t>
      </w:r>
      <w:r w:rsidR="008B4DAC" w:rsidRPr="004B64A7">
        <w:rPr>
          <w:sz w:val="28"/>
          <w:szCs w:val="28"/>
        </w:rPr>
        <w:t xml:space="preserve"> a new proposal with these (and potentially other) concerns in mind.</w:t>
      </w:r>
    </w:p>
    <w:p w14:paraId="5DF2F11D" w14:textId="77777777" w:rsidR="00186136" w:rsidRPr="004B64A7" w:rsidRDefault="00186136" w:rsidP="00583916">
      <w:pPr>
        <w:pStyle w:val="ListParagraph"/>
        <w:keepNext/>
        <w:numPr>
          <w:ilvl w:val="0"/>
          <w:numId w:val="15"/>
        </w:numPr>
        <w:spacing w:after="0" w:line="480" w:lineRule="auto"/>
        <w:ind w:left="720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4B64A7">
        <w:rPr>
          <w:rFonts w:ascii="Times New Roman" w:hAnsi="Times New Roman" w:cs="Times New Roman"/>
          <w:b/>
          <w:bCs/>
          <w:caps/>
          <w:sz w:val="28"/>
          <w:szCs w:val="28"/>
        </w:rPr>
        <w:t>CONCLUSION</w:t>
      </w:r>
    </w:p>
    <w:p w14:paraId="5D02FE20" w14:textId="6FE29C19" w:rsidR="000F7A7F" w:rsidRPr="004B64A7" w:rsidRDefault="008B4DAC" w:rsidP="00583916">
      <w:pPr>
        <w:spacing w:line="480" w:lineRule="auto"/>
        <w:ind w:firstLine="720"/>
        <w:jc w:val="both"/>
        <w:rPr>
          <w:sz w:val="28"/>
          <w:szCs w:val="28"/>
        </w:rPr>
      </w:pPr>
      <w:r w:rsidRPr="004B64A7">
        <w:rPr>
          <w:sz w:val="28"/>
          <w:szCs w:val="28"/>
        </w:rPr>
        <w:t>T</w:t>
      </w:r>
      <w:r w:rsidR="00186136" w:rsidRPr="004B64A7">
        <w:rPr>
          <w:sz w:val="28"/>
          <w:szCs w:val="28"/>
        </w:rPr>
        <w:t xml:space="preserve">he State Bar </w:t>
      </w:r>
      <w:r w:rsidR="00DF73D5" w:rsidRPr="004B64A7">
        <w:rPr>
          <w:sz w:val="28"/>
          <w:szCs w:val="28"/>
        </w:rPr>
        <w:t xml:space="preserve">opposes </w:t>
      </w:r>
      <w:r w:rsidR="00186136" w:rsidRPr="004B64A7">
        <w:rPr>
          <w:sz w:val="28"/>
          <w:szCs w:val="28"/>
        </w:rPr>
        <w:t xml:space="preserve">the </w:t>
      </w:r>
      <w:r w:rsidR="000E365B" w:rsidRPr="004B64A7">
        <w:rPr>
          <w:sz w:val="28"/>
          <w:szCs w:val="28"/>
        </w:rPr>
        <w:t>P</w:t>
      </w:r>
      <w:r w:rsidR="00186136" w:rsidRPr="004B64A7">
        <w:rPr>
          <w:sz w:val="28"/>
          <w:szCs w:val="28"/>
        </w:rPr>
        <w:t xml:space="preserve">etition </w:t>
      </w:r>
      <w:r w:rsidR="00CE736E" w:rsidRPr="004B64A7">
        <w:rPr>
          <w:sz w:val="28"/>
          <w:szCs w:val="28"/>
        </w:rPr>
        <w:t xml:space="preserve">to </w:t>
      </w:r>
      <w:r w:rsidR="00186136" w:rsidRPr="004B64A7">
        <w:rPr>
          <w:sz w:val="28"/>
          <w:szCs w:val="28"/>
        </w:rPr>
        <w:t>amend</w:t>
      </w:r>
      <w:r w:rsidR="006C3E9A" w:rsidRPr="004B64A7">
        <w:rPr>
          <w:sz w:val="28"/>
          <w:szCs w:val="28"/>
        </w:rPr>
        <w:t xml:space="preserve"> </w:t>
      </w:r>
      <w:r w:rsidRPr="004B64A7">
        <w:rPr>
          <w:sz w:val="28"/>
          <w:szCs w:val="28"/>
        </w:rPr>
        <w:t xml:space="preserve">ARCAP 22 </w:t>
      </w:r>
      <w:r w:rsidR="00CD6043" w:rsidRPr="004B64A7">
        <w:rPr>
          <w:sz w:val="28"/>
          <w:szCs w:val="28"/>
        </w:rPr>
        <w:t xml:space="preserve">and Criminal Rule 32.10 </w:t>
      </w:r>
      <w:r w:rsidRPr="004B64A7">
        <w:rPr>
          <w:sz w:val="28"/>
          <w:szCs w:val="28"/>
        </w:rPr>
        <w:t xml:space="preserve">to add a process for seeking </w:t>
      </w:r>
      <w:proofErr w:type="spellStart"/>
      <w:r w:rsidR="005C6F3E" w:rsidRPr="004B64A7">
        <w:rPr>
          <w:i/>
          <w:iCs/>
          <w:sz w:val="28"/>
          <w:szCs w:val="28"/>
        </w:rPr>
        <w:t>en</w:t>
      </w:r>
      <w:proofErr w:type="spellEnd"/>
      <w:r w:rsidR="005C6F3E" w:rsidRPr="004B64A7">
        <w:rPr>
          <w:i/>
          <w:iCs/>
          <w:sz w:val="28"/>
          <w:szCs w:val="28"/>
        </w:rPr>
        <w:t xml:space="preserve"> banc </w:t>
      </w:r>
      <w:r w:rsidR="005C6F3E" w:rsidRPr="004B64A7">
        <w:rPr>
          <w:sz w:val="28"/>
          <w:szCs w:val="28"/>
        </w:rPr>
        <w:t>reconsideration in the Court of Appeals.  I</w:t>
      </w:r>
      <w:r w:rsidR="005B6C8F" w:rsidRPr="004B64A7">
        <w:rPr>
          <w:sz w:val="28"/>
          <w:szCs w:val="28"/>
        </w:rPr>
        <w:t xml:space="preserve">f the Court is inclined to </w:t>
      </w:r>
      <w:r w:rsidR="005C6F3E" w:rsidRPr="004B64A7">
        <w:rPr>
          <w:sz w:val="28"/>
          <w:szCs w:val="28"/>
        </w:rPr>
        <w:t>implement such a process, it should investigate the issue further and seek proposals for</w:t>
      </w:r>
      <w:r w:rsidR="007451B6" w:rsidRPr="004B64A7">
        <w:rPr>
          <w:sz w:val="28"/>
          <w:szCs w:val="28"/>
        </w:rPr>
        <w:t xml:space="preserve"> rule language that better address the concerns identified in this comment.</w:t>
      </w:r>
    </w:p>
    <w:p w14:paraId="3D7D71CD" w14:textId="77777777" w:rsidR="00065747" w:rsidRPr="004B64A7" w:rsidRDefault="00065747" w:rsidP="00065747">
      <w:pPr>
        <w:pStyle w:val="Body"/>
        <w:widowControl w:val="0"/>
        <w:tabs>
          <w:tab w:val="left" w:pos="720"/>
        </w:tabs>
        <w:ind w:firstLine="0"/>
        <w:rPr>
          <w:sz w:val="28"/>
          <w:szCs w:val="28"/>
        </w:rPr>
      </w:pPr>
      <w:r w:rsidRPr="004B64A7">
        <w:rPr>
          <w:sz w:val="28"/>
          <w:szCs w:val="28"/>
        </w:rPr>
        <w:t xml:space="preserve">       </w:t>
      </w:r>
      <w:r w:rsidRPr="004B64A7">
        <w:rPr>
          <w:sz w:val="28"/>
          <w:szCs w:val="28"/>
        </w:rPr>
        <w:tab/>
      </w:r>
      <w:r w:rsidRPr="004B64A7">
        <w:rPr>
          <w:sz w:val="28"/>
          <w:szCs w:val="28"/>
        </w:rPr>
        <w:tab/>
      </w:r>
      <w:r w:rsidRPr="004B64A7">
        <w:rPr>
          <w:sz w:val="28"/>
          <w:szCs w:val="28"/>
        </w:rPr>
        <w:tab/>
        <w:t xml:space="preserve">        RESPECTFULLY SUBMITTED this </w:t>
      </w:r>
      <w:r w:rsidRPr="004B64A7">
        <w:rPr>
          <w:sz w:val="28"/>
          <w:szCs w:val="28"/>
          <w:u w:val="single"/>
        </w:rPr>
        <w:t>1</w:t>
      </w:r>
      <w:r w:rsidRPr="004B64A7">
        <w:rPr>
          <w:sz w:val="28"/>
          <w:szCs w:val="28"/>
          <w:u w:val="single"/>
          <w:vertAlign w:val="superscript"/>
        </w:rPr>
        <w:t>st</w:t>
      </w:r>
      <w:r w:rsidRPr="004B64A7">
        <w:rPr>
          <w:sz w:val="28"/>
          <w:szCs w:val="28"/>
          <w:u w:val="single"/>
        </w:rPr>
        <w:t xml:space="preserve"> </w:t>
      </w:r>
      <w:r w:rsidRPr="004B64A7">
        <w:rPr>
          <w:sz w:val="28"/>
          <w:szCs w:val="28"/>
        </w:rPr>
        <w:t xml:space="preserve">day of </w:t>
      </w:r>
      <w:r w:rsidRPr="004B64A7">
        <w:rPr>
          <w:sz w:val="28"/>
          <w:szCs w:val="28"/>
          <w:u w:val="single"/>
        </w:rPr>
        <w:t>May</w:t>
      </w:r>
      <w:r w:rsidRPr="004B64A7">
        <w:rPr>
          <w:sz w:val="28"/>
          <w:szCs w:val="28"/>
        </w:rPr>
        <w:t xml:space="preserve"> 2025.</w:t>
      </w:r>
    </w:p>
    <w:p w14:paraId="1083A4A3" w14:textId="77777777" w:rsidR="00065747" w:rsidRPr="004B64A7" w:rsidRDefault="00065747" w:rsidP="00065747">
      <w:pPr>
        <w:pStyle w:val="Body"/>
        <w:widowControl w:val="0"/>
        <w:tabs>
          <w:tab w:val="left" w:pos="720"/>
        </w:tabs>
        <w:ind w:firstLine="0"/>
        <w:rPr>
          <w:sz w:val="28"/>
          <w:szCs w:val="28"/>
        </w:rPr>
      </w:pPr>
    </w:p>
    <w:p w14:paraId="254FA88E" w14:textId="77777777" w:rsidR="00065747" w:rsidRPr="004B64A7" w:rsidRDefault="00065747" w:rsidP="00065747">
      <w:pPr>
        <w:pStyle w:val="Body"/>
        <w:widowControl w:val="0"/>
        <w:tabs>
          <w:tab w:val="left" w:pos="720"/>
        </w:tabs>
        <w:ind w:firstLine="0"/>
        <w:rPr>
          <w:sz w:val="28"/>
          <w:szCs w:val="28"/>
        </w:rPr>
      </w:pPr>
      <w:r w:rsidRPr="004B64A7">
        <w:rPr>
          <w:sz w:val="28"/>
          <w:szCs w:val="28"/>
        </w:rPr>
        <w:tab/>
      </w:r>
      <w:r w:rsidRPr="004B64A7">
        <w:rPr>
          <w:sz w:val="28"/>
          <w:szCs w:val="28"/>
        </w:rPr>
        <w:tab/>
      </w:r>
      <w:r w:rsidRPr="004B64A7">
        <w:rPr>
          <w:sz w:val="28"/>
          <w:szCs w:val="28"/>
        </w:rPr>
        <w:tab/>
      </w:r>
      <w:r w:rsidRPr="004B64A7">
        <w:rPr>
          <w:sz w:val="28"/>
          <w:szCs w:val="28"/>
        </w:rPr>
        <w:tab/>
      </w:r>
      <w:r w:rsidRPr="004B64A7">
        <w:rPr>
          <w:sz w:val="28"/>
          <w:szCs w:val="28"/>
        </w:rPr>
        <w:tab/>
      </w:r>
      <w:r w:rsidRPr="004B64A7">
        <w:rPr>
          <w:sz w:val="28"/>
          <w:szCs w:val="28"/>
        </w:rPr>
        <w:tab/>
      </w:r>
      <w:r w:rsidRPr="004B64A7">
        <w:rPr>
          <w:noProof/>
          <w:sz w:val="28"/>
          <w:szCs w:val="28"/>
        </w:rPr>
        <w:drawing>
          <wp:inline distT="0" distB="0" distL="0" distR="0" wp14:anchorId="699D9ECA" wp14:editId="5EE1A451">
            <wp:extent cx="1104900" cy="327701"/>
            <wp:effectExtent l="0" t="0" r="0" b="0"/>
            <wp:docPr id="1995728512" name="Picture 1" descr="A 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728512" name="Picture 1" descr="A blue text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781" cy="355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210EC" w14:textId="77777777" w:rsidR="00065747" w:rsidRPr="004B64A7" w:rsidRDefault="00065747" w:rsidP="00065747">
      <w:pPr>
        <w:pStyle w:val="PleadingSignature"/>
        <w:keepNext w:val="0"/>
        <w:keepLines w:val="0"/>
        <w:pBdr>
          <w:top w:val="single" w:sz="4" w:space="1" w:color="auto"/>
        </w:pBdr>
        <w:spacing w:line="240" w:lineRule="auto"/>
        <w:ind w:left="4320"/>
        <w:rPr>
          <w:sz w:val="28"/>
          <w:szCs w:val="28"/>
        </w:rPr>
      </w:pPr>
      <w:r w:rsidRPr="004B64A7">
        <w:rPr>
          <w:sz w:val="28"/>
          <w:szCs w:val="28"/>
        </w:rPr>
        <w:t>Lisa M. Panahi</w:t>
      </w:r>
    </w:p>
    <w:p w14:paraId="7650168E" w14:textId="77777777" w:rsidR="00065747" w:rsidRPr="004B64A7" w:rsidRDefault="00065747" w:rsidP="00065747">
      <w:pPr>
        <w:pStyle w:val="PleadingSignature"/>
        <w:keepNext w:val="0"/>
        <w:keepLines w:val="0"/>
        <w:spacing w:line="240" w:lineRule="auto"/>
        <w:ind w:left="3600" w:firstLine="720"/>
        <w:rPr>
          <w:sz w:val="28"/>
          <w:szCs w:val="28"/>
        </w:rPr>
      </w:pPr>
      <w:r w:rsidRPr="004B64A7">
        <w:rPr>
          <w:sz w:val="28"/>
          <w:szCs w:val="28"/>
        </w:rPr>
        <w:t>FOR THE STATE BAR OF ARIZONA</w:t>
      </w:r>
    </w:p>
    <w:p w14:paraId="797E4A48" w14:textId="77777777" w:rsidR="00065747" w:rsidRPr="004B64A7" w:rsidRDefault="00065747" w:rsidP="00065747">
      <w:pPr>
        <w:pStyle w:val="PleadingSignature"/>
        <w:keepNext w:val="0"/>
        <w:keepLines w:val="0"/>
        <w:spacing w:line="240" w:lineRule="auto"/>
        <w:ind w:left="3600" w:firstLine="720"/>
        <w:rPr>
          <w:sz w:val="28"/>
          <w:szCs w:val="28"/>
        </w:rPr>
      </w:pPr>
    </w:p>
    <w:p w14:paraId="7CF4A05E" w14:textId="77777777" w:rsidR="00065747" w:rsidRPr="004B64A7" w:rsidRDefault="00065747" w:rsidP="00065747">
      <w:pPr>
        <w:pStyle w:val="PleadingSignature"/>
        <w:keepNext w:val="0"/>
        <w:keepLines w:val="0"/>
        <w:spacing w:line="240" w:lineRule="auto"/>
        <w:ind w:left="5070"/>
        <w:rPr>
          <w:sz w:val="28"/>
          <w:szCs w:val="28"/>
        </w:rPr>
      </w:pPr>
    </w:p>
    <w:p w14:paraId="4FB92BDC" w14:textId="77777777" w:rsidR="00065747" w:rsidRPr="004B64A7" w:rsidRDefault="00065747" w:rsidP="00065747">
      <w:pPr>
        <w:widowControl w:val="0"/>
        <w:spacing w:line="240" w:lineRule="auto"/>
        <w:ind w:right="4140"/>
        <w:rPr>
          <w:sz w:val="28"/>
          <w:szCs w:val="28"/>
        </w:rPr>
      </w:pPr>
      <w:r w:rsidRPr="004B64A7">
        <w:rPr>
          <w:sz w:val="28"/>
          <w:szCs w:val="28"/>
        </w:rPr>
        <w:t>Electronic copy filed with the</w:t>
      </w:r>
    </w:p>
    <w:p w14:paraId="0DD47E8D" w14:textId="77777777" w:rsidR="00065747" w:rsidRPr="004B64A7" w:rsidRDefault="00065747" w:rsidP="00065747">
      <w:pPr>
        <w:spacing w:line="240" w:lineRule="auto"/>
        <w:ind w:right="4140"/>
        <w:rPr>
          <w:sz w:val="28"/>
          <w:szCs w:val="28"/>
        </w:rPr>
      </w:pPr>
      <w:r w:rsidRPr="004B64A7">
        <w:rPr>
          <w:sz w:val="28"/>
          <w:szCs w:val="28"/>
        </w:rPr>
        <w:t>Clerk of the Supreme Court of Arizona</w:t>
      </w:r>
    </w:p>
    <w:p w14:paraId="2C07A2B8" w14:textId="77777777" w:rsidR="00065747" w:rsidRPr="004B64A7" w:rsidRDefault="00065747" w:rsidP="00065747">
      <w:pPr>
        <w:tabs>
          <w:tab w:val="left" w:pos="4836"/>
        </w:tabs>
        <w:spacing w:line="240" w:lineRule="auto"/>
        <w:ind w:right="3870"/>
        <w:rPr>
          <w:sz w:val="28"/>
          <w:szCs w:val="28"/>
        </w:rPr>
      </w:pPr>
      <w:r w:rsidRPr="004B64A7">
        <w:rPr>
          <w:sz w:val="28"/>
          <w:szCs w:val="28"/>
        </w:rPr>
        <w:t xml:space="preserve">this </w:t>
      </w:r>
      <w:r w:rsidRPr="004B64A7">
        <w:rPr>
          <w:sz w:val="28"/>
          <w:szCs w:val="28"/>
          <w:u w:val="single"/>
        </w:rPr>
        <w:t>1</w:t>
      </w:r>
      <w:r w:rsidRPr="004B64A7">
        <w:rPr>
          <w:sz w:val="28"/>
          <w:szCs w:val="28"/>
          <w:u w:val="single"/>
          <w:vertAlign w:val="superscript"/>
        </w:rPr>
        <w:t>st</w:t>
      </w:r>
      <w:r w:rsidRPr="004B64A7">
        <w:rPr>
          <w:sz w:val="28"/>
          <w:szCs w:val="28"/>
          <w:u w:val="single"/>
        </w:rPr>
        <w:t xml:space="preserve"> </w:t>
      </w:r>
      <w:r w:rsidRPr="004B64A7">
        <w:rPr>
          <w:sz w:val="28"/>
          <w:szCs w:val="28"/>
        </w:rPr>
        <w:t xml:space="preserve">day of </w:t>
      </w:r>
      <w:r w:rsidRPr="004B64A7">
        <w:rPr>
          <w:sz w:val="28"/>
          <w:szCs w:val="28"/>
          <w:u w:val="single"/>
        </w:rPr>
        <w:t>May</w:t>
      </w:r>
      <w:r w:rsidRPr="004B64A7">
        <w:rPr>
          <w:sz w:val="28"/>
          <w:szCs w:val="28"/>
        </w:rPr>
        <w:t xml:space="preserve"> 2025.</w:t>
      </w:r>
    </w:p>
    <w:p w14:paraId="3BFA28DD" w14:textId="77777777" w:rsidR="00065747" w:rsidRPr="004B64A7" w:rsidRDefault="00065747" w:rsidP="00065747">
      <w:pPr>
        <w:spacing w:line="240" w:lineRule="auto"/>
        <w:ind w:right="4572"/>
        <w:rPr>
          <w:sz w:val="28"/>
          <w:szCs w:val="28"/>
        </w:rPr>
      </w:pPr>
    </w:p>
    <w:p w14:paraId="06FE6CB9" w14:textId="77777777" w:rsidR="00065747" w:rsidRPr="004B64A7" w:rsidRDefault="00065747" w:rsidP="00065747">
      <w:pPr>
        <w:spacing w:line="240" w:lineRule="auto"/>
        <w:ind w:right="4572"/>
        <w:rPr>
          <w:sz w:val="28"/>
          <w:szCs w:val="28"/>
        </w:rPr>
      </w:pPr>
      <w:r w:rsidRPr="004B64A7">
        <w:rPr>
          <w:sz w:val="28"/>
          <w:szCs w:val="28"/>
        </w:rPr>
        <w:t xml:space="preserve">by: </w:t>
      </w:r>
      <w:proofErr w:type="spellStart"/>
      <w:r w:rsidRPr="004B64A7">
        <w:rPr>
          <w:sz w:val="28"/>
          <w:szCs w:val="28"/>
          <w:u w:val="single"/>
        </w:rPr>
        <w:t>PSeguin</w:t>
      </w:r>
      <w:proofErr w:type="spellEnd"/>
    </w:p>
    <w:p w14:paraId="514D6FB1" w14:textId="77777777" w:rsidR="00494BDF" w:rsidRPr="004B64A7" w:rsidRDefault="00494BDF" w:rsidP="000C48A9">
      <w:pPr>
        <w:pStyle w:val="Body"/>
        <w:widowControl w:val="0"/>
        <w:ind w:firstLine="0"/>
        <w:jc w:val="both"/>
        <w:rPr>
          <w:sz w:val="28"/>
          <w:szCs w:val="28"/>
        </w:rPr>
      </w:pPr>
    </w:p>
    <w:p w14:paraId="259B1882" w14:textId="77777777" w:rsidR="00933EA1" w:rsidRPr="004B64A7" w:rsidRDefault="00933EA1" w:rsidP="00933EA1">
      <w:pPr>
        <w:rPr>
          <w:sz w:val="28"/>
          <w:szCs w:val="28"/>
        </w:rPr>
      </w:pPr>
    </w:p>
    <w:p w14:paraId="4A07E8A6" w14:textId="77777777" w:rsidR="00052372" w:rsidRPr="004B64A7" w:rsidRDefault="00052372" w:rsidP="00933EA1">
      <w:pPr>
        <w:tabs>
          <w:tab w:val="left" w:pos="8145"/>
        </w:tabs>
        <w:rPr>
          <w:sz w:val="28"/>
          <w:szCs w:val="28"/>
        </w:rPr>
      </w:pPr>
    </w:p>
    <w:sectPr w:rsidR="00052372" w:rsidRPr="004B64A7" w:rsidSect="006F63FD">
      <w:headerReference w:type="default" r:id="rId13"/>
      <w:footerReference w:type="even" r:id="rId14"/>
      <w:footerReference w:type="default" r:id="rId15"/>
      <w:pgSz w:w="12240" w:h="15840" w:code="1"/>
      <w:pgMar w:top="0" w:right="1440" w:bottom="1440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15708" w14:textId="77777777" w:rsidR="00CB79A4" w:rsidRDefault="00CB79A4">
      <w:r>
        <w:separator/>
      </w:r>
    </w:p>
  </w:endnote>
  <w:endnote w:type="continuationSeparator" w:id="0">
    <w:p w14:paraId="68A53A2C" w14:textId="77777777" w:rsidR="00CB79A4" w:rsidRDefault="00CB7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9B982" w14:textId="77777777" w:rsidR="007870CB" w:rsidRDefault="007870CB" w:rsidP="008615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1E722A" w14:textId="77777777" w:rsidR="007870CB" w:rsidRDefault="007870CB" w:rsidP="00861563">
    <w:pPr>
      <w:pStyle w:val="Footer"/>
      <w:ind w:right="360"/>
    </w:pPr>
  </w:p>
  <w:p w14:paraId="180E891B" w14:textId="77777777" w:rsidR="007D5C49" w:rsidRDefault="007D5C4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4242502"/>
      <w:docPartObj>
        <w:docPartGallery w:val="Page Numbers (Bottom of Page)"/>
        <w:docPartUnique/>
      </w:docPartObj>
    </w:sdtPr>
    <w:sdtEndPr>
      <w:rPr>
        <w:noProof/>
        <w:sz w:val="26"/>
        <w:szCs w:val="26"/>
      </w:rPr>
    </w:sdtEndPr>
    <w:sdtContent>
      <w:p w14:paraId="438E4540" w14:textId="77777777" w:rsidR="00933EA1" w:rsidRPr="006B4F9A" w:rsidRDefault="00933EA1">
        <w:pPr>
          <w:pStyle w:val="Footer"/>
          <w:jc w:val="center"/>
          <w:rPr>
            <w:sz w:val="26"/>
            <w:szCs w:val="26"/>
          </w:rPr>
        </w:pPr>
        <w:r w:rsidRPr="006B4F9A">
          <w:rPr>
            <w:sz w:val="26"/>
            <w:szCs w:val="26"/>
          </w:rPr>
          <w:fldChar w:fldCharType="begin"/>
        </w:r>
        <w:r w:rsidRPr="006B4F9A">
          <w:rPr>
            <w:sz w:val="26"/>
            <w:szCs w:val="26"/>
          </w:rPr>
          <w:instrText xml:space="preserve"> PAGE   \* MERGEFORMAT </w:instrText>
        </w:r>
        <w:r w:rsidRPr="006B4F9A">
          <w:rPr>
            <w:sz w:val="26"/>
            <w:szCs w:val="26"/>
          </w:rPr>
          <w:fldChar w:fldCharType="separate"/>
        </w:r>
        <w:r w:rsidR="00F73925">
          <w:rPr>
            <w:noProof/>
            <w:sz w:val="26"/>
            <w:szCs w:val="26"/>
          </w:rPr>
          <w:t>2</w:t>
        </w:r>
        <w:r w:rsidRPr="006B4F9A">
          <w:rPr>
            <w:noProof/>
            <w:sz w:val="26"/>
            <w:szCs w:val="26"/>
          </w:rPr>
          <w:fldChar w:fldCharType="end"/>
        </w:r>
      </w:p>
    </w:sdtContent>
  </w:sdt>
  <w:p w14:paraId="44037EDE" w14:textId="77777777" w:rsidR="007D5C49" w:rsidRDefault="007D5C4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2E2A7" w14:textId="77777777" w:rsidR="00CB79A4" w:rsidRDefault="00CB79A4">
      <w:r>
        <w:separator/>
      </w:r>
    </w:p>
  </w:footnote>
  <w:footnote w:type="continuationSeparator" w:id="0">
    <w:p w14:paraId="2F21DA81" w14:textId="77777777" w:rsidR="00CB79A4" w:rsidRDefault="00CB79A4">
      <w:r>
        <w:continuationSeparator/>
      </w:r>
    </w:p>
  </w:footnote>
  <w:footnote w:id="1">
    <w:p w14:paraId="0D0FBCB8" w14:textId="63F3913B" w:rsidR="00F61005" w:rsidRPr="00A02F17" w:rsidRDefault="00F61005" w:rsidP="00583916">
      <w:pPr>
        <w:pStyle w:val="FootnoteText"/>
        <w:spacing w:after="120"/>
        <w:jc w:val="both"/>
        <w:rPr>
          <w:sz w:val="28"/>
          <w:szCs w:val="28"/>
        </w:rPr>
      </w:pPr>
      <w:r w:rsidRPr="00FF3B03">
        <w:rPr>
          <w:rStyle w:val="FootnoteReference"/>
          <w:sz w:val="28"/>
          <w:szCs w:val="28"/>
        </w:rPr>
        <w:footnoteRef/>
      </w:r>
      <w:r w:rsidRPr="00FF3B03">
        <w:rPr>
          <w:sz w:val="28"/>
          <w:szCs w:val="28"/>
        </w:rPr>
        <w:t xml:space="preserve"> The Petition invokes this Court’s rule-making </w:t>
      </w:r>
      <w:r w:rsidR="00A87371" w:rsidRPr="00FF3B03">
        <w:rPr>
          <w:sz w:val="28"/>
          <w:szCs w:val="28"/>
        </w:rPr>
        <w:t>authority as additional support for its position.  (Pet. at 3-4.)  The State Bar does not dispute that th</w:t>
      </w:r>
      <w:r w:rsidR="00F72997" w:rsidRPr="00FF3B03">
        <w:rPr>
          <w:sz w:val="28"/>
          <w:szCs w:val="28"/>
        </w:rPr>
        <w:t xml:space="preserve">is Court has the power to create an </w:t>
      </w:r>
      <w:proofErr w:type="spellStart"/>
      <w:r w:rsidR="00F72997" w:rsidRPr="00FF3B03">
        <w:rPr>
          <w:i/>
          <w:iCs/>
          <w:sz w:val="28"/>
          <w:szCs w:val="28"/>
        </w:rPr>
        <w:t>en</w:t>
      </w:r>
      <w:proofErr w:type="spellEnd"/>
      <w:r w:rsidR="00F72997" w:rsidRPr="00FF3B03">
        <w:rPr>
          <w:i/>
          <w:iCs/>
          <w:sz w:val="28"/>
          <w:szCs w:val="28"/>
        </w:rPr>
        <w:t xml:space="preserve"> banc</w:t>
      </w:r>
      <w:r w:rsidR="00F72997" w:rsidRPr="00FF3B03">
        <w:rPr>
          <w:sz w:val="28"/>
          <w:szCs w:val="28"/>
        </w:rPr>
        <w:t xml:space="preserve"> review process, should it so choose.  Because the State Bar encourages the Court not </w:t>
      </w:r>
      <w:r w:rsidR="005E4BD7" w:rsidRPr="00FF3B03">
        <w:rPr>
          <w:sz w:val="28"/>
          <w:szCs w:val="28"/>
        </w:rPr>
        <w:t xml:space="preserve">to </w:t>
      </w:r>
      <w:r w:rsidR="00781622" w:rsidRPr="00FF3B03">
        <w:rPr>
          <w:sz w:val="28"/>
          <w:szCs w:val="28"/>
        </w:rPr>
        <w:t xml:space="preserve">create such a process, the scope of the Court’s authority is </w:t>
      </w:r>
      <w:r w:rsidR="003D2C93" w:rsidRPr="00FF3B03">
        <w:rPr>
          <w:sz w:val="28"/>
          <w:szCs w:val="28"/>
        </w:rPr>
        <w:t>irrelevant to this comment.</w:t>
      </w:r>
      <w:r w:rsidR="00AC717D">
        <w:rPr>
          <w:sz w:val="28"/>
          <w:szCs w:val="28"/>
        </w:rPr>
        <w:t xml:space="preserve">  The State Bar has learned, however, that the legislature is considering a </w:t>
      </w:r>
      <w:r w:rsidR="001E35C4">
        <w:rPr>
          <w:sz w:val="28"/>
          <w:szCs w:val="28"/>
        </w:rPr>
        <w:t xml:space="preserve">bill (H.B. 2040) that would create a statutory </w:t>
      </w:r>
      <w:proofErr w:type="spellStart"/>
      <w:r w:rsidR="001E35C4">
        <w:rPr>
          <w:i/>
          <w:iCs/>
          <w:sz w:val="28"/>
          <w:szCs w:val="28"/>
        </w:rPr>
        <w:t>en</w:t>
      </w:r>
      <w:proofErr w:type="spellEnd"/>
      <w:r w:rsidR="001E35C4">
        <w:rPr>
          <w:i/>
          <w:iCs/>
          <w:sz w:val="28"/>
          <w:szCs w:val="28"/>
        </w:rPr>
        <w:t xml:space="preserve"> banc</w:t>
      </w:r>
      <w:r w:rsidR="001E35C4">
        <w:rPr>
          <w:sz w:val="28"/>
          <w:szCs w:val="28"/>
        </w:rPr>
        <w:t xml:space="preserve"> review process </w:t>
      </w:r>
      <w:proofErr w:type="gramStart"/>
      <w:r w:rsidR="001E35C4">
        <w:rPr>
          <w:sz w:val="28"/>
          <w:szCs w:val="28"/>
        </w:rPr>
        <w:t>similar to</w:t>
      </w:r>
      <w:proofErr w:type="gramEnd"/>
      <w:r w:rsidR="001E35C4">
        <w:rPr>
          <w:sz w:val="28"/>
          <w:szCs w:val="28"/>
        </w:rPr>
        <w:t xml:space="preserve"> what the Petition has proposed.  A copy of the bill is attached as Exhibit A.  The State Bar does not take a position on either the merits of H.B. 2040 or the Legislature’s power to </w:t>
      </w:r>
      <w:r w:rsidR="00A02F17">
        <w:rPr>
          <w:sz w:val="28"/>
          <w:szCs w:val="28"/>
        </w:rPr>
        <w:t xml:space="preserve">create a statutory </w:t>
      </w:r>
      <w:proofErr w:type="spellStart"/>
      <w:r w:rsidR="00A02F17">
        <w:rPr>
          <w:i/>
          <w:iCs/>
          <w:sz w:val="28"/>
          <w:szCs w:val="28"/>
        </w:rPr>
        <w:t>en</w:t>
      </w:r>
      <w:proofErr w:type="spellEnd"/>
      <w:r w:rsidR="00A02F17">
        <w:rPr>
          <w:i/>
          <w:iCs/>
          <w:sz w:val="28"/>
          <w:szCs w:val="28"/>
        </w:rPr>
        <w:t xml:space="preserve"> banc</w:t>
      </w:r>
      <w:r w:rsidR="00A02F17">
        <w:rPr>
          <w:sz w:val="28"/>
          <w:szCs w:val="28"/>
        </w:rPr>
        <w:t xml:space="preserve"> process.</w:t>
      </w:r>
    </w:p>
  </w:footnote>
  <w:footnote w:id="2">
    <w:p w14:paraId="5DD7C37E" w14:textId="56560FAF" w:rsidR="00AB0A05" w:rsidRPr="004B64A7" w:rsidRDefault="00AB0A05" w:rsidP="00583916">
      <w:pPr>
        <w:pStyle w:val="FootnoteText"/>
        <w:rPr>
          <w:sz w:val="28"/>
          <w:szCs w:val="28"/>
        </w:rPr>
      </w:pPr>
      <w:r w:rsidRPr="004B64A7">
        <w:rPr>
          <w:rStyle w:val="FootnoteReference"/>
          <w:sz w:val="28"/>
          <w:szCs w:val="28"/>
        </w:rPr>
        <w:footnoteRef/>
      </w:r>
      <w:r w:rsidRPr="004B64A7">
        <w:rPr>
          <w:sz w:val="28"/>
          <w:szCs w:val="28"/>
        </w:rPr>
        <w:t xml:space="preserve"> Available at:</w:t>
      </w:r>
      <w:r w:rsidR="00C32438" w:rsidRPr="004B64A7">
        <w:rPr>
          <w:sz w:val="28"/>
          <w:szCs w:val="28"/>
        </w:rPr>
        <w:t xml:space="preserve"> </w:t>
      </w:r>
      <w:hyperlink r:id="rId1" w:history="1">
        <w:r w:rsidR="004B64A7" w:rsidRPr="004B64A7">
          <w:rPr>
            <w:rStyle w:val="Hyperlink"/>
            <w:sz w:val="28"/>
            <w:szCs w:val="28"/>
          </w:rPr>
          <w:t>https://www.azcourts.gov/Portals/39/2023</w:t>
        </w:r>
        <w:r w:rsidR="004B64A7" w:rsidRPr="004B64A7">
          <w:rPr>
            <w:rStyle w:val="Hyperlink"/>
            <w:sz w:val="28"/>
            <w:szCs w:val="28"/>
          </w:rPr>
          <w:t>D</w:t>
        </w:r>
        <w:r w:rsidR="004B64A7" w:rsidRPr="004B64A7">
          <w:rPr>
            <w:rStyle w:val="Hyperlink"/>
            <w:sz w:val="28"/>
            <w:szCs w:val="28"/>
          </w:rPr>
          <w:t>R/General%20Jurisdiction/AppellateCaseActivityFY23.pdf?ver=TgVLWh2-Mz_FYG5l7NR_Xw%3d%3d#page=12</w:t>
        </w:r>
      </w:hyperlink>
      <w:r w:rsidR="00C32438" w:rsidRPr="004B64A7">
        <w:rPr>
          <w:sz w:val="28"/>
          <w:szCs w:val="28"/>
        </w:rPr>
        <w:t xml:space="preserve">. </w:t>
      </w:r>
      <w:r w:rsidR="00113261" w:rsidRPr="004B64A7">
        <w:rPr>
          <w:sz w:val="28"/>
          <w:szCs w:val="28"/>
        </w:rPr>
        <w:t xml:space="preserve"> </w:t>
      </w:r>
      <w:r w:rsidR="00C32438" w:rsidRPr="004B64A7">
        <w:rPr>
          <w:sz w:val="28"/>
          <w:szCs w:val="28"/>
        </w:rPr>
        <w:t xml:space="preserve"> </w:t>
      </w:r>
    </w:p>
  </w:footnote>
  <w:footnote w:id="3">
    <w:p w14:paraId="2EC8C281" w14:textId="57FA1F27" w:rsidR="006D21D6" w:rsidRPr="00FF3B03" w:rsidRDefault="006D21D6" w:rsidP="00583916">
      <w:pPr>
        <w:pStyle w:val="FootnoteText"/>
        <w:jc w:val="both"/>
        <w:rPr>
          <w:sz w:val="28"/>
          <w:szCs w:val="28"/>
        </w:rPr>
      </w:pPr>
      <w:r w:rsidRPr="00FF3B03">
        <w:rPr>
          <w:rStyle w:val="FootnoteReference"/>
          <w:sz w:val="28"/>
          <w:szCs w:val="28"/>
        </w:rPr>
        <w:footnoteRef/>
      </w:r>
      <w:r w:rsidRPr="00FF3B03">
        <w:rPr>
          <w:sz w:val="28"/>
          <w:szCs w:val="28"/>
        </w:rPr>
        <w:t xml:space="preserve"> </w:t>
      </w:r>
      <w:r w:rsidR="002310F7" w:rsidRPr="00FF3B03">
        <w:rPr>
          <w:i/>
          <w:iCs/>
          <w:sz w:val="28"/>
          <w:szCs w:val="28"/>
        </w:rPr>
        <w:t>David C. v. Alexis S.</w:t>
      </w:r>
      <w:r w:rsidR="002310F7" w:rsidRPr="00FF3B03">
        <w:rPr>
          <w:sz w:val="28"/>
          <w:szCs w:val="28"/>
        </w:rPr>
        <w:t xml:space="preserve">, 240 Ariz. 53 (2016); </w:t>
      </w:r>
      <w:r w:rsidR="002310F7" w:rsidRPr="00FF3B03">
        <w:rPr>
          <w:i/>
          <w:iCs/>
          <w:sz w:val="28"/>
          <w:szCs w:val="28"/>
        </w:rPr>
        <w:t>State v. Bonfiglio</w:t>
      </w:r>
      <w:r w:rsidR="002310F7" w:rsidRPr="00FF3B03">
        <w:rPr>
          <w:sz w:val="28"/>
          <w:szCs w:val="28"/>
        </w:rPr>
        <w:t xml:space="preserve">, 231 Ariz. 371 (2013); </w:t>
      </w:r>
      <w:r w:rsidR="002310F7" w:rsidRPr="00FF3B03">
        <w:rPr>
          <w:i/>
          <w:iCs/>
          <w:sz w:val="28"/>
          <w:szCs w:val="28"/>
        </w:rPr>
        <w:t>State v. Valverde</w:t>
      </w:r>
      <w:r w:rsidR="002310F7" w:rsidRPr="00FF3B03">
        <w:rPr>
          <w:sz w:val="28"/>
          <w:szCs w:val="28"/>
        </w:rPr>
        <w:t xml:space="preserve">, 220 Ariz. 582 (2009); </w:t>
      </w:r>
      <w:r w:rsidR="002310F7" w:rsidRPr="00FF3B03">
        <w:rPr>
          <w:i/>
          <w:iCs/>
          <w:sz w:val="28"/>
          <w:szCs w:val="28"/>
        </w:rPr>
        <w:t>Ariz</w:t>
      </w:r>
      <w:r w:rsidR="0032587E" w:rsidRPr="00FF3B03">
        <w:rPr>
          <w:i/>
          <w:iCs/>
          <w:sz w:val="28"/>
          <w:szCs w:val="28"/>
        </w:rPr>
        <w:t>.</w:t>
      </w:r>
      <w:r w:rsidR="002310F7" w:rsidRPr="00FF3B03">
        <w:rPr>
          <w:i/>
          <w:iCs/>
          <w:sz w:val="28"/>
          <w:szCs w:val="28"/>
        </w:rPr>
        <w:t xml:space="preserve"> Minority Coal. for Fair Redistricting v. Ariz</w:t>
      </w:r>
      <w:r w:rsidR="0032587E" w:rsidRPr="00FF3B03">
        <w:rPr>
          <w:i/>
          <w:iCs/>
          <w:sz w:val="28"/>
          <w:szCs w:val="28"/>
        </w:rPr>
        <w:t>.</w:t>
      </w:r>
      <w:r w:rsidR="002310F7" w:rsidRPr="00FF3B03">
        <w:rPr>
          <w:i/>
          <w:iCs/>
          <w:sz w:val="28"/>
          <w:szCs w:val="28"/>
        </w:rPr>
        <w:t xml:space="preserve"> </w:t>
      </w:r>
      <w:proofErr w:type="spellStart"/>
      <w:r w:rsidR="002310F7" w:rsidRPr="00FF3B03">
        <w:rPr>
          <w:i/>
          <w:iCs/>
          <w:sz w:val="28"/>
          <w:szCs w:val="28"/>
        </w:rPr>
        <w:t>Indep</w:t>
      </w:r>
      <w:proofErr w:type="spellEnd"/>
      <w:r w:rsidR="002310F7" w:rsidRPr="00FF3B03">
        <w:rPr>
          <w:i/>
          <w:iCs/>
          <w:sz w:val="28"/>
          <w:szCs w:val="28"/>
        </w:rPr>
        <w:t>. Redistricting Comm</w:t>
      </w:r>
      <w:r w:rsidR="0032587E" w:rsidRPr="00FF3B03">
        <w:rPr>
          <w:i/>
          <w:iCs/>
          <w:sz w:val="28"/>
          <w:szCs w:val="28"/>
        </w:rPr>
        <w:t>’</w:t>
      </w:r>
      <w:r w:rsidR="002310F7" w:rsidRPr="00FF3B03">
        <w:rPr>
          <w:i/>
          <w:iCs/>
          <w:sz w:val="28"/>
          <w:szCs w:val="28"/>
        </w:rPr>
        <w:t>n</w:t>
      </w:r>
      <w:r w:rsidR="002310F7" w:rsidRPr="00FF3B03">
        <w:rPr>
          <w:sz w:val="28"/>
          <w:szCs w:val="28"/>
        </w:rPr>
        <w:t xml:space="preserve">, 220 Ariz. 587 (2009); </w:t>
      </w:r>
      <w:r w:rsidR="002310F7" w:rsidRPr="00FF3B03">
        <w:rPr>
          <w:i/>
          <w:iCs/>
          <w:sz w:val="28"/>
          <w:szCs w:val="28"/>
        </w:rPr>
        <w:t>State v. Stummer</w:t>
      </w:r>
      <w:r w:rsidR="002310F7" w:rsidRPr="00FF3B03">
        <w:rPr>
          <w:sz w:val="28"/>
          <w:szCs w:val="28"/>
        </w:rPr>
        <w:t xml:space="preserve">, 219 Ariz. 137 (2008); </w:t>
      </w:r>
      <w:r w:rsidR="002310F7" w:rsidRPr="00FF3B03">
        <w:rPr>
          <w:i/>
          <w:iCs/>
          <w:sz w:val="28"/>
          <w:szCs w:val="28"/>
        </w:rPr>
        <w:t>State v. Cox</w:t>
      </w:r>
      <w:r w:rsidR="002310F7" w:rsidRPr="00FF3B03">
        <w:rPr>
          <w:sz w:val="28"/>
          <w:szCs w:val="28"/>
        </w:rPr>
        <w:t xml:space="preserve">, 217 Ariz. 353 (2007); </w:t>
      </w:r>
      <w:r w:rsidR="002310F7" w:rsidRPr="00FF3B03">
        <w:rPr>
          <w:i/>
          <w:iCs/>
          <w:sz w:val="28"/>
          <w:szCs w:val="28"/>
        </w:rPr>
        <w:t>Bilke v. State</w:t>
      </w:r>
      <w:r w:rsidR="002310F7" w:rsidRPr="00FF3B03">
        <w:rPr>
          <w:sz w:val="28"/>
          <w:szCs w:val="28"/>
        </w:rPr>
        <w:t xml:space="preserve">, 206 Ariz. 462 (2003); </w:t>
      </w:r>
      <w:r w:rsidR="002310F7" w:rsidRPr="00FF3B03">
        <w:rPr>
          <w:i/>
          <w:iCs/>
          <w:sz w:val="28"/>
          <w:szCs w:val="28"/>
        </w:rPr>
        <w:t>State v. Estrada</w:t>
      </w:r>
      <w:r w:rsidR="002310F7" w:rsidRPr="00FF3B03">
        <w:rPr>
          <w:sz w:val="28"/>
          <w:szCs w:val="28"/>
        </w:rPr>
        <w:t xml:space="preserve">, 201 Ariz. 247 (2001); </w:t>
      </w:r>
      <w:r w:rsidR="002310F7" w:rsidRPr="00FF3B03">
        <w:rPr>
          <w:i/>
          <w:iCs/>
          <w:sz w:val="28"/>
          <w:szCs w:val="28"/>
        </w:rPr>
        <w:t>State v. Powers</w:t>
      </w:r>
      <w:r w:rsidR="002310F7" w:rsidRPr="00FF3B03">
        <w:rPr>
          <w:sz w:val="28"/>
          <w:szCs w:val="28"/>
        </w:rPr>
        <w:t xml:space="preserve">, 200 Ariz. 363 (2001); </w:t>
      </w:r>
      <w:r w:rsidR="002310F7" w:rsidRPr="00FF3B03">
        <w:rPr>
          <w:i/>
          <w:iCs/>
          <w:sz w:val="28"/>
          <w:szCs w:val="28"/>
        </w:rPr>
        <w:t>State v. O</w:t>
      </w:r>
      <w:r w:rsidR="0032587E" w:rsidRPr="00FF3B03">
        <w:rPr>
          <w:i/>
          <w:iCs/>
          <w:sz w:val="28"/>
          <w:szCs w:val="28"/>
        </w:rPr>
        <w:t>’</w:t>
      </w:r>
      <w:r w:rsidR="002310F7" w:rsidRPr="00FF3B03">
        <w:rPr>
          <w:i/>
          <w:iCs/>
          <w:sz w:val="28"/>
          <w:szCs w:val="28"/>
        </w:rPr>
        <w:t>Meara</w:t>
      </w:r>
      <w:r w:rsidR="002310F7" w:rsidRPr="00FF3B03">
        <w:rPr>
          <w:sz w:val="28"/>
          <w:szCs w:val="28"/>
        </w:rPr>
        <w:t xml:space="preserve">, 198 Ariz. 294 (2000); </w:t>
      </w:r>
      <w:r w:rsidR="002310F7" w:rsidRPr="00FF3B03">
        <w:rPr>
          <w:i/>
          <w:iCs/>
          <w:sz w:val="28"/>
          <w:szCs w:val="28"/>
        </w:rPr>
        <w:t>State v. Eagle</w:t>
      </w:r>
      <w:r w:rsidR="002310F7" w:rsidRPr="00FF3B03">
        <w:rPr>
          <w:sz w:val="28"/>
          <w:szCs w:val="28"/>
        </w:rPr>
        <w:t xml:space="preserve">, 196 Ariz. 188 (2000); </w:t>
      </w:r>
      <w:r w:rsidR="002310F7" w:rsidRPr="00FF3B03">
        <w:rPr>
          <w:i/>
          <w:iCs/>
          <w:sz w:val="28"/>
          <w:szCs w:val="28"/>
        </w:rPr>
        <w:t xml:space="preserve">State ex rel. Romley v. Galati ex rel. </w:t>
      </w:r>
      <w:proofErr w:type="spellStart"/>
      <w:r w:rsidR="002310F7" w:rsidRPr="00FF3B03">
        <w:rPr>
          <w:i/>
          <w:iCs/>
          <w:sz w:val="28"/>
          <w:szCs w:val="28"/>
        </w:rPr>
        <w:t>Cnty</w:t>
      </w:r>
      <w:proofErr w:type="spellEnd"/>
      <w:r w:rsidR="002310F7" w:rsidRPr="00FF3B03">
        <w:rPr>
          <w:i/>
          <w:iCs/>
          <w:sz w:val="28"/>
          <w:szCs w:val="28"/>
        </w:rPr>
        <w:t>. of Maricopa</w:t>
      </w:r>
      <w:r w:rsidR="002310F7" w:rsidRPr="00FF3B03">
        <w:rPr>
          <w:sz w:val="28"/>
          <w:szCs w:val="28"/>
        </w:rPr>
        <w:t xml:space="preserve">, 195 Ariz. 9 (1999); </w:t>
      </w:r>
      <w:r w:rsidR="002310F7" w:rsidRPr="00FF3B03">
        <w:rPr>
          <w:i/>
          <w:iCs/>
          <w:sz w:val="28"/>
          <w:szCs w:val="28"/>
        </w:rPr>
        <w:t>Hall v. Lalli</w:t>
      </w:r>
      <w:r w:rsidR="002310F7" w:rsidRPr="00FF3B03">
        <w:rPr>
          <w:sz w:val="28"/>
          <w:szCs w:val="28"/>
        </w:rPr>
        <w:t xml:space="preserve">, 194 Ariz. 54 (1999); </w:t>
      </w:r>
      <w:r w:rsidR="002310F7" w:rsidRPr="00FF3B03">
        <w:rPr>
          <w:i/>
          <w:iCs/>
          <w:sz w:val="28"/>
          <w:szCs w:val="28"/>
        </w:rPr>
        <w:t>State v. Riggs</w:t>
      </w:r>
      <w:r w:rsidR="002310F7" w:rsidRPr="00FF3B03">
        <w:rPr>
          <w:sz w:val="28"/>
          <w:szCs w:val="28"/>
        </w:rPr>
        <w:t xml:space="preserve">, 189 Ariz. 327 (1997); </w:t>
      </w:r>
      <w:r w:rsidR="002310F7" w:rsidRPr="00FF3B03">
        <w:rPr>
          <w:i/>
          <w:iCs/>
          <w:sz w:val="28"/>
          <w:szCs w:val="28"/>
        </w:rPr>
        <w:t>Curtis v. Morris</w:t>
      </w:r>
      <w:r w:rsidR="002310F7" w:rsidRPr="00FF3B03">
        <w:rPr>
          <w:sz w:val="28"/>
          <w:szCs w:val="28"/>
        </w:rPr>
        <w:t xml:space="preserve">, 186 Ariz. 534 (1996); </w:t>
      </w:r>
      <w:r w:rsidR="002310F7" w:rsidRPr="00FF3B03">
        <w:rPr>
          <w:i/>
          <w:iCs/>
          <w:sz w:val="28"/>
          <w:szCs w:val="28"/>
        </w:rPr>
        <w:t>Vega v. Morris</w:t>
      </w:r>
      <w:r w:rsidR="002310F7" w:rsidRPr="00FF3B03">
        <w:rPr>
          <w:sz w:val="28"/>
          <w:szCs w:val="28"/>
        </w:rPr>
        <w:t xml:space="preserve">, 184 Ariz. 461 (1996); </w:t>
      </w:r>
      <w:r w:rsidR="002310F7" w:rsidRPr="00FF3B03">
        <w:rPr>
          <w:i/>
          <w:iCs/>
          <w:sz w:val="28"/>
          <w:szCs w:val="28"/>
        </w:rPr>
        <w:t>Goulder v. Ariz</w:t>
      </w:r>
      <w:r w:rsidR="0032587E" w:rsidRPr="00FF3B03">
        <w:rPr>
          <w:i/>
          <w:iCs/>
          <w:sz w:val="28"/>
          <w:szCs w:val="28"/>
        </w:rPr>
        <w:t>.</w:t>
      </w:r>
      <w:r w:rsidR="002310F7" w:rsidRPr="00FF3B03">
        <w:rPr>
          <w:i/>
          <w:iCs/>
          <w:sz w:val="28"/>
          <w:szCs w:val="28"/>
        </w:rPr>
        <w:t xml:space="preserve"> </w:t>
      </w:r>
      <w:proofErr w:type="spellStart"/>
      <w:r w:rsidR="002310F7" w:rsidRPr="00FF3B03">
        <w:rPr>
          <w:i/>
          <w:iCs/>
          <w:sz w:val="28"/>
          <w:szCs w:val="28"/>
        </w:rPr>
        <w:t>Dep</w:t>
      </w:r>
      <w:r w:rsidR="0032587E" w:rsidRPr="00FF3B03">
        <w:rPr>
          <w:i/>
          <w:iCs/>
          <w:sz w:val="28"/>
          <w:szCs w:val="28"/>
        </w:rPr>
        <w:t>’</w:t>
      </w:r>
      <w:r w:rsidR="002310F7" w:rsidRPr="00FF3B03">
        <w:rPr>
          <w:i/>
          <w:iCs/>
          <w:sz w:val="28"/>
          <w:szCs w:val="28"/>
        </w:rPr>
        <w:t>t</w:t>
      </w:r>
      <w:proofErr w:type="spellEnd"/>
      <w:r w:rsidR="002310F7" w:rsidRPr="00FF3B03">
        <w:rPr>
          <w:i/>
          <w:iCs/>
          <w:sz w:val="28"/>
          <w:szCs w:val="28"/>
        </w:rPr>
        <w:t xml:space="preserve"> of Transp. Motor Vehicle Div.</w:t>
      </w:r>
      <w:r w:rsidR="002310F7" w:rsidRPr="00FF3B03">
        <w:rPr>
          <w:sz w:val="28"/>
          <w:szCs w:val="28"/>
        </w:rPr>
        <w:t xml:space="preserve">, 179 Ariz. 181 (1994); </w:t>
      </w:r>
      <w:r w:rsidR="002310F7" w:rsidRPr="00FF3B03">
        <w:rPr>
          <w:i/>
          <w:iCs/>
          <w:sz w:val="28"/>
          <w:szCs w:val="28"/>
        </w:rPr>
        <w:t>State v. Pennington</w:t>
      </w:r>
      <w:r w:rsidR="002310F7" w:rsidRPr="00FF3B03">
        <w:rPr>
          <w:sz w:val="28"/>
          <w:szCs w:val="28"/>
        </w:rPr>
        <w:t xml:space="preserve">, 178 Ariz. 301 (1994); </w:t>
      </w:r>
      <w:r w:rsidR="002310F7" w:rsidRPr="00FF3B03">
        <w:rPr>
          <w:i/>
          <w:iCs/>
          <w:sz w:val="28"/>
          <w:szCs w:val="28"/>
        </w:rPr>
        <w:t>Ariz</w:t>
      </w:r>
      <w:r w:rsidR="0032587E" w:rsidRPr="00FF3B03">
        <w:rPr>
          <w:i/>
          <w:iCs/>
          <w:sz w:val="28"/>
          <w:szCs w:val="28"/>
        </w:rPr>
        <w:t>.</w:t>
      </w:r>
      <w:r w:rsidR="002310F7" w:rsidRPr="00FF3B03">
        <w:rPr>
          <w:i/>
          <w:iCs/>
          <w:sz w:val="28"/>
          <w:szCs w:val="28"/>
        </w:rPr>
        <w:t xml:space="preserve"> </w:t>
      </w:r>
      <w:proofErr w:type="spellStart"/>
      <w:r w:rsidR="002310F7" w:rsidRPr="00FF3B03">
        <w:rPr>
          <w:i/>
          <w:iCs/>
          <w:sz w:val="28"/>
          <w:szCs w:val="28"/>
        </w:rPr>
        <w:t>Dep</w:t>
      </w:r>
      <w:r w:rsidR="0032587E" w:rsidRPr="00FF3B03">
        <w:rPr>
          <w:i/>
          <w:iCs/>
          <w:sz w:val="28"/>
          <w:szCs w:val="28"/>
        </w:rPr>
        <w:t>’</w:t>
      </w:r>
      <w:r w:rsidR="002310F7" w:rsidRPr="00FF3B03">
        <w:rPr>
          <w:i/>
          <w:iCs/>
          <w:sz w:val="28"/>
          <w:szCs w:val="28"/>
        </w:rPr>
        <w:t>t</w:t>
      </w:r>
      <w:proofErr w:type="spellEnd"/>
      <w:r w:rsidR="002310F7" w:rsidRPr="00FF3B03">
        <w:rPr>
          <w:i/>
          <w:iCs/>
          <w:sz w:val="28"/>
          <w:szCs w:val="28"/>
        </w:rPr>
        <w:t xml:space="preserve"> of Pub. Safety v. Indus. Comm</w:t>
      </w:r>
      <w:r w:rsidR="0032587E" w:rsidRPr="00FF3B03">
        <w:rPr>
          <w:i/>
          <w:iCs/>
          <w:sz w:val="28"/>
          <w:szCs w:val="28"/>
        </w:rPr>
        <w:t>’</w:t>
      </w:r>
      <w:r w:rsidR="002310F7" w:rsidRPr="00FF3B03">
        <w:rPr>
          <w:i/>
          <w:iCs/>
          <w:sz w:val="28"/>
          <w:szCs w:val="28"/>
        </w:rPr>
        <w:t>n of Ariz</w:t>
      </w:r>
      <w:r w:rsidR="0032587E" w:rsidRPr="00FF3B03">
        <w:rPr>
          <w:i/>
          <w:iCs/>
          <w:sz w:val="28"/>
          <w:szCs w:val="28"/>
        </w:rPr>
        <w:t>.</w:t>
      </w:r>
      <w:r w:rsidR="002310F7" w:rsidRPr="00FF3B03">
        <w:rPr>
          <w:sz w:val="28"/>
          <w:szCs w:val="28"/>
        </w:rPr>
        <w:t xml:space="preserve">, 176 Ariz. 318 (1993); </w:t>
      </w:r>
      <w:r w:rsidR="002310F7" w:rsidRPr="00FF3B03">
        <w:rPr>
          <w:i/>
          <w:iCs/>
          <w:sz w:val="28"/>
          <w:szCs w:val="28"/>
        </w:rPr>
        <w:t xml:space="preserve">El Paso Elec. Co. v. Maricopa </w:t>
      </w:r>
      <w:proofErr w:type="spellStart"/>
      <w:r w:rsidR="002310F7" w:rsidRPr="00FF3B03">
        <w:rPr>
          <w:i/>
          <w:iCs/>
          <w:sz w:val="28"/>
          <w:szCs w:val="28"/>
        </w:rPr>
        <w:t>Cnty</w:t>
      </w:r>
      <w:proofErr w:type="spellEnd"/>
      <w:r w:rsidR="002310F7" w:rsidRPr="00FF3B03">
        <w:rPr>
          <w:i/>
          <w:iCs/>
          <w:sz w:val="28"/>
          <w:szCs w:val="28"/>
        </w:rPr>
        <w:t>.</w:t>
      </w:r>
      <w:r w:rsidR="002310F7" w:rsidRPr="00FF3B03">
        <w:rPr>
          <w:sz w:val="28"/>
          <w:szCs w:val="28"/>
        </w:rPr>
        <w:t xml:space="preserve">, 172 Ariz. 335 (1992); </w:t>
      </w:r>
      <w:r w:rsidR="002310F7" w:rsidRPr="00FF3B03">
        <w:rPr>
          <w:i/>
          <w:iCs/>
          <w:sz w:val="28"/>
          <w:szCs w:val="28"/>
        </w:rPr>
        <w:t xml:space="preserve">Salt River Project </w:t>
      </w:r>
      <w:proofErr w:type="spellStart"/>
      <w:r w:rsidR="002310F7" w:rsidRPr="00FF3B03">
        <w:rPr>
          <w:i/>
          <w:iCs/>
          <w:sz w:val="28"/>
          <w:szCs w:val="28"/>
        </w:rPr>
        <w:t>Agr</w:t>
      </w:r>
      <w:proofErr w:type="spellEnd"/>
      <w:r w:rsidR="002310F7" w:rsidRPr="00FF3B03">
        <w:rPr>
          <w:i/>
          <w:iCs/>
          <w:sz w:val="28"/>
          <w:szCs w:val="28"/>
        </w:rPr>
        <w:t xml:space="preserve">. Imp. &amp; Power Dist. v. Apache </w:t>
      </w:r>
      <w:proofErr w:type="spellStart"/>
      <w:r w:rsidR="002310F7" w:rsidRPr="00FF3B03">
        <w:rPr>
          <w:i/>
          <w:iCs/>
          <w:sz w:val="28"/>
          <w:szCs w:val="28"/>
        </w:rPr>
        <w:t>Cnty</w:t>
      </w:r>
      <w:proofErr w:type="spellEnd"/>
      <w:r w:rsidR="002310F7" w:rsidRPr="00FF3B03">
        <w:rPr>
          <w:i/>
          <w:iCs/>
          <w:sz w:val="28"/>
          <w:szCs w:val="28"/>
        </w:rPr>
        <w:t>.</w:t>
      </w:r>
      <w:r w:rsidR="002310F7" w:rsidRPr="00FF3B03">
        <w:rPr>
          <w:sz w:val="28"/>
          <w:szCs w:val="28"/>
        </w:rPr>
        <w:t xml:space="preserve">, 172 Ariz. 337 (1992); </w:t>
      </w:r>
      <w:r w:rsidR="002310F7" w:rsidRPr="00FF3B03">
        <w:rPr>
          <w:i/>
          <w:iCs/>
          <w:sz w:val="28"/>
          <w:szCs w:val="28"/>
        </w:rPr>
        <w:t>State v. Reynolds</w:t>
      </w:r>
      <w:r w:rsidR="002310F7" w:rsidRPr="00FF3B03">
        <w:rPr>
          <w:sz w:val="28"/>
          <w:szCs w:val="28"/>
        </w:rPr>
        <w:t xml:space="preserve">, 170 Ariz. 233 (1992); </w:t>
      </w:r>
      <w:r w:rsidR="002310F7" w:rsidRPr="00FF3B03">
        <w:rPr>
          <w:i/>
          <w:iCs/>
          <w:sz w:val="28"/>
          <w:szCs w:val="28"/>
        </w:rPr>
        <w:t>State v. Barnes</w:t>
      </w:r>
      <w:r w:rsidR="002310F7" w:rsidRPr="00FF3B03">
        <w:rPr>
          <w:sz w:val="28"/>
          <w:szCs w:val="28"/>
        </w:rPr>
        <w:t xml:space="preserve">, 167 Ariz. 186, 188 (1991); </w:t>
      </w:r>
      <w:r w:rsidR="002310F7" w:rsidRPr="00FF3B03">
        <w:rPr>
          <w:i/>
          <w:iCs/>
          <w:sz w:val="28"/>
          <w:szCs w:val="28"/>
        </w:rPr>
        <w:t xml:space="preserve">Ft. Lowell-NSS Ltd. </w:t>
      </w:r>
      <w:proofErr w:type="spellStart"/>
      <w:r w:rsidR="002310F7" w:rsidRPr="00FF3B03">
        <w:rPr>
          <w:i/>
          <w:iCs/>
          <w:sz w:val="28"/>
          <w:szCs w:val="28"/>
        </w:rPr>
        <w:t>P</w:t>
      </w:r>
      <w:r w:rsidR="0032587E" w:rsidRPr="00FF3B03">
        <w:rPr>
          <w:i/>
          <w:iCs/>
          <w:sz w:val="28"/>
          <w:szCs w:val="28"/>
        </w:rPr>
        <w:t>’</w:t>
      </w:r>
      <w:r w:rsidR="002310F7" w:rsidRPr="00FF3B03">
        <w:rPr>
          <w:i/>
          <w:iCs/>
          <w:sz w:val="28"/>
          <w:szCs w:val="28"/>
        </w:rPr>
        <w:t>ship</w:t>
      </w:r>
      <w:proofErr w:type="spellEnd"/>
      <w:r w:rsidR="002310F7" w:rsidRPr="00FF3B03">
        <w:rPr>
          <w:i/>
          <w:iCs/>
          <w:sz w:val="28"/>
          <w:szCs w:val="28"/>
        </w:rPr>
        <w:t xml:space="preserve"> v. Kelly</w:t>
      </w:r>
      <w:r w:rsidR="002310F7" w:rsidRPr="00FF3B03">
        <w:rPr>
          <w:sz w:val="28"/>
          <w:szCs w:val="28"/>
        </w:rPr>
        <w:t xml:space="preserve">, 166 Ariz. 96 (1990); </w:t>
      </w:r>
      <w:r w:rsidR="002310F7" w:rsidRPr="00FF3B03">
        <w:rPr>
          <w:i/>
          <w:iCs/>
          <w:sz w:val="28"/>
          <w:szCs w:val="28"/>
        </w:rPr>
        <w:t>Schroeder</w:t>
      </w:r>
      <w:r w:rsidR="002310F7" w:rsidRPr="00FF3B03">
        <w:rPr>
          <w:sz w:val="28"/>
          <w:szCs w:val="28"/>
        </w:rPr>
        <w:t xml:space="preserve"> </w:t>
      </w:r>
      <w:r w:rsidR="002310F7" w:rsidRPr="00FF3B03">
        <w:rPr>
          <w:i/>
          <w:iCs/>
          <w:sz w:val="28"/>
          <w:szCs w:val="28"/>
        </w:rPr>
        <w:t>v. Schroeder</w:t>
      </w:r>
      <w:r w:rsidR="002310F7" w:rsidRPr="00FF3B03">
        <w:rPr>
          <w:sz w:val="28"/>
          <w:szCs w:val="28"/>
        </w:rPr>
        <w:t xml:space="preserve">, 161 Ariz. 316 (1989); </w:t>
      </w:r>
      <w:r w:rsidR="002310F7" w:rsidRPr="00FF3B03">
        <w:rPr>
          <w:i/>
          <w:iCs/>
          <w:sz w:val="28"/>
          <w:szCs w:val="28"/>
        </w:rPr>
        <w:t>Martin v. Martin</w:t>
      </w:r>
      <w:r w:rsidR="002310F7" w:rsidRPr="00FF3B03">
        <w:rPr>
          <w:sz w:val="28"/>
          <w:szCs w:val="28"/>
        </w:rPr>
        <w:t xml:space="preserve">, 156 Ariz. 452 (1988); </w:t>
      </w:r>
      <w:r w:rsidR="002310F7" w:rsidRPr="00FF3B03">
        <w:rPr>
          <w:i/>
          <w:iCs/>
          <w:sz w:val="28"/>
          <w:szCs w:val="28"/>
        </w:rPr>
        <w:t>State v. Fallon</w:t>
      </w:r>
      <w:r w:rsidR="002310F7" w:rsidRPr="00FF3B03">
        <w:rPr>
          <w:sz w:val="28"/>
          <w:szCs w:val="28"/>
        </w:rPr>
        <w:t xml:space="preserve">, 151 Ariz. 192 (1986); </w:t>
      </w:r>
      <w:proofErr w:type="spellStart"/>
      <w:r w:rsidR="002310F7" w:rsidRPr="00FF3B03">
        <w:rPr>
          <w:i/>
          <w:iCs/>
          <w:sz w:val="28"/>
          <w:szCs w:val="28"/>
        </w:rPr>
        <w:t>Nat’l</w:t>
      </w:r>
      <w:proofErr w:type="spellEnd"/>
      <w:r w:rsidR="002310F7" w:rsidRPr="00FF3B03">
        <w:rPr>
          <w:i/>
          <w:iCs/>
          <w:sz w:val="28"/>
          <w:szCs w:val="28"/>
        </w:rPr>
        <w:t xml:space="preserve"> </w:t>
      </w:r>
      <w:proofErr w:type="spellStart"/>
      <w:r w:rsidR="002310F7" w:rsidRPr="00FF3B03">
        <w:rPr>
          <w:i/>
          <w:iCs/>
          <w:sz w:val="28"/>
          <w:szCs w:val="28"/>
        </w:rPr>
        <w:t>Indem</w:t>
      </w:r>
      <w:proofErr w:type="spellEnd"/>
      <w:r w:rsidR="002310F7" w:rsidRPr="00FF3B03">
        <w:rPr>
          <w:i/>
          <w:iCs/>
          <w:sz w:val="28"/>
          <w:szCs w:val="28"/>
        </w:rPr>
        <w:t>. Co. v. St. Paul Ins. Companies</w:t>
      </w:r>
      <w:r w:rsidR="002310F7" w:rsidRPr="00FF3B03">
        <w:rPr>
          <w:sz w:val="28"/>
          <w:szCs w:val="28"/>
        </w:rPr>
        <w:t xml:space="preserve">, 150 Ariz. 458 (1986); </w:t>
      </w:r>
      <w:r w:rsidR="002310F7" w:rsidRPr="00FF3B03">
        <w:rPr>
          <w:i/>
          <w:iCs/>
          <w:sz w:val="28"/>
          <w:szCs w:val="28"/>
        </w:rPr>
        <w:t>Marcus v. Fox</w:t>
      </w:r>
      <w:r w:rsidR="002310F7" w:rsidRPr="00FF3B03">
        <w:rPr>
          <w:sz w:val="28"/>
          <w:szCs w:val="28"/>
        </w:rPr>
        <w:t xml:space="preserve">, 150 Ariz. 333 (1986); </w:t>
      </w:r>
      <w:r w:rsidR="002310F7" w:rsidRPr="00FF3B03">
        <w:rPr>
          <w:i/>
          <w:iCs/>
          <w:sz w:val="28"/>
          <w:szCs w:val="28"/>
        </w:rPr>
        <w:t>Focal Point, Inc. v. Ct. of Appeals of State of Ariz., Div. One</w:t>
      </w:r>
      <w:r w:rsidR="002310F7" w:rsidRPr="00FF3B03">
        <w:rPr>
          <w:sz w:val="28"/>
          <w:szCs w:val="28"/>
        </w:rPr>
        <w:t xml:space="preserve">, 149 Ariz. 128 (1986); </w:t>
      </w:r>
      <w:proofErr w:type="spellStart"/>
      <w:r w:rsidR="002310F7" w:rsidRPr="00FF3B03">
        <w:rPr>
          <w:i/>
          <w:iCs/>
          <w:sz w:val="28"/>
          <w:szCs w:val="28"/>
        </w:rPr>
        <w:t>Wistuber</w:t>
      </w:r>
      <w:proofErr w:type="spellEnd"/>
      <w:r w:rsidR="002310F7" w:rsidRPr="00FF3B03">
        <w:rPr>
          <w:i/>
          <w:iCs/>
          <w:sz w:val="28"/>
          <w:szCs w:val="28"/>
        </w:rPr>
        <w:t xml:space="preserve"> v. Paradise Valley Unified Sch. Dist.</w:t>
      </w:r>
      <w:r w:rsidR="002310F7" w:rsidRPr="00FF3B03">
        <w:rPr>
          <w:sz w:val="28"/>
          <w:szCs w:val="28"/>
        </w:rPr>
        <w:t xml:space="preserve">, 141 Ariz. 346 (1984); </w:t>
      </w:r>
      <w:r w:rsidR="002310F7" w:rsidRPr="00FF3B03">
        <w:rPr>
          <w:i/>
          <w:iCs/>
          <w:sz w:val="28"/>
          <w:szCs w:val="28"/>
        </w:rPr>
        <w:t>Donnelly Const. Co. v. Oberg/Hunt/Gilleland</w:t>
      </w:r>
      <w:r w:rsidR="002310F7" w:rsidRPr="00FF3B03">
        <w:rPr>
          <w:sz w:val="28"/>
          <w:szCs w:val="28"/>
        </w:rPr>
        <w:t xml:space="preserve">, 139 Ariz. 184 (1984); </w:t>
      </w:r>
      <w:r w:rsidR="002310F7" w:rsidRPr="00FF3B03">
        <w:rPr>
          <w:i/>
          <w:iCs/>
          <w:sz w:val="28"/>
          <w:szCs w:val="28"/>
        </w:rPr>
        <w:t>Word v. Motorola, Inc.</w:t>
      </w:r>
      <w:r w:rsidR="002310F7" w:rsidRPr="00FF3B03">
        <w:rPr>
          <w:sz w:val="28"/>
          <w:szCs w:val="28"/>
        </w:rPr>
        <w:t xml:space="preserve">, 135 Ariz. 517 (1983); </w:t>
      </w:r>
      <w:r w:rsidR="002310F7" w:rsidRPr="00FF3B03">
        <w:rPr>
          <w:i/>
          <w:iCs/>
          <w:sz w:val="28"/>
          <w:szCs w:val="28"/>
        </w:rPr>
        <w:t>State v. Wallis</w:t>
      </w:r>
      <w:r w:rsidR="002310F7" w:rsidRPr="00FF3B03">
        <w:rPr>
          <w:sz w:val="28"/>
          <w:szCs w:val="28"/>
        </w:rPr>
        <w:t xml:space="preserve">, 132 Ariz. 445 (1982); </w:t>
      </w:r>
      <w:r w:rsidR="002310F7" w:rsidRPr="00FF3B03">
        <w:rPr>
          <w:i/>
          <w:iCs/>
          <w:sz w:val="28"/>
          <w:szCs w:val="28"/>
        </w:rPr>
        <w:t>Bouldin v. Turek</w:t>
      </w:r>
      <w:r w:rsidR="002310F7" w:rsidRPr="00FF3B03">
        <w:rPr>
          <w:sz w:val="28"/>
          <w:szCs w:val="28"/>
        </w:rPr>
        <w:t xml:space="preserve">, 125 Ariz. 77 (1979); </w:t>
      </w:r>
      <w:r w:rsidR="002310F7" w:rsidRPr="00FF3B03">
        <w:rPr>
          <w:i/>
          <w:iCs/>
          <w:sz w:val="28"/>
          <w:szCs w:val="28"/>
        </w:rPr>
        <w:t>State v. Norris</w:t>
      </w:r>
      <w:r w:rsidR="002310F7" w:rsidRPr="00FF3B03">
        <w:rPr>
          <w:sz w:val="28"/>
          <w:szCs w:val="28"/>
        </w:rPr>
        <w:t>, 113 Ariz. 558 (1976).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39EEE" w14:textId="77777777" w:rsidR="007870CB" w:rsidRDefault="000C48A9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F198E9B" wp14:editId="628086A1">
              <wp:simplePos x="0" y="0"/>
              <wp:positionH relativeFrom="margin">
                <wp:posOffset>6000750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4" name="Right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1112F0" id="RightBorder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72.5pt,0" to="472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LnE8hndAAAACQEAAA8AAABkcnMvZG93bnJldi54bWxMj8FO&#10;wzAQRO9I/IO1SFwqalNaVEKcCgG5cWkBcd3GSxIRr9PYbQNfzyIOcFlpNKPZN/lq9J060BDbwBYu&#10;pwYUcRVcy7WFl+fyYgkqJmSHXWCy8EkRVsXpSY6ZC0de02GTaiUlHDO00KTUZ1rHqiGPcRp6YvHe&#10;w+AxiRxq7QY8Srnv9MyYa+2xZfnQYE/3DVUfm723EMtX2pVfk2pi3q7qQLPdw9MjWnt+Nt7dgko0&#10;pr8w/OALOhTCtA17dlF1Fm7mC9mSLMgV+1duJbdYzg3oItf/FxTfAAAA//8DAFBLAQItABQABgAI&#10;AAAAIQC2gziS/gAAAOEBAAATAAAAAAAAAAAAAAAAAAAAAABbQ29udGVudF9UeXBlc10ueG1sUEsB&#10;Ai0AFAAGAAgAAAAhADj9If/WAAAAlAEAAAsAAAAAAAAAAAAAAAAALwEAAF9yZWxzLy5yZWxzUEsB&#10;Ai0AFAAGAAgAAAAhAHn+bpqwAQAASQMAAA4AAAAAAAAAAAAAAAAALgIAAGRycy9lMm9Eb2MueG1s&#10;UEsBAi0AFAAGAAgAAAAhALnE8hndAAAACQEAAA8AAAAAAAAAAAAAAAAACgQAAGRycy9kb3ducmV2&#10;LnhtbFBLBQYAAAAABAAEAPMAAAAUBQAAAAA=&#10;">
              <w10:wrap anchorx="margin" anchory="page"/>
            </v:lin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7B9C2C6" wp14:editId="2C722289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2" name="LeftBorde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90B914" id="LeftBorder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KzCTyTcAAAACQEAAA8AAABkcnMvZG93bnJldi54bWxMj8FO&#10;wzAQRO9I/IO1SFyq1mkJVRXiVAjIjQsF1Os2XpKIeJ3Gbhv4ehb1AMfRjGbe5OvRdepIQ2g9G5jP&#10;ElDElbct1wbeXsvpClSIyBY7z2TgiwKsi8uLHDPrT/xCx02slZRwyNBAE2OfaR2qhhyGme+Jxfvw&#10;g8Mocqi1HfAk5a7TiyRZaocty0KDPT00VH1uDs5AKN9pX35Pqkmyvak9LfaPz09ozPXVeH8HKtIY&#10;/8Lwiy/oUAjTzh/YBtUZmM7TVKIG5JHYZ7mT3O0qTUAXuf7/oPgBAAD//wMAUEsBAi0AFAAGAAgA&#10;AAAhALaDOJL+AAAA4QEAABMAAAAAAAAAAAAAAAAAAAAAAFtDb250ZW50X1R5cGVzXS54bWxQSwEC&#10;LQAUAAYACAAAACEAOP0h/9YAAACUAQAACwAAAAAAAAAAAAAAAAAvAQAAX3JlbHMvLnJlbHNQSwEC&#10;LQAUAAYACAAAACEAef5umrABAABJAwAADgAAAAAAAAAAAAAAAAAuAgAAZHJzL2Uyb0RvYy54bWxQ&#10;SwECLQAUAAYACAAAACEArMJPJNwAAAAJAQAADwAAAAAAAAAAAAAAAAAKBAAAZHJzL2Rvd25yZXYu&#10;eG1sUEsFBgAAAAAEAAQA8wAAABMFAAAAAA==&#10;">
              <w10:wrap anchorx="margin" anchory="page"/>
            </v:lin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1A3BE4F" wp14:editId="71C89CAF">
              <wp:simplePos x="0" y="0"/>
              <wp:positionH relativeFrom="margin">
                <wp:posOffset>-45720</wp:posOffset>
              </wp:positionH>
              <wp:positionV relativeFrom="page">
                <wp:posOffset>0</wp:posOffset>
              </wp:positionV>
              <wp:extent cx="0" cy="10058400"/>
              <wp:effectExtent l="11430" t="9525" r="7620" b="9525"/>
              <wp:wrapNone/>
              <wp:docPr id="1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E2F2E4" id="LeftBorder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.6pt,0" to="-3.6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M0P5h7aAAAABwEAAA8AAABkcnMvZG93bnJldi54bWxMj8tO&#10;wzAQRfdI/IM1SGyq1ia8qhCnQkB2bCggttN4SCLicRq7beDrGdjA8uoe3TlTrCbfqz2NsQts4Wxh&#10;QBHXwXXcWHh5ruZLUDEhO+wDk4VPirAqj48KzF048BPt16lRMsIxRwttSkOudaxb8hgXYSCW7j2M&#10;HpPEsdFuxIOM+15nxlxpjx3LhRYHumup/ljvvIVYvdK2+prVM/N23gTKtvePD2jt6cl0ewMq0ZT+&#10;YPjRF3UoxWkTduyi6i3MrzMhLchD0v6mjVCXywsDuiz0f//yGwAA//8DAFBLAQItABQABgAIAAAA&#10;IQC2gziS/gAAAOEBAAATAAAAAAAAAAAAAAAAAAAAAABbQ29udGVudF9UeXBlc10ueG1sUEsBAi0A&#10;FAAGAAgAAAAhADj9If/WAAAAlAEAAAsAAAAAAAAAAAAAAAAALwEAAF9yZWxzLy5yZWxzUEsBAi0A&#10;FAAGAAgAAAAhAHn+bpqwAQAASQMAAA4AAAAAAAAAAAAAAAAALgIAAGRycy9lMm9Eb2MueG1sUEsB&#10;Ai0AFAAGAAgAAAAhAM0P5h7aAAAABwEAAA8AAAAAAAAAAAAAAAAACgQAAGRycy9kb3ducmV2Lnht&#10;bFBLBQYAAAAABAAEAPMAAAARBQAAAAA=&#10;">
              <w10:wrap anchorx="margin" anchory="page"/>
            </v:line>
          </w:pict>
        </mc:Fallback>
      </mc:AlternateContent>
    </w:r>
  </w:p>
  <w:p w14:paraId="5BF4D0D3" w14:textId="77777777" w:rsidR="007D5C49" w:rsidRDefault="00000C35"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FEA6C" wp14:editId="21410D06">
              <wp:simplePos x="0" y="0"/>
              <wp:positionH relativeFrom="margin">
                <wp:posOffset>-640080</wp:posOffset>
              </wp:positionH>
              <wp:positionV relativeFrom="margin">
                <wp:posOffset>-104775</wp:posOffset>
              </wp:positionV>
              <wp:extent cx="457200" cy="8248650"/>
              <wp:effectExtent l="0" t="0" r="0" b="0"/>
              <wp:wrapNone/>
              <wp:docPr id="3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24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9D6636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</w:t>
                          </w:r>
                        </w:p>
                        <w:p w14:paraId="4C6706F3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</w:t>
                          </w:r>
                        </w:p>
                        <w:p w14:paraId="2782703F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3</w:t>
                          </w:r>
                        </w:p>
                        <w:p w14:paraId="5218DDCD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4</w:t>
                          </w:r>
                        </w:p>
                        <w:p w14:paraId="1F01F52A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5</w:t>
                          </w:r>
                        </w:p>
                        <w:p w14:paraId="2927111E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6</w:t>
                          </w:r>
                        </w:p>
                        <w:p w14:paraId="5AC882F7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7</w:t>
                          </w:r>
                        </w:p>
                        <w:p w14:paraId="59551A1E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8</w:t>
                          </w:r>
                        </w:p>
                        <w:p w14:paraId="30D7C951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9</w:t>
                          </w:r>
                        </w:p>
                        <w:p w14:paraId="6152E8CA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10</w:t>
                          </w:r>
                        </w:p>
                        <w:p w14:paraId="44B96859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11</w:t>
                          </w:r>
                        </w:p>
                        <w:p w14:paraId="17E4E571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12</w:t>
                          </w:r>
                        </w:p>
                        <w:p w14:paraId="4342E1FD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13</w:t>
                          </w:r>
                        </w:p>
                        <w:p w14:paraId="77E47AC0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14</w:t>
                          </w:r>
                        </w:p>
                        <w:p w14:paraId="134621C5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15</w:t>
                          </w:r>
                        </w:p>
                        <w:p w14:paraId="048A4C86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16</w:t>
                          </w:r>
                        </w:p>
                        <w:p w14:paraId="48A66EDF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17</w:t>
                          </w:r>
                        </w:p>
                        <w:p w14:paraId="33F831B6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18</w:t>
                          </w:r>
                        </w:p>
                        <w:p w14:paraId="5397DEA5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19</w:t>
                          </w:r>
                        </w:p>
                        <w:p w14:paraId="04453D62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20</w:t>
                          </w:r>
                        </w:p>
                        <w:p w14:paraId="6F50791E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21</w:t>
                          </w:r>
                        </w:p>
                        <w:p w14:paraId="7D436DA7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22</w:t>
                          </w:r>
                        </w:p>
                        <w:p w14:paraId="1ED2A651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23</w:t>
                          </w:r>
                        </w:p>
                        <w:p w14:paraId="124334A4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24</w:t>
                          </w:r>
                        </w:p>
                        <w:p w14:paraId="3747286F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25</w:t>
                          </w:r>
                        </w:p>
                        <w:p w14:paraId="3FE6EE49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2FEA6C"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style="position:absolute;margin-left:-50.4pt;margin-top:-8.25pt;width:36pt;height:64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zBg4gEAAK4DAAAOAAAAZHJzL2Uyb0RvYy54bWysU8Fu2zAMvQ/YPwi6L06CtguMOEWXIsOA&#10;bivQ7QNoWY6NyaJGKbGzrx8lx+nQ3Yr6IFAi+chHPq9vh86Ioybfoi3kYjaXQluFVWv3hfz5Y/dh&#10;JYUPYCswaHUhT9rL2837d+ve5XqJDZpKk2AQ6/PeFbIJweVZ5lWjO/AzdNqys0bqIPCV9llF0DN6&#10;Z7LlfH6T9UiVI1Tae369H51yk/DrWqvwva69DsIUknsL6aR0lvHMNmvI9wSuadW5DXhFFx20lote&#10;oO4hgDhQ+x9U1ypCj3WYKewyrOtW6cSB2SzmL9g8NeB04sLD8e4yJv92sOrb8ck9kgjDJxx4gYmE&#10;dw+ofnlhcduA3es7IuwbDRUXXsSRZb3z+Tk1jtrnPoKU/VeseMlwCJiAhpq6OBXmKRidF3C6DF0P&#10;QSh+vLr+yIuUQrFrtbxa3VynrWSQT9mOfPissRPRKCTxUhM6HB98iN1APoXEYh5NW+1aY9KF9uXW&#10;kDgCC2CXvkTgRZixMdhiTBsR40uiGZmNHMNQDuyMdEusTkyYcBQU/wBsNEh/pOhZTIX0vw9AWgrz&#10;xfLQovImgyajnAywilMLGaQYzW1ICh1buuNh1m3i+Vz53BuLItE/Cziq7t97inr+zTZ/AQAA//8D&#10;AFBLAwQUAAYACAAAACEAGQ65t+AAAAANAQAADwAAAGRycy9kb3ducmV2LnhtbEyPPW/CMBCG90r9&#10;D9ZV6lIFB0tEURoHtdBu7QBFzCY2SUR8jmyHhH/fY2q3+3j03nPlerY9uxofOocSlosUmMHa6Q4b&#10;CYefzyQHFqJCrXqHRsLNBFhXjw+lKrSbcGeu+9gwCsFQKAltjEPBeahbY1VYuMEg7c7OWxWp9Q3X&#10;Xk0Ubnsu0jTjVnVIF1o1mE1r6st+tBKyrR+nHW5etoePL/U9NOL4fjtK+fw0v70Ci2aOfzDc9Ukd&#10;KnI6uRF1YL2EZJmm5B7vVbYCRkgicpqciBW5WAGvSv7/i+oXAAD//wMAUEsBAi0AFAAGAAgAAAAh&#10;ALaDOJL+AAAA4QEAABMAAAAAAAAAAAAAAAAAAAAAAFtDb250ZW50X1R5cGVzXS54bWxQSwECLQAU&#10;AAYACAAAACEAOP0h/9YAAACUAQAACwAAAAAAAAAAAAAAAAAvAQAAX3JlbHMvLnJlbHNQSwECLQAU&#10;AAYACAAAACEAnJswYOIBAACuAwAADgAAAAAAAAAAAAAAAAAuAgAAZHJzL2Uyb0RvYy54bWxQSwEC&#10;LQAUAAYACAAAACEAGQ65t+AAAAANAQAADwAAAAAAAAAAAAAAAAA8BAAAZHJzL2Rvd25yZXYueG1s&#10;UEsFBgAAAAAEAAQA8wAAAEkFAAAAAA==&#10;" stroked="f">
              <v:textbox inset="0,0,0,0">
                <w:txbxContent>
                  <w:p w14:paraId="579D6636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</w:t>
                    </w:r>
                  </w:p>
                  <w:p w14:paraId="4C6706F3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</w:t>
                    </w:r>
                  </w:p>
                  <w:p w14:paraId="2782703F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3</w:t>
                    </w:r>
                  </w:p>
                  <w:p w14:paraId="5218DDCD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4</w:t>
                    </w:r>
                  </w:p>
                  <w:p w14:paraId="1F01F52A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5</w:t>
                    </w:r>
                  </w:p>
                  <w:p w14:paraId="2927111E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6</w:t>
                    </w:r>
                  </w:p>
                  <w:p w14:paraId="5AC882F7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7</w:t>
                    </w:r>
                  </w:p>
                  <w:p w14:paraId="59551A1E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8</w:t>
                    </w:r>
                  </w:p>
                  <w:p w14:paraId="30D7C951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9</w:t>
                    </w:r>
                  </w:p>
                  <w:p w14:paraId="6152E8CA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10</w:t>
                    </w:r>
                  </w:p>
                  <w:p w14:paraId="44B96859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11</w:t>
                    </w:r>
                  </w:p>
                  <w:p w14:paraId="17E4E571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12</w:t>
                    </w:r>
                  </w:p>
                  <w:p w14:paraId="4342E1FD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13</w:t>
                    </w:r>
                  </w:p>
                  <w:p w14:paraId="77E47AC0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14</w:t>
                    </w:r>
                  </w:p>
                  <w:p w14:paraId="134621C5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15</w:t>
                    </w:r>
                  </w:p>
                  <w:p w14:paraId="048A4C86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16</w:t>
                    </w:r>
                  </w:p>
                  <w:p w14:paraId="48A66EDF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17</w:t>
                    </w:r>
                  </w:p>
                  <w:p w14:paraId="33F831B6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18</w:t>
                    </w:r>
                  </w:p>
                  <w:p w14:paraId="5397DEA5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19</w:t>
                    </w:r>
                  </w:p>
                  <w:p w14:paraId="04453D62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20</w:t>
                    </w:r>
                  </w:p>
                  <w:p w14:paraId="6F50791E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21</w:t>
                    </w:r>
                  </w:p>
                  <w:p w14:paraId="7D436DA7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22</w:t>
                    </w:r>
                  </w:p>
                  <w:p w14:paraId="1ED2A651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23</w:t>
                    </w:r>
                  </w:p>
                  <w:p w14:paraId="124334A4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24</w:t>
                    </w:r>
                  </w:p>
                  <w:p w14:paraId="3747286F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25</w:t>
                    </w:r>
                  </w:p>
                  <w:p w14:paraId="3FE6EE49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3578F"/>
    <w:multiLevelType w:val="hybridMultilevel"/>
    <w:tmpl w:val="7DFE1082"/>
    <w:lvl w:ilvl="0" w:tplc="C47A1658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3C3159"/>
    <w:multiLevelType w:val="hybridMultilevel"/>
    <w:tmpl w:val="92648A1C"/>
    <w:lvl w:ilvl="0" w:tplc="8F98581C">
      <w:start w:val="8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18925D4B"/>
    <w:multiLevelType w:val="hybridMultilevel"/>
    <w:tmpl w:val="E81AB5EA"/>
    <w:lvl w:ilvl="0" w:tplc="7FB0194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C4B42"/>
    <w:multiLevelType w:val="hybridMultilevel"/>
    <w:tmpl w:val="7B9222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6197"/>
    <w:multiLevelType w:val="hybridMultilevel"/>
    <w:tmpl w:val="63042972"/>
    <w:lvl w:ilvl="0" w:tplc="04090019">
      <w:start w:val="20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DC7929"/>
    <w:multiLevelType w:val="hybridMultilevel"/>
    <w:tmpl w:val="4C48FB16"/>
    <w:lvl w:ilvl="0" w:tplc="105E3FCE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02661D"/>
    <w:multiLevelType w:val="hybridMultilevel"/>
    <w:tmpl w:val="EFB6DE94"/>
    <w:lvl w:ilvl="0" w:tplc="04090019">
      <w:start w:val="2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F6DAA"/>
    <w:multiLevelType w:val="hybridMultilevel"/>
    <w:tmpl w:val="BF32644C"/>
    <w:lvl w:ilvl="0" w:tplc="DE7A900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34C64"/>
    <w:multiLevelType w:val="hybridMultilevel"/>
    <w:tmpl w:val="96E680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26F1B"/>
    <w:multiLevelType w:val="hybridMultilevel"/>
    <w:tmpl w:val="6AEA0110"/>
    <w:lvl w:ilvl="0" w:tplc="3E582D16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83EF3"/>
    <w:multiLevelType w:val="hybridMultilevel"/>
    <w:tmpl w:val="88547BA0"/>
    <w:lvl w:ilvl="0" w:tplc="3BEC5F5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9657E"/>
    <w:multiLevelType w:val="hybridMultilevel"/>
    <w:tmpl w:val="C95A2610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E0563A"/>
    <w:multiLevelType w:val="hybridMultilevel"/>
    <w:tmpl w:val="84567C4A"/>
    <w:lvl w:ilvl="0" w:tplc="790EA2E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9B476E7"/>
    <w:multiLevelType w:val="hybridMultilevel"/>
    <w:tmpl w:val="DDFA8124"/>
    <w:lvl w:ilvl="0" w:tplc="D95636B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ABF5F10"/>
    <w:multiLevelType w:val="hybridMultilevel"/>
    <w:tmpl w:val="71703306"/>
    <w:lvl w:ilvl="0" w:tplc="7804C392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FEA7FF9"/>
    <w:multiLevelType w:val="multilevel"/>
    <w:tmpl w:val="6AEA0110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40029977">
    <w:abstractNumId w:val="13"/>
  </w:num>
  <w:num w:numId="2" w16cid:durableId="717557523">
    <w:abstractNumId w:val="14"/>
  </w:num>
  <w:num w:numId="3" w16cid:durableId="995913688">
    <w:abstractNumId w:val="1"/>
  </w:num>
  <w:num w:numId="4" w16cid:durableId="1165515985">
    <w:abstractNumId w:val="5"/>
  </w:num>
  <w:num w:numId="5" w16cid:durableId="347828681">
    <w:abstractNumId w:val="8"/>
  </w:num>
  <w:num w:numId="6" w16cid:durableId="1237012168">
    <w:abstractNumId w:val="9"/>
  </w:num>
  <w:num w:numId="7" w16cid:durableId="533346723">
    <w:abstractNumId w:val="2"/>
  </w:num>
  <w:num w:numId="8" w16cid:durableId="2040351953">
    <w:abstractNumId w:val="15"/>
  </w:num>
  <w:num w:numId="9" w16cid:durableId="903179556">
    <w:abstractNumId w:val="10"/>
  </w:num>
  <w:num w:numId="10" w16cid:durableId="1127354173">
    <w:abstractNumId w:val="12"/>
  </w:num>
  <w:num w:numId="11" w16cid:durableId="505901022">
    <w:abstractNumId w:val="11"/>
  </w:num>
  <w:num w:numId="12" w16cid:durableId="792359189">
    <w:abstractNumId w:val="6"/>
  </w:num>
  <w:num w:numId="13" w16cid:durableId="17312709">
    <w:abstractNumId w:val="3"/>
  </w:num>
  <w:num w:numId="14" w16cid:durableId="1773087965">
    <w:abstractNumId w:val="4"/>
  </w:num>
  <w:num w:numId="15" w16cid:durableId="1192689737">
    <w:abstractNumId w:val="7"/>
  </w:num>
  <w:num w:numId="16" w16cid:durableId="2041472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E11"/>
    <w:rsid w:val="00000C35"/>
    <w:rsid w:val="00001EB5"/>
    <w:rsid w:val="0000225E"/>
    <w:rsid w:val="00005B86"/>
    <w:rsid w:val="0000701D"/>
    <w:rsid w:val="00026C55"/>
    <w:rsid w:val="000315E9"/>
    <w:rsid w:val="000410B3"/>
    <w:rsid w:val="00042156"/>
    <w:rsid w:val="00043D4D"/>
    <w:rsid w:val="00045CDC"/>
    <w:rsid w:val="00052372"/>
    <w:rsid w:val="00065747"/>
    <w:rsid w:val="000666D1"/>
    <w:rsid w:val="000744D6"/>
    <w:rsid w:val="00076FB7"/>
    <w:rsid w:val="0008003D"/>
    <w:rsid w:val="0008546E"/>
    <w:rsid w:val="00086587"/>
    <w:rsid w:val="000905E7"/>
    <w:rsid w:val="000917C0"/>
    <w:rsid w:val="000A1D6B"/>
    <w:rsid w:val="000B7924"/>
    <w:rsid w:val="000C48A9"/>
    <w:rsid w:val="000C4CB3"/>
    <w:rsid w:val="000C6550"/>
    <w:rsid w:val="000D0FB6"/>
    <w:rsid w:val="000D2332"/>
    <w:rsid w:val="000D7AF5"/>
    <w:rsid w:val="000E365B"/>
    <w:rsid w:val="000E3EA3"/>
    <w:rsid w:val="000F3F7D"/>
    <w:rsid w:val="000F7A7F"/>
    <w:rsid w:val="000F7C13"/>
    <w:rsid w:val="00107020"/>
    <w:rsid w:val="00113261"/>
    <w:rsid w:val="001257C2"/>
    <w:rsid w:val="00135326"/>
    <w:rsid w:val="00152235"/>
    <w:rsid w:val="00162D42"/>
    <w:rsid w:val="00186136"/>
    <w:rsid w:val="00191FFE"/>
    <w:rsid w:val="001A2520"/>
    <w:rsid w:val="001B16D9"/>
    <w:rsid w:val="001B5C37"/>
    <w:rsid w:val="001C63D0"/>
    <w:rsid w:val="001C68E3"/>
    <w:rsid w:val="001D7762"/>
    <w:rsid w:val="001E35C4"/>
    <w:rsid w:val="001E374B"/>
    <w:rsid w:val="001E4B36"/>
    <w:rsid w:val="001E6807"/>
    <w:rsid w:val="001F591C"/>
    <w:rsid w:val="00200071"/>
    <w:rsid w:val="002000FF"/>
    <w:rsid w:val="00207336"/>
    <w:rsid w:val="00221CED"/>
    <w:rsid w:val="00227E31"/>
    <w:rsid w:val="002310F7"/>
    <w:rsid w:val="00251E5D"/>
    <w:rsid w:val="0025618B"/>
    <w:rsid w:val="002568CA"/>
    <w:rsid w:val="0026000D"/>
    <w:rsid w:val="00274388"/>
    <w:rsid w:val="00274D6A"/>
    <w:rsid w:val="00281974"/>
    <w:rsid w:val="002A432F"/>
    <w:rsid w:val="002B5BC1"/>
    <w:rsid w:val="002B7453"/>
    <w:rsid w:val="002E360B"/>
    <w:rsid w:val="002F4101"/>
    <w:rsid w:val="0030113C"/>
    <w:rsid w:val="00303708"/>
    <w:rsid w:val="003046E5"/>
    <w:rsid w:val="00324A7F"/>
    <w:rsid w:val="0032587E"/>
    <w:rsid w:val="00334B42"/>
    <w:rsid w:val="00352347"/>
    <w:rsid w:val="00355FEF"/>
    <w:rsid w:val="003566D6"/>
    <w:rsid w:val="00357F4D"/>
    <w:rsid w:val="003617D1"/>
    <w:rsid w:val="003624D7"/>
    <w:rsid w:val="00375FFE"/>
    <w:rsid w:val="00377199"/>
    <w:rsid w:val="00381272"/>
    <w:rsid w:val="003857A6"/>
    <w:rsid w:val="003953F4"/>
    <w:rsid w:val="003A28AC"/>
    <w:rsid w:val="003A478C"/>
    <w:rsid w:val="003B4E96"/>
    <w:rsid w:val="003C2210"/>
    <w:rsid w:val="003C61FC"/>
    <w:rsid w:val="003C7244"/>
    <w:rsid w:val="003D2C93"/>
    <w:rsid w:val="003E2D89"/>
    <w:rsid w:val="0040041F"/>
    <w:rsid w:val="004005D5"/>
    <w:rsid w:val="00402861"/>
    <w:rsid w:val="00402C2A"/>
    <w:rsid w:val="00407E2D"/>
    <w:rsid w:val="00422FA8"/>
    <w:rsid w:val="00425D35"/>
    <w:rsid w:val="004331B2"/>
    <w:rsid w:val="004408FD"/>
    <w:rsid w:val="00440E4C"/>
    <w:rsid w:val="0044119D"/>
    <w:rsid w:val="00442781"/>
    <w:rsid w:val="004443EC"/>
    <w:rsid w:val="00457A62"/>
    <w:rsid w:val="0046142F"/>
    <w:rsid w:val="00463734"/>
    <w:rsid w:val="004701E1"/>
    <w:rsid w:val="00480A11"/>
    <w:rsid w:val="00482B89"/>
    <w:rsid w:val="00487C26"/>
    <w:rsid w:val="00492B2D"/>
    <w:rsid w:val="00494BDF"/>
    <w:rsid w:val="0049714F"/>
    <w:rsid w:val="004A63C2"/>
    <w:rsid w:val="004B64A7"/>
    <w:rsid w:val="004C17D5"/>
    <w:rsid w:val="004C3AE3"/>
    <w:rsid w:val="004C5D95"/>
    <w:rsid w:val="004C79C8"/>
    <w:rsid w:val="004F3DB8"/>
    <w:rsid w:val="00503DAB"/>
    <w:rsid w:val="00504E1E"/>
    <w:rsid w:val="005057E1"/>
    <w:rsid w:val="00506859"/>
    <w:rsid w:val="005112EE"/>
    <w:rsid w:val="00520F93"/>
    <w:rsid w:val="00545AB4"/>
    <w:rsid w:val="005621CC"/>
    <w:rsid w:val="00563BEB"/>
    <w:rsid w:val="00565AFE"/>
    <w:rsid w:val="00566856"/>
    <w:rsid w:val="00583916"/>
    <w:rsid w:val="005845AE"/>
    <w:rsid w:val="00592E05"/>
    <w:rsid w:val="005A14F0"/>
    <w:rsid w:val="005A21B0"/>
    <w:rsid w:val="005B5161"/>
    <w:rsid w:val="005B6C8F"/>
    <w:rsid w:val="005C2BF8"/>
    <w:rsid w:val="005C3623"/>
    <w:rsid w:val="005C3AFF"/>
    <w:rsid w:val="005C6F3E"/>
    <w:rsid w:val="005D1D63"/>
    <w:rsid w:val="005D6AD4"/>
    <w:rsid w:val="005E0586"/>
    <w:rsid w:val="005E4BD7"/>
    <w:rsid w:val="005E68F5"/>
    <w:rsid w:val="005E7066"/>
    <w:rsid w:val="005F3A43"/>
    <w:rsid w:val="00602647"/>
    <w:rsid w:val="00602DD1"/>
    <w:rsid w:val="0060540E"/>
    <w:rsid w:val="00630CA2"/>
    <w:rsid w:val="0063125F"/>
    <w:rsid w:val="006338C1"/>
    <w:rsid w:val="00633A32"/>
    <w:rsid w:val="00636F5E"/>
    <w:rsid w:val="00656C06"/>
    <w:rsid w:val="00662E43"/>
    <w:rsid w:val="00663A18"/>
    <w:rsid w:val="00663F6E"/>
    <w:rsid w:val="00665CCF"/>
    <w:rsid w:val="006666D1"/>
    <w:rsid w:val="006713BE"/>
    <w:rsid w:val="006721EC"/>
    <w:rsid w:val="00675976"/>
    <w:rsid w:val="006766BF"/>
    <w:rsid w:val="00676EC0"/>
    <w:rsid w:val="00682253"/>
    <w:rsid w:val="00692391"/>
    <w:rsid w:val="006932BA"/>
    <w:rsid w:val="006A7EFA"/>
    <w:rsid w:val="006B4F9A"/>
    <w:rsid w:val="006B733D"/>
    <w:rsid w:val="006C3E9A"/>
    <w:rsid w:val="006D21D6"/>
    <w:rsid w:val="006D2A1B"/>
    <w:rsid w:val="006E4770"/>
    <w:rsid w:val="006E5088"/>
    <w:rsid w:val="006F4640"/>
    <w:rsid w:val="006F63FD"/>
    <w:rsid w:val="006F773B"/>
    <w:rsid w:val="0070008D"/>
    <w:rsid w:val="00732169"/>
    <w:rsid w:val="00735659"/>
    <w:rsid w:val="007373FA"/>
    <w:rsid w:val="007405DD"/>
    <w:rsid w:val="00740868"/>
    <w:rsid w:val="007427C6"/>
    <w:rsid w:val="007451B6"/>
    <w:rsid w:val="007613B2"/>
    <w:rsid w:val="00764380"/>
    <w:rsid w:val="0077110E"/>
    <w:rsid w:val="00781622"/>
    <w:rsid w:val="0078664B"/>
    <w:rsid w:val="007870CB"/>
    <w:rsid w:val="0079342D"/>
    <w:rsid w:val="007A3CC6"/>
    <w:rsid w:val="007A3F0F"/>
    <w:rsid w:val="007B1D0A"/>
    <w:rsid w:val="007B6870"/>
    <w:rsid w:val="007C65AE"/>
    <w:rsid w:val="007D5C49"/>
    <w:rsid w:val="007D73FF"/>
    <w:rsid w:val="007E3BFF"/>
    <w:rsid w:val="007E3CCB"/>
    <w:rsid w:val="008006ED"/>
    <w:rsid w:val="00804BE9"/>
    <w:rsid w:val="0081257E"/>
    <w:rsid w:val="00820C59"/>
    <w:rsid w:val="00822504"/>
    <w:rsid w:val="00822598"/>
    <w:rsid w:val="0083194C"/>
    <w:rsid w:val="008360A1"/>
    <w:rsid w:val="008443B6"/>
    <w:rsid w:val="00856E25"/>
    <w:rsid w:val="00861563"/>
    <w:rsid w:val="00871AAA"/>
    <w:rsid w:val="00876BB1"/>
    <w:rsid w:val="00876F57"/>
    <w:rsid w:val="0088202F"/>
    <w:rsid w:val="008857BA"/>
    <w:rsid w:val="00891AAA"/>
    <w:rsid w:val="00896015"/>
    <w:rsid w:val="008A4EB3"/>
    <w:rsid w:val="008A5033"/>
    <w:rsid w:val="008A7969"/>
    <w:rsid w:val="008B1714"/>
    <w:rsid w:val="008B17A1"/>
    <w:rsid w:val="008B4DAC"/>
    <w:rsid w:val="008E07AF"/>
    <w:rsid w:val="008E4140"/>
    <w:rsid w:val="008F1C8F"/>
    <w:rsid w:val="008F2E3F"/>
    <w:rsid w:val="008F78DE"/>
    <w:rsid w:val="00901686"/>
    <w:rsid w:val="00905730"/>
    <w:rsid w:val="00906BB4"/>
    <w:rsid w:val="00907764"/>
    <w:rsid w:val="00923264"/>
    <w:rsid w:val="00926F5D"/>
    <w:rsid w:val="00933EA1"/>
    <w:rsid w:val="0093468B"/>
    <w:rsid w:val="009375CC"/>
    <w:rsid w:val="0094140A"/>
    <w:rsid w:val="00951416"/>
    <w:rsid w:val="00954116"/>
    <w:rsid w:val="00954A5E"/>
    <w:rsid w:val="0095731B"/>
    <w:rsid w:val="00960D21"/>
    <w:rsid w:val="009632C2"/>
    <w:rsid w:val="00972409"/>
    <w:rsid w:val="00981D29"/>
    <w:rsid w:val="00981E11"/>
    <w:rsid w:val="00984C9B"/>
    <w:rsid w:val="009A03A0"/>
    <w:rsid w:val="009A1B75"/>
    <w:rsid w:val="009A49D7"/>
    <w:rsid w:val="009B573D"/>
    <w:rsid w:val="009C5F7F"/>
    <w:rsid w:val="009D57A6"/>
    <w:rsid w:val="009E04C9"/>
    <w:rsid w:val="009E5C69"/>
    <w:rsid w:val="009F4F2D"/>
    <w:rsid w:val="00A0268E"/>
    <w:rsid w:val="00A02F17"/>
    <w:rsid w:val="00A070AD"/>
    <w:rsid w:val="00A073FC"/>
    <w:rsid w:val="00A12283"/>
    <w:rsid w:val="00A12286"/>
    <w:rsid w:val="00A12971"/>
    <w:rsid w:val="00A13CA3"/>
    <w:rsid w:val="00A1564B"/>
    <w:rsid w:val="00A21B4F"/>
    <w:rsid w:val="00A3403C"/>
    <w:rsid w:val="00A35A0F"/>
    <w:rsid w:val="00A41BAE"/>
    <w:rsid w:val="00A4249C"/>
    <w:rsid w:val="00A46A79"/>
    <w:rsid w:val="00A5194F"/>
    <w:rsid w:val="00A57C82"/>
    <w:rsid w:val="00A61B7C"/>
    <w:rsid w:val="00A871D6"/>
    <w:rsid w:val="00A87371"/>
    <w:rsid w:val="00A93A7C"/>
    <w:rsid w:val="00A97EDB"/>
    <w:rsid w:val="00AA03B0"/>
    <w:rsid w:val="00AA3110"/>
    <w:rsid w:val="00AA7CC2"/>
    <w:rsid w:val="00AB0A05"/>
    <w:rsid w:val="00AC0CBA"/>
    <w:rsid w:val="00AC12F2"/>
    <w:rsid w:val="00AC371C"/>
    <w:rsid w:val="00AC717D"/>
    <w:rsid w:val="00AD2305"/>
    <w:rsid w:val="00AD3F51"/>
    <w:rsid w:val="00AF282C"/>
    <w:rsid w:val="00AF3FF7"/>
    <w:rsid w:val="00B04149"/>
    <w:rsid w:val="00B1491D"/>
    <w:rsid w:val="00B2043C"/>
    <w:rsid w:val="00B27DF1"/>
    <w:rsid w:val="00B3695D"/>
    <w:rsid w:val="00B36E62"/>
    <w:rsid w:val="00B47B7D"/>
    <w:rsid w:val="00B52732"/>
    <w:rsid w:val="00B71EC5"/>
    <w:rsid w:val="00B77B5F"/>
    <w:rsid w:val="00B83414"/>
    <w:rsid w:val="00B90167"/>
    <w:rsid w:val="00B926CD"/>
    <w:rsid w:val="00B93903"/>
    <w:rsid w:val="00BA17BF"/>
    <w:rsid w:val="00BA3558"/>
    <w:rsid w:val="00BA4650"/>
    <w:rsid w:val="00BB3BC7"/>
    <w:rsid w:val="00BC15BF"/>
    <w:rsid w:val="00BC34B2"/>
    <w:rsid w:val="00BD3DDC"/>
    <w:rsid w:val="00BE5062"/>
    <w:rsid w:val="00BF0A82"/>
    <w:rsid w:val="00BF5643"/>
    <w:rsid w:val="00C03E0F"/>
    <w:rsid w:val="00C0552B"/>
    <w:rsid w:val="00C20621"/>
    <w:rsid w:val="00C235DC"/>
    <w:rsid w:val="00C32438"/>
    <w:rsid w:val="00C35354"/>
    <w:rsid w:val="00C43184"/>
    <w:rsid w:val="00C43DAA"/>
    <w:rsid w:val="00C51BF3"/>
    <w:rsid w:val="00C52E56"/>
    <w:rsid w:val="00C5407A"/>
    <w:rsid w:val="00C662B0"/>
    <w:rsid w:val="00C84FD4"/>
    <w:rsid w:val="00C958EE"/>
    <w:rsid w:val="00C97A18"/>
    <w:rsid w:val="00C97DDF"/>
    <w:rsid w:val="00CA36FD"/>
    <w:rsid w:val="00CB79A4"/>
    <w:rsid w:val="00CD21FB"/>
    <w:rsid w:val="00CD6043"/>
    <w:rsid w:val="00CD6A3F"/>
    <w:rsid w:val="00CE736E"/>
    <w:rsid w:val="00CF1191"/>
    <w:rsid w:val="00CF7765"/>
    <w:rsid w:val="00CF7A48"/>
    <w:rsid w:val="00D04223"/>
    <w:rsid w:val="00D04C2B"/>
    <w:rsid w:val="00D05269"/>
    <w:rsid w:val="00D05AC6"/>
    <w:rsid w:val="00D1699F"/>
    <w:rsid w:val="00D176AB"/>
    <w:rsid w:val="00D20ED8"/>
    <w:rsid w:val="00D252FE"/>
    <w:rsid w:val="00D302D0"/>
    <w:rsid w:val="00D32CAC"/>
    <w:rsid w:val="00D423FE"/>
    <w:rsid w:val="00D442E4"/>
    <w:rsid w:val="00D470F9"/>
    <w:rsid w:val="00D60D9B"/>
    <w:rsid w:val="00D6257E"/>
    <w:rsid w:val="00D80EDC"/>
    <w:rsid w:val="00D842F6"/>
    <w:rsid w:val="00DA0189"/>
    <w:rsid w:val="00DA3AB5"/>
    <w:rsid w:val="00DA64B4"/>
    <w:rsid w:val="00DE6057"/>
    <w:rsid w:val="00DF0957"/>
    <w:rsid w:val="00DF1891"/>
    <w:rsid w:val="00DF23AE"/>
    <w:rsid w:val="00DF310B"/>
    <w:rsid w:val="00DF4F15"/>
    <w:rsid w:val="00DF5146"/>
    <w:rsid w:val="00DF52E6"/>
    <w:rsid w:val="00DF73D5"/>
    <w:rsid w:val="00DF76B9"/>
    <w:rsid w:val="00E047D3"/>
    <w:rsid w:val="00E1435F"/>
    <w:rsid w:val="00E266B7"/>
    <w:rsid w:val="00E321C5"/>
    <w:rsid w:val="00E34535"/>
    <w:rsid w:val="00E3534A"/>
    <w:rsid w:val="00E354D6"/>
    <w:rsid w:val="00E5772B"/>
    <w:rsid w:val="00E67511"/>
    <w:rsid w:val="00E71A17"/>
    <w:rsid w:val="00E77EEA"/>
    <w:rsid w:val="00E81026"/>
    <w:rsid w:val="00E81C30"/>
    <w:rsid w:val="00E81CBC"/>
    <w:rsid w:val="00E82D0F"/>
    <w:rsid w:val="00E950B5"/>
    <w:rsid w:val="00EA5FB0"/>
    <w:rsid w:val="00EF6EAA"/>
    <w:rsid w:val="00F05879"/>
    <w:rsid w:val="00F06F5B"/>
    <w:rsid w:val="00F11726"/>
    <w:rsid w:val="00F148A6"/>
    <w:rsid w:val="00F2075D"/>
    <w:rsid w:val="00F2425E"/>
    <w:rsid w:val="00F2485D"/>
    <w:rsid w:val="00F25C89"/>
    <w:rsid w:val="00F27A65"/>
    <w:rsid w:val="00F32814"/>
    <w:rsid w:val="00F33926"/>
    <w:rsid w:val="00F60C61"/>
    <w:rsid w:val="00F61005"/>
    <w:rsid w:val="00F645CF"/>
    <w:rsid w:val="00F64B52"/>
    <w:rsid w:val="00F72997"/>
    <w:rsid w:val="00F72DC1"/>
    <w:rsid w:val="00F73925"/>
    <w:rsid w:val="00F80DAF"/>
    <w:rsid w:val="00F850BE"/>
    <w:rsid w:val="00F94CE1"/>
    <w:rsid w:val="00F972DF"/>
    <w:rsid w:val="00FB0CD1"/>
    <w:rsid w:val="00FB277A"/>
    <w:rsid w:val="00FB5291"/>
    <w:rsid w:val="00FB5E84"/>
    <w:rsid w:val="00FC1B84"/>
    <w:rsid w:val="00FC5477"/>
    <w:rsid w:val="00FD1198"/>
    <w:rsid w:val="00FD531C"/>
    <w:rsid w:val="00FF0258"/>
    <w:rsid w:val="00FF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65F33E"/>
  <w15:chartTrackingRefBased/>
  <w15:docId w15:val="{59032CF6-9C55-4DC8-8482-24CBD937E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508" w:lineRule="exact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pPr>
      <w:spacing w:line="254" w:lineRule="exact"/>
    </w:pPr>
  </w:style>
  <w:style w:type="paragraph" w:customStyle="1" w:styleId="15Spacing">
    <w:name w:val="1.5 Spacing"/>
    <w:basedOn w:val="Normal"/>
    <w:pPr>
      <w:spacing w:line="381" w:lineRule="exact"/>
    </w:pPr>
  </w:style>
  <w:style w:type="paragraph" w:customStyle="1" w:styleId="DoubleSpacing">
    <w:name w:val="Double Spacing"/>
    <w:basedOn w:val="Normal"/>
  </w:style>
  <w:style w:type="paragraph" w:customStyle="1" w:styleId="AttorneyName">
    <w:name w:val="Attorney Name"/>
    <w:basedOn w:val="SingleSpacing"/>
  </w:style>
  <w:style w:type="paragraph" w:customStyle="1" w:styleId="FirmName">
    <w:name w:val="Firm Name"/>
    <w:basedOn w:val="SingleSpacing"/>
    <w:pPr>
      <w:jc w:val="center"/>
    </w:pPr>
  </w:style>
  <w:style w:type="paragraph" w:customStyle="1" w:styleId="SignatureBlock">
    <w:name w:val="Signature Block"/>
    <w:basedOn w:val="SingleSpacing"/>
    <w:pPr>
      <w:ind w:left="46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Strong">
    <w:name w:val="Strong"/>
    <w:qFormat/>
    <w:rPr>
      <w:b/>
      <w:bCs/>
    </w:rPr>
  </w:style>
  <w:style w:type="paragraph" w:styleId="BodyTextIndent">
    <w:name w:val="Body Text Indent"/>
    <w:basedOn w:val="Normal"/>
    <w:pPr>
      <w:ind w:firstLine="720"/>
    </w:pPr>
    <w:rPr>
      <w:color w:val="000000"/>
      <w:sz w:val="24"/>
    </w:rPr>
  </w:style>
  <w:style w:type="paragraph" w:styleId="EnvelopeAddress">
    <w:name w:val="envelope address"/>
    <w:basedOn w:val="Normal"/>
    <w:rsid w:val="00981E11"/>
    <w:pPr>
      <w:framePr w:w="5040" w:h="1980" w:hRule="exact" w:hSpace="180" w:wrap="auto" w:vAnchor="page" w:hAnchor="page" w:x="577" w:y="361"/>
      <w:spacing w:line="240" w:lineRule="auto"/>
    </w:pPr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rsid w:val="00861563"/>
  </w:style>
  <w:style w:type="paragraph" w:styleId="BodyText">
    <w:name w:val="Body Text"/>
    <w:basedOn w:val="Normal"/>
    <w:link w:val="BodyTextChar"/>
    <w:rsid w:val="00FB5291"/>
    <w:pPr>
      <w:spacing w:after="120"/>
    </w:pPr>
  </w:style>
  <w:style w:type="paragraph" w:customStyle="1" w:styleId="InsideAddress">
    <w:name w:val="InsideAddress"/>
    <w:basedOn w:val="Normal"/>
    <w:rsid w:val="00FB5291"/>
    <w:pPr>
      <w:overflowPunct w:val="0"/>
      <w:autoSpaceDE w:val="0"/>
      <w:autoSpaceDN w:val="0"/>
      <w:adjustRightInd w:val="0"/>
      <w:spacing w:line="240" w:lineRule="auto"/>
      <w:textAlignment w:val="baseline"/>
    </w:pPr>
  </w:style>
  <w:style w:type="paragraph" w:styleId="Title">
    <w:name w:val="Title"/>
    <w:basedOn w:val="Normal"/>
    <w:link w:val="TitleChar"/>
    <w:qFormat/>
    <w:rsid w:val="00E82D0F"/>
    <w:pPr>
      <w:spacing w:line="240" w:lineRule="auto"/>
      <w:jc w:val="center"/>
    </w:pPr>
    <w:rPr>
      <w:b/>
      <w:bCs/>
      <w:sz w:val="24"/>
      <w:szCs w:val="24"/>
    </w:rPr>
  </w:style>
  <w:style w:type="character" w:customStyle="1" w:styleId="TitleChar">
    <w:name w:val="Title Char"/>
    <w:link w:val="Title"/>
    <w:rsid w:val="00E82D0F"/>
    <w:rPr>
      <w:b/>
      <w:bCs/>
      <w:sz w:val="24"/>
      <w:szCs w:val="24"/>
    </w:rPr>
  </w:style>
  <w:style w:type="paragraph" w:styleId="Caption">
    <w:name w:val="caption"/>
    <w:basedOn w:val="Normal"/>
    <w:next w:val="Normal"/>
    <w:qFormat/>
    <w:rsid w:val="00357F4D"/>
    <w:pPr>
      <w:widowControl w:val="0"/>
      <w:spacing w:line="240" w:lineRule="exact"/>
    </w:pPr>
    <w:rPr>
      <w:bCs/>
      <w:sz w:val="26"/>
    </w:rPr>
  </w:style>
  <w:style w:type="paragraph" w:customStyle="1" w:styleId="Court">
    <w:name w:val="Court"/>
    <w:basedOn w:val="Normal"/>
    <w:rsid w:val="00357F4D"/>
    <w:pPr>
      <w:widowControl w:val="0"/>
      <w:spacing w:after="240" w:line="480" w:lineRule="exact"/>
      <w:jc w:val="center"/>
    </w:pPr>
    <w:rPr>
      <w:caps/>
      <w:sz w:val="26"/>
      <w:szCs w:val="26"/>
    </w:rPr>
  </w:style>
  <w:style w:type="paragraph" w:customStyle="1" w:styleId="DocumentTitle">
    <w:name w:val="Document Title"/>
    <w:basedOn w:val="Normal"/>
    <w:rsid w:val="00357F4D"/>
    <w:pPr>
      <w:widowControl w:val="0"/>
      <w:tabs>
        <w:tab w:val="left" w:pos="1238"/>
      </w:tabs>
      <w:spacing w:line="240" w:lineRule="exact"/>
      <w:ind w:left="259"/>
    </w:pPr>
    <w:rPr>
      <w:sz w:val="26"/>
      <w:szCs w:val="24"/>
    </w:rPr>
  </w:style>
  <w:style w:type="paragraph" w:customStyle="1" w:styleId="FirmInformation">
    <w:name w:val="Firm Information"/>
    <w:basedOn w:val="Normal"/>
    <w:rsid w:val="00357F4D"/>
    <w:pPr>
      <w:widowControl w:val="0"/>
      <w:spacing w:line="240" w:lineRule="exact"/>
      <w:ind w:right="144"/>
    </w:pPr>
    <w:rPr>
      <w:sz w:val="26"/>
    </w:rPr>
  </w:style>
  <w:style w:type="paragraph" w:customStyle="1" w:styleId="PleadingSignature">
    <w:name w:val="Pleading Signature"/>
    <w:basedOn w:val="Normal"/>
    <w:rsid w:val="00357F4D"/>
    <w:pPr>
      <w:keepNext/>
      <w:keepLines/>
      <w:widowControl w:val="0"/>
      <w:spacing w:line="240" w:lineRule="exact"/>
    </w:pPr>
    <w:rPr>
      <w:sz w:val="26"/>
    </w:rPr>
  </w:style>
  <w:style w:type="paragraph" w:customStyle="1" w:styleId="Body">
    <w:name w:val="Body"/>
    <w:basedOn w:val="Normal"/>
    <w:rsid w:val="00357F4D"/>
    <w:pPr>
      <w:spacing w:line="480" w:lineRule="exact"/>
      <w:ind w:firstLine="1440"/>
    </w:pPr>
    <w:rPr>
      <w:sz w:val="26"/>
    </w:rPr>
  </w:style>
  <w:style w:type="character" w:customStyle="1" w:styleId="BodyTextChar">
    <w:name w:val="Body Text Char"/>
    <w:link w:val="BodyText"/>
    <w:rsid w:val="00357F4D"/>
  </w:style>
  <w:style w:type="paragraph" w:styleId="FootnoteText">
    <w:name w:val="footnote text"/>
    <w:basedOn w:val="Normal"/>
    <w:link w:val="FootnoteTextChar"/>
    <w:uiPriority w:val="99"/>
    <w:rsid w:val="005A21B0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5A21B0"/>
  </w:style>
  <w:style w:type="character" w:styleId="FootnoteReference">
    <w:name w:val="footnote reference"/>
    <w:basedOn w:val="DefaultParagraphFont"/>
    <w:uiPriority w:val="99"/>
    <w:rsid w:val="005A21B0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33EA1"/>
  </w:style>
  <w:style w:type="character" w:styleId="Hyperlink">
    <w:name w:val="Hyperlink"/>
    <w:basedOn w:val="DefaultParagraphFont"/>
    <w:rsid w:val="006F63F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6B4F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B4F9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8613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9E04C9"/>
  </w:style>
  <w:style w:type="character" w:customStyle="1" w:styleId="costarpage">
    <w:name w:val="co_starpage"/>
    <w:basedOn w:val="DefaultParagraphFont"/>
    <w:rsid w:val="005112EE"/>
  </w:style>
  <w:style w:type="character" w:styleId="CommentReference">
    <w:name w:val="annotation reference"/>
    <w:basedOn w:val="DefaultParagraphFont"/>
    <w:rsid w:val="009B573D"/>
    <w:rPr>
      <w:sz w:val="16"/>
      <w:szCs w:val="16"/>
    </w:rPr>
  </w:style>
  <w:style w:type="paragraph" w:styleId="CommentText">
    <w:name w:val="annotation text"/>
    <w:basedOn w:val="Normal"/>
    <w:link w:val="CommentTextChar"/>
    <w:rsid w:val="009B573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9B573D"/>
  </w:style>
  <w:style w:type="paragraph" w:styleId="CommentSubject">
    <w:name w:val="annotation subject"/>
    <w:basedOn w:val="CommentText"/>
    <w:next w:val="CommentText"/>
    <w:link w:val="CommentSubjectChar"/>
    <w:rsid w:val="009B5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B573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9016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3624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7328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2021271844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348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50926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771708526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  <w:divsChild>
                <w:div w:id="1630698205">
                  <w:marLeft w:val="0"/>
                  <w:marRight w:val="0"/>
                  <w:marTop w:val="0"/>
                  <w:marBottom w:val="0"/>
                  <w:divBdr>
                    <w:top w:val="none" w:sz="0" w:space="0" w:color="3D3D3D"/>
                    <w:left w:val="none" w:sz="0" w:space="0" w:color="3D3D3D"/>
                    <w:bottom w:val="none" w:sz="0" w:space="0" w:color="3D3D3D"/>
                    <w:right w:val="none" w:sz="0" w:space="0" w:color="3D3D3D"/>
                  </w:divBdr>
                </w:div>
              </w:divsChild>
            </w:div>
            <w:div w:id="1858502253">
              <w:marLeft w:val="0"/>
              <w:marRight w:val="0"/>
              <w:marTop w:val="24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  <w:divsChild>
                <w:div w:id="1318922409">
                  <w:marLeft w:val="0"/>
                  <w:marRight w:val="0"/>
                  <w:marTop w:val="0"/>
                  <w:marBottom w:val="0"/>
                  <w:divBdr>
                    <w:top w:val="none" w:sz="0" w:space="0" w:color="3D3D3D"/>
                    <w:left w:val="none" w:sz="0" w:space="0" w:color="3D3D3D"/>
                    <w:bottom w:val="none" w:sz="0" w:space="0" w:color="3D3D3D"/>
                    <w:right w:val="none" w:sz="0" w:space="0" w:color="3D3D3D"/>
                  </w:divBdr>
                  <w:divsChild>
                    <w:div w:id="167637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3D3D3D"/>
                        <w:left w:val="none" w:sz="0" w:space="12" w:color="3D3D3D"/>
                        <w:bottom w:val="none" w:sz="0" w:space="0" w:color="3D3D3D"/>
                        <w:right w:val="none" w:sz="0" w:space="0" w:color="3D3D3D"/>
                      </w:divBdr>
                    </w:div>
                  </w:divsChild>
                </w:div>
              </w:divsChild>
            </w:div>
            <w:div w:id="1333952438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1194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19057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908685493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2113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3757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41250952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4431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39591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762993337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9199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13412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791753140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11210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76212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1243298195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12961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6840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2106532889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13429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89928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1697386576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16474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52247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1248541538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17532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16233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701440779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18677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32063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1781339007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20425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99085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609120610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gi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zcourts.gov/Portals/89/Annual%20Report/2023ANNUAL%20REPORT%20Clean%20Draft%202024FINAL.pdf?ver=s_h7F6Ma472lPL1NB7EpIA%3d%3d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nam04.safelinks.protection.outlook.com/?url=https%3A%2F%2Fwww.azcourts.gov%2FPortals%2F39%2F2023DR%2FGeneral%2520Jurisdiction%2FAppellateCaseActivityFY23.pdf%3Fver%3DTgVLWh2-Mz_FYG5l7NR_Xw%253d%253d%23page%3D12&amp;data=05%7C02%7Cpatricia.seguin%40staff.azbar.org%7C2109216db3814ea8b5ce08dd88dcaad5%7Cc7f4bcadfd4940898e2661898297a7d2%7C0%7C0%7C638817203812771150%7CUnknown%7CTWFpbGZsb3d8eyJFbXB0eU1hcGkiOnRydWUsIlYiOiIwLjAuMDAwMCIsIlAiOiJXaW4zMiIsIkFOIjoiTWFpbCIsIldUIjoyfQ%3D%3D%7C0%7C%7C%7C&amp;sdata=KKVtCBQJZpnlrgiGWPlCjESqD%2FVXGq6X6MbZ288zyIQ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0B04253D10E8468D8BECDC25E54586" ma:contentTypeVersion="6" ma:contentTypeDescription="Create a new document." ma:contentTypeScope="" ma:versionID="03f8ed8bf042cf48f473447ba1337ad0">
  <xsd:schema xmlns:xsd="http://www.w3.org/2001/XMLSchema" xmlns:xs="http://www.w3.org/2001/XMLSchema" xmlns:p="http://schemas.microsoft.com/office/2006/metadata/properties" xmlns:ns3="1f10473d-c941-4461-906b-f0bd82132851" xmlns:ns4="5da650a2-7fa8-4e52-bcca-2b65736da6f6" targetNamespace="http://schemas.microsoft.com/office/2006/metadata/properties" ma:root="true" ma:fieldsID="f947dc7fb2c7240c607883fa20be1361" ns3:_="" ns4:_="">
    <xsd:import namespace="1f10473d-c941-4461-906b-f0bd82132851"/>
    <xsd:import namespace="5da650a2-7fa8-4e52-bcca-2b65736da6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0473d-c941-4461-906b-f0bd821328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650a2-7fa8-4e52-bcca-2b65736da6f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98191D-36E2-4D08-BE40-BB2F8BD6DA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529910-4A4F-4178-A6E3-D47B3841A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10473d-c941-4461-906b-f0bd82132851"/>
    <ds:schemaRef ds:uri="5da650a2-7fa8-4e52-bcca-2b65736da6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ED9C1F-F81E-416B-B260-E704370791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913063-D486-4D38-A936-83D2692D7AD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1907</Words>
  <Characters>10041</Characters>
  <Application>Microsoft Office Word</Application>
  <DocSecurity>4</DocSecurity>
  <Lines>244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Metcalf, D. Douglas</dc:creator>
  <cp:lastModifiedBy>Patricia Seguin</cp:lastModifiedBy>
  <cp:revision>2</cp:revision>
  <cp:lastPrinted>2025-02-27T21:48:00Z</cp:lastPrinted>
  <dcterms:created xsi:type="dcterms:W3CDTF">2025-05-01T19:43:00Z</dcterms:created>
  <dcterms:modified xsi:type="dcterms:W3CDTF">2025-05-01T19:43:00Z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0x010100330B04253D10E8468D8BECDC25E54586</vt:lpwstr>
  </property>
</Properties>
</file>