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4744B602" w14:textId="77777777" w:rsidR="008C6B1B" w:rsidRDefault="00F850BE" w:rsidP="00000C35">
            <w:pPr>
              <w:pStyle w:val="FirmInformation"/>
              <w:spacing w:line="240" w:lineRule="auto"/>
              <w:rPr>
                <w:sz w:val="28"/>
                <w:szCs w:val="28"/>
              </w:rPr>
            </w:pPr>
            <w:bookmarkStart w:id="0" w:name="_zzmpFIXED_CounselTable"/>
            <w:r>
              <w:rPr>
                <w:sz w:val="28"/>
                <w:szCs w:val="28"/>
              </w:rPr>
              <w:t>Lisa M. Panahi</w:t>
            </w:r>
          </w:p>
          <w:p w14:paraId="3B92AF78" w14:textId="320738F4" w:rsidR="00000C35" w:rsidRDefault="00F850BE" w:rsidP="00000C35">
            <w:pPr>
              <w:pStyle w:val="FirmInformation"/>
              <w:spacing w:line="240" w:lineRule="auto"/>
              <w:rPr>
                <w:sz w:val="28"/>
                <w:szCs w:val="28"/>
              </w:rPr>
            </w:pPr>
            <w:r>
              <w:rPr>
                <w:sz w:val="28"/>
                <w:szCs w:val="28"/>
              </w:rPr>
              <w:t>Bar No. 023421</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8C6B1B" w:rsidRPr="000F7A7F" w14:paraId="08D4119C" w14:textId="77777777" w:rsidTr="009C46DD">
        <w:tc>
          <w:tcPr>
            <w:tcW w:w="4680" w:type="dxa"/>
            <w:tcBorders>
              <w:top w:val="nil"/>
              <w:bottom w:val="single" w:sz="4" w:space="0" w:color="auto"/>
              <w:right w:val="single" w:sz="4" w:space="0" w:color="auto"/>
            </w:tcBorders>
            <w:shd w:val="clear" w:color="auto" w:fill="auto"/>
          </w:tcPr>
          <w:p w14:paraId="0371B54A" w14:textId="77777777" w:rsidR="008C6B1B" w:rsidRPr="006F63FD" w:rsidRDefault="008C6B1B" w:rsidP="009C46DD">
            <w:pPr>
              <w:pStyle w:val="Caption"/>
              <w:spacing w:before="240" w:line="260" w:lineRule="exact"/>
              <w:rPr>
                <w:sz w:val="28"/>
                <w:szCs w:val="28"/>
              </w:rPr>
            </w:pPr>
            <w:r w:rsidRPr="006F63FD">
              <w:rPr>
                <w:sz w:val="28"/>
                <w:szCs w:val="28"/>
              </w:rPr>
              <w:t>In the Matter of:</w:t>
            </w:r>
          </w:p>
          <w:p w14:paraId="3C4493D3" w14:textId="1A67E3B0" w:rsidR="008C6B1B" w:rsidRPr="00BF5976" w:rsidRDefault="008C6B1B" w:rsidP="009C46DD">
            <w:pPr>
              <w:pStyle w:val="Caption"/>
              <w:spacing w:before="240" w:line="260" w:lineRule="exact"/>
              <w:rPr>
                <w:b/>
                <w:sz w:val="28"/>
                <w:szCs w:val="28"/>
              </w:rPr>
            </w:pPr>
            <w:r w:rsidRPr="00732169">
              <w:rPr>
                <w:b/>
                <w:sz w:val="28"/>
                <w:szCs w:val="28"/>
              </w:rPr>
              <w:t xml:space="preserve">PETITION TO </w:t>
            </w:r>
            <w:r>
              <w:rPr>
                <w:b/>
                <w:sz w:val="28"/>
                <w:szCs w:val="28"/>
              </w:rPr>
              <w:t>AMEND RULES 11(d) AND 18(d) OF THE ARIZONA RULES OF PROCEDURE FOR EVICTION ACTIONS</w:t>
            </w:r>
            <w:r>
              <w:rPr>
                <w:b/>
                <w:sz w:val="28"/>
                <w:szCs w:val="28"/>
              </w:rPr>
              <w:br/>
            </w:r>
          </w:p>
        </w:tc>
        <w:tc>
          <w:tcPr>
            <w:tcW w:w="4524" w:type="dxa"/>
            <w:tcBorders>
              <w:top w:val="nil"/>
              <w:left w:val="single" w:sz="4" w:space="0" w:color="auto"/>
            </w:tcBorders>
            <w:shd w:val="clear" w:color="auto" w:fill="auto"/>
          </w:tcPr>
          <w:p w14:paraId="2DE7EB7B" w14:textId="09787442" w:rsidR="008C6B1B" w:rsidRPr="006F63FD" w:rsidRDefault="008C6B1B" w:rsidP="009C46DD">
            <w:pPr>
              <w:pStyle w:val="Caption"/>
              <w:tabs>
                <w:tab w:val="left" w:pos="1238"/>
              </w:tabs>
              <w:spacing w:before="240" w:after="240"/>
              <w:ind w:left="259" w:right="115"/>
              <w:rPr>
                <w:sz w:val="28"/>
                <w:szCs w:val="28"/>
              </w:rPr>
            </w:pPr>
            <w:r w:rsidRPr="006F63FD">
              <w:rPr>
                <w:sz w:val="28"/>
                <w:szCs w:val="28"/>
              </w:rPr>
              <w:t>Supreme Court No. R</w:t>
            </w:r>
            <w:r>
              <w:rPr>
                <w:sz w:val="28"/>
                <w:szCs w:val="28"/>
              </w:rPr>
              <w:t>-25-0020</w:t>
            </w:r>
          </w:p>
          <w:p w14:paraId="3541A1C1" w14:textId="77777777" w:rsidR="008C6B1B" w:rsidRPr="00405DAC" w:rsidRDefault="008C6B1B" w:rsidP="009C46DD">
            <w:pPr>
              <w:pStyle w:val="Caption"/>
              <w:tabs>
                <w:tab w:val="left" w:pos="1238"/>
              </w:tabs>
              <w:spacing w:line="260" w:lineRule="exact"/>
              <w:ind w:right="115"/>
              <w:jc w:val="center"/>
              <w:rPr>
                <w:b/>
                <w:sz w:val="28"/>
                <w:szCs w:val="28"/>
              </w:rPr>
            </w:pPr>
            <w:r w:rsidRPr="00405DAC">
              <w:rPr>
                <w:b/>
                <w:sz w:val="28"/>
                <w:szCs w:val="28"/>
              </w:rPr>
              <w:t>STATE BAR OF ARIZONA COMMENT</w:t>
            </w:r>
          </w:p>
          <w:p w14:paraId="31E73B50" w14:textId="77777777" w:rsidR="008C6B1B" w:rsidRPr="000F7A7F" w:rsidRDefault="008C6B1B" w:rsidP="009C46DD">
            <w:pPr>
              <w:pStyle w:val="DocumentTitle"/>
              <w:rPr>
                <w:szCs w:val="26"/>
              </w:rPr>
            </w:pPr>
          </w:p>
          <w:p w14:paraId="0EDB2982" w14:textId="77777777" w:rsidR="008C6B1B" w:rsidRPr="000F7A7F" w:rsidRDefault="008C6B1B" w:rsidP="009C46DD">
            <w:pPr>
              <w:pStyle w:val="Caption"/>
              <w:ind w:left="1512" w:right="115" w:hanging="1253"/>
              <w:rPr>
                <w:szCs w:val="26"/>
              </w:rPr>
            </w:pPr>
          </w:p>
        </w:tc>
      </w:tr>
    </w:tbl>
    <w:p w14:paraId="6A2021E7" w14:textId="77777777" w:rsidR="008C6B1B" w:rsidRDefault="008C6B1B" w:rsidP="009356AC">
      <w:pPr>
        <w:pStyle w:val="Body"/>
        <w:widowControl w:val="0"/>
        <w:spacing w:line="480" w:lineRule="auto"/>
        <w:ind w:firstLine="720"/>
        <w:jc w:val="both"/>
        <w:rPr>
          <w:sz w:val="28"/>
          <w:szCs w:val="28"/>
        </w:rPr>
      </w:pPr>
    </w:p>
    <w:p w14:paraId="30A2EFA3" w14:textId="26963C29" w:rsidR="00A97B3C" w:rsidRDefault="00A97B3C" w:rsidP="008C6B1B">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p>
    <w:p w14:paraId="2A8303A4" w14:textId="26BE1EBA" w:rsidR="002D0120" w:rsidRDefault="009B503E" w:rsidP="002C26D0">
      <w:pPr>
        <w:pStyle w:val="Body"/>
        <w:widowControl w:val="0"/>
        <w:spacing w:line="480" w:lineRule="auto"/>
        <w:ind w:firstLine="720"/>
        <w:jc w:val="both"/>
        <w:rPr>
          <w:sz w:val="28"/>
          <w:szCs w:val="28"/>
        </w:rPr>
      </w:pPr>
      <w:bookmarkStart w:id="1" w:name="_Hlk193702315"/>
      <w:r>
        <w:rPr>
          <w:sz w:val="28"/>
          <w:szCs w:val="28"/>
        </w:rPr>
        <w:t xml:space="preserve"> </w:t>
      </w:r>
      <w:r w:rsidR="002C26D0">
        <w:rPr>
          <w:sz w:val="28"/>
          <w:szCs w:val="28"/>
        </w:rPr>
        <w:t>The</w:t>
      </w:r>
      <w:r w:rsidR="00546BF9">
        <w:rPr>
          <w:sz w:val="28"/>
          <w:szCs w:val="28"/>
        </w:rPr>
        <w:t xml:space="preserve"> Petition proposes to </w:t>
      </w:r>
      <w:r w:rsidR="002C26D0">
        <w:rPr>
          <w:sz w:val="28"/>
          <w:szCs w:val="28"/>
        </w:rPr>
        <w:t xml:space="preserve">make a </w:t>
      </w:r>
      <w:r w:rsidR="001223A0">
        <w:rPr>
          <w:sz w:val="28"/>
          <w:szCs w:val="28"/>
        </w:rPr>
        <w:t>one-word</w:t>
      </w:r>
      <w:r w:rsidR="002C26D0">
        <w:rPr>
          <w:sz w:val="28"/>
          <w:szCs w:val="28"/>
        </w:rPr>
        <w:t xml:space="preserve"> revision to Rule 11(d)</w:t>
      </w:r>
      <w:r w:rsidR="00015F76">
        <w:rPr>
          <w:sz w:val="28"/>
          <w:szCs w:val="28"/>
        </w:rPr>
        <w:t>, Rules of Procedure for Eviction Actions (“RPEA”) o</w:t>
      </w:r>
      <w:r w:rsidR="001A5914">
        <w:rPr>
          <w:sz w:val="28"/>
          <w:szCs w:val="28"/>
        </w:rPr>
        <w:t>n continuances</w:t>
      </w:r>
      <w:r w:rsidR="002C26D0">
        <w:rPr>
          <w:sz w:val="28"/>
          <w:szCs w:val="28"/>
        </w:rPr>
        <w:t xml:space="preserve"> (“may” to “shall”)</w:t>
      </w:r>
      <w:r w:rsidR="00015F76">
        <w:rPr>
          <w:sz w:val="28"/>
          <w:szCs w:val="28"/>
        </w:rPr>
        <w:t>;</w:t>
      </w:r>
      <w:r w:rsidR="001A5914">
        <w:rPr>
          <w:sz w:val="28"/>
          <w:szCs w:val="28"/>
        </w:rPr>
        <w:t xml:space="preserve"> </w:t>
      </w:r>
      <w:r w:rsidR="00200ECE">
        <w:rPr>
          <w:sz w:val="28"/>
          <w:szCs w:val="28"/>
        </w:rPr>
        <w:t xml:space="preserve">to make </w:t>
      </w:r>
      <w:r w:rsidR="002C26D0">
        <w:rPr>
          <w:sz w:val="28"/>
          <w:szCs w:val="28"/>
        </w:rPr>
        <w:t>several revisions to</w:t>
      </w:r>
      <w:r w:rsidR="00630A09">
        <w:rPr>
          <w:sz w:val="28"/>
          <w:szCs w:val="28"/>
        </w:rPr>
        <w:t xml:space="preserve"> the definition of “good cause” in</w:t>
      </w:r>
      <w:r w:rsidR="002C26D0">
        <w:rPr>
          <w:sz w:val="28"/>
          <w:szCs w:val="28"/>
        </w:rPr>
        <w:t xml:space="preserve"> Rule 18(d)</w:t>
      </w:r>
      <w:r w:rsidR="00015F76">
        <w:rPr>
          <w:sz w:val="28"/>
          <w:szCs w:val="28"/>
        </w:rPr>
        <w:t>;</w:t>
      </w:r>
      <w:r w:rsidR="00546BF9">
        <w:rPr>
          <w:sz w:val="28"/>
          <w:szCs w:val="28"/>
        </w:rPr>
        <w:t xml:space="preserve"> </w:t>
      </w:r>
      <w:r w:rsidR="001A5914">
        <w:rPr>
          <w:sz w:val="28"/>
          <w:szCs w:val="28"/>
        </w:rPr>
        <w:t xml:space="preserve">and </w:t>
      </w:r>
      <w:r w:rsidR="00200ECE">
        <w:rPr>
          <w:sz w:val="28"/>
          <w:szCs w:val="28"/>
        </w:rPr>
        <w:t>to add</w:t>
      </w:r>
      <w:r w:rsidR="00630A09">
        <w:rPr>
          <w:sz w:val="28"/>
          <w:szCs w:val="28"/>
        </w:rPr>
        <w:t xml:space="preserve"> </w:t>
      </w:r>
      <w:r w:rsidR="001A5914">
        <w:rPr>
          <w:sz w:val="28"/>
          <w:szCs w:val="28"/>
        </w:rPr>
        <w:t xml:space="preserve">a non-exclusive list of </w:t>
      </w:r>
      <w:r w:rsidR="00630A09">
        <w:rPr>
          <w:sz w:val="28"/>
          <w:szCs w:val="28"/>
        </w:rPr>
        <w:t>“examples of good cause</w:t>
      </w:r>
      <w:r w:rsidR="001A5914">
        <w:rPr>
          <w:sz w:val="28"/>
          <w:szCs w:val="28"/>
        </w:rPr>
        <w:t xml:space="preserve"> that may require a continuance”</w:t>
      </w:r>
      <w:r w:rsidR="00200ECE">
        <w:rPr>
          <w:sz w:val="28"/>
          <w:szCs w:val="28"/>
        </w:rPr>
        <w:t xml:space="preserve"> at the conclusion of Rule 18(d).</w:t>
      </w:r>
      <w:r w:rsidR="001A5914">
        <w:rPr>
          <w:sz w:val="28"/>
          <w:szCs w:val="28"/>
        </w:rPr>
        <w:t xml:space="preserve"> </w:t>
      </w:r>
      <w:r w:rsidR="002C26D0">
        <w:rPr>
          <w:sz w:val="28"/>
          <w:szCs w:val="28"/>
        </w:rPr>
        <w:t xml:space="preserve"> </w:t>
      </w:r>
      <w:bookmarkEnd w:id="1"/>
      <w:r w:rsidR="00243A54">
        <w:rPr>
          <w:sz w:val="28"/>
          <w:szCs w:val="28"/>
        </w:rPr>
        <w:t xml:space="preserve">The State Bar </w:t>
      </w:r>
      <w:r w:rsidR="009356AC">
        <w:rPr>
          <w:sz w:val="28"/>
          <w:szCs w:val="28"/>
        </w:rPr>
        <w:t xml:space="preserve">agrees </w:t>
      </w:r>
      <w:r w:rsidR="001A5914">
        <w:rPr>
          <w:sz w:val="28"/>
          <w:szCs w:val="28"/>
        </w:rPr>
        <w:t>in principle with these changes but suggests several revisions to the text of the proposed amendments</w:t>
      </w:r>
      <w:r w:rsidR="00A434CD">
        <w:rPr>
          <w:sz w:val="28"/>
          <w:szCs w:val="28"/>
        </w:rPr>
        <w:t>, as set forth infra</w:t>
      </w:r>
      <w:r w:rsidR="001A5914">
        <w:rPr>
          <w:sz w:val="28"/>
          <w:szCs w:val="28"/>
        </w:rPr>
        <w:t xml:space="preserve">. </w:t>
      </w:r>
    </w:p>
    <w:p w14:paraId="1395A698" w14:textId="1F37ECF1" w:rsidR="00222ECB" w:rsidRDefault="00A434CD" w:rsidP="00A434CD">
      <w:pPr>
        <w:pStyle w:val="Body"/>
        <w:widowControl w:val="0"/>
        <w:spacing w:line="480" w:lineRule="auto"/>
        <w:ind w:firstLine="0"/>
        <w:jc w:val="both"/>
        <w:rPr>
          <w:sz w:val="28"/>
          <w:szCs w:val="28"/>
        </w:rPr>
      </w:pPr>
      <w:r>
        <w:rPr>
          <w:sz w:val="28"/>
          <w:szCs w:val="28"/>
        </w:rPr>
        <w:lastRenderedPageBreak/>
        <w:tab/>
      </w:r>
      <w:r w:rsidR="00963885">
        <w:rPr>
          <w:sz w:val="28"/>
          <w:szCs w:val="28"/>
        </w:rPr>
        <w:t>A prefatory</w:t>
      </w:r>
      <w:r>
        <w:rPr>
          <w:sz w:val="28"/>
          <w:szCs w:val="28"/>
        </w:rPr>
        <w:t xml:space="preserve"> </w:t>
      </w:r>
      <w:r w:rsidR="00963885">
        <w:rPr>
          <w:sz w:val="28"/>
          <w:szCs w:val="28"/>
        </w:rPr>
        <w:t>note</w:t>
      </w:r>
      <w:r>
        <w:rPr>
          <w:sz w:val="28"/>
          <w:szCs w:val="28"/>
        </w:rPr>
        <w:t xml:space="preserve"> is in order in light of the Comment submitted in this </w:t>
      </w:r>
      <w:proofErr w:type="gramStart"/>
      <w:r>
        <w:rPr>
          <w:sz w:val="28"/>
          <w:szCs w:val="28"/>
        </w:rPr>
        <w:t>rule matter</w:t>
      </w:r>
      <w:proofErr w:type="gramEnd"/>
      <w:r>
        <w:rPr>
          <w:sz w:val="28"/>
          <w:szCs w:val="28"/>
        </w:rPr>
        <w:t xml:space="preserve"> by the Justice of the Peace Bench in Maricopa County. First, </w:t>
      </w:r>
      <w:r w:rsidR="00963885">
        <w:rPr>
          <w:sz w:val="28"/>
          <w:szCs w:val="28"/>
        </w:rPr>
        <w:t>the State Bar wholeheartedly agrees</w:t>
      </w:r>
      <w:r w:rsidR="00222ECB">
        <w:rPr>
          <w:sz w:val="28"/>
          <w:szCs w:val="28"/>
        </w:rPr>
        <w:t>, and there can be no dispute,</w:t>
      </w:r>
      <w:r>
        <w:rPr>
          <w:sz w:val="28"/>
          <w:szCs w:val="28"/>
        </w:rPr>
        <w:t xml:space="preserve"> that eviction actions in Arizona are “statutory summary proceedings and the statutes establishing them govern their scope and procedure.” Rule 2</w:t>
      </w:r>
      <w:r w:rsidR="00630A09">
        <w:rPr>
          <w:sz w:val="28"/>
          <w:szCs w:val="28"/>
        </w:rPr>
        <w:t xml:space="preserve">, RPEA </w:t>
      </w:r>
      <w:r>
        <w:rPr>
          <w:sz w:val="28"/>
          <w:szCs w:val="28"/>
        </w:rPr>
        <w:t>(Construction of Rules</w:t>
      </w:r>
      <w:r w:rsidR="00095B49">
        <w:rPr>
          <w:sz w:val="28"/>
          <w:szCs w:val="28"/>
        </w:rPr>
        <w:t xml:space="preserve">). </w:t>
      </w:r>
      <w:r w:rsidR="00630A09">
        <w:rPr>
          <w:sz w:val="28"/>
          <w:szCs w:val="28"/>
        </w:rPr>
        <w:t xml:space="preserve">The purpose of forcible entry and detainer actions is to provide a summary, speedy, and adequate remedy for obtaining possession of premises. </w:t>
      </w:r>
      <w:r w:rsidR="00630A09" w:rsidRPr="00630A09">
        <w:rPr>
          <w:i/>
          <w:iCs/>
          <w:sz w:val="28"/>
          <w:szCs w:val="28"/>
        </w:rPr>
        <w:t>Olds Bros. Lumber Co</w:t>
      </w:r>
      <w:r w:rsidR="00630A09">
        <w:rPr>
          <w:sz w:val="28"/>
          <w:szCs w:val="28"/>
        </w:rPr>
        <w:t xml:space="preserve">. </w:t>
      </w:r>
      <w:r w:rsidR="00630A09" w:rsidRPr="00630A09">
        <w:rPr>
          <w:i/>
          <w:iCs/>
          <w:sz w:val="28"/>
          <w:szCs w:val="28"/>
        </w:rPr>
        <w:t>v.</w:t>
      </w:r>
      <w:r w:rsidR="00630A09">
        <w:rPr>
          <w:sz w:val="28"/>
          <w:szCs w:val="28"/>
        </w:rPr>
        <w:t xml:space="preserve"> </w:t>
      </w:r>
      <w:r w:rsidR="00630A09" w:rsidRPr="00630A09">
        <w:rPr>
          <w:i/>
          <w:iCs/>
          <w:sz w:val="28"/>
          <w:szCs w:val="28"/>
        </w:rPr>
        <w:t>Rushing</w:t>
      </w:r>
      <w:r w:rsidR="00630A09">
        <w:rPr>
          <w:sz w:val="28"/>
          <w:szCs w:val="28"/>
        </w:rPr>
        <w:t>, 64 Ariz</w:t>
      </w:r>
      <w:r w:rsidR="00E15570">
        <w:rPr>
          <w:sz w:val="28"/>
          <w:szCs w:val="28"/>
        </w:rPr>
        <w:t>.</w:t>
      </w:r>
      <w:r w:rsidR="00630A09">
        <w:rPr>
          <w:sz w:val="28"/>
          <w:szCs w:val="28"/>
        </w:rPr>
        <w:t>199</w:t>
      </w:r>
      <w:r w:rsidR="00963885">
        <w:rPr>
          <w:sz w:val="28"/>
          <w:szCs w:val="28"/>
        </w:rPr>
        <w:t>, 204-05</w:t>
      </w:r>
      <w:r w:rsidR="00630A09">
        <w:rPr>
          <w:sz w:val="28"/>
          <w:szCs w:val="28"/>
        </w:rPr>
        <w:t xml:space="preserve"> (1946). </w:t>
      </w:r>
      <w:r w:rsidR="00963885">
        <w:rPr>
          <w:sz w:val="28"/>
          <w:szCs w:val="28"/>
        </w:rPr>
        <w:t>This objective would be “entirely frustrated if the defendant were permitted to deny his landlord’s title or to interpose customary and usual defenses permissible in the ordinary action at law</w:t>
      </w:r>
      <w:r w:rsidR="0039419B">
        <w:rPr>
          <w:sz w:val="28"/>
          <w:szCs w:val="28"/>
        </w:rPr>
        <w:t xml:space="preserve">” </w:t>
      </w:r>
      <w:r w:rsidR="00222ECB">
        <w:rPr>
          <w:sz w:val="28"/>
          <w:szCs w:val="28"/>
        </w:rPr>
        <w:t xml:space="preserve">such as counterclaims, offsets and cross complaints. </w:t>
      </w:r>
      <w:r w:rsidR="00222ECB" w:rsidRPr="00222ECB">
        <w:rPr>
          <w:i/>
          <w:iCs/>
          <w:sz w:val="28"/>
          <w:szCs w:val="28"/>
        </w:rPr>
        <w:t>Id</w:t>
      </w:r>
      <w:r w:rsidR="00222ECB">
        <w:rPr>
          <w:sz w:val="28"/>
          <w:szCs w:val="28"/>
        </w:rPr>
        <w:t xml:space="preserve">. at 205. </w:t>
      </w:r>
    </w:p>
    <w:p w14:paraId="7B9C8E4A" w14:textId="5E57CD7D" w:rsidR="00200ECE" w:rsidRDefault="00963885" w:rsidP="00A434CD">
      <w:pPr>
        <w:pStyle w:val="Body"/>
        <w:widowControl w:val="0"/>
        <w:spacing w:line="480" w:lineRule="auto"/>
        <w:ind w:firstLine="0"/>
        <w:jc w:val="both"/>
        <w:rPr>
          <w:sz w:val="28"/>
          <w:szCs w:val="28"/>
        </w:rPr>
      </w:pPr>
      <w:r>
        <w:rPr>
          <w:sz w:val="28"/>
          <w:szCs w:val="28"/>
        </w:rPr>
        <w:t xml:space="preserve"> </w:t>
      </w:r>
      <w:r w:rsidR="00222ECB">
        <w:rPr>
          <w:sz w:val="28"/>
          <w:szCs w:val="28"/>
        </w:rPr>
        <w:tab/>
      </w:r>
      <w:r w:rsidR="009D7442">
        <w:rPr>
          <w:sz w:val="28"/>
          <w:szCs w:val="28"/>
        </w:rPr>
        <w:t>Eviction actions</w:t>
      </w:r>
      <w:r w:rsidR="00630A09">
        <w:rPr>
          <w:sz w:val="28"/>
          <w:szCs w:val="28"/>
        </w:rPr>
        <w:t xml:space="preserve"> are designed to resolve the right to possession quickly and do not include the full procedural safeguards of general civil action. </w:t>
      </w:r>
      <w:r w:rsidR="00630A09" w:rsidRPr="00630A09">
        <w:rPr>
          <w:i/>
          <w:iCs/>
          <w:sz w:val="28"/>
          <w:szCs w:val="28"/>
        </w:rPr>
        <w:t>Colonial Tr-City Ltd. Partnership v. Ben Franklin Stores, Inc.</w:t>
      </w:r>
      <w:r w:rsidR="00B73165">
        <w:rPr>
          <w:sz w:val="28"/>
          <w:szCs w:val="28"/>
        </w:rPr>
        <w:t xml:space="preserve"> </w:t>
      </w:r>
      <w:r w:rsidR="00200ECE">
        <w:rPr>
          <w:sz w:val="28"/>
          <w:szCs w:val="28"/>
        </w:rPr>
        <w:t xml:space="preserve">stated: </w:t>
      </w:r>
    </w:p>
    <w:p w14:paraId="0FC496C9" w14:textId="5DDB7AD7" w:rsidR="00243A54" w:rsidRDefault="00630A09" w:rsidP="00200ECE">
      <w:pPr>
        <w:pStyle w:val="Body"/>
        <w:widowControl w:val="0"/>
        <w:spacing w:before="240" w:after="240" w:line="240" w:lineRule="auto"/>
        <w:ind w:left="576" w:right="576" w:firstLine="0"/>
        <w:jc w:val="both"/>
        <w:rPr>
          <w:sz w:val="28"/>
          <w:szCs w:val="28"/>
        </w:rPr>
      </w:pPr>
      <w:r>
        <w:rPr>
          <w:sz w:val="28"/>
          <w:szCs w:val="28"/>
        </w:rPr>
        <w:t xml:space="preserve"> </w:t>
      </w:r>
      <w:r w:rsidR="00200ECE">
        <w:rPr>
          <w:sz w:val="28"/>
          <w:szCs w:val="28"/>
        </w:rPr>
        <w:t xml:space="preserve">The policy behind our holding is obvious; the summary proceedings authorized by section 33-361 and the forcible entry and detainer statutes do not furnish </w:t>
      </w:r>
      <w:proofErr w:type="gramStart"/>
      <w:r w:rsidR="00200ECE">
        <w:rPr>
          <w:sz w:val="28"/>
          <w:szCs w:val="28"/>
        </w:rPr>
        <w:t>all of</w:t>
      </w:r>
      <w:proofErr w:type="gramEnd"/>
      <w:r w:rsidR="00200ECE">
        <w:rPr>
          <w:sz w:val="28"/>
          <w:szCs w:val="28"/>
        </w:rPr>
        <w:t xml:space="preserve"> the procedural safeg</w:t>
      </w:r>
      <w:r w:rsidR="00015F76">
        <w:rPr>
          <w:sz w:val="28"/>
          <w:szCs w:val="28"/>
        </w:rPr>
        <w:t>u</w:t>
      </w:r>
      <w:r w:rsidR="00200ECE">
        <w:rPr>
          <w:sz w:val="28"/>
          <w:szCs w:val="28"/>
        </w:rPr>
        <w:t xml:space="preserve">ards provided </w:t>
      </w:r>
      <w:r w:rsidR="00015F76">
        <w:rPr>
          <w:sz w:val="28"/>
          <w:szCs w:val="28"/>
        </w:rPr>
        <w:t>i</w:t>
      </w:r>
      <w:r w:rsidR="00200ECE">
        <w:rPr>
          <w:sz w:val="28"/>
          <w:szCs w:val="28"/>
        </w:rPr>
        <w:t>n a general civil action. “In o</w:t>
      </w:r>
      <w:r w:rsidR="00015F76">
        <w:rPr>
          <w:sz w:val="28"/>
          <w:szCs w:val="28"/>
        </w:rPr>
        <w:t>rder</w:t>
      </w:r>
      <w:r w:rsidR="00200ECE">
        <w:rPr>
          <w:sz w:val="28"/>
          <w:szCs w:val="28"/>
        </w:rPr>
        <w:t xml:space="preserve"> to </w:t>
      </w:r>
      <w:r w:rsidR="00015F76">
        <w:rPr>
          <w:sz w:val="28"/>
          <w:szCs w:val="28"/>
        </w:rPr>
        <w:t>provide</w:t>
      </w:r>
      <w:r w:rsidR="00200ECE">
        <w:rPr>
          <w:sz w:val="28"/>
          <w:szCs w:val="28"/>
        </w:rPr>
        <w:t xml:space="preserve"> an expedit</w:t>
      </w:r>
      <w:r w:rsidR="00015F76">
        <w:rPr>
          <w:sz w:val="28"/>
          <w:szCs w:val="28"/>
        </w:rPr>
        <w:t>i</w:t>
      </w:r>
      <w:r w:rsidR="00200ECE">
        <w:rPr>
          <w:sz w:val="28"/>
          <w:szCs w:val="28"/>
        </w:rPr>
        <w:t>ous means of recovering possession</w:t>
      </w:r>
      <w:r w:rsidR="00015F76">
        <w:rPr>
          <w:sz w:val="28"/>
          <w:szCs w:val="28"/>
        </w:rPr>
        <w:t>,</w:t>
      </w:r>
      <w:r w:rsidR="00200ECE">
        <w:rPr>
          <w:sz w:val="28"/>
          <w:szCs w:val="28"/>
        </w:rPr>
        <w:t xml:space="preserve"> the</w:t>
      </w:r>
      <w:r w:rsidR="00E56BBC">
        <w:rPr>
          <w:sz w:val="28"/>
          <w:szCs w:val="28"/>
        </w:rPr>
        <w:t xml:space="preserve"> </w:t>
      </w:r>
      <w:r w:rsidR="00200ECE">
        <w:rPr>
          <w:sz w:val="28"/>
          <w:szCs w:val="28"/>
        </w:rPr>
        <w:t>[forcible entry and detainer] statutes provide for streamlined procedures.” 2 Richard R. Powell, Powell on Real Property § 246(3) (1993). “Notice periods are short, pleadings are restricted</w:t>
      </w:r>
      <w:r w:rsidR="00015F76">
        <w:rPr>
          <w:sz w:val="28"/>
          <w:szCs w:val="28"/>
        </w:rPr>
        <w:t>,</w:t>
      </w:r>
      <w:r w:rsidR="00200ECE">
        <w:rPr>
          <w:sz w:val="28"/>
          <w:szCs w:val="28"/>
        </w:rPr>
        <w:t xml:space="preserve"> triable issues are limited,</w:t>
      </w:r>
      <w:r w:rsidR="00015F76">
        <w:rPr>
          <w:sz w:val="28"/>
          <w:szCs w:val="28"/>
        </w:rPr>
        <w:t xml:space="preserve"> </w:t>
      </w:r>
      <w:r w:rsidR="00200ECE">
        <w:rPr>
          <w:sz w:val="28"/>
          <w:szCs w:val="28"/>
        </w:rPr>
        <w:t>discovery is general unavailable, and the judgment is pro</w:t>
      </w:r>
      <w:r w:rsidR="00015F76">
        <w:rPr>
          <w:sz w:val="28"/>
          <w:szCs w:val="28"/>
        </w:rPr>
        <w:t>mptly</w:t>
      </w:r>
      <w:r w:rsidR="00200ECE">
        <w:rPr>
          <w:sz w:val="28"/>
          <w:szCs w:val="28"/>
        </w:rPr>
        <w:t xml:space="preserve"> operative.”</w:t>
      </w:r>
      <w:r w:rsidR="00200ECE" w:rsidRPr="00015F76">
        <w:rPr>
          <w:i/>
          <w:iCs/>
          <w:sz w:val="28"/>
          <w:szCs w:val="28"/>
        </w:rPr>
        <w:t xml:space="preserve"> Id</w:t>
      </w:r>
      <w:r w:rsidR="00200ECE">
        <w:rPr>
          <w:sz w:val="28"/>
          <w:szCs w:val="28"/>
        </w:rPr>
        <w:t xml:space="preserve">. </w:t>
      </w:r>
    </w:p>
    <w:p w14:paraId="7C8450F2" w14:textId="6BB769DE" w:rsidR="00630A09" w:rsidRDefault="00624AE0" w:rsidP="00A434CD">
      <w:pPr>
        <w:pStyle w:val="Body"/>
        <w:widowControl w:val="0"/>
        <w:spacing w:line="480" w:lineRule="auto"/>
        <w:ind w:firstLine="0"/>
        <w:jc w:val="both"/>
        <w:rPr>
          <w:sz w:val="28"/>
          <w:szCs w:val="28"/>
        </w:rPr>
      </w:pPr>
      <w:r w:rsidRPr="00DC6B66">
        <w:rPr>
          <w:sz w:val="28"/>
          <w:szCs w:val="28"/>
        </w:rPr>
        <w:lastRenderedPageBreak/>
        <w:t>179 Ariz. at 428, 433 (App. 1993</w:t>
      </w:r>
      <w:r>
        <w:rPr>
          <w:i/>
          <w:iCs/>
          <w:sz w:val="28"/>
          <w:szCs w:val="28"/>
        </w:rPr>
        <w:t>).</w:t>
      </w:r>
      <w:r w:rsidR="00015F76">
        <w:rPr>
          <w:sz w:val="28"/>
          <w:szCs w:val="28"/>
        </w:rPr>
        <w:t xml:space="preserve"> </w:t>
      </w:r>
    </w:p>
    <w:p w14:paraId="51F96270" w14:textId="2A10D3BC" w:rsidR="00BF43BE" w:rsidRDefault="00015F76" w:rsidP="00A434CD">
      <w:pPr>
        <w:pStyle w:val="Body"/>
        <w:widowControl w:val="0"/>
        <w:spacing w:line="480" w:lineRule="auto"/>
        <w:ind w:firstLine="0"/>
        <w:jc w:val="both"/>
        <w:rPr>
          <w:sz w:val="28"/>
          <w:szCs w:val="28"/>
        </w:rPr>
      </w:pPr>
      <w:r>
        <w:rPr>
          <w:sz w:val="28"/>
          <w:szCs w:val="28"/>
        </w:rPr>
        <w:tab/>
        <w:t xml:space="preserve">However, the State Bar </w:t>
      </w:r>
      <w:r w:rsidR="00BF43BE">
        <w:rPr>
          <w:sz w:val="28"/>
          <w:szCs w:val="28"/>
        </w:rPr>
        <w:t>concludes that the</w:t>
      </w:r>
      <w:r w:rsidR="00DE188A">
        <w:rPr>
          <w:sz w:val="28"/>
          <w:szCs w:val="28"/>
        </w:rPr>
        <w:t>se</w:t>
      </w:r>
      <w:r w:rsidR="00BF43BE">
        <w:rPr>
          <w:sz w:val="28"/>
          <w:szCs w:val="28"/>
        </w:rPr>
        <w:t xml:space="preserve"> proposed amendments may be adopted without trenching </w:t>
      </w:r>
      <w:r>
        <w:rPr>
          <w:sz w:val="28"/>
          <w:szCs w:val="28"/>
        </w:rPr>
        <w:t>on these principles. The</w:t>
      </w:r>
      <w:r w:rsidR="00C37611">
        <w:rPr>
          <w:sz w:val="28"/>
          <w:szCs w:val="28"/>
        </w:rPr>
        <w:t xml:space="preserve"> amendments</w:t>
      </w:r>
      <w:r>
        <w:rPr>
          <w:sz w:val="28"/>
          <w:szCs w:val="28"/>
        </w:rPr>
        <w:t xml:space="preserve"> do not seek to lengthen notice provisions, </w:t>
      </w:r>
      <w:r w:rsidR="001223A0">
        <w:rPr>
          <w:sz w:val="28"/>
          <w:szCs w:val="28"/>
        </w:rPr>
        <w:t xml:space="preserve">to </w:t>
      </w:r>
      <w:r>
        <w:rPr>
          <w:sz w:val="28"/>
          <w:szCs w:val="28"/>
        </w:rPr>
        <w:t xml:space="preserve">expand triable issues, </w:t>
      </w:r>
      <w:r w:rsidR="001223A0">
        <w:rPr>
          <w:sz w:val="28"/>
          <w:szCs w:val="28"/>
        </w:rPr>
        <w:t>to</w:t>
      </w:r>
      <w:r>
        <w:rPr>
          <w:sz w:val="28"/>
          <w:szCs w:val="28"/>
        </w:rPr>
        <w:t xml:space="preserve"> authorize counterclaims, </w:t>
      </w:r>
      <w:proofErr w:type="gramStart"/>
      <w:r>
        <w:rPr>
          <w:sz w:val="28"/>
          <w:szCs w:val="28"/>
        </w:rPr>
        <w:t>cross-claims</w:t>
      </w:r>
      <w:proofErr w:type="gramEnd"/>
      <w:r>
        <w:rPr>
          <w:sz w:val="28"/>
          <w:szCs w:val="28"/>
        </w:rPr>
        <w:t xml:space="preserve">, </w:t>
      </w:r>
      <w:r w:rsidR="00A75FF7">
        <w:rPr>
          <w:sz w:val="28"/>
          <w:szCs w:val="28"/>
        </w:rPr>
        <w:t xml:space="preserve">or </w:t>
      </w:r>
      <w:r>
        <w:rPr>
          <w:sz w:val="28"/>
          <w:szCs w:val="28"/>
        </w:rPr>
        <w:t xml:space="preserve">offsets, </w:t>
      </w:r>
      <w:r w:rsidR="001223A0">
        <w:rPr>
          <w:sz w:val="28"/>
          <w:szCs w:val="28"/>
        </w:rPr>
        <w:t xml:space="preserve">to </w:t>
      </w:r>
      <w:r w:rsidR="00A75FF7">
        <w:rPr>
          <w:sz w:val="28"/>
          <w:szCs w:val="28"/>
        </w:rPr>
        <w:t xml:space="preserve">open </w:t>
      </w:r>
      <w:r>
        <w:rPr>
          <w:sz w:val="28"/>
          <w:szCs w:val="28"/>
        </w:rPr>
        <w:t>discovery where there was none</w:t>
      </w:r>
      <w:r w:rsidR="001223A0">
        <w:rPr>
          <w:sz w:val="28"/>
          <w:szCs w:val="28"/>
        </w:rPr>
        <w:t>, or to protract a proceeding beyond the 3 days already permitted for a continuance</w:t>
      </w:r>
      <w:r>
        <w:rPr>
          <w:sz w:val="28"/>
          <w:szCs w:val="28"/>
        </w:rPr>
        <w:t xml:space="preserve">. Instead, they add examples of good cause in an attempt to give parties and the court a fuller understanding of </w:t>
      </w:r>
      <w:r w:rsidR="001223A0">
        <w:rPr>
          <w:sz w:val="28"/>
          <w:szCs w:val="28"/>
        </w:rPr>
        <w:t xml:space="preserve">just and equitable </w:t>
      </w:r>
      <w:r w:rsidR="00A75FF7">
        <w:rPr>
          <w:sz w:val="28"/>
          <w:szCs w:val="28"/>
        </w:rPr>
        <w:t xml:space="preserve">grounds for continuances. </w:t>
      </w:r>
      <w:r w:rsidR="00E92C39">
        <w:rPr>
          <w:sz w:val="28"/>
          <w:szCs w:val="28"/>
        </w:rPr>
        <w:t xml:space="preserve">They </w:t>
      </w:r>
      <w:r w:rsidR="003C16AD">
        <w:rPr>
          <w:sz w:val="28"/>
          <w:szCs w:val="28"/>
        </w:rPr>
        <w:t>empower</w:t>
      </w:r>
      <w:r w:rsidR="00E92C39">
        <w:rPr>
          <w:sz w:val="28"/>
          <w:szCs w:val="28"/>
        </w:rPr>
        <w:t xml:space="preserve"> defendants to seek continuances that are well-founded and </w:t>
      </w:r>
      <w:r w:rsidR="003C16AD">
        <w:rPr>
          <w:sz w:val="28"/>
          <w:szCs w:val="28"/>
        </w:rPr>
        <w:t xml:space="preserve">that fairly </w:t>
      </w:r>
      <w:r w:rsidR="00DE188A">
        <w:rPr>
          <w:sz w:val="28"/>
          <w:szCs w:val="28"/>
        </w:rPr>
        <w:t xml:space="preserve">should be granted, </w:t>
      </w:r>
      <w:r w:rsidR="00E92C39">
        <w:rPr>
          <w:sz w:val="28"/>
          <w:szCs w:val="28"/>
        </w:rPr>
        <w:t>thereby increas</w:t>
      </w:r>
      <w:r w:rsidR="003C16AD">
        <w:rPr>
          <w:sz w:val="28"/>
          <w:szCs w:val="28"/>
        </w:rPr>
        <w:t>ing</w:t>
      </w:r>
      <w:r w:rsidR="00E92C39">
        <w:rPr>
          <w:sz w:val="28"/>
          <w:szCs w:val="28"/>
        </w:rPr>
        <w:t xml:space="preserve"> access to justice. </w:t>
      </w:r>
      <w:r w:rsidR="00DE188A">
        <w:rPr>
          <w:sz w:val="28"/>
          <w:szCs w:val="28"/>
        </w:rPr>
        <w:t>While two</w:t>
      </w:r>
      <w:r w:rsidR="0066721E">
        <w:rPr>
          <w:sz w:val="28"/>
          <w:szCs w:val="28"/>
        </w:rPr>
        <w:t xml:space="preserve"> examples</w:t>
      </w:r>
      <w:r w:rsidR="00DE188A">
        <w:rPr>
          <w:sz w:val="28"/>
          <w:szCs w:val="28"/>
        </w:rPr>
        <w:t xml:space="preserve"> from the proposed list incorporate</w:t>
      </w:r>
      <w:r w:rsidR="00E92C39">
        <w:rPr>
          <w:sz w:val="28"/>
          <w:szCs w:val="28"/>
        </w:rPr>
        <w:t xml:space="preserve"> existing requirements from federal statutes, the State Bar finds this helpful </w:t>
      </w:r>
      <w:r w:rsidR="00C37611">
        <w:rPr>
          <w:sz w:val="28"/>
          <w:szCs w:val="28"/>
        </w:rPr>
        <w:t xml:space="preserve">to </w:t>
      </w:r>
      <w:proofErr w:type="gramStart"/>
      <w:r w:rsidR="00C37611">
        <w:rPr>
          <w:sz w:val="28"/>
          <w:szCs w:val="28"/>
        </w:rPr>
        <w:t>pro per</w:t>
      </w:r>
      <w:proofErr w:type="gramEnd"/>
      <w:r w:rsidR="00C37611">
        <w:rPr>
          <w:sz w:val="28"/>
          <w:szCs w:val="28"/>
        </w:rPr>
        <w:t xml:space="preserve"> litigants </w:t>
      </w:r>
      <w:r w:rsidR="00DE188A">
        <w:rPr>
          <w:sz w:val="28"/>
          <w:szCs w:val="28"/>
        </w:rPr>
        <w:t xml:space="preserve">rather than </w:t>
      </w:r>
      <w:r w:rsidR="00C37611">
        <w:rPr>
          <w:sz w:val="28"/>
          <w:szCs w:val="28"/>
        </w:rPr>
        <w:t>undesirable</w:t>
      </w:r>
      <w:r w:rsidR="00DE188A">
        <w:rPr>
          <w:sz w:val="28"/>
          <w:szCs w:val="28"/>
        </w:rPr>
        <w:t xml:space="preserve">.  </w:t>
      </w:r>
    </w:p>
    <w:p w14:paraId="6A4A6235" w14:textId="430C8B3A" w:rsidR="006A6546" w:rsidRDefault="00E92C39" w:rsidP="006A6546">
      <w:pPr>
        <w:pStyle w:val="Body"/>
        <w:widowControl w:val="0"/>
        <w:spacing w:line="480" w:lineRule="auto"/>
        <w:ind w:firstLine="720"/>
        <w:jc w:val="both"/>
        <w:rPr>
          <w:sz w:val="28"/>
          <w:szCs w:val="28"/>
        </w:rPr>
      </w:pPr>
      <w:r>
        <w:rPr>
          <w:sz w:val="28"/>
          <w:szCs w:val="28"/>
        </w:rPr>
        <w:t>The</w:t>
      </w:r>
      <w:r w:rsidR="001223A0">
        <w:rPr>
          <w:sz w:val="28"/>
          <w:szCs w:val="28"/>
        </w:rPr>
        <w:t xml:space="preserve"> Petition makes clear that, b</w:t>
      </w:r>
      <w:r w:rsidR="00A75FF7">
        <w:rPr>
          <w:sz w:val="28"/>
          <w:szCs w:val="28"/>
        </w:rPr>
        <w:t xml:space="preserve">y changing “may” to “shall,” </w:t>
      </w:r>
      <w:r w:rsidR="00DE188A">
        <w:rPr>
          <w:sz w:val="28"/>
          <w:szCs w:val="28"/>
        </w:rPr>
        <w:t xml:space="preserve">the intent is to make </w:t>
      </w:r>
      <w:r w:rsidR="001223A0">
        <w:rPr>
          <w:sz w:val="28"/>
          <w:szCs w:val="28"/>
        </w:rPr>
        <w:t xml:space="preserve">a continuance mandatory </w:t>
      </w:r>
      <w:r w:rsidR="001223A0" w:rsidRPr="00BF43BE">
        <w:rPr>
          <w:i/>
          <w:iCs/>
          <w:sz w:val="28"/>
          <w:szCs w:val="28"/>
        </w:rPr>
        <w:t xml:space="preserve">only </w:t>
      </w:r>
      <w:r w:rsidR="00A75FF7" w:rsidRPr="00BF43BE">
        <w:rPr>
          <w:i/>
          <w:iCs/>
          <w:sz w:val="28"/>
          <w:szCs w:val="28"/>
        </w:rPr>
        <w:t>if a court has found good cause</w:t>
      </w:r>
      <w:r w:rsidR="00C37611">
        <w:rPr>
          <w:i/>
          <w:iCs/>
          <w:sz w:val="28"/>
          <w:szCs w:val="28"/>
        </w:rPr>
        <w:t>, a discretionary decision</w:t>
      </w:r>
      <w:r w:rsidR="00A75FF7">
        <w:rPr>
          <w:sz w:val="28"/>
          <w:szCs w:val="28"/>
        </w:rPr>
        <w:t xml:space="preserve">. </w:t>
      </w:r>
      <w:proofErr w:type="gramStart"/>
      <w:r w:rsidR="001223A0">
        <w:rPr>
          <w:sz w:val="28"/>
          <w:szCs w:val="28"/>
        </w:rPr>
        <w:t>The Petition</w:t>
      </w:r>
      <w:proofErr w:type="gramEnd"/>
      <w:r w:rsidR="001223A0">
        <w:rPr>
          <w:sz w:val="28"/>
          <w:szCs w:val="28"/>
        </w:rPr>
        <w:t xml:space="preserve"> does</w:t>
      </w:r>
      <w:r w:rsidR="00A75FF7">
        <w:rPr>
          <w:sz w:val="28"/>
          <w:szCs w:val="28"/>
        </w:rPr>
        <w:t xml:space="preserve"> not purport to require a continuance in the absence of good cause, as </w:t>
      </w:r>
      <w:proofErr w:type="gramStart"/>
      <w:r w:rsidR="00A75FF7">
        <w:rPr>
          <w:sz w:val="28"/>
          <w:szCs w:val="28"/>
        </w:rPr>
        <w:t>the JP</w:t>
      </w:r>
      <w:proofErr w:type="gramEnd"/>
      <w:r w:rsidR="00A75FF7">
        <w:rPr>
          <w:sz w:val="28"/>
          <w:szCs w:val="28"/>
        </w:rPr>
        <w:t xml:space="preserve"> Bench’s Comment </w:t>
      </w:r>
      <w:r w:rsidR="00E93421">
        <w:rPr>
          <w:sz w:val="28"/>
          <w:szCs w:val="28"/>
        </w:rPr>
        <w:t>asserts</w:t>
      </w:r>
      <w:r w:rsidR="00A75FF7">
        <w:rPr>
          <w:sz w:val="28"/>
          <w:szCs w:val="28"/>
        </w:rPr>
        <w:t>.</w:t>
      </w:r>
      <w:r w:rsidR="00DE188A">
        <w:rPr>
          <w:sz w:val="28"/>
          <w:szCs w:val="28"/>
        </w:rPr>
        <w:t xml:space="preserve"> JP Bench Comment at 1 (“The proposed rule change would create a mandatory system where both Superior Court judges and Justices of the Peace are required to grant tri</w:t>
      </w:r>
      <w:r w:rsidR="003C16AD">
        <w:rPr>
          <w:sz w:val="28"/>
          <w:szCs w:val="28"/>
        </w:rPr>
        <w:t>al</w:t>
      </w:r>
      <w:r w:rsidR="00DE188A">
        <w:rPr>
          <w:sz w:val="28"/>
          <w:szCs w:val="28"/>
        </w:rPr>
        <w:t xml:space="preserve"> continuances in residential eviction actions for a wide variety of justifications.”</w:t>
      </w:r>
      <w:r w:rsidR="003C16AD">
        <w:rPr>
          <w:sz w:val="28"/>
          <w:szCs w:val="28"/>
        </w:rPr>
        <w:t xml:space="preserve">); JP Bench Comment at 2 (“NO EFFECTIVE COURT CASE FLOW MANAGEMENT PLAN WOULD ADOPT A </w:t>
      </w:r>
      <w:r w:rsidR="003C16AD">
        <w:rPr>
          <w:sz w:val="28"/>
          <w:szCs w:val="28"/>
        </w:rPr>
        <w:lastRenderedPageBreak/>
        <w:t xml:space="preserve">PROCESS WHERE JUDGES ARE AUTOMATICALLY REQUIRED TO DELAY COURT DATES”); JP Bench Comment at 3 (“It would remove judicial discretion and command judges to grant trial continuances if either party could successfully claim any health or medical emergency, employment scheduling conflict, or child care issue.”). These concerns rest on </w:t>
      </w:r>
      <w:r w:rsidR="005E78C6">
        <w:rPr>
          <w:sz w:val="28"/>
          <w:szCs w:val="28"/>
        </w:rPr>
        <w:t>a misunderstanding</w:t>
      </w:r>
      <w:r w:rsidR="003C16AD">
        <w:rPr>
          <w:sz w:val="28"/>
          <w:szCs w:val="28"/>
        </w:rPr>
        <w:t xml:space="preserve"> of the Petition. However, to clarify that </w:t>
      </w:r>
      <w:proofErr w:type="gramStart"/>
      <w:r w:rsidR="003C16AD">
        <w:rPr>
          <w:sz w:val="28"/>
          <w:szCs w:val="28"/>
        </w:rPr>
        <w:t>a continuance</w:t>
      </w:r>
      <w:proofErr w:type="gramEnd"/>
      <w:r w:rsidR="003C16AD">
        <w:rPr>
          <w:sz w:val="28"/>
          <w:szCs w:val="28"/>
        </w:rPr>
        <w:t xml:space="preserve"> is mandatory only when the court</w:t>
      </w:r>
      <w:r w:rsidR="00C03E4C">
        <w:rPr>
          <w:sz w:val="28"/>
          <w:szCs w:val="28"/>
        </w:rPr>
        <w:t>, in its disc</w:t>
      </w:r>
      <w:r w:rsidR="00700593">
        <w:rPr>
          <w:sz w:val="28"/>
          <w:szCs w:val="28"/>
        </w:rPr>
        <w:t>retion,</w:t>
      </w:r>
      <w:r w:rsidR="003C16AD">
        <w:rPr>
          <w:sz w:val="28"/>
          <w:szCs w:val="28"/>
        </w:rPr>
        <w:t xml:space="preserve"> has found </w:t>
      </w:r>
      <w:proofErr w:type="gramStart"/>
      <w:r w:rsidR="003C16AD">
        <w:rPr>
          <w:sz w:val="28"/>
          <w:szCs w:val="28"/>
        </w:rPr>
        <w:t>good</w:t>
      </w:r>
      <w:proofErr w:type="gramEnd"/>
      <w:r w:rsidR="003C16AD">
        <w:rPr>
          <w:sz w:val="28"/>
          <w:szCs w:val="28"/>
        </w:rPr>
        <w:t xml:space="preserve"> cause, t</w:t>
      </w:r>
      <w:r>
        <w:rPr>
          <w:sz w:val="28"/>
          <w:szCs w:val="28"/>
        </w:rPr>
        <w:t>he</w:t>
      </w:r>
      <w:r w:rsidR="001223A0">
        <w:rPr>
          <w:sz w:val="28"/>
          <w:szCs w:val="28"/>
        </w:rPr>
        <w:t xml:space="preserve"> State Bar recommends</w:t>
      </w:r>
      <w:r w:rsidR="00DE188A">
        <w:rPr>
          <w:sz w:val="28"/>
          <w:szCs w:val="28"/>
        </w:rPr>
        <w:t xml:space="preserve"> below</w:t>
      </w:r>
      <w:r w:rsidR="00BF43BE">
        <w:rPr>
          <w:sz w:val="28"/>
          <w:szCs w:val="28"/>
        </w:rPr>
        <w:t xml:space="preserve"> </w:t>
      </w:r>
      <w:r w:rsidR="001223A0">
        <w:rPr>
          <w:sz w:val="28"/>
          <w:szCs w:val="28"/>
        </w:rPr>
        <w:t xml:space="preserve">that the proposed wording be </w:t>
      </w:r>
      <w:r>
        <w:rPr>
          <w:sz w:val="28"/>
          <w:szCs w:val="28"/>
        </w:rPr>
        <w:t>revised</w:t>
      </w:r>
      <w:r w:rsidR="001223A0">
        <w:rPr>
          <w:sz w:val="28"/>
          <w:szCs w:val="28"/>
        </w:rPr>
        <w:t xml:space="preserve">. </w:t>
      </w:r>
    </w:p>
    <w:p w14:paraId="10E7E046" w14:textId="740EE669" w:rsidR="001B698B" w:rsidRDefault="001B698B" w:rsidP="00CF2F0B">
      <w:pPr>
        <w:pStyle w:val="Body"/>
        <w:widowControl w:val="0"/>
        <w:spacing w:line="480" w:lineRule="auto"/>
        <w:ind w:firstLine="720"/>
        <w:jc w:val="both"/>
        <w:rPr>
          <w:bCs/>
          <w:sz w:val="28"/>
          <w:szCs w:val="28"/>
          <w:shd w:val="clear" w:color="auto" w:fill="FFFFFF"/>
        </w:rPr>
      </w:pPr>
      <w:r>
        <w:rPr>
          <w:sz w:val="28"/>
          <w:szCs w:val="28"/>
        </w:rPr>
        <w:t xml:space="preserve">The State Bar </w:t>
      </w:r>
      <w:r w:rsidR="009F0F4D">
        <w:rPr>
          <w:sz w:val="28"/>
          <w:szCs w:val="28"/>
        </w:rPr>
        <w:t>respectfully</w:t>
      </w:r>
      <w:r w:rsidR="00C24752">
        <w:rPr>
          <w:sz w:val="28"/>
          <w:szCs w:val="28"/>
        </w:rPr>
        <w:t xml:space="preserve"> </w:t>
      </w:r>
      <w:r w:rsidR="009D7442">
        <w:rPr>
          <w:sz w:val="28"/>
          <w:szCs w:val="28"/>
        </w:rPr>
        <w:t>disagrees with</w:t>
      </w:r>
      <w:r>
        <w:rPr>
          <w:sz w:val="28"/>
          <w:szCs w:val="28"/>
        </w:rPr>
        <w:t xml:space="preserve"> </w:t>
      </w:r>
      <w:r w:rsidR="007E7425">
        <w:rPr>
          <w:sz w:val="28"/>
          <w:szCs w:val="28"/>
        </w:rPr>
        <w:t xml:space="preserve">the </w:t>
      </w:r>
      <w:r w:rsidR="006A6546">
        <w:rPr>
          <w:sz w:val="28"/>
          <w:szCs w:val="28"/>
        </w:rPr>
        <w:t>notion</w:t>
      </w:r>
      <w:r w:rsidR="007E7425">
        <w:rPr>
          <w:sz w:val="28"/>
          <w:szCs w:val="28"/>
        </w:rPr>
        <w:t xml:space="preserve"> that </w:t>
      </w:r>
      <w:r w:rsidR="00B91E2D">
        <w:rPr>
          <w:sz w:val="28"/>
          <w:szCs w:val="28"/>
        </w:rPr>
        <w:t>the proposed amendment</w:t>
      </w:r>
      <w:r w:rsidR="00BA37AA">
        <w:rPr>
          <w:sz w:val="28"/>
          <w:szCs w:val="28"/>
        </w:rPr>
        <w:t xml:space="preserve"> regarding continuances</w:t>
      </w:r>
      <w:r w:rsidR="00B91E2D" w:rsidRPr="00D678E4">
        <w:rPr>
          <w:sz w:val="28"/>
          <w:szCs w:val="28"/>
        </w:rPr>
        <w:t xml:space="preserve"> is an </w:t>
      </w:r>
      <w:r w:rsidR="00BA37AA">
        <w:rPr>
          <w:sz w:val="28"/>
          <w:szCs w:val="28"/>
        </w:rPr>
        <w:t>“</w:t>
      </w:r>
      <w:r w:rsidR="00B91E2D" w:rsidRPr="00D678E4">
        <w:rPr>
          <w:sz w:val="28"/>
          <w:szCs w:val="28"/>
        </w:rPr>
        <w:t xml:space="preserve">attempt to address </w:t>
      </w:r>
      <w:r w:rsidR="00B91E2D">
        <w:rPr>
          <w:sz w:val="28"/>
          <w:szCs w:val="28"/>
        </w:rPr>
        <w:t xml:space="preserve">a </w:t>
      </w:r>
      <w:r w:rsidR="00B91E2D" w:rsidRPr="00D678E4">
        <w:rPr>
          <w:sz w:val="28"/>
          <w:szCs w:val="28"/>
        </w:rPr>
        <w:t>problem</w:t>
      </w:r>
      <w:r w:rsidR="00B91E2D">
        <w:rPr>
          <w:sz w:val="28"/>
          <w:szCs w:val="28"/>
        </w:rPr>
        <w:t xml:space="preserve"> that does not exist</w:t>
      </w:r>
      <w:r w:rsidR="00FB7FF8">
        <w:rPr>
          <w:sz w:val="28"/>
          <w:szCs w:val="28"/>
        </w:rPr>
        <w:t>,</w:t>
      </w:r>
      <w:r w:rsidR="00BA37AA">
        <w:rPr>
          <w:sz w:val="28"/>
          <w:szCs w:val="28"/>
        </w:rPr>
        <w:t xml:space="preserve">” Comment by JP Bench </w:t>
      </w:r>
      <w:r w:rsidR="00FB7FF8">
        <w:rPr>
          <w:sz w:val="28"/>
          <w:szCs w:val="28"/>
        </w:rPr>
        <w:t xml:space="preserve">at 1, or </w:t>
      </w:r>
      <w:r w:rsidR="004A2D49">
        <w:rPr>
          <w:sz w:val="28"/>
          <w:szCs w:val="28"/>
        </w:rPr>
        <w:t xml:space="preserve">that it </w:t>
      </w:r>
      <w:r w:rsidR="009F0F4D">
        <w:rPr>
          <w:sz w:val="28"/>
          <w:szCs w:val="28"/>
        </w:rPr>
        <w:t>constitutes</w:t>
      </w:r>
      <w:r w:rsidR="00B91E2D">
        <w:rPr>
          <w:sz w:val="28"/>
          <w:szCs w:val="28"/>
        </w:rPr>
        <w:t xml:space="preserve"> </w:t>
      </w:r>
      <w:r w:rsidR="004A2D49">
        <w:rPr>
          <w:sz w:val="28"/>
          <w:szCs w:val="28"/>
        </w:rPr>
        <w:t>“</w:t>
      </w:r>
      <w:r w:rsidR="003141F0" w:rsidRPr="00DC6B66">
        <w:rPr>
          <w:bCs/>
          <w:sz w:val="28"/>
          <w:szCs w:val="28"/>
          <w:shd w:val="clear" w:color="auto" w:fill="FFFFFF"/>
        </w:rPr>
        <w:t>REMEDIES IN SEARCH OF A PROBLEM</w:t>
      </w:r>
      <w:r w:rsidR="004A2D49">
        <w:rPr>
          <w:bCs/>
          <w:sz w:val="28"/>
          <w:szCs w:val="28"/>
          <w:shd w:val="clear" w:color="auto" w:fill="FFFFFF"/>
        </w:rPr>
        <w:t>,”</w:t>
      </w:r>
      <w:r w:rsidR="004A2D49" w:rsidRPr="00DC6B66">
        <w:rPr>
          <w:bCs/>
          <w:i/>
          <w:iCs/>
          <w:sz w:val="28"/>
          <w:szCs w:val="28"/>
          <w:shd w:val="clear" w:color="auto" w:fill="FFFFFF"/>
        </w:rPr>
        <w:t xml:space="preserve"> </w:t>
      </w:r>
      <w:r w:rsidR="00195180">
        <w:rPr>
          <w:bCs/>
          <w:i/>
          <w:iCs/>
          <w:sz w:val="28"/>
          <w:szCs w:val="28"/>
          <w:shd w:val="clear" w:color="auto" w:fill="FFFFFF"/>
        </w:rPr>
        <w:t>i</w:t>
      </w:r>
      <w:r w:rsidR="004A2D49" w:rsidRPr="00DC6B66">
        <w:rPr>
          <w:bCs/>
          <w:i/>
          <w:iCs/>
          <w:sz w:val="28"/>
          <w:szCs w:val="28"/>
          <w:shd w:val="clear" w:color="auto" w:fill="FFFFFF"/>
        </w:rPr>
        <w:t>d</w:t>
      </w:r>
      <w:r w:rsidR="004A2D49">
        <w:rPr>
          <w:bCs/>
          <w:sz w:val="28"/>
          <w:szCs w:val="28"/>
          <w:shd w:val="clear" w:color="auto" w:fill="FFFFFF"/>
        </w:rPr>
        <w:t xml:space="preserve">. at 10. </w:t>
      </w:r>
      <w:r w:rsidR="002A4000">
        <w:rPr>
          <w:bCs/>
          <w:sz w:val="28"/>
          <w:szCs w:val="28"/>
          <w:shd w:val="clear" w:color="auto" w:fill="FFFFFF"/>
        </w:rPr>
        <w:t xml:space="preserve">The examples </w:t>
      </w:r>
      <w:r w:rsidR="001C3C0D">
        <w:rPr>
          <w:bCs/>
          <w:sz w:val="28"/>
          <w:szCs w:val="28"/>
          <w:shd w:val="clear" w:color="auto" w:fill="FFFFFF"/>
        </w:rPr>
        <w:t xml:space="preserve">of denials of continuances </w:t>
      </w:r>
      <w:r w:rsidR="002A4000">
        <w:rPr>
          <w:bCs/>
          <w:sz w:val="28"/>
          <w:szCs w:val="28"/>
          <w:shd w:val="clear" w:color="auto" w:fill="FFFFFF"/>
        </w:rPr>
        <w:t>cited by the Petition at 6-7</w:t>
      </w:r>
      <w:r w:rsidR="00195180">
        <w:rPr>
          <w:bCs/>
          <w:sz w:val="28"/>
          <w:szCs w:val="28"/>
          <w:shd w:val="clear" w:color="auto" w:fill="FFFFFF"/>
        </w:rPr>
        <w:t xml:space="preserve"> </w:t>
      </w:r>
      <w:r w:rsidR="00C24752">
        <w:rPr>
          <w:bCs/>
          <w:sz w:val="28"/>
          <w:szCs w:val="28"/>
          <w:shd w:val="clear" w:color="auto" w:fill="FFFFFF"/>
        </w:rPr>
        <w:t xml:space="preserve">exemplify the need for the amendments proposed in the Petition and this Comment. </w:t>
      </w:r>
    </w:p>
    <w:p w14:paraId="6392C3B7" w14:textId="0689C604" w:rsidR="00772DBC" w:rsidRPr="008817C7" w:rsidRDefault="00C23B6A" w:rsidP="00CF2F0B">
      <w:pPr>
        <w:pStyle w:val="Body"/>
        <w:widowControl w:val="0"/>
        <w:spacing w:line="480" w:lineRule="auto"/>
        <w:ind w:firstLine="720"/>
        <w:jc w:val="both"/>
        <w:rPr>
          <w:sz w:val="28"/>
          <w:szCs w:val="28"/>
        </w:rPr>
      </w:pPr>
      <w:r>
        <w:rPr>
          <w:bCs/>
          <w:sz w:val="28"/>
          <w:szCs w:val="28"/>
          <w:shd w:val="clear" w:color="auto" w:fill="FFFFFF"/>
        </w:rPr>
        <w:t>T</w:t>
      </w:r>
      <w:r w:rsidR="00AF6EE4">
        <w:rPr>
          <w:bCs/>
          <w:sz w:val="28"/>
          <w:szCs w:val="28"/>
          <w:shd w:val="clear" w:color="auto" w:fill="FFFFFF"/>
        </w:rPr>
        <w:t xml:space="preserve">he State Bar </w:t>
      </w:r>
      <w:r>
        <w:rPr>
          <w:bCs/>
          <w:sz w:val="28"/>
          <w:szCs w:val="28"/>
          <w:shd w:val="clear" w:color="auto" w:fill="FFFFFF"/>
        </w:rPr>
        <w:t>also disagrees</w:t>
      </w:r>
      <w:r w:rsidR="00AF6EE4">
        <w:rPr>
          <w:bCs/>
          <w:sz w:val="28"/>
          <w:szCs w:val="28"/>
          <w:shd w:val="clear" w:color="auto" w:fill="FFFFFF"/>
        </w:rPr>
        <w:t xml:space="preserve"> that the </w:t>
      </w:r>
      <w:r w:rsidR="00314DC3">
        <w:rPr>
          <w:bCs/>
          <w:sz w:val="28"/>
          <w:szCs w:val="28"/>
          <w:shd w:val="clear" w:color="auto" w:fill="FFFFFF"/>
        </w:rPr>
        <w:t>overriding</w:t>
      </w:r>
      <w:r w:rsidR="00BE23DF">
        <w:rPr>
          <w:bCs/>
          <w:sz w:val="28"/>
          <w:szCs w:val="28"/>
          <w:shd w:val="clear" w:color="auto" w:fill="FFFFFF"/>
        </w:rPr>
        <w:t xml:space="preserve"> </w:t>
      </w:r>
      <w:r w:rsidR="00AF6EE4">
        <w:rPr>
          <w:bCs/>
          <w:sz w:val="28"/>
          <w:szCs w:val="28"/>
          <w:shd w:val="clear" w:color="auto" w:fill="FFFFFF"/>
        </w:rPr>
        <w:t xml:space="preserve">purpose of the Petition is to </w:t>
      </w:r>
      <w:r w:rsidR="00215505" w:rsidRPr="00DC6B66">
        <w:rPr>
          <w:sz w:val="28"/>
          <w:szCs w:val="28"/>
        </w:rPr>
        <w:t>“encourage parties to request and courts to grant more continuances.”</w:t>
      </w:r>
      <w:r w:rsidR="00224241">
        <w:rPr>
          <w:sz w:val="28"/>
          <w:szCs w:val="28"/>
        </w:rPr>
        <w:t xml:space="preserve"> Petition at 6. </w:t>
      </w:r>
      <w:r w:rsidR="00A1428D">
        <w:rPr>
          <w:sz w:val="28"/>
          <w:szCs w:val="28"/>
        </w:rPr>
        <w:t xml:space="preserve"> </w:t>
      </w:r>
      <w:r w:rsidR="005C115B">
        <w:rPr>
          <w:sz w:val="28"/>
          <w:szCs w:val="28"/>
        </w:rPr>
        <w:t>T</w:t>
      </w:r>
      <w:r w:rsidR="00A1428D">
        <w:rPr>
          <w:sz w:val="28"/>
          <w:szCs w:val="28"/>
        </w:rPr>
        <w:t xml:space="preserve">his statement </w:t>
      </w:r>
      <w:r w:rsidR="00781516">
        <w:rPr>
          <w:sz w:val="28"/>
          <w:szCs w:val="28"/>
        </w:rPr>
        <w:t>in</w:t>
      </w:r>
      <w:r w:rsidR="00A1428D">
        <w:rPr>
          <w:sz w:val="28"/>
          <w:szCs w:val="28"/>
        </w:rPr>
        <w:t xml:space="preserve"> </w:t>
      </w:r>
      <w:r w:rsidR="00253978">
        <w:rPr>
          <w:sz w:val="28"/>
          <w:szCs w:val="28"/>
        </w:rPr>
        <w:t>the Petition</w:t>
      </w:r>
      <w:r w:rsidR="003B59CB">
        <w:rPr>
          <w:sz w:val="28"/>
          <w:szCs w:val="28"/>
        </w:rPr>
        <w:t>, read in isolation,</w:t>
      </w:r>
      <w:r w:rsidR="00253978">
        <w:rPr>
          <w:sz w:val="28"/>
          <w:szCs w:val="28"/>
        </w:rPr>
        <w:t xml:space="preserve"> </w:t>
      </w:r>
      <w:r>
        <w:rPr>
          <w:sz w:val="28"/>
          <w:szCs w:val="28"/>
        </w:rPr>
        <w:t>may create this ambiguity</w:t>
      </w:r>
      <w:r w:rsidR="00BF78DE">
        <w:rPr>
          <w:sz w:val="28"/>
          <w:szCs w:val="28"/>
        </w:rPr>
        <w:t xml:space="preserve">.  However, </w:t>
      </w:r>
      <w:r>
        <w:rPr>
          <w:sz w:val="28"/>
          <w:szCs w:val="28"/>
        </w:rPr>
        <w:t>read completely, the Petition asserts the intended purpose</w:t>
      </w:r>
      <w:r w:rsidR="00BE23DF">
        <w:rPr>
          <w:sz w:val="28"/>
          <w:szCs w:val="28"/>
        </w:rPr>
        <w:t xml:space="preserve"> </w:t>
      </w:r>
      <w:r>
        <w:rPr>
          <w:sz w:val="28"/>
          <w:szCs w:val="28"/>
        </w:rPr>
        <w:t xml:space="preserve">of </w:t>
      </w:r>
      <w:r w:rsidR="00BF78DE">
        <w:rPr>
          <w:sz w:val="28"/>
          <w:szCs w:val="28"/>
        </w:rPr>
        <w:t>“</w:t>
      </w:r>
      <w:r w:rsidR="00220398">
        <w:rPr>
          <w:sz w:val="28"/>
          <w:szCs w:val="28"/>
        </w:rPr>
        <w:t>clarifying</w:t>
      </w:r>
      <w:r w:rsidR="00BF78DE">
        <w:rPr>
          <w:sz w:val="28"/>
          <w:szCs w:val="28"/>
        </w:rPr>
        <w:t>”</w:t>
      </w:r>
      <w:r w:rsidR="00220398">
        <w:rPr>
          <w:sz w:val="28"/>
          <w:szCs w:val="28"/>
        </w:rPr>
        <w:t xml:space="preserve"> the definition of “good cause</w:t>
      </w:r>
      <w:r w:rsidR="003175CA">
        <w:rPr>
          <w:sz w:val="28"/>
          <w:szCs w:val="28"/>
        </w:rPr>
        <w:t xml:space="preserve">,” </w:t>
      </w:r>
      <w:r w:rsidR="009D7442">
        <w:rPr>
          <w:sz w:val="28"/>
          <w:szCs w:val="28"/>
        </w:rPr>
        <w:t>Petition at</w:t>
      </w:r>
      <w:r w:rsidR="003175CA">
        <w:rPr>
          <w:sz w:val="28"/>
          <w:szCs w:val="28"/>
        </w:rPr>
        <w:t xml:space="preserve"> 2, 4, 5, and 6, </w:t>
      </w:r>
      <w:r w:rsidR="008A2D38">
        <w:rPr>
          <w:sz w:val="28"/>
          <w:szCs w:val="28"/>
        </w:rPr>
        <w:t>provid</w:t>
      </w:r>
      <w:r w:rsidR="00BF78DE">
        <w:rPr>
          <w:sz w:val="28"/>
          <w:szCs w:val="28"/>
        </w:rPr>
        <w:t>ing</w:t>
      </w:r>
      <w:r w:rsidR="008A2D38">
        <w:rPr>
          <w:sz w:val="28"/>
          <w:szCs w:val="28"/>
        </w:rPr>
        <w:t xml:space="preserve"> equal access to the courts, </w:t>
      </w:r>
      <w:r w:rsidR="00781516">
        <w:rPr>
          <w:sz w:val="28"/>
          <w:szCs w:val="28"/>
        </w:rPr>
        <w:t>p.</w:t>
      </w:r>
      <w:r w:rsidR="008A2D38">
        <w:rPr>
          <w:sz w:val="28"/>
          <w:szCs w:val="28"/>
        </w:rPr>
        <w:t xml:space="preserve"> 3, up</w:t>
      </w:r>
      <w:r w:rsidR="00BF78DE">
        <w:rPr>
          <w:sz w:val="28"/>
          <w:szCs w:val="28"/>
        </w:rPr>
        <w:t>h</w:t>
      </w:r>
      <w:r w:rsidR="008A2D38">
        <w:rPr>
          <w:sz w:val="28"/>
          <w:szCs w:val="28"/>
        </w:rPr>
        <w:t>old</w:t>
      </w:r>
      <w:r w:rsidR="00BF78DE">
        <w:rPr>
          <w:sz w:val="28"/>
          <w:szCs w:val="28"/>
        </w:rPr>
        <w:t>ing</w:t>
      </w:r>
      <w:r w:rsidR="008A2D38">
        <w:rPr>
          <w:sz w:val="28"/>
          <w:szCs w:val="28"/>
        </w:rPr>
        <w:t xml:space="preserve"> due process, </w:t>
      </w:r>
      <w:r w:rsidR="001B48E9">
        <w:rPr>
          <w:sz w:val="28"/>
          <w:szCs w:val="28"/>
        </w:rPr>
        <w:t>p.</w:t>
      </w:r>
      <w:r w:rsidR="008A2D38">
        <w:rPr>
          <w:sz w:val="28"/>
          <w:szCs w:val="28"/>
        </w:rPr>
        <w:t xml:space="preserve"> 7, encourag</w:t>
      </w:r>
      <w:r w:rsidR="00447011">
        <w:rPr>
          <w:sz w:val="28"/>
          <w:szCs w:val="28"/>
        </w:rPr>
        <w:t>ing</w:t>
      </w:r>
      <w:r w:rsidR="008A2D38">
        <w:rPr>
          <w:sz w:val="28"/>
          <w:szCs w:val="28"/>
        </w:rPr>
        <w:t xml:space="preserve"> negotiation and </w:t>
      </w:r>
      <w:r w:rsidR="005C606B">
        <w:rPr>
          <w:sz w:val="28"/>
          <w:szCs w:val="28"/>
        </w:rPr>
        <w:t xml:space="preserve">settlement, </w:t>
      </w:r>
      <w:r w:rsidR="001B48E9">
        <w:rPr>
          <w:sz w:val="28"/>
          <w:szCs w:val="28"/>
        </w:rPr>
        <w:t>p.</w:t>
      </w:r>
      <w:r w:rsidR="005C606B">
        <w:rPr>
          <w:sz w:val="28"/>
          <w:szCs w:val="28"/>
        </w:rPr>
        <w:t xml:space="preserve"> </w:t>
      </w:r>
      <w:r w:rsidR="005C606B">
        <w:rPr>
          <w:sz w:val="28"/>
          <w:szCs w:val="28"/>
        </w:rPr>
        <w:lastRenderedPageBreak/>
        <w:t>8, and better inform</w:t>
      </w:r>
      <w:r w:rsidR="00447011">
        <w:rPr>
          <w:sz w:val="28"/>
          <w:szCs w:val="28"/>
        </w:rPr>
        <w:t>ing</w:t>
      </w:r>
      <w:r w:rsidR="005C606B">
        <w:rPr>
          <w:sz w:val="28"/>
          <w:szCs w:val="28"/>
        </w:rPr>
        <w:t xml:space="preserve"> the courts</w:t>
      </w:r>
      <w:r w:rsidR="00447011">
        <w:rPr>
          <w:sz w:val="28"/>
          <w:szCs w:val="28"/>
        </w:rPr>
        <w:t xml:space="preserve">. </w:t>
      </w:r>
      <w:r w:rsidR="00447011" w:rsidRPr="00DC6B66">
        <w:rPr>
          <w:i/>
          <w:iCs/>
          <w:sz w:val="28"/>
          <w:szCs w:val="28"/>
        </w:rPr>
        <w:t>Id</w:t>
      </w:r>
      <w:r w:rsidR="00447011">
        <w:rPr>
          <w:sz w:val="28"/>
          <w:szCs w:val="28"/>
        </w:rPr>
        <w:t xml:space="preserve">. </w:t>
      </w:r>
      <w:r w:rsidR="00C465E1">
        <w:rPr>
          <w:sz w:val="28"/>
          <w:szCs w:val="28"/>
        </w:rPr>
        <w:t xml:space="preserve">Read </w:t>
      </w:r>
      <w:r w:rsidR="001B48E9">
        <w:rPr>
          <w:sz w:val="28"/>
          <w:szCs w:val="28"/>
        </w:rPr>
        <w:t>as a totality</w:t>
      </w:r>
      <w:r w:rsidR="00C465E1">
        <w:rPr>
          <w:sz w:val="28"/>
          <w:szCs w:val="28"/>
        </w:rPr>
        <w:t>, the purpose of the Petition is to</w:t>
      </w:r>
      <w:r w:rsidR="005C606B">
        <w:rPr>
          <w:sz w:val="28"/>
          <w:szCs w:val="28"/>
        </w:rPr>
        <w:t xml:space="preserve"> </w:t>
      </w:r>
      <w:r w:rsidR="00F46EE1">
        <w:rPr>
          <w:sz w:val="28"/>
          <w:szCs w:val="28"/>
        </w:rPr>
        <w:t>ensure</w:t>
      </w:r>
      <w:r w:rsidR="00582AE1">
        <w:rPr>
          <w:sz w:val="28"/>
          <w:szCs w:val="28"/>
        </w:rPr>
        <w:t xml:space="preserve"> continuances </w:t>
      </w:r>
      <w:r w:rsidR="00A96A04" w:rsidRPr="00A1428D">
        <w:rPr>
          <w:sz w:val="28"/>
          <w:szCs w:val="28"/>
        </w:rPr>
        <w:t xml:space="preserve">that are well-founded </w:t>
      </w:r>
      <w:r w:rsidR="00A96A04" w:rsidRPr="008817C7">
        <w:rPr>
          <w:sz w:val="28"/>
          <w:szCs w:val="28"/>
        </w:rPr>
        <w:t>and fair</w:t>
      </w:r>
      <w:r w:rsidR="00A96A04" w:rsidRPr="008817C7">
        <w:rPr>
          <w:i/>
          <w:iCs/>
          <w:sz w:val="28"/>
          <w:szCs w:val="28"/>
        </w:rPr>
        <w:t>.</w:t>
      </w:r>
      <w:r w:rsidR="00A96A04" w:rsidRPr="008817C7">
        <w:rPr>
          <w:sz w:val="28"/>
          <w:szCs w:val="28"/>
        </w:rPr>
        <w:t xml:space="preserve"> </w:t>
      </w:r>
    </w:p>
    <w:p w14:paraId="38077AE2" w14:textId="0B73266D" w:rsidR="00125B4B" w:rsidRPr="008817C7" w:rsidRDefault="00A7622E" w:rsidP="00CF2F0B">
      <w:pPr>
        <w:pStyle w:val="Body"/>
        <w:widowControl w:val="0"/>
        <w:spacing w:line="480" w:lineRule="auto"/>
        <w:ind w:firstLine="720"/>
        <w:jc w:val="both"/>
        <w:rPr>
          <w:sz w:val="28"/>
          <w:szCs w:val="28"/>
        </w:rPr>
      </w:pPr>
      <w:r w:rsidRPr="008817C7">
        <w:rPr>
          <w:sz w:val="28"/>
          <w:szCs w:val="28"/>
        </w:rPr>
        <w:t xml:space="preserve">The JP Bench’s Comment </w:t>
      </w:r>
      <w:r w:rsidR="003E15DF" w:rsidRPr="008817C7">
        <w:rPr>
          <w:sz w:val="28"/>
          <w:szCs w:val="28"/>
        </w:rPr>
        <w:t xml:space="preserve">at </w:t>
      </w:r>
      <w:r w:rsidR="009D7442">
        <w:rPr>
          <w:sz w:val="28"/>
          <w:szCs w:val="28"/>
        </w:rPr>
        <w:t>5-</w:t>
      </w:r>
      <w:r w:rsidR="003E15DF" w:rsidRPr="008817C7">
        <w:rPr>
          <w:sz w:val="28"/>
          <w:szCs w:val="28"/>
        </w:rPr>
        <w:t xml:space="preserve">11 </w:t>
      </w:r>
      <w:r w:rsidR="008E5BF1" w:rsidRPr="008817C7">
        <w:rPr>
          <w:sz w:val="28"/>
          <w:szCs w:val="28"/>
        </w:rPr>
        <w:t xml:space="preserve">correctly </w:t>
      </w:r>
      <w:r w:rsidRPr="008817C7">
        <w:rPr>
          <w:sz w:val="28"/>
          <w:szCs w:val="28"/>
        </w:rPr>
        <w:t>describes</w:t>
      </w:r>
      <w:r w:rsidR="003E15DF" w:rsidRPr="008817C7">
        <w:rPr>
          <w:sz w:val="28"/>
          <w:szCs w:val="28"/>
        </w:rPr>
        <w:t xml:space="preserve"> a cognate statute, </w:t>
      </w:r>
      <w:r w:rsidRPr="008817C7">
        <w:rPr>
          <w:sz w:val="28"/>
          <w:szCs w:val="28"/>
        </w:rPr>
        <w:t xml:space="preserve"> A.R.S. §</w:t>
      </w:r>
      <w:r w:rsidR="00250FBB" w:rsidRPr="008817C7">
        <w:rPr>
          <w:sz w:val="28"/>
          <w:szCs w:val="28"/>
        </w:rPr>
        <w:t>33-1377(C)</w:t>
      </w:r>
      <w:r w:rsidR="00E41E0A" w:rsidRPr="008817C7">
        <w:rPr>
          <w:sz w:val="28"/>
          <w:szCs w:val="28"/>
        </w:rPr>
        <w:t xml:space="preserve"> (“For good cause shown supported by an affidavit, the trial may be postponed for not more than three day</w:t>
      </w:r>
      <w:r w:rsidR="00F02AB9" w:rsidRPr="008817C7">
        <w:rPr>
          <w:sz w:val="28"/>
          <w:szCs w:val="28"/>
        </w:rPr>
        <w:t>s</w:t>
      </w:r>
      <w:r w:rsidR="00E41E0A" w:rsidRPr="008817C7">
        <w:rPr>
          <w:sz w:val="28"/>
          <w:szCs w:val="28"/>
        </w:rPr>
        <w:t xml:space="preserve"> in a justice court or five days in the superior court.”),</w:t>
      </w:r>
      <w:r w:rsidR="00250FBB" w:rsidRPr="008817C7">
        <w:rPr>
          <w:sz w:val="28"/>
          <w:szCs w:val="28"/>
        </w:rPr>
        <w:t xml:space="preserve"> </w:t>
      </w:r>
      <w:r w:rsidR="00FE1536" w:rsidRPr="008817C7">
        <w:rPr>
          <w:sz w:val="28"/>
          <w:szCs w:val="28"/>
        </w:rPr>
        <w:t>as “</w:t>
      </w:r>
      <w:r w:rsidR="00C1270D" w:rsidRPr="008817C7">
        <w:rPr>
          <w:sz w:val="28"/>
          <w:szCs w:val="28"/>
        </w:rPr>
        <w:t>[l]</w:t>
      </w:r>
      <w:proofErr w:type="spellStart"/>
      <w:r w:rsidR="00250FBB" w:rsidRPr="008817C7">
        <w:rPr>
          <w:sz w:val="28"/>
          <w:szCs w:val="28"/>
        </w:rPr>
        <w:t>imit</w:t>
      </w:r>
      <w:proofErr w:type="spellEnd"/>
      <w:r w:rsidR="00FE1536" w:rsidRPr="008817C7">
        <w:rPr>
          <w:sz w:val="28"/>
          <w:szCs w:val="28"/>
        </w:rPr>
        <w:t>[</w:t>
      </w:r>
      <w:proofErr w:type="spellStart"/>
      <w:r w:rsidR="00FE1536" w:rsidRPr="008817C7">
        <w:rPr>
          <w:sz w:val="28"/>
          <w:szCs w:val="28"/>
        </w:rPr>
        <w:t>ing</w:t>
      </w:r>
      <w:proofErr w:type="spellEnd"/>
      <w:r w:rsidR="00FE1536" w:rsidRPr="008817C7">
        <w:rPr>
          <w:sz w:val="28"/>
          <w:szCs w:val="28"/>
        </w:rPr>
        <w:t>]</w:t>
      </w:r>
      <w:r w:rsidR="00250FBB" w:rsidRPr="008817C7">
        <w:rPr>
          <w:sz w:val="28"/>
          <w:szCs w:val="28"/>
        </w:rPr>
        <w:t xml:space="preserve"> delays to 3 days in Justice Court and to 5 days in Superior Court</w:t>
      </w:r>
      <w:r w:rsidR="003E15DF" w:rsidRPr="008817C7">
        <w:rPr>
          <w:sz w:val="28"/>
          <w:szCs w:val="28"/>
        </w:rPr>
        <w:t>.</w:t>
      </w:r>
      <w:r w:rsidR="00C94AAC" w:rsidRPr="008817C7">
        <w:rPr>
          <w:sz w:val="28"/>
          <w:szCs w:val="28"/>
        </w:rPr>
        <w:t xml:space="preserve">” </w:t>
      </w:r>
      <w:r w:rsidR="00E41E0A" w:rsidRPr="008817C7">
        <w:rPr>
          <w:sz w:val="28"/>
          <w:szCs w:val="28"/>
        </w:rPr>
        <w:t>JP Bench’s Comment at 5</w:t>
      </w:r>
      <w:r w:rsidR="009D7442">
        <w:rPr>
          <w:sz w:val="28"/>
          <w:szCs w:val="28"/>
        </w:rPr>
        <w:t>-</w:t>
      </w:r>
      <w:r w:rsidR="00E41E0A" w:rsidRPr="008817C7">
        <w:rPr>
          <w:sz w:val="28"/>
          <w:szCs w:val="28"/>
        </w:rPr>
        <w:t xml:space="preserve">11. </w:t>
      </w:r>
    </w:p>
    <w:p w14:paraId="6C9B19B7" w14:textId="2D310CB9" w:rsidR="00FE1E23" w:rsidRPr="008817C7" w:rsidRDefault="00AF6BBB" w:rsidP="00CF2F0B">
      <w:pPr>
        <w:pStyle w:val="Body"/>
        <w:widowControl w:val="0"/>
        <w:spacing w:line="480" w:lineRule="auto"/>
        <w:ind w:firstLine="720"/>
        <w:jc w:val="both"/>
        <w:rPr>
          <w:sz w:val="28"/>
          <w:szCs w:val="28"/>
        </w:rPr>
      </w:pPr>
      <w:r w:rsidRPr="008817C7">
        <w:rPr>
          <w:sz w:val="28"/>
          <w:szCs w:val="28"/>
        </w:rPr>
        <w:t xml:space="preserve"> </w:t>
      </w:r>
      <w:r w:rsidR="00C67A63" w:rsidRPr="008817C7">
        <w:rPr>
          <w:sz w:val="28"/>
          <w:szCs w:val="28"/>
        </w:rPr>
        <w:t xml:space="preserve">However, the </w:t>
      </w:r>
      <w:r w:rsidR="00B775F6" w:rsidRPr="008817C7">
        <w:rPr>
          <w:sz w:val="28"/>
          <w:szCs w:val="28"/>
        </w:rPr>
        <w:t xml:space="preserve">JP </w:t>
      </w:r>
      <w:r w:rsidR="00C67A63" w:rsidRPr="008817C7">
        <w:rPr>
          <w:sz w:val="28"/>
          <w:szCs w:val="28"/>
        </w:rPr>
        <w:t xml:space="preserve">Comment </w:t>
      </w:r>
      <w:r w:rsidR="00E22851">
        <w:rPr>
          <w:sz w:val="28"/>
          <w:szCs w:val="28"/>
        </w:rPr>
        <w:t>overlooks</w:t>
      </w:r>
      <w:r w:rsidR="00C67A63" w:rsidRPr="008817C7">
        <w:rPr>
          <w:sz w:val="28"/>
          <w:szCs w:val="28"/>
        </w:rPr>
        <w:t xml:space="preserve"> that</w:t>
      </w:r>
      <w:r w:rsidR="002F2AB7" w:rsidRPr="008817C7">
        <w:rPr>
          <w:sz w:val="28"/>
          <w:szCs w:val="28"/>
        </w:rPr>
        <w:t xml:space="preserve"> </w:t>
      </w:r>
      <w:r w:rsidR="00B775F6" w:rsidRPr="008817C7">
        <w:rPr>
          <w:sz w:val="28"/>
          <w:szCs w:val="28"/>
        </w:rPr>
        <w:t xml:space="preserve">the </w:t>
      </w:r>
      <w:r w:rsidR="00EA012C" w:rsidRPr="008817C7">
        <w:rPr>
          <w:sz w:val="28"/>
          <w:szCs w:val="28"/>
        </w:rPr>
        <w:t>rule</w:t>
      </w:r>
      <w:r w:rsidR="00031D7C">
        <w:rPr>
          <w:sz w:val="28"/>
          <w:szCs w:val="28"/>
        </w:rPr>
        <w:t>,</w:t>
      </w:r>
      <w:r w:rsidR="003C572C" w:rsidRPr="008817C7">
        <w:rPr>
          <w:sz w:val="28"/>
          <w:szCs w:val="28"/>
        </w:rPr>
        <w:t xml:space="preserve"> </w:t>
      </w:r>
      <w:r w:rsidR="00B775F6" w:rsidRPr="008817C7">
        <w:rPr>
          <w:sz w:val="28"/>
          <w:szCs w:val="28"/>
        </w:rPr>
        <w:t>even now</w:t>
      </w:r>
      <w:r w:rsidR="00031D7C">
        <w:rPr>
          <w:sz w:val="28"/>
          <w:szCs w:val="28"/>
        </w:rPr>
        <w:t>,</w:t>
      </w:r>
      <w:r w:rsidR="00B775F6" w:rsidRPr="008817C7">
        <w:rPr>
          <w:sz w:val="28"/>
          <w:szCs w:val="28"/>
        </w:rPr>
        <w:t xml:space="preserve"> </w:t>
      </w:r>
      <w:r w:rsidR="003C572C" w:rsidRPr="008817C7">
        <w:rPr>
          <w:sz w:val="28"/>
          <w:szCs w:val="28"/>
        </w:rPr>
        <w:t xml:space="preserve">conflicts with the statute by permitting </w:t>
      </w:r>
      <w:r w:rsidR="00021B1C" w:rsidRPr="008817C7">
        <w:rPr>
          <w:sz w:val="28"/>
          <w:szCs w:val="28"/>
        </w:rPr>
        <w:t xml:space="preserve">trial postponements of </w:t>
      </w:r>
      <w:r w:rsidR="00EA012C" w:rsidRPr="008817C7">
        <w:rPr>
          <w:sz w:val="28"/>
          <w:szCs w:val="28"/>
        </w:rPr>
        <w:t>ten</w:t>
      </w:r>
      <w:r w:rsidR="00021B1C" w:rsidRPr="008817C7">
        <w:rPr>
          <w:sz w:val="28"/>
          <w:szCs w:val="28"/>
        </w:rPr>
        <w:t xml:space="preserve"> days in Superior Court</w:t>
      </w:r>
      <w:r w:rsidR="00F21C4E" w:rsidRPr="008817C7">
        <w:rPr>
          <w:sz w:val="28"/>
          <w:szCs w:val="28"/>
        </w:rPr>
        <w:t xml:space="preserve"> </w:t>
      </w:r>
      <w:r w:rsidR="00EA012C" w:rsidRPr="008817C7">
        <w:rPr>
          <w:sz w:val="28"/>
          <w:szCs w:val="28"/>
        </w:rPr>
        <w:t>instead of five.</w:t>
      </w:r>
      <w:r w:rsidR="001076EC" w:rsidRPr="008817C7">
        <w:rPr>
          <w:sz w:val="28"/>
          <w:szCs w:val="28"/>
        </w:rPr>
        <w:t xml:space="preserve"> </w:t>
      </w:r>
      <w:r w:rsidR="004F23BA" w:rsidRPr="008817C7">
        <w:rPr>
          <w:sz w:val="28"/>
          <w:szCs w:val="28"/>
        </w:rPr>
        <w:t xml:space="preserve">Rule 11(d), RPEA </w:t>
      </w:r>
      <w:r w:rsidR="001076EC" w:rsidRPr="008817C7">
        <w:rPr>
          <w:sz w:val="28"/>
          <w:szCs w:val="28"/>
        </w:rPr>
        <w:t xml:space="preserve">(“The court may order the </w:t>
      </w:r>
      <w:r w:rsidR="004F23BA" w:rsidRPr="008817C7">
        <w:rPr>
          <w:sz w:val="28"/>
          <w:szCs w:val="28"/>
        </w:rPr>
        <w:t>continuance</w:t>
      </w:r>
      <w:r w:rsidR="001076EC" w:rsidRPr="008817C7">
        <w:rPr>
          <w:sz w:val="28"/>
          <w:szCs w:val="28"/>
        </w:rPr>
        <w:t xml:space="preserve"> of a trial date by up to three court days in justice court or ten days in superior court on the request of a party for good cause show</w:t>
      </w:r>
      <w:r w:rsidR="0014088C" w:rsidRPr="008817C7">
        <w:rPr>
          <w:sz w:val="28"/>
          <w:szCs w:val="28"/>
        </w:rPr>
        <w:t xml:space="preserve">n </w:t>
      </w:r>
      <w:proofErr w:type="gramStart"/>
      <w:r w:rsidR="0014088C" w:rsidRPr="008817C7">
        <w:rPr>
          <w:sz w:val="28"/>
          <w:szCs w:val="28"/>
        </w:rPr>
        <w:t>. . . .</w:t>
      </w:r>
      <w:proofErr w:type="gramEnd"/>
      <w:r w:rsidR="001076EC" w:rsidRPr="008817C7">
        <w:rPr>
          <w:sz w:val="28"/>
          <w:szCs w:val="28"/>
        </w:rPr>
        <w:t xml:space="preserve"> </w:t>
      </w:r>
      <w:r w:rsidR="0014088C" w:rsidRPr="008817C7">
        <w:rPr>
          <w:sz w:val="28"/>
          <w:szCs w:val="28"/>
        </w:rPr>
        <w:t>).</w:t>
      </w:r>
      <w:r w:rsidR="00F21C4E" w:rsidRPr="008817C7">
        <w:rPr>
          <w:sz w:val="28"/>
          <w:szCs w:val="28"/>
        </w:rPr>
        <w:t xml:space="preserve"> </w:t>
      </w:r>
      <w:r w:rsidR="00B94547" w:rsidRPr="008817C7">
        <w:rPr>
          <w:sz w:val="28"/>
          <w:szCs w:val="28"/>
        </w:rPr>
        <w:t xml:space="preserve"> Also, </w:t>
      </w:r>
      <w:r w:rsidR="00B94547" w:rsidRPr="008817C7">
        <w:rPr>
          <w:i/>
          <w:iCs/>
          <w:sz w:val="28"/>
          <w:szCs w:val="28"/>
        </w:rPr>
        <w:t>the</w:t>
      </w:r>
      <w:r w:rsidR="004E6BC4" w:rsidRPr="008817C7">
        <w:rPr>
          <w:i/>
          <w:iCs/>
          <w:sz w:val="28"/>
          <w:szCs w:val="28"/>
        </w:rPr>
        <w:t xml:space="preserve"> rule</w:t>
      </w:r>
      <w:r w:rsidR="004E6BC4" w:rsidRPr="008817C7">
        <w:rPr>
          <w:sz w:val="28"/>
          <w:szCs w:val="28"/>
        </w:rPr>
        <w:t xml:space="preserve"> </w:t>
      </w:r>
      <w:r w:rsidR="00A80682" w:rsidRPr="008817C7">
        <w:rPr>
          <w:sz w:val="28"/>
          <w:szCs w:val="28"/>
        </w:rPr>
        <w:t xml:space="preserve">omits any </w:t>
      </w:r>
      <w:r w:rsidR="004E6BC4" w:rsidRPr="008817C7">
        <w:rPr>
          <w:sz w:val="28"/>
          <w:szCs w:val="28"/>
        </w:rPr>
        <w:t>require</w:t>
      </w:r>
      <w:r w:rsidR="00A80682" w:rsidRPr="008817C7">
        <w:rPr>
          <w:sz w:val="28"/>
          <w:szCs w:val="28"/>
        </w:rPr>
        <w:t>ment</w:t>
      </w:r>
      <w:r w:rsidR="004E6BC4" w:rsidRPr="008817C7">
        <w:rPr>
          <w:sz w:val="28"/>
          <w:szCs w:val="28"/>
        </w:rPr>
        <w:t xml:space="preserve"> </w:t>
      </w:r>
      <w:r w:rsidR="00A80682" w:rsidRPr="008817C7">
        <w:rPr>
          <w:sz w:val="28"/>
          <w:szCs w:val="28"/>
        </w:rPr>
        <w:t xml:space="preserve">that </w:t>
      </w:r>
      <w:r w:rsidR="004E6BC4" w:rsidRPr="008817C7">
        <w:rPr>
          <w:sz w:val="28"/>
          <w:szCs w:val="28"/>
        </w:rPr>
        <w:t>a continuance be supported by an affidavit</w:t>
      </w:r>
      <w:r w:rsidR="00B11049" w:rsidRPr="008817C7">
        <w:rPr>
          <w:sz w:val="28"/>
          <w:szCs w:val="28"/>
        </w:rPr>
        <w:t xml:space="preserve">—a requirement of </w:t>
      </w:r>
      <w:r w:rsidR="00B11049" w:rsidRPr="008817C7">
        <w:rPr>
          <w:i/>
          <w:iCs/>
          <w:sz w:val="28"/>
          <w:szCs w:val="28"/>
        </w:rPr>
        <w:t>the statute</w:t>
      </w:r>
      <w:r w:rsidR="004E6BC4" w:rsidRPr="008817C7">
        <w:rPr>
          <w:sz w:val="28"/>
          <w:szCs w:val="28"/>
        </w:rPr>
        <w:t xml:space="preserve">. </w:t>
      </w:r>
      <w:r w:rsidR="00FD3D9A" w:rsidRPr="008817C7">
        <w:rPr>
          <w:sz w:val="28"/>
          <w:szCs w:val="28"/>
        </w:rPr>
        <w:t xml:space="preserve">The disparity </w:t>
      </w:r>
      <w:r w:rsidR="0062124A" w:rsidRPr="008817C7">
        <w:rPr>
          <w:sz w:val="28"/>
          <w:szCs w:val="28"/>
        </w:rPr>
        <w:t>seems not to have been</w:t>
      </w:r>
      <w:r w:rsidR="00FD3D9A" w:rsidRPr="008817C7">
        <w:rPr>
          <w:sz w:val="28"/>
          <w:szCs w:val="28"/>
        </w:rPr>
        <w:t xml:space="preserve"> addressed by any </w:t>
      </w:r>
      <w:r w:rsidR="00DE7587" w:rsidRPr="008817C7">
        <w:rPr>
          <w:sz w:val="28"/>
          <w:szCs w:val="28"/>
        </w:rPr>
        <w:t>Rule 28</w:t>
      </w:r>
      <w:r w:rsidR="00297754" w:rsidRPr="008817C7">
        <w:rPr>
          <w:sz w:val="28"/>
          <w:szCs w:val="28"/>
        </w:rPr>
        <w:t xml:space="preserve"> </w:t>
      </w:r>
      <w:r w:rsidR="00FD3D9A" w:rsidRPr="008817C7">
        <w:rPr>
          <w:sz w:val="28"/>
          <w:szCs w:val="28"/>
        </w:rPr>
        <w:t>p</w:t>
      </w:r>
      <w:r w:rsidR="0062124A" w:rsidRPr="008817C7">
        <w:rPr>
          <w:sz w:val="28"/>
          <w:szCs w:val="28"/>
        </w:rPr>
        <w:t>etitioner since the RPEA were promulgated in 2009.</w:t>
      </w:r>
    </w:p>
    <w:p w14:paraId="76F0CF12" w14:textId="6BB09FF8" w:rsidR="008C1674" w:rsidRPr="009E40DF" w:rsidRDefault="009C5FA7" w:rsidP="0085226A">
      <w:pPr>
        <w:pStyle w:val="Body"/>
        <w:widowControl w:val="0"/>
        <w:spacing w:line="480" w:lineRule="auto"/>
        <w:ind w:firstLine="720"/>
        <w:jc w:val="both"/>
        <w:rPr>
          <w:sz w:val="28"/>
          <w:szCs w:val="28"/>
        </w:rPr>
      </w:pPr>
      <w:r w:rsidRPr="008817C7">
        <w:rPr>
          <w:sz w:val="28"/>
          <w:szCs w:val="28"/>
        </w:rPr>
        <w:t>Presumably,</w:t>
      </w:r>
      <w:r w:rsidR="00E2658A" w:rsidRPr="008817C7">
        <w:rPr>
          <w:sz w:val="28"/>
          <w:szCs w:val="28"/>
        </w:rPr>
        <w:t xml:space="preserve"> </w:t>
      </w:r>
      <w:r w:rsidR="009F5C4D" w:rsidRPr="008817C7">
        <w:rPr>
          <w:sz w:val="28"/>
          <w:szCs w:val="28"/>
        </w:rPr>
        <w:t>the drafters of the RPEA</w:t>
      </w:r>
      <w:r w:rsidR="004F3650" w:rsidRPr="008817C7">
        <w:rPr>
          <w:sz w:val="28"/>
          <w:szCs w:val="28"/>
        </w:rPr>
        <w:t xml:space="preserve"> deemed postponement limits </w:t>
      </w:r>
      <w:r w:rsidR="00F476DB" w:rsidRPr="008817C7">
        <w:rPr>
          <w:sz w:val="28"/>
          <w:szCs w:val="28"/>
        </w:rPr>
        <w:t xml:space="preserve">and the affidavit requirement </w:t>
      </w:r>
      <w:r w:rsidR="004F3650" w:rsidRPr="008817C7">
        <w:rPr>
          <w:sz w:val="28"/>
          <w:szCs w:val="28"/>
        </w:rPr>
        <w:t>as procedural</w:t>
      </w:r>
      <w:r w:rsidR="003E49AE" w:rsidRPr="008817C7">
        <w:rPr>
          <w:sz w:val="28"/>
          <w:szCs w:val="28"/>
        </w:rPr>
        <w:t xml:space="preserve"> matters</w:t>
      </w:r>
      <w:r w:rsidR="004F3650" w:rsidRPr="008817C7">
        <w:rPr>
          <w:sz w:val="28"/>
          <w:szCs w:val="28"/>
        </w:rPr>
        <w:t xml:space="preserve"> rather than substantive, meaning that the </w:t>
      </w:r>
      <w:r w:rsidR="00017F93" w:rsidRPr="008817C7">
        <w:rPr>
          <w:sz w:val="28"/>
          <w:szCs w:val="28"/>
        </w:rPr>
        <w:t xml:space="preserve">rule could diverge from the </w:t>
      </w:r>
      <w:r w:rsidR="00F660D6" w:rsidRPr="008817C7">
        <w:rPr>
          <w:sz w:val="28"/>
          <w:szCs w:val="28"/>
        </w:rPr>
        <w:t>statute</w:t>
      </w:r>
      <w:r w:rsidR="005226A5" w:rsidRPr="008817C7">
        <w:rPr>
          <w:sz w:val="28"/>
          <w:szCs w:val="28"/>
        </w:rPr>
        <w:t xml:space="preserve"> on those matters</w:t>
      </w:r>
      <w:r w:rsidR="00F660D6" w:rsidRPr="008817C7">
        <w:rPr>
          <w:sz w:val="28"/>
          <w:szCs w:val="28"/>
        </w:rPr>
        <w:t>.</w:t>
      </w:r>
      <w:r w:rsidR="008C1674" w:rsidRPr="008817C7">
        <w:rPr>
          <w:sz w:val="28"/>
          <w:szCs w:val="28"/>
        </w:rPr>
        <w:t xml:space="preserve"> </w:t>
      </w:r>
      <w:proofErr w:type="spellStart"/>
      <w:r w:rsidR="00366186" w:rsidRPr="008817C7">
        <w:rPr>
          <w:i/>
          <w:iCs/>
          <w:sz w:val="28"/>
          <w:szCs w:val="28"/>
        </w:rPr>
        <w:t>Seisinger</w:t>
      </w:r>
      <w:proofErr w:type="spellEnd"/>
      <w:r w:rsidR="00D374CD" w:rsidRPr="008817C7">
        <w:rPr>
          <w:i/>
          <w:iCs/>
          <w:sz w:val="28"/>
          <w:szCs w:val="28"/>
        </w:rPr>
        <w:t xml:space="preserve"> v. S</w:t>
      </w:r>
      <w:r w:rsidR="00366186" w:rsidRPr="008817C7">
        <w:rPr>
          <w:i/>
          <w:iCs/>
          <w:sz w:val="28"/>
          <w:szCs w:val="28"/>
        </w:rPr>
        <w:t>iebel</w:t>
      </w:r>
      <w:r w:rsidR="00366186" w:rsidRPr="008817C7">
        <w:rPr>
          <w:sz w:val="28"/>
          <w:szCs w:val="28"/>
        </w:rPr>
        <w:t xml:space="preserve">, 220 Ariz. </w:t>
      </w:r>
      <w:r w:rsidR="00576E8E" w:rsidRPr="008817C7">
        <w:rPr>
          <w:sz w:val="28"/>
          <w:szCs w:val="28"/>
        </w:rPr>
        <w:t>85, 33 (2009).</w:t>
      </w:r>
      <w:r w:rsidR="00366186" w:rsidRPr="008817C7">
        <w:rPr>
          <w:sz w:val="28"/>
          <w:szCs w:val="28"/>
        </w:rPr>
        <w:t xml:space="preserve"> </w:t>
      </w:r>
      <w:r w:rsidR="008C1674" w:rsidRPr="008817C7">
        <w:rPr>
          <w:sz w:val="28"/>
          <w:szCs w:val="28"/>
        </w:rPr>
        <w:t xml:space="preserve">In that event, </w:t>
      </w:r>
      <w:r w:rsidR="00576E8E" w:rsidRPr="008817C7">
        <w:rPr>
          <w:sz w:val="28"/>
          <w:szCs w:val="28"/>
        </w:rPr>
        <w:t xml:space="preserve">no </w:t>
      </w:r>
      <w:r w:rsidR="00B715BE" w:rsidRPr="008817C7">
        <w:rPr>
          <w:sz w:val="28"/>
          <w:szCs w:val="28"/>
        </w:rPr>
        <w:t>objection should be made</w:t>
      </w:r>
      <w:r w:rsidR="00EC78F3" w:rsidRPr="008817C7">
        <w:rPr>
          <w:sz w:val="28"/>
          <w:szCs w:val="28"/>
        </w:rPr>
        <w:t xml:space="preserve"> </w:t>
      </w:r>
      <w:r w:rsidR="00CF0238" w:rsidRPr="008817C7">
        <w:rPr>
          <w:sz w:val="28"/>
          <w:szCs w:val="28"/>
        </w:rPr>
        <w:t>if</w:t>
      </w:r>
      <w:r w:rsidR="008C1674" w:rsidRPr="008817C7">
        <w:rPr>
          <w:sz w:val="28"/>
          <w:szCs w:val="28"/>
        </w:rPr>
        <w:t xml:space="preserve"> Rule 11</w:t>
      </w:r>
      <w:r w:rsidR="00284438" w:rsidRPr="008817C7">
        <w:rPr>
          <w:sz w:val="28"/>
          <w:szCs w:val="28"/>
        </w:rPr>
        <w:t xml:space="preserve">(d) is </w:t>
      </w:r>
      <w:r w:rsidR="00184AC0" w:rsidRPr="008817C7">
        <w:rPr>
          <w:sz w:val="28"/>
          <w:szCs w:val="28"/>
        </w:rPr>
        <w:t xml:space="preserve">amended to clarify </w:t>
      </w:r>
      <w:r w:rsidR="00EC78F3" w:rsidRPr="008817C7">
        <w:rPr>
          <w:sz w:val="28"/>
          <w:szCs w:val="28"/>
        </w:rPr>
        <w:t xml:space="preserve">(differently from the </w:t>
      </w:r>
      <w:r w:rsidR="00DE7587" w:rsidRPr="008817C7">
        <w:rPr>
          <w:sz w:val="28"/>
          <w:szCs w:val="28"/>
        </w:rPr>
        <w:t xml:space="preserve">less definite terms of the </w:t>
      </w:r>
      <w:r w:rsidR="00EC78F3" w:rsidRPr="008817C7">
        <w:rPr>
          <w:sz w:val="28"/>
          <w:szCs w:val="28"/>
        </w:rPr>
        <w:t xml:space="preserve">statute) </w:t>
      </w:r>
      <w:r w:rsidR="004F7E34" w:rsidRPr="008817C7">
        <w:rPr>
          <w:sz w:val="28"/>
          <w:szCs w:val="28"/>
        </w:rPr>
        <w:t xml:space="preserve">that, upon a finding </w:t>
      </w:r>
      <w:r w:rsidR="004F7E34" w:rsidRPr="008817C7">
        <w:rPr>
          <w:sz w:val="28"/>
          <w:szCs w:val="28"/>
        </w:rPr>
        <w:lastRenderedPageBreak/>
        <w:t>of good cause, a court “shall”</w:t>
      </w:r>
      <w:r w:rsidR="00EE7480" w:rsidRPr="008817C7">
        <w:rPr>
          <w:sz w:val="28"/>
          <w:szCs w:val="28"/>
        </w:rPr>
        <w:t xml:space="preserve"> grant a continuance</w:t>
      </w:r>
      <w:r w:rsidR="00EC78F3" w:rsidRPr="008817C7">
        <w:rPr>
          <w:sz w:val="28"/>
          <w:szCs w:val="28"/>
        </w:rPr>
        <w:t xml:space="preserve">. This is </w:t>
      </w:r>
      <w:r w:rsidR="00297754" w:rsidRPr="008817C7">
        <w:rPr>
          <w:sz w:val="28"/>
          <w:szCs w:val="28"/>
        </w:rPr>
        <w:t xml:space="preserve">merely a </w:t>
      </w:r>
      <w:r w:rsidR="00EC78F3" w:rsidRPr="008817C7">
        <w:rPr>
          <w:sz w:val="28"/>
          <w:szCs w:val="28"/>
        </w:rPr>
        <w:t>logical</w:t>
      </w:r>
      <w:r w:rsidR="00297754" w:rsidRPr="008817C7">
        <w:rPr>
          <w:sz w:val="28"/>
          <w:szCs w:val="28"/>
        </w:rPr>
        <w:t xml:space="preserve"> clarification</w:t>
      </w:r>
      <w:r w:rsidR="000C31CE" w:rsidRPr="008817C7">
        <w:rPr>
          <w:sz w:val="28"/>
          <w:szCs w:val="28"/>
        </w:rPr>
        <w:t>, since</w:t>
      </w:r>
      <w:r w:rsidR="00EE7480" w:rsidRPr="008817C7">
        <w:rPr>
          <w:sz w:val="28"/>
          <w:szCs w:val="28"/>
        </w:rPr>
        <w:t xml:space="preserve"> </w:t>
      </w:r>
      <w:r w:rsidR="00DA1100" w:rsidRPr="008817C7">
        <w:rPr>
          <w:sz w:val="28"/>
          <w:szCs w:val="28"/>
        </w:rPr>
        <w:t>i</w:t>
      </w:r>
      <w:r w:rsidR="00CF0238" w:rsidRPr="008817C7">
        <w:rPr>
          <w:sz w:val="28"/>
          <w:szCs w:val="28"/>
        </w:rPr>
        <w:t xml:space="preserve">nherent in the </w:t>
      </w:r>
      <w:r w:rsidR="001F5E40" w:rsidRPr="008817C7">
        <w:rPr>
          <w:sz w:val="28"/>
          <w:szCs w:val="28"/>
        </w:rPr>
        <w:t>term</w:t>
      </w:r>
      <w:r w:rsidR="00CF0238" w:rsidRPr="008817C7">
        <w:rPr>
          <w:sz w:val="28"/>
          <w:szCs w:val="28"/>
        </w:rPr>
        <w:t xml:space="preserve"> “good cause” is</w:t>
      </w:r>
      <w:r w:rsidR="001F5E40" w:rsidRPr="008817C7">
        <w:rPr>
          <w:sz w:val="28"/>
          <w:szCs w:val="28"/>
        </w:rPr>
        <w:t xml:space="preserve"> the notion of </w:t>
      </w:r>
      <w:r w:rsidR="007431D2" w:rsidRPr="008817C7">
        <w:rPr>
          <w:sz w:val="28"/>
          <w:szCs w:val="28"/>
        </w:rPr>
        <w:t xml:space="preserve">a legally sufficient </w:t>
      </w:r>
      <w:r w:rsidR="001F5E40" w:rsidRPr="008817C7">
        <w:rPr>
          <w:sz w:val="28"/>
          <w:szCs w:val="28"/>
        </w:rPr>
        <w:t>basis</w:t>
      </w:r>
      <w:r w:rsidR="00DA1100" w:rsidRPr="008817C7">
        <w:rPr>
          <w:sz w:val="28"/>
          <w:szCs w:val="28"/>
        </w:rPr>
        <w:t>.</w:t>
      </w:r>
      <w:r w:rsidR="001F5E40" w:rsidRPr="008817C7">
        <w:rPr>
          <w:sz w:val="28"/>
          <w:szCs w:val="28"/>
        </w:rPr>
        <w:t xml:space="preserve"> </w:t>
      </w:r>
      <w:r w:rsidR="000C31CE" w:rsidRPr="008817C7">
        <w:rPr>
          <w:sz w:val="28"/>
          <w:szCs w:val="28"/>
        </w:rPr>
        <w:t xml:space="preserve">To find a legally sufficient basis for a continuance </w:t>
      </w:r>
      <w:r w:rsidR="00E81295" w:rsidRPr="008817C7">
        <w:rPr>
          <w:sz w:val="28"/>
          <w:szCs w:val="28"/>
        </w:rPr>
        <w:t xml:space="preserve">and </w:t>
      </w:r>
      <w:r w:rsidR="0085226A" w:rsidRPr="008817C7">
        <w:rPr>
          <w:sz w:val="28"/>
          <w:szCs w:val="28"/>
        </w:rPr>
        <w:t xml:space="preserve">simultaneously </w:t>
      </w:r>
      <w:r w:rsidR="00E81295" w:rsidRPr="008817C7">
        <w:rPr>
          <w:sz w:val="28"/>
          <w:szCs w:val="28"/>
        </w:rPr>
        <w:t xml:space="preserve">deny a continuance appears </w:t>
      </w:r>
      <w:r w:rsidR="003F7D23" w:rsidRPr="008817C7">
        <w:rPr>
          <w:sz w:val="28"/>
          <w:szCs w:val="28"/>
        </w:rPr>
        <w:t xml:space="preserve">both </w:t>
      </w:r>
      <w:r w:rsidR="00E81295" w:rsidRPr="008817C7">
        <w:rPr>
          <w:sz w:val="28"/>
          <w:szCs w:val="28"/>
        </w:rPr>
        <w:t>self-contradictory</w:t>
      </w:r>
      <w:r w:rsidR="002D7E8F" w:rsidRPr="008817C7">
        <w:rPr>
          <w:sz w:val="28"/>
          <w:szCs w:val="28"/>
        </w:rPr>
        <w:t xml:space="preserve"> and an abuse of discretion</w:t>
      </w:r>
      <w:r w:rsidR="0085226A" w:rsidRPr="008817C7">
        <w:rPr>
          <w:sz w:val="28"/>
          <w:szCs w:val="28"/>
        </w:rPr>
        <w:t>.</w:t>
      </w:r>
      <w:r w:rsidR="0085226A">
        <w:rPr>
          <w:sz w:val="28"/>
          <w:szCs w:val="28"/>
        </w:rPr>
        <w:t xml:space="preserve"> </w:t>
      </w:r>
    </w:p>
    <w:p w14:paraId="0F3D6E18" w14:textId="3750E5D6" w:rsidR="00015F76" w:rsidRDefault="00A75FF7" w:rsidP="00A434CD">
      <w:pPr>
        <w:pStyle w:val="Body"/>
        <w:widowControl w:val="0"/>
        <w:spacing w:line="480" w:lineRule="auto"/>
        <w:ind w:firstLine="0"/>
        <w:jc w:val="both"/>
        <w:rPr>
          <w:sz w:val="28"/>
          <w:szCs w:val="28"/>
        </w:rPr>
      </w:pPr>
      <w:r>
        <w:rPr>
          <w:sz w:val="28"/>
          <w:szCs w:val="28"/>
        </w:rPr>
        <w:tab/>
      </w:r>
      <w:r w:rsidR="008658EE">
        <w:rPr>
          <w:sz w:val="28"/>
          <w:szCs w:val="28"/>
        </w:rPr>
        <w:t>The</w:t>
      </w:r>
      <w:r w:rsidR="002F0BB4">
        <w:rPr>
          <w:sz w:val="28"/>
          <w:szCs w:val="28"/>
        </w:rPr>
        <w:t xml:space="preserve"> proposed amendments do not</w:t>
      </w:r>
      <w:r w:rsidR="008658EE">
        <w:rPr>
          <w:sz w:val="28"/>
          <w:szCs w:val="28"/>
        </w:rPr>
        <w:t xml:space="preserve"> inherently create </w:t>
      </w:r>
      <w:proofErr w:type="gramStart"/>
      <w:r w:rsidR="008658EE">
        <w:rPr>
          <w:sz w:val="28"/>
          <w:szCs w:val="28"/>
        </w:rPr>
        <w:t>a</w:t>
      </w:r>
      <w:r w:rsidR="001C3E6C">
        <w:rPr>
          <w:sz w:val="28"/>
          <w:szCs w:val="28"/>
        </w:rPr>
        <w:t xml:space="preserve"> </w:t>
      </w:r>
      <w:r w:rsidR="002F0BB4">
        <w:rPr>
          <w:sz w:val="28"/>
          <w:szCs w:val="28"/>
        </w:rPr>
        <w:t>risk</w:t>
      </w:r>
      <w:proofErr w:type="gramEnd"/>
      <w:r w:rsidR="002F0BB4">
        <w:rPr>
          <w:sz w:val="28"/>
          <w:szCs w:val="28"/>
        </w:rPr>
        <w:t xml:space="preserve"> </w:t>
      </w:r>
      <w:r w:rsidR="008658EE">
        <w:rPr>
          <w:sz w:val="28"/>
          <w:szCs w:val="28"/>
        </w:rPr>
        <w:t xml:space="preserve">of </w:t>
      </w:r>
      <w:r w:rsidR="00E92C39">
        <w:rPr>
          <w:sz w:val="28"/>
          <w:szCs w:val="28"/>
        </w:rPr>
        <w:t xml:space="preserve">authorizing </w:t>
      </w:r>
      <w:r w:rsidR="002F0BB4">
        <w:rPr>
          <w:sz w:val="28"/>
          <w:szCs w:val="28"/>
        </w:rPr>
        <w:t>multiple continuances</w:t>
      </w:r>
      <w:r w:rsidR="00E92C39">
        <w:rPr>
          <w:sz w:val="28"/>
          <w:szCs w:val="28"/>
        </w:rPr>
        <w:t xml:space="preserve"> </w:t>
      </w:r>
      <w:r w:rsidR="00C37611">
        <w:rPr>
          <w:sz w:val="28"/>
          <w:szCs w:val="28"/>
        </w:rPr>
        <w:t>and a permanent delay</w:t>
      </w:r>
      <w:r w:rsidR="008658EE">
        <w:rPr>
          <w:sz w:val="28"/>
          <w:szCs w:val="28"/>
        </w:rPr>
        <w:t>.</w:t>
      </w:r>
      <w:r w:rsidR="002F0BB4">
        <w:rPr>
          <w:sz w:val="28"/>
          <w:szCs w:val="28"/>
        </w:rPr>
        <w:t xml:space="preserve"> </w:t>
      </w:r>
      <w:r w:rsidR="008658EE">
        <w:rPr>
          <w:sz w:val="28"/>
          <w:szCs w:val="28"/>
        </w:rPr>
        <w:t>T</w:t>
      </w:r>
      <w:r w:rsidR="002F0BB4">
        <w:rPr>
          <w:sz w:val="28"/>
          <w:szCs w:val="28"/>
        </w:rPr>
        <w:t>he provision of Rule 11(d) that “[n]o continuance of mor</w:t>
      </w:r>
      <w:r w:rsidR="00E92C39">
        <w:rPr>
          <w:sz w:val="28"/>
          <w:szCs w:val="28"/>
        </w:rPr>
        <w:t>e</w:t>
      </w:r>
      <w:r w:rsidR="002F0BB4">
        <w:rPr>
          <w:sz w:val="28"/>
          <w:szCs w:val="28"/>
        </w:rPr>
        <w:t xml:space="preserve"> than three court days in justice courts or ten days in superior courts may be ordered unless both parties are in agreement” </w:t>
      </w:r>
      <w:r w:rsidR="008658EE">
        <w:rPr>
          <w:sz w:val="28"/>
          <w:szCs w:val="28"/>
        </w:rPr>
        <w:t xml:space="preserve">should mitigate this concern. </w:t>
      </w:r>
      <w:r w:rsidR="00C37611">
        <w:rPr>
          <w:sz w:val="28"/>
          <w:szCs w:val="28"/>
        </w:rPr>
        <w:t>If this provision is not sufficiently clear, it could be revised to clarify that only one continuance of 3 days is permissible.</w:t>
      </w:r>
    </w:p>
    <w:p w14:paraId="3CFF9858" w14:textId="715EBB6B" w:rsidR="00793750" w:rsidRDefault="00C37611" w:rsidP="00A434CD">
      <w:pPr>
        <w:pStyle w:val="Body"/>
        <w:widowControl w:val="0"/>
        <w:spacing w:line="480" w:lineRule="auto"/>
        <w:ind w:firstLine="0"/>
        <w:jc w:val="both"/>
        <w:rPr>
          <w:sz w:val="28"/>
          <w:szCs w:val="28"/>
        </w:rPr>
      </w:pPr>
      <w:r>
        <w:rPr>
          <w:sz w:val="28"/>
          <w:szCs w:val="28"/>
        </w:rPr>
        <w:tab/>
      </w:r>
      <w:r w:rsidR="004E5796">
        <w:rPr>
          <w:sz w:val="28"/>
          <w:szCs w:val="28"/>
        </w:rPr>
        <w:t>The</w:t>
      </w:r>
      <w:r w:rsidR="00F56849">
        <w:rPr>
          <w:sz w:val="28"/>
          <w:szCs w:val="28"/>
        </w:rPr>
        <w:t xml:space="preserve"> proposed amendments do not appear </w:t>
      </w:r>
      <w:r w:rsidR="004E5796">
        <w:rPr>
          <w:sz w:val="28"/>
          <w:szCs w:val="28"/>
        </w:rPr>
        <w:t>inconsistent with the summary nature of evictions actions.</w:t>
      </w:r>
      <w:r w:rsidR="00805A32">
        <w:rPr>
          <w:sz w:val="28"/>
          <w:szCs w:val="28"/>
        </w:rPr>
        <w:t xml:space="preserve"> Instead, they</w:t>
      </w:r>
      <w:r w:rsidR="004E5796">
        <w:rPr>
          <w:sz w:val="28"/>
          <w:szCs w:val="28"/>
        </w:rPr>
        <w:t xml:space="preserve"> </w:t>
      </w:r>
      <w:r w:rsidR="0096115C">
        <w:rPr>
          <w:sz w:val="28"/>
          <w:szCs w:val="28"/>
        </w:rPr>
        <w:t>instructive as to</w:t>
      </w:r>
      <w:r w:rsidR="004E5796">
        <w:rPr>
          <w:sz w:val="28"/>
          <w:szCs w:val="28"/>
        </w:rPr>
        <w:t xml:space="preserve"> the </w:t>
      </w:r>
      <w:r w:rsidR="0096115C">
        <w:rPr>
          <w:sz w:val="28"/>
          <w:szCs w:val="28"/>
        </w:rPr>
        <w:t>proper grounds for</w:t>
      </w:r>
      <w:r w:rsidR="004E5796">
        <w:rPr>
          <w:sz w:val="28"/>
          <w:szCs w:val="28"/>
        </w:rPr>
        <w:t xml:space="preserve"> the three-day continuance, </w:t>
      </w:r>
      <w:r w:rsidR="0096115C">
        <w:rPr>
          <w:sz w:val="28"/>
          <w:szCs w:val="28"/>
        </w:rPr>
        <w:t xml:space="preserve">a remedy which </w:t>
      </w:r>
      <w:r w:rsidR="0096115C" w:rsidRPr="009D7442">
        <w:rPr>
          <w:sz w:val="28"/>
          <w:szCs w:val="28"/>
        </w:rPr>
        <w:t>already exists in the rules</w:t>
      </w:r>
      <w:r w:rsidR="0096115C">
        <w:rPr>
          <w:sz w:val="28"/>
          <w:szCs w:val="28"/>
        </w:rPr>
        <w:t xml:space="preserve"> and is fully consistent with the summary nature of evictions</w:t>
      </w:r>
      <w:r w:rsidR="004E5796">
        <w:rPr>
          <w:sz w:val="28"/>
          <w:szCs w:val="28"/>
        </w:rPr>
        <w:t xml:space="preserve">. </w:t>
      </w:r>
      <w:r w:rsidR="00793750">
        <w:rPr>
          <w:sz w:val="28"/>
          <w:szCs w:val="28"/>
        </w:rPr>
        <w:t>It is common for rules of court and administrative codes to</w:t>
      </w:r>
      <w:r w:rsidR="0096115C">
        <w:rPr>
          <w:sz w:val="28"/>
          <w:szCs w:val="28"/>
        </w:rPr>
        <w:t xml:space="preserve"> contain multiple examples of “laundry lists” of examples intended to illustrate and guide the application of </w:t>
      </w:r>
      <w:r w:rsidR="00793750">
        <w:rPr>
          <w:sz w:val="28"/>
          <w:szCs w:val="28"/>
        </w:rPr>
        <w:t xml:space="preserve">the good cause criterion. </w:t>
      </w:r>
      <w:r w:rsidR="00912F53">
        <w:rPr>
          <w:sz w:val="28"/>
          <w:szCs w:val="28"/>
        </w:rPr>
        <w:t>Some examples of this practice include</w:t>
      </w:r>
      <w:r w:rsidR="00793750">
        <w:rPr>
          <w:sz w:val="28"/>
          <w:szCs w:val="28"/>
        </w:rPr>
        <w:t xml:space="preserve">: </w:t>
      </w:r>
    </w:p>
    <w:p w14:paraId="66ED2331" w14:textId="002456E2" w:rsidR="00793750" w:rsidRPr="00793750" w:rsidRDefault="00793750" w:rsidP="00793750">
      <w:pPr>
        <w:pStyle w:val="ListParagraph"/>
        <w:numPr>
          <w:ilvl w:val="0"/>
          <w:numId w:val="17"/>
        </w:numPr>
        <w:jc w:val="both"/>
        <w:rPr>
          <w:rFonts w:ascii="Times New Roman" w:eastAsia="Times New Roman" w:hAnsi="Times New Roman" w:cs="Times New Roman"/>
          <w:sz w:val="28"/>
          <w:szCs w:val="28"/>
        </w:rPr>
      </w:pPr>
      <w:r w:rsidRPr="00793750">
        <w:rPr>
          <w:rFonts w:ascii="Times New Roman" w:eastAsia="Times New Roman" w:hAnsi="Times New Roman" w:cs="Times New Roman"/>
          <w:sz w:val="28"/>
          <w:szCs w:val="28"/>
        </w:rPr>
        <w:t>20 C.F.R. § 404.</w:t>
      </w:r>
      <w:r w:rsidR="00AB394F">
        <w:rPr>
          <w:rFonts w:ascii="Times New Roman" w:eastAsia="Times New Roman" w:hAnsi="Times New Roman" w:cs="Times New Roman"/>
          <w:sz w:val="28"/>
          <w:szCs w:val="28"/>
        </w:rPr>
        <w:t>911</w:t>
      </w:r>
      <w:r w:rsidR="00AB394F" w:rsidRPr="00793750">
        <w:rPr>
          <w:rFonts w:ascii="Times New Roman" w:eastAsia="Times New Roman" w:hAnsi="Times New Roman" w:cs="Times New Roman"/>
          <w:sz w:val="28"/>
          <w:szCs w:val="28"/>
        </w:rPr>
        <w:t xml:space="preserve"> </w:t>
      </w:r>
      <w:r w:rsidRPr="00793750">
        <w:rPr>
          <w:rFonts w:ascii="Times New Roman" w:eastAsia="Times New Roman" w:hAnsi="Times New Roman" w:cs="Times New Roman"/>
          <w:sz w:val="28"/>
          <w:szCs w:val="28"/>
        </w:rPr>
        <w:t>(</w:t>
      </w:r>
      <w:r w:rsidR="00AB394F" w:rsidRPr="00793750">
        <w:rPr>
          <w:rFonts w:ascii="Times New Roman" w:eastAsia="Times New Roman" w:hAnsi="Times New Roman" w:cs="Times New Roman"/>
          <w:sz w:val="28"/>
          <w:szCs w:val="28"/>
        </w:rPr>
        <w:t>relat</w:t>
      </w:r>
      <w:r w:rsidR="00AB394F">
        <w:rPr>
          <w:rFonts w:ascii="Times New Roman" w:eastAsia="Times New Roman" w:hAnsi="Times New Roman" w:cs="Times New Roman"/>
          <w:sz w:val="28"/>
          <w:szCs w:val="28"/>
        </w:rPr>
        <w:t>ing</w:t>
      </w:r>
      <w:r w:rsidR="00AB394F" w:rsidRPr="00793750">
        <w:rPr>
          <w:rFonts w:ascii="Times New Roman" w:eastAsia="Times New Roman" w:hAnsi="Times New Roman" w:cs="Times New Roman"/>
          <w:sz w:val="28"/>
          <w:szCs w:val="28"/>
        </w:rPr>
        <w:t xml:space="preserve"> </w:t>
      </w:r>
      <w:r w:rsidRPr="00793750">
        <w:rPr>
          <w:rFonts w:ascii="Times New Roman" w:eastAsia="Times New Roman" w:hAnsi="Times New Roman" w:cs="Times New Roman"/>
          <w:sz w:val="28"/>
          <w:szCs w:val="28"/>
        </w:rPr>
        <w:t xml:space="preserve">to Social Security Administration </w:t>
      </w:r>
      <w:r w:rsidR="00AB394F">
        <w:rPr>
          <w:rFonts w:ascii="Times New Roman" w:eastAsia="Times New Roman" w:hAnsi="Times New Roman" w:cs="Times New Roman"/>
          <w:sz w:val="28"/>
          <w:szCs w:val="28"/>
        </w:rPr>
        <w:t>deadlines t request review</w:t>
      </w:r>
      <w:r w:rsidR="0088155E">
        <w:rPr>
          <w:rFonts w:ascii="Times New Roman" w:eastAsia="Times New Roman" w:hAnsi="Times New Roman" w:cs="Times New Roman"/>
          <w:sz w:val="28"/>
          <w:szCs w:val="28"/>
        </w:rPr>
        <w:t xml:space="preserve">) </w:t>
      </w:r>
      <w:r w:rsidRPr="00793750">
        <w:rPr>
          <w:rFonts w:ascii="Times New Roman" w:eastAsia="Times New Roman" w:hAnsi="Times New Roman" w:cs="Times New Roman"/>
          <w:sz w:val="28"/>
          <w:szCs w:val="28"/>
        </w:rPr>
        <w:t xml:space="preserve">provides </w:t>
      </w:r>
      <w:r w:rsidR="0088155E">
        <w:rPr>
          <w:rFonts w:ascii="Times New Roman" w:eastAsia="Times New Roman" w:hAnsi="Times New Roman" w:cs="Times New Roman"/>
          <w:sz w:val="28"/>
          <w:szCs w:val="28"/>
        </w:rPr>
        <w:t>nine</w:t>
      </w:r>
      <w:r w:rsidR="0088155E" w:rsidRPr="00793750">
        <w:rPr>
          <w:rFonts w:ascii="Times New Roman" w:eastAsia="Times New Roman" w:hAnsi="Times New Roman" w:cs="Times New Roman"/>
          <w:sz w:val="28"/>
          <w:szCs w:val="28"/>
        </w:rPr>
        <w:t xml:space="preserve"> </w:t>
      </w:r>
      <w:r w:rsidRPr="00793750">
        <w:rPr>
          <w:rFonts w:ascii="Times New Roman" w:eastAsia="Times New Roman" w:hAnsi="Times New Roman" w:cs="Times New Roman"/>
          <w:sz w:val="28"/>
          <w:szCs w:val="28"/>
        </w:rPr>
        <w:t xml:space="preserve">examples of “good cause” in a laundry list </w:t>
      </w:r>
      <w:r w:rsidRPr="00793750">
        <w:rPr>
          <w:rFonts w:ascii="Times New Roman" w:eastAsia="Times New Roman" w:hAnsi="Times New Roman" w:cs="Times New Roman"/>
          <w:sz w:val="28"/>
          <w:szCs w:val="28"/>
        </w:rPr>
        <w:lastRenderedPageBreak/>
        <w:t xml:space="preserve">fashion.  The provision states that </w:t>
      </w:r>
      <w:r w:rsidR="0088155E">
        <w:rPr>
          <w:rFonts w:ascii="Times New Roman" w:eastAsia="Times New Roman" w:hAnsi="Times New Roman" w:cs="Times New Roman"/>
          <w:sz w:val="28"/>
          <w:szCs w:val="28"/>
        </w:rPr>
        <w:t>any of the nine</w:t>
      </w:r>
      <w:r w:rsidRPr="00793750">
        <w:rPr>
          <w:rFonts w:ascii="Times New Roman" w:eastAsia="Times New Roman" w:hAnsi="Times New Roman" w:cs="Times New Roman"/>
          <w:sz w:val="28"/>
          <w:szCs w:val="28"/>
        </w:rPr>
        <w:t xml:space="preserve"> examples may constitute good cause</w:t>
      </w:r>
      <w:r w:rsidR="00E93043">
        <w:rPr>
          <w:rFonts w:ascii="Times New Roman" w:eastAsia="Times New Roman" w:hAnsi="Times New Roman" w:cs="Times New Roman"/>
          <w:sz w:val="28"/>
          <w:szCs w:val="28"/>
        </w:rPr>
        <w:t xml:space="preserve"> and the provided list is not exclusive</w:t>
      </w:r>
      <w:r w:rsidRPr="00793750">
        <w:rPr>
          <w:rFonts w:ascii="Times New Roman" w:eastAsia="Times New Roman" w:hAnsi="Times New Roman" w:cs="Times New Roman"/>
          <w:sz w:val="28"/>
          <w:szCs w:val="28"/>
        </w:rPr>
        <w:t xml:space="preserve">.  </w:t>
      </w:r>
    </w:p>
    <w:p w14:paraId="326C0FC1" w14:textId="22244B0F" w:rsidR="00793750" w:rsidRPr="00793750" w:rsidRDefault="00793750" w:rsidP="00793750">
      <w:pPr>
        <w:pStyle w:val="ListParagraph"/>
        <w:numPr>
          <w:ilvl w:val="0"/>
          <w:numId w:val="17"/>
        </w:numPr>
        <w:jc w:val="both"/>
        <w:rPr>
          <w:rFonts w:ascii="Times New Roman" w:eastAsia="Times New Roman" w:hAnsi="Times New Roman" w:cs="Times New Roman"/>
          <w:sz w:val="28"/>
          <w:szCs w:val="28"/>
        </w:rPr>
      </w:pPr>
      <w:proofErr w:type="gramStart"/>
      <w:r w:rsidRPr="00793750">
        <w:rPr>
          <w:rFonts w:ascii="Times New Roman" w:eastAsia="Times New Roman" w:hAnsi="Times New Roman" w:cs="Times New Roman"/>
          <w:sz w:val="28"/>
          <w:szCs w:val="28"/>
        </w:rPr>
        <w:t>State</w:t>
      </w:r>
      <w:proofErr w:type="gramEnd"/>
      <w:r w:rsidRPr="00793750">
        <w:rPr>
          <w:rFonts w:ascii="Times New Roman" w:eastAsia="Times New Roman" w:hAnsi="Times New Roman" w:cs="Times New Roman"/>
          <w:sz w:val="28"/>
          <w:szCs w:val="28"/>
        </w:rPr>
        <w:t xml:space="preserve"> of Washington Administrative Code WA ADC 388-02-0020 provides for multiple examples of good cause, and states that good cause for not requesting a hearing before the deadline in a public assistance case may include, but is not limited to: military deployment, medical reasons, housing instability, language barriers, or domestic violence.  This provision also references WA ST 74.08.080 which governs public assistance grievances, and (2)(a)(</w:t>
      </w:r>
      <w:proofErr w:type="spellStart"/>
      <w:r w:rsidRPr="00793750">
        <w:rPr>
          <w:rFonts w:ascii="Times New Roman" w:eastAsia="Times New Roman" w:hAnsi="Times New Roman" w:cs="Times New Roman"/>
          <w:sz w:val="28"/>
          <w:szCs w:val="28"/>
        </w:rPr>
        <w:t>i</w:t>
      </w:r>
      <w:proofErr w:type="spellEnd"/>
      <w:r w:rsidRPr="00793750">
        <w:rPr>
          <w:rFonts w:ascii="Times New Roman" w:eastAsia="Times New Roman" w:hAnsi="Times New Roman" w:cs="Times New Roman"/>
          <w:sz w:val="28"/>
          <w:szCs w:val="28"/>
        </w:rPr>
        <w:t xml:space="preserve">) again states good cause for failing to meet a hearing deadline may include, but is not limited to military deployment, medical reasons, housing instability, language barriers, or domestic violence.  </w:t>
      </w:r>
    </w:p>
    <w:p w14:paraId="76A529BD" w14:textId="7CB92808" w:rsidR="00793750" w:rsidRPr="00793750" w:rsidRDefault="00793750" w:rsidP="00793750">
      <w:pPr>
        <w:pStyle w:val="ListParagraph"/>
        <w:numPr>
          <w:ilvl w:val="0"/>
          <w:numId w:val="17"/>
        </w:numPr>
        <w:jc w:val="both"/>
        <w:rPr>
          <w:rFonts w:ascii="Times New Roman" w:eastAsia="Times New Roman" w:hAnsi="Times New Roman" w:cs="Times New Roman"/>
          <w:sz w:val="28"/>
          <w:szCs w:val="28"/>
        </w:rPr>
      </w:pPr>
      <w:r w:rsidRPr="00793750">
        <w:rPr>
          <w:rFonts w:ascii="Times New Roman" w:eastAsia="Times New Roman" w:hAnsi="Times New Roman" w:cs="Times New Roman"/>
          <w:sz w:val="28"/>
          <w:szCs w:val="28"/>
        </w:rPr>
        <w:t xml:space="preserve">Rule 60 of the Arizona Rules of Civil Procedure. While this Rule does not define “good cause,” Rule 60(b) does provide a “laundry list” of grounds or reasons why the court may relieve a party from a final judgment.  </w:t>
      </w:r>
      <w:r w:rsidR="00E914F5">
        <w:rPr>
          <w:rFonts w:ascii="Times New Roman" w:eastAsia="Times New Roman" w:hAnsi="Times New Roman" w:cs="Times New Roman"/>
          <w:sz w:val="28"/>
          <w:szCs w:val="28"/>
        </w:rPr>
        <w:t>This serves as</w:t>
      </w:r>
      <w:r w:rsidRPr="00793750">
        <w:rPr>
          <w:rFonts w:ascii="Times New Roman" w:eastAsia="Times New Roman" w:hAnsi="Times New Roman" w:cs="Times New Roman"/>
          <w:sz w:val="28"/>
          <w:szCs w:val="28"/>
        </w:rPr>
        <w:t xml:space="preserve"> an example of a current civil rule that provides a laundry list to assist the judge in </w:t>
      </w:r>
      <w:proofErr w:type="gramStart"/>
      <w:r w:rsidRPr="00793750">
        <w:rPr>
          <w:rFonts w:ascii="Times New Roman" w:eastAsia="Times New Roman" w:hAnsi="Times New Roman" w:cs="Times New Roman"/>
          <w:sz w:val="28"/>
          <w:szCs w:val="28"/>
        </w:rPr>
        <w:t>making a determination</w:t>
      </w:r>
      <w:proofErr w:type="gramEnd"/>
      <w:r w:rsidRPr="00793750">
        <w:rPr>
          <w:rFonts w:ascii="Times New Roman" w:eastAsia="Times New Roman" w:hAnsi="Times New Roman" w:cs="Times New Roman"/>
          <w:sz w:val="28"/>
          <w:szCs w:val="28"/>
        </w:rPr>
        <w:t xml:space="preserve">.  </w:t>
      </w:r>
    </w:p>
    <w:p w14:paraId="393F3491" w14:textId="455A6D79" w:rsidR="00793750" w:rsidRPr="00DC6B66" w:rsidRDefault="00793750" w:rsidP="00DC6B66">
      <w:pPr>
        <w:pStyle w:val="ListParagraph"/>
        <w:numPr>
          <w:ilvl w:val="0"/>
          <w:numId w:val="17"/>
        </w:numPr>
        <w:jc w:val="both"/>
        <w:rPr>
          <w:rFonts w:ascii="Times New Roman" w:eastAsia="Times New Roman" w:hAnsi="Times New Roman" w:cs="Times New Roman"/>
          <w:sz w:val="28"/>
          <w:szCs w:val="28"/>
        </w:rPr>
      </w:pPr>
      <w:r w:rsidRPr="00DC6B66">
        <w:rPr>
          <w:rFonts w:ascii="Times New Roman" w:eastAsia="Times New Roman" w:hAnsi="Times New Roman" w:cs="Times New Roman"/>
          <w:sz w:val="28"/>
          <w:szCs w:val="28"/>
        </w:rPr>
        <w:t xml:space="preserve">A.R.S. § 41-619.55 applies to the Board of Fingerprinting and subsection (E) provides a laundry list of </w:t>
      </w:r>
      <w:r w:rsidR="0029597F">
        <w:rPr>
          <w:rFonts w:ascii="Times New Roman" w:eastAsia="Times New Roman" w:hAnsi="Times New Roman" w:cs="Times New Roman"/>
          <w:sz w:val="28"/>
          <w:szCs w:val="28"/>
        </w:rPr>
        <w:t>reasons why the board may grant a “good</w:t>
      </w:r>
      <w:r w:rsidR="002011A0">
        <w:rPr>
          <w:rFonts w:ascii="Times New Roman" w:eastAsia="Times New Roman" w:hAnsi="Times New Roman" w:cs="Times New Roman"/>
          <w:sz w:val="28"/>
          <w:szCs w:val="28"/>
        </w:rPr>
        <w:t xml:space="preserve"> </w:t>
      </w:r>
      <w:r w:rsidR="0029597F">
        <w:rPr>
          <w:rFonts w:ascii="Times New Roman" w:eastAsia="Times New Roman" w:hAnsi="Times New Roman" w:cs="Times New Roman"/>
          <w:sz w:val="28"/>
          <w:szCs w:val="28"/>
        </w:rPr>
        <w:t>cause exception</w:t>
      </w:r>
      <w:r w:rsidR="009D7442">
        <w:rPr>
          <w:rFonts w:ascii="Times New Roman" w:eastAsia="Times New Roman" w:hAnsi="Times New Roman" w:cs="Times New Roman"/>
          <w:sz w:val="28"/>
          <w:szCs w:val="28"/>
        </w:rPr>
        <w:t xml:space="preserve">” </w:t>
      </w:r>
      <w:r w:rsidR="0029597F">
        <w:rPr>
          <w:rFonts w:ascii="Times New Roman" w:eastAsia="Times New Roman" w:hAnsi="Times New Roman" w:cs="Times New Roman"/>
          <w:sz w:val="28"/>
          <w:szCs w:val="28"/>
        </w:rPr>
        <w:t>he</w:t>
      </w:r>
      <w:r w:rsidR="002011A0">
        <w:rPr>
          <w:rFonts w:ascii="Times New Roman" w:eastAsia="Times New Roman" w:hAnsi="Times New Roman" w:cs="Times New Roman"/>
          <w:sz w:val="28"/>
          <w:szCs w:val="28"/>
        </w:rPr>
        <w:t>a</w:t>
      </w:r>
      <w:r w:rsidR="0029597F">
        <w:rPr>
          <w:rFonts w:ascii="Times New Roman" w:eastAsia="Times New Roman" w:hAnsi="Times New Roman" w:cs="Times New Roman"/>
          <w:sz w:val="28"/>
          <w:szCs w:val="28"/>
        </w:rPr>
        <w:t>ring, setting forth six different factors to be considered in granting the exception.</w:t>
      </w:r>
      <w:r w:rsidRPr="00DC6B66">
        <w:rPr>
          <w:rFonts w:ascii="Times New Roman" w:eastAsia="Times New Roman" w:hAnsi="Times New Roman" w:cs="Times New Roman"/>
          <w:sz w:val="28"/>
          <w:szCs w:val="28"/>
        </w:rPr>
        <w:t xml:space="preserve"> </w:t>
      </w:r>
    </w:p>
    <w:p w14:paraId="16E8DADE" w14:textId="2452A0B9" w:rsidR="00941271" w:rsidRPr="00DC6B66" w:rsidRDefault="00793750" w:rsidP="00DC6B66">
      <w:pPr>
        <w:pStyle w:val="ListParagraph"/>
        <w:numPr>
          <w:ilvl w:val="0"/>
          <w:numId w:val="17"/>
        </w:numPr>
        <w:jc w:val="both"/>
        <w:rPr>
          <w:rFonts w:ascii="Times New Roman" w:eastAsia="Times New Roman" w:hAnsi="Times New Roman" w:cs="Times New Roman"/>
          <w:sz w:val="28"/>
          <w:szCs w:val="28"/>
        </w:rPr>
      </w:pPr>
      <w:r w:rsidRPr="00DC6B66">
        <w:rPr>
          <w:rFonts w:ascii="Times New Roman" w:hAnsi="Times New Roman" w:cs="Times New Roman"/>
          <w:sz w:val="28"/>
          <w:szCs w:val="28"/>
        </w:rPr>
        <w:t xml:space="preserve">A.R.S. § 32-2412 applies to Private Investigators and the entire statute addresses examples of good cause in a laundry list fashion.  Subsection B </w:t>
      </w:r>
      <w:r w:rsidR="00146668">
        <w:rPr>
          <w:rFonts w:ascii="Times New Roman" w:eastAsia="Times New Roman" w:hAnsi="Times New Roman" w:cs="Times New Roman"/>
          <w:sz w:val="28"/>
          <w:szCs w:val="28"/>
        </w:rPr>
        <w:t xml:space="preserve">provides </w:t>
      </w:r>
      <w:r w:rsidR="001E5DA5">
        <w:rPr>
          <w:rFonts w:ascii="Times New Roman" w:eastAsia="Times New Roman" w:hAnsi="Times New Roman" w:cs="Times New Roman"/>
          <w:sz w:val="28"/>
          <w:szCs w:val="28"/>
        </w:rPr>
        <w:t>a</w:t>
      </w:r>
      <w:r w:rsidR="00146668">
        <w:rPr>
          <w:rFonts w:ascii="Times New Roman" w:eastAsia="Times New Roman" w:hAnsi="Times New Roman" w:cs="Times New Roman"/>
          <w:sz w:val="28"/>
          <w:szCs w:val="28"/>
        </w:rPr>
        <w:t xml:space="preserve">n example of a good cause statute with a </w:t>
      </w:r>
      <w:r w:rsidR="00C233A3">
        <w:rPr>
          <w:rFonts w:ascii="Times New Roman" w:eastAsia="Times New Roman" w:hAnsi="Times New Roman" w:cs="Times New Roman"/>
          <w:sz w:val="28"/>
          <w:szCs w:val="28"/>
        </w:rPr>
        <w:t xml:space="preserve">mandatory </w:t>
      </w:r>
      <w:r w:rsidR="00146668">
        <w:rPr>
          <w:rFonts w:ascii="Times New Roman" w:eastAsia="Times New Roman" w:hAnsi="Times New Roman" w:cs="Times New Roman"/>
          <w:sz w:val="28"/>
          <w:szCs w:val="28"/>
        </w:rPr>
        <w:t>requirement, as it establishes what the board “shall consider</w:t>
      </w:r>
      <w:r w:rsidR="009D7442">
        <w:rPr>
          <w:rFonts w:ascii="Times New Roman" w:eastAsia="Times New Roman" w:hAnsi="Times New Roman" w:cs="Times New Roman"/>
          <w:sz w:val="28"/>
          <w:szCs w:val="28"/>
        </w:rPr>
        <w:t xml:space="preserve">” </w:t>
      </w:r>
      <w:r w:rsidR="00146668">
        <w:rPr>
          <w:rFonts w:ascii="Times New Roman" w:eastAsia="Times New Roman" w:hAnsi="Times New Roman" w:cs="Times New Roman"/>
          <w:sz w:val="28"/>
          <w:szCs w:val="28"/>
        </w:rPr>
        <w:t>before granting a good cause exception at a hearing</w:t>
      </w:r>
      <w:r w:rsidR="00671038">
        <w:rPr>
          <w:rFonts w:ascii="Times New Roman" w:eastAsia="Times New Roman" w:hAnsi="Times New Roman" w:cs="Times New Roman"/>
          <w:sz w:val="28"/>
          <w:szCs w:val="28"/>
        </w:rPr>
        <w:t>.</w:t>
      </w:r>
      <w:r w:rsidRPr="00DC6B66">
        <w:rPr>
          <w:rFonts w:ascii="Times New Roman" w:hAnsi="Times New Roman" w:cs="Times New Roman"/>
          <w:sz w:val="28"/>
          <w:szCs w:val="28"/>
        </w:rPr>
        <w:t xml:space="preserve">  </w:t>
      </w:r>
    </w:p>
    <w:p w14:paraId="660D3F4F" w14:textId="1C5D9BE3" w:rsidR="00C37611" w:rsidRDefault="00C37611" w:rsidP="00DC6B66">
      <w:pPr>
        <w:pStyle w:val="ListParagraph"/>
        <w:jc w:val="both"/>
        <w:rPr>
          <w:sz w:val="28"/>
          <w:szCs w:val="28"/>
        </w:rPr>
      </w:pPr>
    </w:p>
    <w:p w14:paraId="64D6EF09" w14:textId="10D435B0" w:rsidR="0096115C" w:rsidRPr="00561ABB" w:rsidRDefault="0096115C" w:rsidP="00A434CD">
      <w:pPr>
        <w:pStyle w:val="Body"/>
        <w:widowControl w:val="0"/>
        <w:spacing w:line="480" w:lineRule="auto"/>
        <w:ind w:firstLine="0"/>
        <w:jc w:val="both"/>
        <w:rPr>
          <w:sz w:val="28"/>
          <w:szCs w:val="28"/>
        </w:rPr>
      </w:pPr>
      <w:r>
        <w:rPr>
          <w:sz w:val="28"/>
          <w:szCs w:val="28"/>
        </w:rPr>
        <w:tab/>
        <w:t xml:space="preserve">Finally, the proposed provision of Rule 18(c)(viii) does not </w:t>
      </w:r>
      <w:r w:rsidR="00793750">
        <w:rPr>
          <w:sz w:val="28"/>
          <w:szCs w:val="28"/>
        </w:rPr>
        <w:t xml:space="preserve">improperly </w:t>
      </w:r>
      <w:r>
        <w:rPr>
          <w:sz w:val="28"/>
          <w:szCs w:val="28"/>
        </w:rPr>
        <w:t>authorize additional time for payment of a past due balance</w:t>
      </w:r>
      <w:r w:rsidR="00DC1569">
        <w:rPr>
          <w:sz w:val="28"/>
          <w:szCs w:val="28"/>
        </w:rPr>
        <w:t>.</w:t>
      </w:r>
      <w:r>
        <w:rPr>
          <w:sz w:val="28"/>
          <w:szCs w:val="28"/>
        </w:rPr>
        <w:t xml:space="preserve"> </w:t>
      </w:r>
      <w:r w:rsidR="00793750">
        <w:rPr>
          <w:sz w:val="28"/>
          <w:szCs w:val="28"/>
        </w:rPr>
        <w:t>I</w:t>
      </w:r>
      <w:r>
        <w:rPr>
          <w:sz w:val="28"/>
          <w:szCs w:val="28"/>
        </w:rPr>
        <w:t>nstead</w:t>
      </w:r>
      <w:r w:rsidR="00CE7B05">
        <w:rPr>
          <w:sz w:val="28"/>
          <w:szCs w:val="28"/>
        </w:rPr>
        <w:t>, the provision</w:t>
      </w:r>
      <w:r w:rsidR="00793750">
        <w:rPr>
          <w:sz w:val="28"/>
          <w:szCs w:val="28"/>
        </w:rPr>
        <w:t xml:space="preserve"> </w:t>
      </w:r>
      <w:r>
        <w:rPr>
          <w:sz w:val="28"/>
          <w:szCs w:val="28"/>
        </w:rPr>
        <w:t xml:space="preserve">delays the entry of an eviction order </w:t>
      </w:r>
      <w:r w:rsidR="00BF736C">
        <w:rPr>
          <w:sz w:val="28"/>
          <w:szCs w:val="28"/>
        </w:rPr>
        <w:t xml:space="preserve">for the prescribed three days </w:t>
      </w:r>
      <w:r w:rsidR="00861727">
        <w:rPr>
          <w:sz w:val="28"/>
          <w:szCs w:val="28"/>
        </w:rPr>
        <w:t xml:space="preserve">when </w:t>
      </w:r>
      <w:r>
        <w:rPr>
          <w:sz w:val="28"/>
          <w:szCs w:val="28"/>
        </w:rPr>
        <w:t>the judge</w:t>
      </w:r>
      <w:r w:rsidR="00861727">
        <w:rPr>
          <w:sz w:val="28"/>
          <w:szCs w:val="28"/>
        </w:rPr>
        <w:t>,</w:t>
      </w:r>
      <w:r>
        <w:rPr>
          <w:sz w:val="28"/>
          <w:szCs w:val="28"/>
        </w:rPr>
        <w:t xml:space="preserve"> </w:t>
      </w:r>
      <w:r w:rsidR="009A5025">
        <w:rPr>
          <w:sz w:val="28"/>
          <w:szCs w:val="28"/>
        </w:rPr>
        <w:t>in his or her discretion</w:t>
      </w:r>
      <w:r w:rsidR="00861727">
        <w:rPr>
          <w:sz w:val="28"/>
          <w:szCs w:val="28"/>
        </w:rPr>
        <w:t>,</w:t>
      </w:r>
      <w:r w:rsidR="009A5025">
        <w:rPr>
          <w:sz w:val="28"/>
          <w:szCs w:val="28"/>
        </w:rPr>
        <w:t xml:space="preserve"> </w:t>
      </w:r>
      <w:r>
        <w:rPr>
          <w:sz w:val="28"/>
          <w:szCs w:val="28"/>
        </w:rPr>
        <w:t xml:space="preserve">decides the circumstances surrounding </w:t>
      </w:r>
      <w:r w:rsidR="009A5025">
        <w:rPr>
          <w:sz w:val="28"/>
          <w:szCs w:val="28"/>
        </w:rPr>
        <w:t xml:space="preserve">impending </w:t>
      </w:r>
      <w:r>
        <w:rPr>
          <w:sz w:val="28"/>
          <w:szCs w:val="28"/>
        </w:rPr>
        <w:t xml:space="preserve">payment </w:t>
      </w:r>
      <w:r w:rsidR="00BF736C">
        <w:rPr>
          <w:sz w:val="28"/>
          <w:szCs w:val="28"/>
        </w:rPr>
        <w:t xml:space="preserve">constitute “good cause.” </w:t>
      </w:r>
      <w:r>
        <w:rPr>
          <w:sz w:val="28"/>
          <w:szCs w:val="28"/>
        </w:rPr>
        <w:t xml:space="preserve"> </w:t>
      </w:r>
    </w:p>
    <w:p w14:paraId="3F4272F2" w14:textId="01E9F375" w:rsidR="002D0120" w:rsidRPr="00561ABB" w:rsidRDefault="00561ABB" w:rsidP="002D0120">
      <w:pPr>
        <w:pStyle w:val="Body"/>
        <w:widowControl w:val="0"/>
        <w:spacing w:line="480" w:lineRule="auto"/>
        <w:ind w:firstLine="720"/>
        <w:jc w:val="both"/>
        <w:rPr>
          <w:sz w:val="28"/>
          <w:szCs w:val="28"/>
        </w:rPr>
      </w:pPr>
      <w:r w:rsidRPr="00561ABB">
        <w:rPr>
          <w:sz w:val="28"/>
          <w:szCs w:val="28"/>
        </w:rPr>
        <w:t>In supporting these amendments, t</w:t>
      </w:r>
      <w:r w:rsidR="00AC5EC7" w:rsidRPr="00561ABB">
        <w:rPr>
          <w:sz w:val="28"/>
          <w:szCs w:val="28"/>
        </w:rPr>
        <w:t xml:space="preserve">he State Bar </w:t>
      </w:r>
      <w:r w:rsidRPr="00561ABB">
        <w:rPr>
          <w:sz w:val="28"/>
          <w:szCs w:val="28"/>
        </w:rPr>
        <w:t xml:space="preserve">is </w:t>
      </w:r>
      <w:r w:rsidR="00235BFC">
        <w:rPr>
          <w:sz w:val="28"/>
          <w:szCs w:val="28"/>
        </w:rPr>
        <w:t xml:space="preserve">especially </w:t>
      </w:r>
      <w:r w:rsidRPr="00561ABB">
        <w:rPr>
          <w:sz w:val="28"/>
          <w:szCs w:val="28"/>
        </w:rPr>
        <w:t>mindful of</w:t>
      </w:r>
      <w:r w:rsidR="00AC5EC7" w:rsidRPr="00561ABB">
        <w:rPr>
          <w:sz w:val="28"/>
          <w:szCs w:val="28"/>
        </w:rPr>
        <w:t xml:space="preserve"> the economic</w:t>
      </w:r>
      <w:r w:rsidR="002D0120" w:rsidRPr="00561ABB">
        <w:rPr>
          <w:sz w:val="28"/>
          <w:szCs w:val="28"/>
        </w:rPr>
        <w:t xml:space="preserve"> reality</w:t>
      </w:r>
      <w:r w:rsidR="00AC5EC7" w:rsidRPr="00561ABB">
        <w:rPr>
          <w:sz w:val="28"/>
          <w:szCs w:val="28"/>
        </w:rPr>
        <w:t xml:space="preserve"> </w:t>
      </w:r>
      <w:r w:rsidR="002D0120" w:rsidRPr="00561ABB">
        <w:rPr>
          <w:sz w:val="28"/>
          <w:szCs w:val="28"/>
        </w:rPr>
        <w:t xml:space="preserve">facing </w:t>
      </w:r>
      <w:r w:rsidRPr="00561ABB">
        <w:rPr>
          <w:sz w:val="28"/>
          <w:szCs w:val="28"/>
        </w:rPr>
        <w:t>parties in</w:t>
      </w:r>
      <w:r w:rsidR="002D0120" w:rsidRPr="00561ABB">
        <w:rPr>
          <w:sz w:val="28"/>
          <w:szCs w:val="28"/>
        </w:rPr>
        <w:t xml:space="preserve"> eviction cases</w:t>
      </w:r>
      <w:r w:rsidRPr="00561ABB">
        <w:rPr>
          <w:sz w:val="28"/>
          <w:szCs w:val="28"/>
        </w:rPr>
        <w:t xml:space="preserve"> in </w:t>
      </w:r>
      <w:r w:rsidR="00235BFC">
        <w:rPr>
          <w:sz w:val="28"/>
          <w:szCs w:val="28"/>
        </w:rPr>
        <w:t>today’s housing environment</w:t>
      </w:r>
      <w:r w:rsidR="00660C65">
        <w:rPr>
          <w:sz w:val="28"/>
          <w:szCs w:val="28"/>
        </w:rPr>
        <w:t xml:space="preserve"> and </w:t>
      </w:r>
      <w:r w:rsidR="00660C65">
        <w:rPr>
          <w:sz w:val="28"/>
          <w:szCs w:val="28"/>
        </w:rPr>
        <w:lastRenderedPageBreak/>
        <w:t>of the grave, real-world consequences of eviction</w:t>
      </w:r>
      <w:r w:rsidR="00AC5EC7" w:rsidRPr="00561ABB">
        <w:rPr>
          <w:sz w:val="28"/>
          <w:szCs w:val="28"/>
        </w:rPr>
        <w:t>.</w:t>
      </w:r>
      <w:r w:rsidR="002D0120" w:rsidRPr="00561ABB">
        <w:rPr>
          <w:sz w:val="28"/>
          <w:szCs w:val="28"/>
        </w:rPr>
        <w:t xml:space="preserve"> </w:t>
      </w:r>
      <w:r w:rsidR="00235BFC">
        <w:rPr>
          <w:sz w:val="28"/>
          <w:szCs w:val="28"/>
        </w:rPr>
        <w:t xml:space="preserve">Essentially, </w:t>
      </w:r>
      <w:r w:rsidR="009356AC">
        <w:rPr>
          <w:sz w:val="28"/>
          <w:szCs w:val="28"/>
        </w:rPr>
        <w:t>an</w:t>
      </w:r>
      <w:r w:rsidR="00AC5EC7" w:rsidRPr="00561ABB">
        <w:rPr>
          <w:sz w:val="28"/>
          <w:szCs w:val="28"/>
        </w:rPr>
        <w:t xml:space="preserve"> eviction crisis in Arizona is </w:t>
      </w:r>
      <w:r w:rsidR="009B503E">
        <w:rPr>
          <w:sz w:val="28"/>
          <w:szCs w:val="28"/>
        </w:rPr>
        <w:t xml:space="preserve">in effect and </w:t>
      </w:r>
      <w:r w:rsidR="00AC5EC7" w:rsidRPr="00561ABB">
        <w:rPr>
          <w:sz w:val="28"/>
          <w:szCs w:val="28"/>
        </w:rPr>
        <w:t>steadily worsening. After a brief lull due to the pandemic and federal assistance programs, evictions in Arizona over the past few years have returned to</w:t>
      </w:r>
      <w:r w:rsidR="002D0120" w:rsidRPr="00561ABB">
        <w:rPr>
          <w:sz w:val="28"/>
          <w:szCs w:val="28"/>
        </w:rPr>
        <w:t>,</w:t>
      </w:r>
      <w:r w:rsidR="00AC5EC7" w:rsidRPr="00561ABB">
        <w:rPr>
          <w:sz w:val="28"/>
          <w:szCs w:val="28"/>
        </w:rPr>
        <w:t xml:space="preserve"> and then exceeded</w:t>
      </w:r>
      <w:r w:rsidR="002D0120" w:rsidRPr="00561ABB">
        <w:rPr>
          <w:sz w:val="28"/>
          <w:szCs w:val="28"/>
        </w:rPr>
        <w:t>,</w:t>
      </w:r>
      <w:r w:rsidR="00AC5EC7" w:rsidRPr="00561ABB">
        <w:rPr>
          <w:sz w:val="28"/>
          <w:szCs w:val="28"/>
        </w:rPr>
        <w:t xml:space="preserve"> pre-pandemic rates.</w:t>
      </w:r>
      <w:r w:rsidR="00AC5EC7" w:rsidRPr="00561ABB">
        <w:rPr>
          <w:rStyle w:val="FootnoteReference"/>
          <w:sz w:val="28"/>
          <w:szCs w:val="28"/>
        </w:rPr>
        <w:footnoteReference w:id="1"/>
      </w:r>
      <w:r w:rsidR="00AC5EC7" w:rsidRPr="00561ABB">
        <w:rPr>
          <w:sz w:val="28"/>
          <w:szCs w:val="28"/>
        </w:rPr>
        <w:t xml:space="preserve"> In 2024, landlords in metro Phoenix filed for 87,197 evictions, which set a </w:t>
      </w:r>
      <w:proofErr w:type="gramStart"/>
      <w:r w:rsidR="00AC5EC7" w:rsidRPr="00561ABB">
        <w:rPr>
          <w:sz w:val="28"/>
          <w:szCs w:val="28"/>
        </w:rPr>
        <w:t>new record</w:t>
      </w:r>
      <w:proofErr w:type="gramEnd"/>
      <w:r w:rsidR="00AC5EC7" w:rsidRPr="00561ABB">
        <w:rPr>
          <w:sz w:val="28"/>
          <w:szCs w:val="28"/>
        </w:rPr>
        <w:t xml:space="preserve"> for evictions in a year.</w:t>
      </w:r>
      <w:r w:rsidR="00AC5EC7" w:rsidRPr="00561ABB">
        <w:rPr>
          <w:rStyle w:val="FootnoteReference"/>
          <w:sz w:val="28"/>
          <w:szCs w:val="28"/>
        </w:rPr>
        <w:footnoteReference w:id="2"/>
      </w:r>
      <w:r w:rsidR="00AC5EC7" w:rsidRPr="00561ABB">
        <w:rPr>
          <w:sz w:val="28"/>
          <w:szCs w:val="28"/>
        </w:rPr>
        <w:t xml:space="preserve"> </w:t>
      </w:r>
    </w:p>
    <w:p w14:paraId="7585C6BF" w14:textId="1BE17F75" w:rsidR="00AC5EC7" w:rsidRPr="00561ABB" w:rsidRDefault="00AC5EC7" w:rsidP="00561ABB">
      <w:pPr>
        <w:pStyle w:val="Body"/>
        <w:widowControl w:val="0"/>
        <w:spacing w:line="480" w:lineRule="auto"/>
        <w:ind w:firstLine="720"/>
        <w:jc w:val="both"/>
        <w:rPr>
          <w:sz w:val="28"/>
          <w:szCs w:val="28"/>
        </w:rPr>
      </w:pPr>
      <w:r w:rsidRPr="00561ABB">
        <w:rPr>
          <w:sz w:val="28"/>
          <w:szCs w:val="28"/>
        </w:rPr>
        <w:t>Across the entire state</w:t>
      </w:r>
      <w:r w:rsidR="00561ABB">
        <w:rPr>
          <w:sz w:val="28"/>
          <w:szCs w:val="28"/>
        </w:rPr>
        <w:t>,</w:t>
      </w:r>
      <w:r w:rsidRPr="00561ABB">
        <w:rPr>
          <w:sz w:val="28"/>
          <w:szCs w:val="28"/>
        </w:rPr>
        <w:t xml:space="preserve"> the number of evictions was most likely over 100,000, as the Arizona Eviction and Foreclosure Dashboard was able to map almost 97,000 statewide evictions in 2023 and evictions have only increased since then.</w:t>
      </w:r>
      <w:r w:rsidRPr="00561ABB">
        <w:rPr>
          <w:rStyle w:val="FootnoteReference"/>
          <w:sz w:val="28"/>
          <w:szCs w:val="28"/>
        </w:rPr>
        <w:footnoteReference w:id="3"/>
      </w:r>
      <w:r w:rsidRPr="00561ABB">
        <w:rPr>
          <w:sz w:val="28"/>
          <w:szCs w:val="28"/>
        </w:rPr>
        <w:t xml:space="preserve"> High rents have left many more people at risk for eviction, as 55% of Phoenix tenants are paying more than 30% of their income towards rent and 26% of tenants are spending more than half their income on keeping their home or apartment.</w:t>
      </w:r>
      <w:r w:rsidRPr="00561ABB">
        <w:rPr>
          <w:rStyle w:val="FootnoteReference"/>
          <w:sz w:val="28"/>
          <w:szCs w:val="28"/>
        </w:rPr>
        <w:footnoteReference w:id="4"/>
      </w:r>
      <w:r w:rsidRPr="00561ABB">
        <w:rPr>
          <w:sz w:val="28"/>
          <w:szCs w:val="28"/>
        </w:rPr>
        <w:t xml:space="preserve"> The rapid pace of </w:t>
      </w:r>
      <w:r w:rsidRPr="00561ABB">
        <w:rPr>
          <w:sz w:val="28"/>
          <w:szCs w:val="28"/>
        </w:rPr>
        <w:lastRenderedPageBreak/>
        <w:t>Arizona eviction proceedings – renters can be locked out as quickly as three weeks after missing a payment – also contributes to these risks.</w:t>
      </w:r>
      <w:r w:rsidRPr="00561ABB">
        <w:rPr>
          <w:rStyle w:val="FootnoteReference"/>
          <w:sz w:val="28"/>
          <w:szCs w:val="28"/>
        </w:rPr>
        <w:footnoteReference w:id="5"/>
      </w:r>
      <w:r w:rsidRPr="00561ABB">
        <w:rPr>
          <w:sz w:val="28"/>
          <w:szCs w:val="28"/>
        </w:rPr>
        <w:t xml:space="preserve"> Without major changes in the rental market or housing availability, there </w:t>
      </w:r>
      <w:r w:rsidR="00C10C99">
        <w:rPr>
          <w:sz w:val="28"/>
          <w:szCs w:val="28"/>
        </w:rPr>
        <w:t xml:space="preserve">is </w:t>
      </w:r>
      <w:r w:rsidRPr="00561ABB">
        <w:rPr>
          <w:sz w:val="28"/>
          <w:szCs w:val="28"/>
        </w:rPr>
        <w:t>every reason to expect that eviction numbers will continue to climb.</w:t>
      </w:r>
      <w:r w:rsidR="00660C65">
        <w:rPr>
          <w:sz w:val="28"/>
          <w:szCs w:val="28"/>
        </w:rPr>
        <w:t xml:space="preserve"> </w:t>
      </w:r>
    </w:p>
    <w:p w14:paraId="28268280" w14:textId="0D3EFA7E" w:rsidR="00AC5EC7" w:rsidRDefault="003646E9" w:rsidP="00561ABB">
      <w:pPr>
        <w:spacing w:line="480" w:lineRule="auto"/>
        <w:ind w:firstLine="720"/>
        <w:jc w:val="both"/>
        <w:rPr>
          <w:rFonts w:ascii="Tahoma" w:hAnsi="Tahoma" w:cs="Tahoma"/>
          <w:sz w:val="24"/>
          <w:szCs w:val="24"/>
        </w:rPr>
      </w:pPr>
      <w:r>
        <w:rPr>
          <w:sz w:val="28"/>
          <w:szCs w:val="28"/>
        </w:rPr>
        <w:t>Studies have demonstrated a clear connection</w:t>
      </w:r>
      <w:r w:rsidR="00AC5EC7" w:rsidRPr="00561ABB">
        <w:rPr>
          <w:sz w:val="28"/>
          <w:szCs w:val="28"/>
        </w:rPr>
        <w:t xml:space="preserve"> between evictions and homelessness. A Yale study found that evicted individuals were more than 300% more likely to visit a homeless shelter in the year after their eviction than non-evicted individuals, and that this risk of homelessness </w:t>
      </w:r>
      <w:r w:rsidR="00425D2E">
        <w:rPr>
          <w:sz w:val="28"/>
          <w:szCs w:val="28"/>
        </w:rPr>
        <w:t xml:space="preserve">also </w:t>
      </w:r>
      <w:r w:rsidR="00AC5EC7" w:rsidRPr="00561ABB">
        <w:rPr>
          <w:sz w:val="28"/>
          <w:szCs w:val="28"/>
        </w:rPr>
        <w:t>remained increased for the second year after eviction.</w:t>
      </w:r>
      <w:r w:rsidR="00AC5EC7" w:rsidRPr="00561ABB">
        <w:rPr>
          <w:rStyle w:val="FootnoteReference"/>
          <w:sz w:val="28"/>
          <w:szCs w:val="28"/>
        </w:rPr>
        <w:footnoteReference w:id="6"/>
      </w:r>
      <w:r w:rsidR="00AC5EC7" w:rsidRPr="00561ABB">
        <w:rPr>
          <w:sz w:val="28"/>
          <w:szCs w:val="28"/>
        </w:rPr>
        <w:t xml:space="preserve"> This homelessness risk is not limited to losing an eviction judgment, as other researchers have found a correlation between the eviction filing rate and the rate of sheltered homelessness.</w:t>
      </w:r>
      <w:r w:rsidR="00AC5EC7" w:rsidRPr="00561ABB">
        <w:rPr>
          <w:rStyle w:val="FootnoteReference"/>
          <w:sz w:val="28"/>
          <w:szCs w:val="28"/>
        </w:rPr>
        <w:footnoteReference w:id="7"/>
      </w:r>
      <w:r w:rsidR="00AC5EC7" w:rsidRPr="00561ABB">
        <w:rPr>
          <w:sz w:val="28"/>
          <w:szCs w:val="28"/>
        </w:rPr>
        <w:t xml:space="preserve"> This suggests that even if the proceeding does not end in an eviction, merely being subject to an eviction proceeding increases the chance of becoming homeless. </w:t>
      </w:r>
      <w:r w:rsidR="00AC5EC7" w:rsidRPr="00C6242D">
        <w:rPr>
          <w:sz w:val="28"/>
          <w:szCs w:val="28"/>
        </w:rPr>
        <w:t>These effects were also</w:t>
      </w:r>
      <w:r w:rsidR="00AC5EC7" w:rsidRPr="00DC6B66">
        <w:rPr>
          <w:sz w:val="28"/>
          <w:szCs w:val="28"/>
        </w:rPr>
        <w:t xml:space="preserve"> shown to be felt more strongly among minority populations, with Black tenants and female tenants having </w:t>
      </w:r>
      <w:r w:rsidR="00AC5EC7" w:rsidRPr="00DC6B66">
        <w:rPr>
          <w:sz w:val="28"/>
          <w:szCs w:val="28"/>
        </w:rPr>
        <w:lastRenderedPageBreak/>
        <w:t>increased chances of homelessness compared to the overall population.</w:t>
      </w:r>
      <w:r w:rsidR="00AC5EC7" w:rsidRPr="00DC6B66">
        <w:rPr>
          <w:rStyle w:val="FootnoteReference"/>
          <w:sz w:val="28"/>
          <w:szCs w:val="28"/>
        </w:rPr>
        <w:footnoteReference w:id="8"/>
      </w:r>
      <w:r w:rsidR="00561ABB" w:rsidRPr="00DC6B66">
        <w:rPr>
          <w:sz w:val="28"/>
          <w:szCs w:val="28"/>
        </w:rPr>
        <w:t xml:space="preserve"> </w:t>
      </w:r>
      <w:r w:rsidR="008E7B85" w:rsidRPr="00DC6B66">
        <w:rPr>
          <w:sz w:val="28"/>
          <w:szCs w:val="28"/>
        </w:rPr>
        <w:t xml:space="preserve">This analysis does not even include the impacts, most likely long-lasting, of eviction and homelessness on </w:t>
      </w:r>
      <w:r w:rsidR="00673D66" w:rsidRPr="00DC6B66">
        <w:rPr>
          <w:sz w:val="28"/>
          <w:szCs w:val="28"/>
        </w:rPr>
        <w:t xml:space="preserve">parties’ </w:t>
      </w:r>
      <w:r w:rsidR="008E7B85" w:rsidRPr="00DC6B66">
        <w:rPr>
          <w:sz w:val="28"/>
          <w:szCs w:val="28"/>
        </w:rPr>
        <w:t>children.</w:t>
      </w:r>
      <w:r w:rsidR="008E7B85">
        <w:rPr>
          <w:rFonts w:ascii="Tahoma" w:hAnsi="Tahoma" w:cs="Tahoma"/>
          <w:sz w:val="24"/>
          <w:szCs w:val="24"/>
        </w:rPr>
        <w:t xml:space="preserve"> </w:t>
      </w:r>
    </w:p>
    <w:p w14:paraId="6C7F2E78" w14:textId="56E9AAFD" w:rsidR="00660C65" w:rsidRPr="009B503E" w:rsidRDefault="00673D66" w:rsidP="009B503E">
      <w:pPr>
        <w:pStyle w:val="Body"/>
        <w:widowControl w:val="0"/>
        <w:spacing w:line="480" w:lineRule="auto"/>
        <w:ind w:firstLine="720"/>
        <w:jc w:val="both"/>
        <w:rPr>
          <w:sz w:val="28"/>
          <w:szCs w:val="28"/>
        </w:rPr>
      </w:pPr>
      <w:r>
        <w:rPr>
          <w:sz w:val="28"/>
          <w:szCs w:val="28"/>
        </w:rPr>
        <w:t>Added to these far-reaching impacts is the fact that, according to the Petition, 99% of eviction defendants are unrepresented, while about 99% of plaintiffs are represented, giving rise to an inherently uneven playing field.</w:t>
      </w:r>
    </w:p>
    <w:p w14:paraId="68693EBE" w14:textId="4477FD61" w:rsidR="00AC5EC7" w:rsidRPr="00561ABB" w:rsidRDefault="00235BFC" w:rsidP="00561ABB">
      <w:pPr>
        <w:spacing w:line="480" w:lineRule="auto"/>
        <w:ind w:firstLine="720"/>
        <w:jc w:val="both"/>
        <w:rPr>
          <w:sz w:val="28"/>
          <w:szCs w:val="28"/>
        </w:rPr>
      </w:pPr>
      <w:r>
        <w:rPr>
          <w:sz w:val="28"/>
          <w:szCs w:val="28"/>
        </w:rPr>
        <w:t xml:space="preserve"> In sum, </w:t>
      </w:r>
      <w:r w:rsidR="00A6430C">
        <w:rPr>
          <w:sz w:val="28"/>
          <w:szCs w:val="28"/>
        </w:rPr>
        <w:t>robust</w:t>
      </w:r>
      <w:r w:rsidR="00AC5EC7" w:rsidRPr="00561ABB">
        <w:rPr>
          <w:sz w:val="28"/>
          <w:szCs w:val="28"/>
        </w:rPr>
        <w:t xml:space="preserve"> protections </w:t>
      </w:r>
      <w:r w:rsidR="005B3162">
        <w:rPr>
          <w:sz w:val="28"/>
          <w:szCs w:val="28"/>
        </w:rPr>
        <w:t>appear</w:t>
      </w:r>
      <w:r w:rsidR="00A6430C">
        <w:rPr>
          <w:sz w:val="28"/>
          <w:szCs w:val="28"/>
        </w:rPr>
        <w:t xml:space="preserve"> </w:t>
      </w:r>
      <w:r w:rsidR="009B503E">
        <w:rPr>
          <w:sz w:val="28"/>
          <w:szCs w:val="28"/>
        </w:rPr>
        <w:t>ow</w:t>
      </w:r>
      <w:r w:rsidR="00416255">
        <w:rPr>
          <w:sz w:val="28"/>
          <w:szCs w:val="28"/>
        </w:rPr>
        <w:t>ed</w:t>
      </w:r>
      <w:r w:rsidR="009B503E">
        <w:rPr>
          <w:sz w:val="28"/>
          <w:szCs w:val="28"/>
        </w:rPr>
        <w:t xml:space="preserve"> to</w:t>
      </w:r>
      <w:r w:rsidR="00A6430C">
        <w:rPr>
          <w:sz w:val="28"/>
          <w:szCs w:val="28"/>
        </w:rPr>
        <w:t xml:space="preserve"> </w:t>
      </w:r>
      <w:r w:rsidR="008E7B85">
        <w:rPr>
          <w:sz w:val="28"/>
          <w:szCs w:val="28"/>
        </w:rPr>
        <w:t xml:space="preserve">parties </w:t>
      </w:r>
      <w:r w:rsidR="00A6430C">
        <w:rPr>
          <w:sz w:val="28"/>
          <w:szCs w:val="28"/>
        </w:rPr>
        <w:t>s</w:t>
      </w:r>
      <w:r w:rsidR="008E7B85">
        <w:rPr>
          <w:sz w:val="28"/>
          <w:szCs w:val="28"/>
        </w:rPr>
        <w:t xml:space="preserve">eeking </w:t>
      </w:r>
      <w:r w:rsidR="00A6430C">
        <w:rPr>
          <w:sz w:val="28"/>
          <w:szCs w:val="28"/>
        </w:rPr>
        <w:t xml:space="preserve">relief from </w:t>
      </w:r>
      <w:proofErr w:type="gramStart"/>
      <w:r w:rsidR="00A6430C">
        <w:rPr>
          <w:sz w:val="28"/>
          <w:szCs w:val="28"/>
        </w:rPr>
        <w:t>eviction</w:t>
      </w:r>
      <w:proofErr w:type="gramEnd"/>
      <w:r w:rsidR="00A6430C">
        <w:rPr>
          <w:sz w:val="28"/>
          <w:szCs w:val="28"/>
        </w:rPr>
        <w:t xml:space="preserve"> judgments, orders, and proceedings</w:t>
      </w:r>
      <w:r w:rsidR="00AC5EC7" w:rsidRPr="00561ABB">
        <w:rPr>
          <w:sz w:val="28"/>
          <w:szCs w:val="28"/>
        </w:rPr>
        <w:t>.</w:t>
      </w:r>
      <w:r w:rsidR="00A6430C" w:rsidRPr="00A6430C">
        <w:rPr>
          <w:sz w:val="28"/>
          <w:szCs w:val="28"/>
        </w:rPr>
        <w:t xml:space="preserve"> </w:t>
      </w:r>
      <w:r w:rsidR="00AC5EC7" w:rsidRPr="00561ABB">
        <w:rPr>
          <w:sz w:val="28"/>
          <w:szCs w:val="28"/>
        </w:rPr>
        <w:t xml:space="preserve">The leading Supreme Court case for establishing the requirements of due process </w:t>
      </w:r>
      <w:r>
        <w:rPr>
          <w:sz w:val="28"/>
          <w:szCs w:val="28"/>
        </w:rPr>
        <w:t xml:space="preserve">in this context </w:t>
      </w:r>
      <w:r w:rsidR="00AC5EC7" w:rsidRPr="00561ABB">
        <w:rPr>
          <w:sz w:val="28"/>
          <w:szCs w:val="28"/>
        </w:rPr>
        <w:t xml:space="preserve">is </w:t>
      </w:r>
      <w:r w:rsidR="00AC5EC7" w:rsidRPr="00561ABB">
        <w:rPr>
          <w:i/>
          <w:iCs/>
          <w:sz w:val="28"/>
          <w:szCs w:val="28"/>
        </w:rPr>
        <w:t>Mathews v. Eldridge</w:t>
      </w:r>
      <w:r w:rsidR="00AC5EC7" w:rsidRPr="00561ABB">
        <w:rPr>
          <w:sz w:val="28"/>
          <w:szCs w:val="28"/>
        </w:rPr>
        <w:t xml:space="preserve">, which </w:t>
      </w:r>
      <w:r w:rsidR="004A6A6F">
        <w:rPr>
          <w:sz w:val="28"/>
          <w:szCs w:val="28"/>
        </w:rPr>
        <w:t>established</w:t>
      </w:r>
      <w:r w:rsidR="00AC5EC7" w:rsidRPr="00561ABB">
        <w:rPr>
          <w:sz w:val="28"/>
          <w:szCs w:val="28"/>
        </w:rPr>
        <w:t xml:space="preserve"> a three-factor test for determining what process is due prior to the deprivation of some property interest.</w:t>
      </w:r>
      <w:r w:rsidR="00AC5EC7" w:rsidRPr="00561ABB">
        <w:rPr>
          <w:rStyle w:val="FootnoteReference"/>
          <w:sz w:val="28"/>
          <w:szCs w:val="28"/>
        </w:rPr>
        <w:footnoteReference w:id="9"/>
      </w:r>
      <w:r w:rsidR="00AC5EC7" w:rsidRPr="00561ABB">
        <w:rPr>
          <w:sz w:val="28"/>
          <w:szCs w:val="28"/>
        </w:rPr>
        <w:t xml:space="preserve"> One of these factors is the private interest that will be affected by the official action, with a more important private interest weighing in favor of stronger due process protections.</w:t>
      </w:r>
      <w:r w:rsidR="00AC5EC7" w:rsidRPr="00561ABB">
        <w:rPr>
          <w:rStyle w:val="FootnoteReference"/>
          <w:sz w:val="28"/>
          <w:szCs w:val="28"/>
        </w:rPr>
        <w:footnoteReference w:id="10"/>
      </w:r>
      <w:r w:rsidR="00AC5EC7" w:rsidRPr="00561ABB">
        <w:rPr>
          <w:sz w:val="28"/>
          <w:szCs w:val="28"/>
        </w:rPr>
        <w:t xml:space="preserve"> </w:t>
      </w:r>
      <w:r w:rsidR="00AC5EC7" w:rsidRPr="00561ABB">
        <w:rPr>
          <w:i/>
          <w:iCs/>
          <w:sz w:val="28"/>
          <w:szCs w:val="28"/>
        </w:rPr>
        <w:t>Goldberg v. Kelly</w:t>
      </w:r>
      <w:r w:rsidR="00AC5EC7" w:rsidRPr="00561ABB">
        <w:rPr>
          <w:sz w:val="28"/>
          <w:szCs w:val="28"/>
        </w:rPr>
        <w:t xml:space="preserve"> lays out this principle explicitly, holding that “[t]he extent to which procedural due process must be afforded the recipient is influenced by the extent to which he may be ‘condemned to suffer grievous loss.’”</w:t>
      </w:r>
      <w:r w:rsidR="00AC5EC7" w:rsidRPr="00561ABB">
        <w:rPr>
          <w:rStyle w:val="FootnoteReference"/>
          <w:sz w:val="28"/>
          <w:szCs w:val="28"/>
        </w:rPr>
        <w:footnoteReference w:id="11"/>
      </w:r>
      <w:r w:rsidR="00AC5EC7" w:rsidRPr="00561ABB">
        <w:rPr>
          <w:sz w:val="28"/>
          <w:szCs w:val="28"/>
        </w:rPr>
        <w:t xml:space="preserve"> The Supreme Court has also </w:t>
      </w:r>
      <w:r w:rsidR="005B4F67">
        <w:rPr>
          <w:sz w:val="28"/>
          <w:szCs w:val="28"/>
        </w:rPr>
        <w:t>held</w:t>
      </w:r>
      <w:r w:rsidR="005B4F67" w:rsidRPr="00561ABB">
        <w:rPr>
          <w:sz w:val="28"/>
          <w:szCs w:val="28"/>
        </w:rPr>
        <w:t xml:space="preserve"> </w:t>
      </w:r>
      <w:r w:rsidR="00AC5EC7" w:rsidRPr="00561ABB">
        <w:rPr>
          <w:sz w:val="28"/>
          <w:szCs w:val="28"/>
        </w:rPr>
        <w:t xml:space="preserve">that in </w:t>
      </w:r>
      <w:r w:rsidR="00AC5EC7" w:rsidRPr="00561ABB">
        <w:rPr>
          <w:sz w:val="28"/>
          <w:szCs w:val="28"/>
        </w:rPr>
        <w:lastRenderedPageBreak/>
        <w:t>proceedings where the defendant would face harsher consequences than the plaintiff in a civil action, due process may require heightened procedural protection for that defendant.</w:t>
      </w:r>
      <w:r w:rsidR="00AC5EC7" w:rsidRPr="00561ABB">
        <w:rPr>
          <w:rStyle w:val="FootnoteReference"/>
          <w:sz w:val="28"/>
          <w:szCs w:val="28"/>
        </w:rPr>
        <w:footnoteReference w:id="12"/>
      </w:r>
    </w:p>
    <w:p w14:paraId="49A2037B" w14:textId="4A405538" w:rsidR="00673D66" w:rsidRDefault="00AC5EC7" w:rsidP="00235BFC">
      <w:pPr>
        <w:spacing w:line="480" w:lineRule="auto"/>
        <w:ind w:firstLine="720"/>
        <w:jc w:val="both"/>
        <w:rPr>
          <w:sz w:val="28"/>
          <w:szCs w:val="28"/>
        </w:rPr>
      </w:pPr>
      <w:r w:rsidRPr="00235BFC">
        <w:rPr>
          <w:sz w:val="28"/>
          <w:szCs w:val="28"/>
        </w:rPr>
        <w:t>The Arizona Constitution has a similar due process provision to the federal Constitution</w:t>
      </w:r>
      <w:r w:rsidRPr="00235BFC">
        <w:rPr>
          <w:rStyle w:val="FootnoteReference"/>
          <w:sz w:val="28"/>
          <w:szCs w:val="28"/>
        </w:rPr>
        <w:footnoteReference w:id="13"/>
      </w:r>
      <w:r w:rsidRPr="00235BFC">
        <w:rPr>
          <w:sz w:val="28"/>
          <w:szCs w:val="28"/>
        </w:rPr>
        <w:t xml:space="preserve"> and Arizona law likewise emphasizes the increased importance of due process protections in proceedings</w:t>
      </w:r>
      <w:r w:rsidR="00235BFC">
        <w:rPr>
          <w:sz w:val="28"/>
          <w:szCs w:val="28"/>
        </w:rPr>
        <w:t xml:space="preserve"> with serious</w:t>
      </w:r>
      <w:r w:rsidR="00495B5F">
        <w:rPr>
          <w:sz w:val="28"/>
          <w:szCs w:val="28"/>
        </w:rPr>
        <w:t xml:space="preserve"> </w:t>
      </w:r>
      <w:r w:rsidR="00EC6994">
        <w:rPr>
          <w:sz w:val="28"/>
          <w:szCs w:val="28"/>
        </w:rPr>
        <w:t>risk of erroneous deprivation</w:t>
      </w:r>
      <w:r w:rsidRPr="00235BFC">
        <w:rPr>
          <w:sz w:val="28"/>
          <w:szCs w:val="28"/>
        </w:rPr>
        <w:t xml:space="preserve">. In cases of government deprivations, the Arizona Supreme Court has adopted and applied the </w:t>
      </w:r>
      <w:r w:rsidRPr="00235BFC">
        <w:rPr>
          <w:i/>
          <w:iCs/>
          <w:sz w:val="28"/>
          <w:szCs w:val="28"/>
        </w:rPr>
        <w:t xml:space="preserve">Mathews </w:t>
      </w:r>
      <w:r w:rsidRPr="00235BFC">
        <w:rPr>
          <w:sz w:val="28"/>
          <w:szCs w:val="28"/>
        </w:rPr>
        <w:t>test to determine what process is due.</w:t>
      </w:r>
      <w:r w:rsidRPr="00235BFC">
        <w:rPr>
          <w:rStyle w:val="FootnoteReference"/>
          <w:sz w:val="28"/>
          <w:szCs w:val="28"/>
        </w:rPr>
        <w:footnoteReference w:id="14"/>
      </w:r>
      <w:r w:rsidRPr="00235BFC">
        <w:rPr>
          <w:sz w:val="28"/>
          <w:szCs w:val="28"/>
        </w:rPr>
        <w:t xml:space="preserve"> Arizona therefore also follows the princip</w:t>
      </w:r>
      <w:r w:rsidR="00235BFC">
        <w:rPr>
          <w:sz w:val="28"/>
          <w:szCs w:val="28"/>
        </w:rPr>
        <w:t>le</w:t>
      </w:r>
      <w:r w:rsidRPr="00235BFC">
        <w:rPr>
          <w:sz w:val="28"/>
          <w:szCs w:val="28"/>
        </w:rPr>
        <w:t xml:space="preserve"> that a more important private interest will weigh in favor of stronger due process protections.</w:t>
      </w:r>
      <w:r w:rsidRPr="00235BFC">
        <w:rPr>
          <w:rStyle w:val="FootnoteReference"/>
          <w:sz w:val="28"/>
          <w:szCs w:val="28"/>
        </w:rPr>
        <w:footnoteReference w:id="15"/>
      </w:r>
      <w:r w:rsidRPr="00235BFC">
        <w:rPr>
          <w:sz w:val="28"/>
          <w:szCs w:val="28"/>
        </w:rPr>
        <w:t xml:space="preserve"> </w:t>
      </w:r>
    </w:p>
    <w:p w14:paraId="0074340D" w14:textId="2304DD88" w:rsidR="00C80DA7" w:rsidRDefault="00FF4E27" w:rsidP="00FE7861">
      <w:pPr>
        <w:spacing w:line="480" w:lineRule="auto"/>
        <w:ind w:firstLine="720"/>
        <w:jc w:val="both"/>
        <w:rPr>
          <w:sz w:val="28"/>
          <w:szCs w:val="28"/>
        </w:rPr>
      </w:pPr>
      <w:r>
        <w:rPr>
          <w:sz w:val="28"/>
          <w:szCs w:val="28"/>
        </w:rPr>
        <w:t xml:space="preserve">Notwithstanding the need for expeditious </w:t>
      </w:r>
      <w:r w:rsidR="0011074F">
        <w:rPr>
          <w:sz w:val="28"/>
          <w:szCs w:val="28"/>
        </w:rPr>
        <w:t xml:space="preserve">processing of evictions, </w:t>
      </w:r>
      <w:r w:rsidR="00673D66">
        <w:rPr>
          <w:sz w:val="28"/>
          <w:szCs w:val="28"/>
        </w:rPr>
        <w:t xml:space="preserve">the </w:t>
      </w:r>
      <w:r w:rsidR="00A51372">
        <w:rPr>
          <w:sz w:val="28"/>
          <w:szCs w:val="28"/>
        </w:rPr>
        <w:t>consequences to</w:t>
      </w:r>
      <w:r w:rsidR="00D36EBF">
        <w:rPr>
          <w:sz w:val="28"/>
          <w:szCs w:val="28"/>
        </w:rPr>
        <w:t xml:space="preserve"> defendant</w:t>
      </w:r>
      <w:r w:rsidR="00A51372">
        <w:rPr>
          <w:sz w:val="28"/>
          <w:szCs w:val="28"/>
        </w:rPr>
        <w:t>s and their families</w:t>
      </w:r>
      <w:r w:rsidR="00673D66">
        <w:rPr>
          <w:sz w:val="28"/>
          <w:szCs w:val="28"/>
        </w:rPr>
        <w:t xml:space="preserve"> in </w:t>
      </w:r>
      <w:r w:rsidR="00D36EBF">
        <w:rPr>
          <w:sz w:val="28"/>
          <w:szCs w:val="28"/>
        </w:rPr>
        <w:t xml:space="preserve">eviction actions </w:t>
      </w:r>
      <w:r w:rsidR="004345C2">
        <w:rPr>
          <w:sz w:val="28"/>
          <w:szCs w:val="28"/>
        </w:rPr>
        <w:t xml:space="preserve">are </w:t>
      </w:r>
      <w:r w:rsidR="00510D26">
        <w:rPr>
          <w:sz w:val="28"/>
          <w:szCs w:val="28"/>
        </w:rPr>
        <w:t>sufficiently weighty</w:t>
      </w:r>
      <w:r w:rsidR="005F3416">
        <w:rPr>
          <w:sz w:val="28"/>
          <w:szCs w:val="28"/>
        </w:rPr>
        <w:t xml:space="preserve"> to </w:t>
      </w:r>
      <w:r w:rsidR="00FE7861">
        <w:rPr>
          <w:sz w:val="28"/>
          <w:szCs w:val="28"/>
        </w:rPr>
        <w:t xml:space="preserve">justify </w:t>
      </w:r>
      <w:r w:rsidR="00D0001B">
        <w:rPr>
          <w:sz w:val="28"/>
          <w:szCs w:val="28"/>
        </w:rPr>
        <w:t xml:space="preserve">a </w:t>
      </w:r>
      <w:r w:rsidR="005A0F0C">
        <w:rPr>
          <w:sz w:val="28"/>
          <w:szCs w:val="28"/>
        </w:rPr>
        <w:t>minimal</w:t>
      </w:r>
      <w:r w:rsidR="00D0001B">
        <w:rPr>
          <w:sz w:val="28"/>
          <w:szCs w:val="28"/>
        </w:rPr>
        <w:t xml:space="preserve"> continuance </w:t>
      </w:r>
      <w:r w:rsidR="005A0F0C">
        <w:rPr>
          <w:sz w:val="28"/>
          <w:szCs w:val="28"/>
        </w:rPr>
        <w:t xml:space="preserve">of three days </w:t>
      </w:r>
      <w:r w:rsidR="00123BB0">
        <w:rPr>
          <w:sz w:val="28"/>
          <w:szCs w:val="28"/>
        </w:rPr>
        <w:t>when a judge finds</w:t>
      </w:r>
      <w:r w:rsidR="00A51372">
        <w:rPr>
          <w:sz w:val="28"/>
          <w:szCs w:val="28"/>
        </w:rPr>
        <w:t xml:space="preserve"> “good cause</w:t>
      </w:r>
      <w:r w:rsidR="00673D66">
        <w:rPr>
          <w:sz w:val="28"/>
          <w:szCs w:val="28"/>
        </w:rPr>
        <w:t>.</w:t>
      </w:r>
      <w:r w:rsidR="00A51372">
        <w:rPr>
          <w:sz w:val="28"/>
          <w:szCs w:val="28"/>
        </w:rPr>
        <w:t>”</w:t>
      </w:r>
      <w:r w:rsidR="00FE7861">
        <w:rPr>
          <w:sz w:val="28"/>
          <w:szCs w:val="28"/>
        </w:rPr>
        <w:t xml:space="preserve"> </w:t>
      </w:r>
      <w:r w:rsidR="001A7DCF">
        <w:rPr>
          <w:sz w:val="28"/>
          <w:szCs w:val="28"/>
        </w:rPr>
        <w:t xml:space="preserve">It </w:t>
      </w:r>
      <w:r w:rsidR="00940D13">
        <w:rPr>
          <w:sz w:val="28"/>
          <w:szCs w:val="28"/>
        </w:rPr>
        <w:t>is worth re-emphasizing</w:t>
      </w:r>
      <w:r w:rsidR="001A7DCF">
        <w:rPr>
          <w:sz w:val="28"/>
          <w:szCs w:val="28"/>
        </w:rPr>
        <w:t xml:space="preserve"> that no continuance will be granted under the proposed amendment unless the judge finds “good cause”</w:t>
      </w:r>
      <w:r w:rsidR="0035293D">
        <w:rPr>
          <w:sz w:val="28"/>
          <w:szCs w:val="28"/>
        </w:rPr>
        <w:t xml:space="preserve"> </w:t>
      </w:r>
      <w:r w:rsidR="007E2FF8">
        <w:rPr>
          <w:sz w:val="28"/>
          <w:szCs w:val="28"/>
        </w:rPr>
        <w:t>for the continuance</w:t>
      </w:r>
      <w:r w:rsidR="00762F60">
        <w:rPr>
          <w:sz w:val="28"/>
          <w:szCs w:val="28"/>
        </w:rPr>
        <w:t xml:space="preserve">. The </w:t>
      </w:r>
      <w:r w:rsidR="00762F60">
        <w:rPr>
          <w:sz w:val="28"/>
          <w:szCs w:val="28"/>
        </w:rPr>
        <w:lastRenderedPageBreak/>
        <w:t xml:space="preserve">judge is free to deny </w:t>
      </w:r>
      <w:proofErr w:type="gramStart"/>
      <w:r w:rsidR="00762F60">
        <w:rPr>
          <w:sz w:val="28"/>
          <w:szCs w:val="28"/>
        </w:rPr>
        <w:t>a continuance</w:t>
      </w:r>
      <w:proofErr w:type="gramEnd"/>
      <w:r w:rsidR="00762F60">
        <w:rPr>
          <w:sz w:val="28"/>
          <w:szCs w:val="28"/>
        </w:rPr>
        <w:t xml:space="preserve"> upon finding that the grounds </w:t>
      </w:r>
      <w:r w:rsidR="005C1BD1">
        <w:rPr>
          <w:sz w:val="28"/>
          <w:szCs w:val="28"/>
        </w:rPr>
        <w:t xml:space="preserve">fall short, such as when the </w:t>
      </w:r>
      <w:r w:rsidR="00E1709E">
        <w:rPr>
          <w:sz w:val="28"/>
          <w:szCs w:val="28"/>
        </w:rPr>
        <w:t xml:space="preserve">motion is </w:t>
      </w:r>
      <w:r w:rsidR="00F04876">
        <w:rPr>
          <w:sz w:val="28"/>
          <w:szCs w:val="28"/>
        </w:rPr>
        <w:t>filed merely for delay.</w:t>
      </w:r>
    </w:p>
    <w:p w14:paraId="64722041" w14:textId="738AB05F" w:rsidR="00A97B3C" w:rsidRPr="00FE7861" w:rsidRDefault="00673D66" w:rsidP="00FE7861">
      <w:pPr>
        <w:spacing w:line="480" w:lineRule="auto"/>
        <w:ind w:firstLine="720"/>
        <w:jc w:val="both"/>
        <w:rPr>
          <w:rFonts w:ascii="Tahoma" w:hAnsi="Tahoma" w:cs="Tahoma"/>
          <w:sz w:val="24"/>
          <w:szCs w:val="24"/>
        </w:rPr>
      </w:pPr>
      <w:r>
        <w:rPr>
          <w:sz w:val="28"/>
          <w:szCs w:val="28"/>
        </w:rPr>
        <w:t xml:space="preserve">The Bar </w:t>
      </w:r>
      <w:r w:rsidR="003E1C14">
        <w:rPr>
          <w:sz w:val="28"/>
          <w:szCs w:val="28"/>
        </w:rPr>
        <w:t>makes the following recommendations with respect to</w:t>
      </w:r>
      <w:r>
        <w:rPr>
          <w:sz w:val="28"/>
          <w:szCs w:val="28"/>
        </w:rPr>
        <w:t xml:space="preserve"> the</w:t>
      </w:r>
      <w:r w:rsidR="00A97B3C">
        <w:rPr>
          <w:sz w:val="28"/>
          <w:szCs w:val="28"/>
        </w:rPr>
        <w:t xml:space="preserve"> </w:t>
      </w:r>
      <w:r w:rsidR="009B503E">
        <w:rPr>
          <w:sz w:val="28"/>
          <w:szCs w:val="28"/>
        </w:rPr>
        <w:t xml:space="preserve">Petition’s </w:t>
      </w:r>
      <w:r w:rsidR="008707BB">
        <w:rPr>
          <w:sz w:val="28"/>
          <w:szCs w:val="28"/>
        </w:rPr>
        <w:t xml:space="preserve">respective </w:t>
      </w:r>
      <w:r w:rsidR="00FE7861">
        <w:rPr>
          <w:sz w:val="28"/>
          <w:szCs w:val="28"/>
        </w:rPr>
        <w:t>proposals</w:t>
      </w:r>
      <w:r w:rsidR="00A97B3C">
        <w:rPr>
          <w:sz w:val="28"/>
          <w:szCs w:val="28"/>
        </w:rPr>
        <w:t>:</w:t>
      </w:r>
    </w:p>
    <w:p w14:paraId="094C4DB6" w14:textId="5BAF55EE" w:rsidR="00A97B3C" w:rsidRDefault="004345C2" w:rsidP="00A97B3C">
      <w:pPr>
        <w:pStyle w:val="Body"/>
        <w:widowControl w:val="0"/>
        <w:numPr>
          <w:ilvl w:val="0"/>
          <w:numId w:val="16"/>
        </w:numPr>
        <w:spacing w:line="480" w:lineRule="auto"/>
        <w:jc w:val="both"/>
        <w:rPr>
          <w:sz w:val="28"/>
          <w:szCs w:val="28"/>
        </w:rPr>
      </w:pPr>
      <w:r>
        <w:rPr>
          <w:sz w:val="28"/>
          <w:szCs w:val="28"/>
        </w:rPr>
        <w:t xml:space="preserve"> </w:t>
      </w:r>
      <w:r w:rsidR="00012D08" w:rsidRPr="00DC6B66">
        <w:rPr>
          <w:sz w:val="28"/>
          <w:szCs w:val="28"/>
          <w:u w:val="single"/>
        </w:rPr>
        <w:t>The proposal to</w:t>
      </w:r>
      <w:r w:rsidR="00012D08">
        <w:rPr>
          <w:sz w:val="28"/>
          <w:szCs w:val="28"/>
        </w:rPr>
        <w:t xml:space="preserve"> </w:t>
      </w:r>
      <w:r w:rsidR="00012D08">
        <w:rPr>
          <w:sz w:val="28"/>
          <w:szCs w:val="28"/>
          <w:u w:val="single"/>
        </w:rPr>
        <w:t>c</w:t>
      </w:r>
      <w:r w:rsidR="00BF736C">
        <w:rPr>
          <w:sz w:val="28"/>
          <w:szCs w:val="28"/>
          <w:u w:val="single"/>
        </w:rPr>
        <w:t>hang</w:t>
      </w:r>
      <w:r w:rsidR="00012D08">
        <w:rPr>
          <w:sz w:val="28"/>
          <w:szCs w:val="28"/>
          <w:u w:val="single"/>
        </w:rPr>
        <w:t>e</w:t>
      </w:r>
      <w:r w:rsidR="00BF736C">
        <w:rPr>
          <w:sz w:val="28"/>
          <w:szCs w:val="28"/>
          <w:u w:val="single"/>
        </w:rPr>
        <w:t xml:space="preserve"> “may” to “shall” in Rule 11(d)</w:t>
      </w:r>
      <w:r>
        <w:rPr>
          <w:sz w:val="28"/>
          <w:szCs w:val="28"/>
        </w:rPr>
        <w:t xml:space="preserve">: </w:t>
      </w:r>
      <w:bookmarkStart w:id="11" w:name="_Hlk193702754"/>
      <w:r w:rsidR="00BF736C">
        <w:rPr>
          <w:sz w:val="28"/>
          <w:szCs w:val="28"/>
        </w:rPr>
        <w:t>The State Bar proposes that the following amendment be substituted for the version proposed by the Petition:</w:t>
      </w:r>
    </w:p>
    <w:p w14:paraId="5E7EA870" w14:textId="38BEC7C3" w:rsidR="00BF736C" w:rsidRDefault="00BF736C" w:rsidP="00BF736C">
      <w:pPr>
        <w:pStyle w:val="BodyText"/>
        <w:widowControl w:val="0"/>
        <w:spacing w:line="240" w:lineRule="auto"/>
        <w:ind w:left="1080" w:right="720"/>
        <w:jc w:val="both"/>
        <w:rPr>
          <w:bCs/>
          <w:sz w:val="28"/>
          <w:szCs w:val="28"/>
        </w:rPr>
      </w:pPr>
      <w:r>
        <w:rPr>
          <w:bCs/>
          <w:sz w:val="28"/>
          <w:szCs w:val="28"/>
        </w:rPr>
        <w:t xml:space="preserve">Whenever possible, the trial should be held on the initial return date.  </w:t>
      </w:r>
      <w:r w:rsidRPr="006360F7">
        <w:rPr>
          <w:bCs/>
          <w:sz w:val="28"/>
          <w:szCs w:val="28"/>
        </w:rPr>
        <w:t xml:space="preserve">The court </w:t>
      </w:r>
      <w:proofErr w:type="gramStart"/>
      <w:r w:rsidRPr="00BF736C">
        <w:rPr>
          <w:bCs/>
          <w:strike/>
          <w:sz w:val="28"/>
          <w:szCs w:val="28"/>
        </w:rPr>
        <w:t>may</w:t>
      </w:r>
      <w:r w:rsidRPr="00BF736C">
        <w:rPr>
          <w:bCs/>
          <w:sz w:val="28"/>
          <w:szCs w:val="28"/>
        </w:rPr>
        <w:t xml:space="preserve"> </w:t>
      </w:r>
      <w:r w:rsidRPr="00BF736C">
        <w:rPr>
          <w:bCs/>
          <w:sz w:val="28"/>
          <w:szCs w:val="28"/>
          <w:u w:val="single"/>
        </w:rPr>
        <w:t>shall</w:t>
      </w:r>
      <w:proofErr w:type="gramEnd"/>
      <w:r>
        <w:rPr>
          <w:bCs/>
          <w:sz w:val="28"/>
          <w:szCs w:val="28"/>
        </w:rPr>
        <w:t xml:space="preserve"> </w:t>
      </w:r>
      <w:r w:rsidRPr="006360F7">
        <w:rPr>
          <w:bCs/>
          <w:sz w:val="28"/>
          <w:szCs w:val="28"/>
        </w:rPr>
        <w:t xml:space="preserve">order </w:t>
      </w:r>
      <w:proofErr w:type="gramStart"/>
      <w:r w:rsidRPr="00BF736C">
        <w:rPr>
          <w:bCs/>
          <w:strike/>
          <w:sz w:val="28"/>
          <w:szCs w:val="28"/>
        </w:rPr>
        <w:t>the</w:t>
      </w:r>
      <w:r w:rsidRPr="006360F7">
        <w:rPr>
          <w:bCs/>
          <w:sz w:val="28"/>
          <w:szCs w:val="28"/>
        </w:rPr>
        <w:t xml:space="preserve"> </w:t>
      </w:r>
      <w:r w:rsidR="00BE78BF">
        <w:rPr>
          <w:bCs/>
          <w:sz w:val="28"/>
          <w:szCs w:val="28"/>
          <w:u w:val="single"/>
        </w:rPr>
        <w:t>a</w:t>
      </w:r>
      <w:proofErr w:type="gramEnd"/>
      <w:r w:rsidR="00BE78BF">
        <w:rPr>
          <w:bCs/>
          <w:sz w:val="28"/>
          <w:szCs w:val="28"/>
          <w:u w:val="single"/>
        </w:rPr>
        <w:t xml:space="preserve"> single</w:t>
      </w:r>
      <w:r>
        <w:rPr>
          <w:bCs/>
          <w:sz w:val="28"/>
          <w:szCs w:val="28"/>
        </w:rPr>
        <w:t xml:space="preserve"> </w:t>
      </w:r>
      <w:r w:rsidRPr="006360F7">
        <w:rPr>
          <w:bCs/>
          <w:sz w:val="28"/>
          <w:szCs w:val="28"/>
        </w:rPr>
        <w:t>continuance</w:t>
      </w:r>
      <w:r>
        <w:rPr>
          <w:bCs/>
          <w:sz w:val="28"/>
          <w:szCs w:val="28"/>
        </w:rPr>
        <w:t xml:space="preserve"> of a trial date by up to three court days in justice court or ten days in superior court on the request of a party</w:t>
      </w:r>
      <w:r w:rsidR="00BE78BF">
        <w:rPr>
          <w:bCs/>
          <w:sz w:val="28"/>
          <w:szCs w:val="28"/>
        </w:rPr>
        <w:t xml:space="preserve"> </w:t>
      </w:r>
      <w:r w:rsidR="00BE78BF" w:rsidRPr="00BE78BF">
        <w:rPr>
          <w:bCs/>
          <w:strike/>
          <w:sz w:val="28"/>
          <w:szCs w:val="28"/>
        </w:rPr>
        <w:t>for</w:t>
      </w:r>
      <w:r>
        <w:rPr>
          <w:bCs/>
          <w:sz w:val="28"/>
          <w:szCs w:val="28"/>
        </w:rPr>
        <w:t xml:space="preserve"> </w:t>
      </w:r>
      <w:r w:rsidRPr="00BF736C">
        <w:rPr>
          <w:bCs/>
          <w:sz w:val="28"/>
          <w:szCs w:val="28"/>
          <w:u w:val="single"/>
        </w:rPr>
        <w:t>if the court finds</w:t>
      </w:r>
      <w:r w:rsidR="00BE78BF" w:rsidRPr="00BE78BF">
        <w:rPr>
          <w:bCs/>
          <w:sz w:val="28"/>
          <w:szCs w:val="28"/>
        </w:rPr>
        <w:t xml:space="preserve"> </w:t>
      </w:r>
      <w:r w:rsidRPr="00BE78BF">
        <w:rPr>
          <w:bCs/>
          <w:sz w:val="28"/>
          <w:szCs w:val="28"/>
        </w:rPr>
        <w:t>good cause shown</w:t>
      </w:r>
      <w:r w:rsidR="00BE78BF" w:rsidRPr="00BE78BF">
        <w:rPr>
          <w:bCs/>
          <w:sz w:val="28"/>
          <w:szCs w:val="28"/>
        </w:rPr>
        <w:t xml:space="preserve"> </w:t>
      </w:r>
      <w:r w:rsidR="00BE78BF">
        <w:rPr>
          <w:bCs/>
          <w:sz w:val="28"/>
          <w:szCs w:val="28"/>
          <w:u w:val="single"/>
        </w:rPr>
        <w:t>by such request. The court may also order a single continuance of a trial</w:t>
      </w:r>
      <w:r>
        <w:rPr>
          <w:bCs/>
          <w:sz w:val="28"/>
          <w:szCs w:val="28"/>
        </w:rPr>
        <w:t xml:space="preserve"> </w:t>
      </w:r>
      <w:r w:rsidR="00BE78BF" w:rsidRPr="00BE78BF">
        <w:rPr>
          <w:bCs/>
          <w:sz w:val="28"/>
          <w:szCs w:val="28"/>
          <w:u w:val="single"/>
        </w:rPr>
        <w:t>date</w:t>
      </w:r>
      <w:r w:rsidR="00BE78BF">
        <w:rPr>
          <w:bCs/>
          <w:sz w:val="28"/>
          <w:szCs w:val="28"/>
        </w:rPr>
        <w:t xml:space="preserve"> </w:t>
      </w:r>
      <w:r w:rsidR="00BE78BF" w:rsidRPr="00BE78BF">
        <w:rPr>
          <w:bCs/>
          <w:strike/>
          <w:sz w:val="28"/>
          <w:szCs w:val="28"/>
        </w:rPr>
        <w:t>or</w:t>
      </w:r>
      <w:r w:rsidR="00BE78BF">
        <w:rPr>
          <w:bCs/>
          <w:sz w:val="28"/>
          <w:szCs w:val="28"/>
        </w:rPr>
        <w:t xml:space="preserve"> </w:t>
      </w:r>
      <w:r w:rsidRPr="00BE78BF">
        <w:rPr>
          <w:bCs/>
          <w:sz w:val="28"/>
          <w:szCs w:val="28"/>
        </w:rPr>
        <w:t>to accommodate</w:t>
      </w:r>
      <w:r>
        <w:rPr>
          <w:bCs/>
          <w:sz w:val="28"/>
          <w:szCs w:val="28"/>
        </w:rPr>
        <w:t xml:space="preserve"> the demands of the court’s calendar</w:t>
      </w:r>
      <w:r w:rsidR="0035209C">
        <w:rPr>
          <w:bCs/>
          <w:sz w:val="28"/>
          <w:szCs w:val="28"/>
        </w:rPr>
        <w:t>.</w:t>
      </w:r>
      <w:r w:rsidRPr="0035209C">
        <w:rPr>
          <w:bCs/>
          <w:strike/>
          <w:sz w:val="28"/>
          <w:szCs w:val="28"/>
        </w:rPr>
        <w:t>, but</w:t>
      </w:r>
      <w:r>
        <w:rPr>
          <w:bCs/>
          <w:sz w:val="28"/>
          <w:szCs w:val="28"/>
        </w:rPr>
        <w:t xml:space="preserve"> </w:t>
      </w:r>
      <w:proofErr w:type="spellStart"/>
      <w:r w:rsidR="0035209C" w:rsidRPr="0035209C">
        <w:rPr>
          <w:bCs/>
          <w:sz w:val="28"/>
          <w:szCs w:val="28"/>
          <w:u w:val="single"/>
        </w:rPr>
        <w:t>T</w:t>
      </w:r>
      <w:r w:rsidR="0035209C" w:rsidRPr="0035209C">
        <w:rPr>
          <w:bCs/>
          <w:strike/>
          <w:sz w:val="28"/>
          <w:szCs w:val="28"/>
        </w:rPr>
        <w:t>t</w:t>
      </w:r>
      <w:r>
        <w:rPr>
          <w:bCs/>
          <w:sz w:val="28"/>
          <w:szCs w:val="28"/>
        </w:rPr>
        <w:t>he</w:t>
      </w:r>
      <w:proofErr w:type="spellEnd"/>
      <w:r>
        <w:rPr>
          <w:bCs/>
          <w:sz w:val="28"/>
          <w:szCs w:val="28"/>
        </w:rPr>
        <w:t xml:space="preserve"> court nevertheless shall give priority to hearing and resolving alleged “immediate and irreparable” evictions.  No continuance of more than three court days in justice courts or ten days in superior courts may be ordered unless both parties </w:t>
      </w:r>
      <w:proofErr w:type="gramStart"/>
      <w:r>
        <w:rPr>
          <w:bCs/>
          <w:sz w:val="28"/>
          <w:szCs w:val="28"/>
        </w:rPr>
        <w:t>are in agreement</w:t>
      </w:r>
      <w:proofErr w:type="gramEnd"/>
      <w:r>
        <w:rPr>
          <w:bCs/>
          <w:sz w:val="28"/>
          <w:szCs w:val="28"/>
        </w:rPr>
        <w:t>.</w:t>
      </w:r>
    </w:p>
    <w:p w14:paraId="1CFCD894" w14:textId="77777777" w:rsidR="00BF736C" w:rsidRDefault="00BF736C" w:rsidP="00BF736C">
      <w:pPr>
        <w:pStyle w:val="Body"/>
        <w:widowControl w:val="0"/>
        <w:spacing w:line="240" w:lineRule="auto"/>
        <w:ind w:left="576" w:right="576" w:firstLine="0"/>
        <w:jc w:val="both"/>
        <w:rPr>
          <w:sz w:val="28"/>
          <w:szCs w:val="28"/>
        </w:rPr>
      </w:pPr>
    </w:p>
    <w:p w14:paraId="4F4E738D" w14:textId="77838F26" w:rsidR="00BE78BF" w:rsidRPr="0035209C" w:rsidRDefault="00BE78BF" w:rsidP="001C3E6C">
      <w:pPr>
        <w:pStyle w:val="Body"/>
        <w:widowControl w:val="0"/>
        <w:numPr>
          <w:ilvl w:val="0"/>
          <w:numId w:val="16"/>
        </w:numPr>
        <w:spacing w:line="480" w:lineRule="auto"/>
        <w:jc w:val="both"/>
        <w:rPr>
          <w:b/>
          <w:sz w:val="28"/>
          <w:szCs w:val="28"/>
        </w:rPr>
      </w:pPr>
      <w:r>
        <w:rPr>
          <w:sz w:val="28"/>
          <w:szCs w:val="28"/>
          <w:u w:val="single"/>
        </w:rPr>
        <w:t xml:space="preserve">The </w:t>
      </w:r>
      <w:r w:rsidR="00BB04EE">
        <w:rPr>
          <w:sz w:val="28"/>
          <w:szCs w:val="28"/>
          <w:u w:val="single"/>
        </w:rPr>
        <w:t xml:space="preserve">proposal to amend the </w:t>
      </w:r>
      <w:r w:rsidR="009460CD">
        <w:rPr>
          <w:sz w:val="28"/>
          <w:szCs w:val="28"/>
          <w:u w:val="single"/>
        </w:rPr>
        <w:t xml:space="preserve">definition </w:t>
      </w:r>
      <w:r w:rsidR="008741DF">
        <w:rPr>
          <w:sz w:val="28"/>
          <w:szCs w:val="28"/>
          <w:u w:val="single"/>
        </w:rPr>
        <w:t>of</w:t>
      </w:r>
      <w:r w:rsidR="009460CD">
        <w:rPr>
          <w:sz w:val="28"/>
          <w:szCs w:val="28"/>
          <w:u w:val="single"/>
        </w:rPr>
        <w:t xml:space="preserve"> </w:t>
      </w:r>
      <w:r w:rsidR="008741DF">
        <w:rPr>
          <w:sz w:val="28"/>
          <w:szCs w:val="28"/>
          <w:u w:val="single"/>
        </w:rPr>
        <w:t>“</w:t>
      </w:r>
      <w:r w:rsidR="009460CD">
        <w:rPr>
          <w:sz w:val="28"/>
          <w:szCs w:val="28"/>
          <w:u w:val="single"/>
        </w:rPr>
        <w:t>g</w:t>
      </w:r>
      <w:r>
        <w:rPr>
          <w:sz w:val="28"/>
          <w:szCs w:val="28"/>
          <w:u w:val="single"/>
        </w:rPr>
        <w:t>ood cause” in Rule 18(d)</w:t>
      </w:r>
      <w:r w:rsidR="004345C2" w:rsidRPr="00197291">
        <w:rPr>
          <w:sz w:val="28"/>
          <w:szCs w:val="28"/>
        </w:rPr>
        <w:t>:</w:t>
      </w:r>
      <w:r w:rsidR="005B3162" w:rsidRPr="00197291">
        <w:rPr>
          <w:sz w:val="28"/>
          <w:szCs w:val="28"/>
        </w:rPr>
        <w:t xml:space="preserve"> </w:t>
      </w:r>
      <w:r w:rsidR="0035209C">
        <w:rPr>
          <w:sz w:val="28"/>
          <w:szCs w:val="28"/>
        </w:rPr>
        <w:t>The State Bar</w:t>
      </w:r>
      <w:r w:rsidR="007629AF">
        <w:rPr>
          <w:sz w:val="28"/>
          <w:szCs w:val="28"/>
        </w:rPr>
        <w:t xml:space="preserve"> proposes to </w:t>
      </w:r>
      <w:r w:rsidR="0035209C">
        <w:rPr>
          <w:sz w:val="28"/>
          <w:szCs w:val="28"/>
        </w:rPr>
        <w:t xml:space="preserve"> </w:t>
      </w:r>
      <w:r w:rsidR="007F716B">
        <w:rPr>
          <w:sz w:val="28"/>
          <w:szCs w:val="28"/>
        </w:rPr>
        <w:t>modify</w:t>
      </w:r>
      <w:r w:rsidR="0035209C">
        <w:rPr>
          <w:sz w:val="28"/>
          <w:szCs w:val="28"/>
        </w:rPr>
        <w:t xml:space="preserve"> the first two sentences of Rule 18(d) </w:t>
      </w:r>
      <w:r w:rsidR="006C4BE1">
        <w:rPr>
          <w:sz w:val="28"/>
          <w:szCs w:val="28"/>
        </w:rPr>
        <w:t xml:space="preserve">as proposed </w:t>
      </w:r>
      <w:r w:rsidR="00C80DA7">
        <w:rPr>
          <w:sz w:val="28"/>
          <w:szCs w:val="28"/>
        </w:rPr>
        <w:t>in the Petition</w:t>
      </w:r>
      <w:r w:rsidR="006C4BE1">
        <w:rPr>
          <w:sz w:val="28"/>
          <w:szCs w:val="28"/>
        </w:rPr>
        <w:t xml:space="preserve"> </w:t>
      </w:r>
      <w:r w:rsidR="0035209C">
        <w:rPr>
          <w:sz w:val="28"/>
          <w:szCs w:val="28"/>
        </w:rPr>
        <w:t xml:space="preserve">by leaving in the word “substantial” and the phrase “without causing a significant delay or harm to another party,” but maintaining the deletion of  the phrase “but not from simple neglect” and the addition of the words “or excusable neglect, including any circumstances beyond the party’s reasonable control,” as follows: </w:t>
      </w:r>
    </w:p>
    <w:p w14:paraId="7F6F8095" w14:textId="15BC8CDC" w:rsidR="0035209C" w:rsidRDefault="0035209C" w:rsidP="0035209C">
      <w:pPr>
        <w:pStyle w:val="BodyText"/>
        <w:widowControl w:val="0"/>
        <w:spacing w:line="240" w:lineRule="auto"/>
        <w:ind w:left="1080" w:right="720"/>
        <w:jc w:val="both"/>
        <w:rPr>
          <w:b/>
          <w:sz w:val="28"/>
          <w:szCs w:val="28"/>
        </w:rPr>
      </w:pPr>
      <w:r>
        <w:rPr>
          <w:bCs/>
          <w:sz w:val="28"/>
          <w:szCs w:val="28"/>
        </w:rPr>
        <w:lastRenderedPageBreak/>
        <w:t>“Good cause” shall mean a stated</w:t>
      </w:r>
      <w:r w:rsidRPr="003669C5">
        <w:rPr>
          <w:b/>
          <w:strike/>
          <w:sz w:val="28"/>
          <w:szCs w:val="28"/>
        </w:rPr>
        <w:t>,</w:t>
      </w:r>
      <w:r w:rsidRPr="0035209C">
        <w:rPr>
          <w:bCs/>
          <w:sz w:val="28"/>
          <w:szCs w:val="28"/>
        </w:rPr>
        <w:t xml:space="preserve"> substantial</w:t>
      </w:r>
      <w:r>
        <w:rPr>
          <w:bCs/>
          <w:sz w:val="28"/>
          <w:szCs w:val="28"/>
        </w:rPr>
        <w:t xml:space="preserve"> reason, the accommodation of which will serve the interests of fairness and justice</w:t>
      </w:r>
      <w:r w:rsidRPr="007F716B">
        <w:rPr>
          <w:b/>
          <w:sz w:val="28"/>
          <w:szCs w:val="28"/>
        </w:rPr>
        <w:t xml:space="preserve">, </w:t>
      </w:r>
      <w:r w:rsidRPr="0035209C">
        <w:rPr>
          <w:bCs/>
          <w:sz w:val="28"/>
          <w:szCs w:val="28"/>
        </w:rPr>
        <w:t>without also causing a significant delay or harm to another party</w:t>
      </w:r>
      <w:r w:rsidRPr="00472128">
        <w:rPr>
          <w:bCs/>
          <w:sz w:val="28"/>
          <w:szCs w:val="28"/>
        </w:rPr>
        <w:t>.</w:t>
      </w:r>
      <w:r>
        <w:rPr>
          <w:bCs/>
          <w:sz w:val="28"/>
          <w:szCs w:val="28"/>
        </w:rPr>
        <w:t xml:space="preserve">  Good cause may include relieving a </w:t>
      </w:r>
      <w:r w:rsidRPr="007F716B">
        <w:rPr>
          <w:bCs/>
          <w:strike/>
          <w:sz w:val="28"/>
          <w:szCs w:val="28"/>
        </w:rPr>
        <w:t>person</w:t>
      </w:r>
      <w:r w:rsidRPr="007F716B">
        <w:rPr>
          <w:bCs/>
          <w:sz w:val="28"/>
          <w:szCs w:val="28"/>
        </w:rPr>
        <w:t xml:space="preserve"> </w:t>
      </w:r>
      <w:r w:rsidRPr="007F716B">
        <w:rPr>
          <w:bCs/>
          <w:sz w:val="28"/>
          <w:szCs w:val="28"/>
          <w:u w:val="single"/>
        </w:rPr>
        <w:t>party</w:t>
      </w:r>
      <w:r>
        <w:rPr>
          <w:bCs/>
          <w:sz w:val="28"/>
          <w:szCs w:val="28"/>
        </w:rPr>
        <w:t xml:space="preserve"> from the consequences of mistake</w:t>
      </w:r>
      <w:r w:rsidRPr="003669C5">
        <w:rPr>
          <w:b/>
          <w:sz w:val="28"/>
          <w:szCs w:val="28"/>
        </w:rPr>
        <w:t>,</w:t>
      </w:r>
      <w:r>
        <w:rPr>
          <w:bCs/>
          <w:sz w:val="28"/>
          <w:szCs w:val="28"/>
        </w:rPr>
        <w:t xml:space="preserve"> </w:t>
      </w:r>
      <w:r w:rsidRPr="007F716B">
        <w:rPr>
          <w:bCs/>
          <w:strike/>
          <w:sz w:val="28"/>
          <w:szCs w:val="28"/>
        </w:rPr>
        <w:t>or</w:t>
      </w:r>
      <w:r>
        <w:rPr>
          <w:bCs/>
          <w:sz w:val="28"/>
          <w:szCs w:val="28"/>
        </w:rPr>
        <w:t xml:space="preserve"> inadvertence, </w:t>
      </w:r>
      <w:r w:rsidRPr="007F716B">
        <w:rPr>
          <w:bCs/>
          <w:strike/>
          <w:sz w:val="28"/>
          <w:szCs w:val="28"/>
        </w:rPr>
        <w:t>but not from simple neglect.</w:t>
      </w:r>
      <w:r>
        <w:rPr>
          <w:b/>
          <w:sz w:val="28"/>
          <w:szCs w:val="28"/>
        </w:rPr>
        <w:t xml:space="preserve"> </w:t>
      </w:r>
      <w:r w:rsidRPr="007F716B">
        <w:rPr>
          <w:bCs/>
          <w:sz w:val="28"/>
          <w:szCs w:val="28"/>
          <w:u w:val="single"/>
        </w:rPr>
        <w:t>or excusable neglect, including any circumstances beyond the party’s reasonable control</w:t>
      </w:r>
      <w:r>
        <w:rPr>
          <w:b/>
          <w:sz w:val="28"/>
          <w:szCs w:val="28"/>
        </w:rPr>
        <w:t xml:space="preserve">.  </w:t>
      </w:r>
    </w:p>
    <w:p w14:paraId="79645245" w14:textId="77777777" w:rsidR="007F716B" w:rsidRDefault="007F716B" w:rsidP="0035209C">
      <w:pPr>
        <w:pStyle w:val="BodyText"/>
        <w:widowControl w:val="0"/>
        <w:spacing w:line="240" w:lineRule="auto"/>
        <w:ind w:left="1080" w:right="720"/>
        <w:jc w:val="both"/>
        <w:rPr>
          <w:b/>
          <w:sz w:val="28"/>
          <w:szCs w:val="28"/>
        </w:rPr>
      </w:pPr>
    </w:p>
    <w:p w14:paraId="526D9C1C" w14:textId="2B929588" w:rsidR="00B85093" w:rsidRPr="00DC6B66" w:rsidRDefault="008D2EB5" w:rsidP="00DC6B66">
      <w:pPr>
        <w:pStyle w:val="BodyText"/>
        <w:widowControl w:val="0"/>
        <w:numPr>
          <w:ilvl w:val="0"/>
          <w:numId w:val="16"/>
        </w:numPr>
        <w:spacing w:line="480" w:lineRule="auto"/>
        <w:jc w:val="both"/>
        <w:rPr>
          <w:bCs/>
          <w:sz w:val="28"/>
          <w:szCs w:val="28"/>
          <w:u w:val="single"/>
        </w:rPr>
      </w:pPr>
      <w:r>
        <w:rPr>
          <w:bCs/>
          <w:sz w:val="28"/>
          <w:szCs w:val="28"/>
          <w:u w:val="single"/>
        </w:rPr>
        <w:t>T</w:t>
      </w:r>
      <w:r w:rsidR="007F716B" w:rsidRPr="00DC6B66">
        <w:rPr>
          <w:bCs/>
          <w:sz w:val="28"/>
          <w:szCs w:val="28"/>
          <w:u w:val="single"/>
        </w:rPr>
        <w:t>he provision in paragraph 18(d)(iv) related to military service</w:t>
      </w:r>
      <w:r w:rsidR="009274A1">
        <w:rPr>
          <w:bCs/>
          <w:sz w:val="28"/>
          <w:szCs w:val="28"/>
          <w:u w:val="single"/>
        </w:rPr>
        <w:t xml:space="preserve"> </w:t>
      </w:r>
      <w:r w:rsidR="00075F44" w:rsidRPr="00DC6B66">
        <w:rPr>
          <w:bCs/>
          <w:sz w:val="28"/>
          <w:szCs w:val="28"/>
          <w:u w:val="single"/>
        </w:rPr>
        <w:t xml:space="preserve">should be sharpened to </w:t>
      </w:r>
      <w:r w:rsidR="00883BDF">
        <w:rPr>
          <w:bCs/>
          <w:sz w:val="28"/>
          <w:szCs w:val="28"/>
          <w:u w:val="single"/>
        </w:rPr>
        <w:t>expressly</w:t>
      </w:r>
      <w:r w:rsidR="00075F44" w:rsidRPr="00DC6B66">
        <w:rPr>
          <w:bCs/>
          <w:sz w:val="28"/>
          <w:szCs w:val="28"/>
          <w:u w:val="single"/>
        </w:rPr>
        <w:t xml:space="preserve"> reference the Serviceme</w:t>
      </w:r>
      <w:r w:rsidR="00D26192" w:rsidRPr="00DC6B66">
        <w:rPr>
          <w:bCs/>
          <w:sz w:val="28"/>
          <w:szCs w:val="28"/>
          <w:u w:val="single"/>
        </w:rPr>
        <w:t>m</w:t>
      </w:r>
      <w:r w:rsidR="00075F44" w:rsidRPr="00DC6B66">
        <w:rPr>
          <w:bCs/>
          <w:sz w:val="28"/>
          <w:szCs w:val="28"/>
          <w:u w:val="single"/>
        </w:rPr>
        <w:t xml:space="preserve">bers Civil </w:t>
      </w:r>
      <w:r w:rsidR="0092191A" w:rsidRPr="00DC6B66">
        <w:rPr>
          <w:bCs/>
          <w:sz w:val="28"/>
          <w:szCs w:val="28"/>
          <w:u w:val="single"/>
        </w:rPr>
        <w:t xml:space="preserve">Relief Act, </w:t>
      </w:r>
      <w:r w:rsidR="0092191A">
        <w:rPr>
          <w:bCs/>
          <w:sz w:val="28"/>
          <w:szCs w:val="28"/>
        </w:rPr>
        <w:t xml:space="preserve">which </w:t>
      </w:r>
      <w:r w:rsidR="0012632E" w:rsidRPr="00B85093">
        <w:rPr>
          <w:bCs/>
          <w:sz w:val="28"/>
          <w:szCs w:val="28"/>
        </w:rPr>
        <w:t>contains provisions that grant Service</w:t>
      </w:r>
      <w:r w:rsidR="00723A31" w:rsidRPr="00B85093">
        <w:rPr>
          <w:bCs/>
          <w:sz w:val="28"/>
          <w:szCs w:val="28"/>
        </w:rPr>
        <w:t>m</w:t>
      </w:r>
      <w:r w:rsidR="0012632E" w:rsidRPr="00B85093">
        <w:rPr>
          <w:bCs/>
          <w:sz w:val="28"/>
          <w:szCs w:val="28"/>
        </w:rPr>
        <w:t xml:space="preserve">embers protections in eviction cases, </w:t>
      </w:r>
      <w:r w:rsidR="00B354DC" w:rsidRPr="00B85093">
        <w:rPr>
          <w:bCs/>
          <w:sz w:val="28"/>
          <w:szCs w:val="28"/>
        </w:rPr>
        <w:t xml:space="preserve">50 U.S.C. § 3951, and the ability to stay civil proceedings for 90 days, 50 U.S.C. § 3932. </w:t>
      </w:r>
      <w:r w:rsidR="00723A31" w:rsidRPr="00B85093">
        <w:rPr>
          <w:bCs/>
          <w:sz w:val="28"/>
          <w:szCs w:val="28"/>
        </w:rPr>
        <w:t xml:space="preserve">“Servicemembers,” are defined </w:t>
      </w:r>
      <w:r w:rsidR="000465C7">
        <w:rPr>
          <w:bCs/>
          <w:sz w:val="28"/>
          <w:szCs w:val="28"/>
        </w:rPr>
        <w:t xml:space="preserve">there </w:t>
      </w:r>
      <w:r w:rsidR="00723A31" w:rsidRPr="00B85093">
        <w:rPr>
          <w:bCs/>
          <w:sz w:val="28"/>
          <w:szCs w:val="28"/>
        </w:rPr>
        <w:t>as members</w:t>
      </w:r>
      <w:r w:rsidR="00B354DC" w:rsidRPr="00B85093">
        <w:rPr>
          <w:bCs/>
          <w:sz w:val="28"/>
          <w:szCs w:val="28"/>
        </w:rPr>
        <w:t xml:space="preserve"> of the “Uniformed Services.”</w:t>
      </w:r>
      <w:r w:rsidR="00723A31" w:rsidRPr="00B85093">
        <w:rPr>
          <w:bCs/>
          <w:sz w:val="28"/>
          <w:szCs w:val="28"/>
        </w:rPr>
        <w:t xml:space="preserve"> 50 U.S.C. § 3911(a)</w:t>
      </w:r>
      <w:r w:rsidR="00552EFC">
        <w:rPr>
          <w:bCs/>
          <w:sz w:val="28"/>
          <w:szCs w:val="28"/>
        </w:rPr>
        <w:t xml:space="preserve">, </w:t>
      </w:r>
      <w:r w:rsidR="00814D94">
        <w:rPr>
          <w:bCs/>
          <w:sz w:val="28"/>
          <w:szCs w:val="28"/>
        </w:rPr>
        <w:t xml:space="preserve">a term </w:t>
      </w:r>
      <w:r w:rsidR="00552EFC">
        <w:rPr>
          <w:bCs/>
          <w:sz w:val="28"/>
          <w:szCs w:val="28"/>
        </w:rPr>
        <w:t xml:space="preserve">which in turn </w:t>
      </w:r>
      <w:r w:rsidR="00814D94">
        <w:rPr>
          <w:bCs/>
          <w:sz w:val="28"/>
          <w:szCs w:val="28"/>
        </w:rPr>
        <w:t>is</w:t>
      </w:r>
      <w:r w:rsidR="00552EFC">
        <w:rPr>
          <w:bCs/>
          <w:sz w:val="28"/>
          <w:szCs w:val="28"/>
        </w:rPr>
        <w:t xml:space="preserve"> defined </w:t>
      </w:r>
      <w:r w:rsidR="00B354DC" w:rsidRPr="00B85093">
        <w:rPr>
          <w:bCs/>
          <w:sz w:val="28"/>
          <w:szCs w:val="28"/>
        </w:rPr>
        <w:t xml:space="preserve">as the Armed Forces </w:t>
      </w:r>
      <w:r w:rsidR="00B354DC" w:rsidRPr="00B85093">
        <w:rPr>
          <w:bCs/>
          <w:i/>
          <w:iCs/>
          <w:sz w:val="28"/>
          <w:szCs w:val="28"/>
        </w:rPr>
        <w:t>and</w:t>
      </w:r>
      <w:r w:rsidR="00B354DC" w:rsidRPr="00B85093">
        <w:rPr>
          <w:bCs/>
          <w:sz w:val="28"/>
          <w:szCs w:val="28"/>
        </w:rPr>
        <w:t xml:space="preserve"> </w:t>
      </w:r>
      <w:r w:rsidR="00723A31" w:rsidRPr="00B85093">
        <w:rPr>
          <w:bCs/>
          <w:sz w:val="28"/>
          <w:szCs w:val="28"/>
        </w:rPr>
        <w:t>“the commissioned corps of the National Oceanic and Atmospheric Administration” (“NOAA”) and “the commissioned corps of the Public Health Service”) (“USPHS”). 10 U.S.C. § 101(5).</w:t>
      </w:r>
      <w:r w:rsidR="00723A31">
        <w:rPr>
          <w:rStyle w:val="FootnoteReference"/>
          <w:bCs/>
          <w:sz w:val="28"/>
          <w:szCs w:val="28"/>
        </w:rPr>
        <w:footnoteReference w:id="16"/>
      </w:r>
      <w:r w:rsidR="00723A31" w:rsidRPr="00B85093">
        <w:rPr>
          <w:bCs/>
          <w:sz w:val="28"/>
          <w:szCs w:val="28"/>
        </w:rPr>
        <w:t xml:space="preserve"> </w:t>
      </w:r>
      <w:r w:rsidR="00B85093">
        <w:rPr>
          <w:bCs/>
          <w:sz w:val="28"/>
          <w:szCs w:val="28"/>
        </w:rPr>
        <w:t xml:space="preserve">“Military service” </w:t>
      </w:r>
      <w:r w:rsidR="00721303">
        <w:rPr>
          <w:bCs/>
          <w:sz w:val="28"/>
          <w:szCs w:val="28"/>
        </w:rPr>
        <w:t xml:space="preserve">as used in the proposed provision </w:t>
      </w:r>
      <w:r w:rsidR="00B85093">
        <w:rPr>
          <w:bCs/>
          <w:sz w:val="28"/>
          <w:szCs w:val="28"/>
        </w:rPr>
        <w:t xml:space="preserve">could be interpreted as excluding members of NOAA and the USPHS. </w:t>
      </w:r>
      <w:r w:rsidR="00A46DAC">
        <w:rPr>
          <w:bCs/>
          <w:sz w:val="28"/>
          <w:szCs w:val="28"/>
        </w:rPr>
        <w:t xml:space="preserve"> The </w:t>
      </w:r>
      <w:r w:rsidR="00CA2498">
        <w:rPr>
          <w:bCs/>
          <w:sz w:val="28"/>
          <w:szCs w:val="28"/>
        </w:rPr>
        <w:t>S</w:t>
      </w:r>
      <w:r w:rsidR="00A46DAC">
        <w:rPr>
          <w:bCs/>
          <w:sz w:val="28"/>
          <w:szCs w:val="28"/>
        </w:rPr>
        <w:t xml:space="preserve">tate Bar also believes </w:t>
      </w:r>
      <w:r w:rsidR="00CA2498">
        <w:rPr>
          <w:bCs/>
          <w:sz w:val="28"/>
          <w:szCs w:val="28"/>
        </w:rPr>
        <w:t>t</w:t>
      </w:r>
      <w:r w:rsidR="002865F8">
        <w:rPr>
          <w:bCs/>
          <w:sz w:val="28"/>
          <w:szCs w:val="28"/>
        </w:rPr>
        <w:t>he proposed provision</w:t>
      </w:r>
      <w:r w:rsidR="00723A31" w:rsidRPr="00B85093">
        <w:rPr>
          <w:bCs/>
          <w:sz w:val="28"/>
          <w:szCs w:val="28"/>
        </w:rPr>
        <w:t xml:space="preserve"> is too </w:t>
      </w:r>
      <w:r w:rsidR="00CA2498">
        <w:rPr>
          <w:bCs/>
          <w:sz w:val="28"/>
          <w:szCs w:val="28"/>
        </w:rPr>
        <w:t>nebulous</w:t>
      </w:r>
      <w:r w:rsidR="00543240">
        <w:rPr>
          <w:bCs/>
          <w:sz w:val="28"/>
          <w:szCs w:val="28"/>
        </w:rPr>
        <w:t>, inviting abuse</w:t>
      </w:r>
      <w:r w:rsidR="002506BC">
        <w:rPr>
          <w:bCs/>
          <w:sz w:val="28"/>
          <w:szCs w:val="28"/>
        </w:rPr>
        <w:t xml:space="preserve"> by </w:t>
      </w:r>
      <w:r w:rsidR="00445797">
        <w:rPr>
          <w:bCs/>
          <w:sz w:val="28"/>
          <w:szCs w:val="28"/>
        </w:rPr>
        <w:lastRenderedPageBreak/>
        <w:t xml:space="preserve">some </w:t>
      </w:r>
      <w:r w:rsidR="002506BC">
        <w:rPr>
          <w:bCs/>
          <w:sz w:val="28"/>
          <w:szCs w:val="28"/>
        </w:rPr>
        <w:t>defendants</w:t>
      </w:r>
      <w:r w:rsidR="00723A31" w:rsidRPr="00B85093">
        <w:rPr>
          <w:bCs/>
          <w:sz w:val="28"/>
          <w:szCs w:val="28"/>
        </w:rPr>
        <w:t>. “</w:t>
      </w:r>
      <w:r w:rsidR="00B85093" w:rsidRPr="00B85093">
        <w:rPr>
          <w:bCs/>
          <w:sz w:val="28"/>
          <w:szCs w:val="28"/>
        </w:rPr>
        <w:t xml:space="preserve">An obligation related to past . . . military service” </w:t>
      </w:r>
      <w:r w:rsidR="00C53D77">
        <w:rPr>
          <w:bCs/>
          <w:sz w:val="28"/>
          <w:szCs w:val="28"/>
        </w:rPr>
        <w:t xml:space="preserve">should be modified </w:t>
      </w:r>
      <w:r w:rsidR="00C67308">
        <w:rPr>
          <w:bCs/>
          <w:sz w:val="28"/>
          <w:szCs w:val="28"/>
        </w:rPr>
        <w:t>to limit the relief to that provided under the Servicemembers Civil Relief Act</w:t>
      </w:r>
      <w:r w:rsidR="00B85093" w:rsidRPr="00B85093">
        <w:rPr>
          <w:bCs/>
          <w:sz w:val="28"/>
          <w:szCs w:val="28"/>
        </w:rPr>
        <w:t xml:space="preserve">. </w:t>
      </w:r>
      <w:r w:rsidR="00B85093" w:rsidRPr="00B85093">
        <w:rPr>
          <w:bCs/>
          <w:i/>
          <w:iCs/>
          <w:sz w:val="28"/>
          <w:szCs w:val="28"/>
        </w:rPr>
        <w:t xml:space="preserve">See </w:t>
      </w:r>
      <w:r w:rsidR="00B85093" w:rsidRPr="00B85093">
        <w:rPr>
          <w:bCs/>
          <w:iCs/>
          <w:sz w:val="28"/>
          <w:szCs w:val="28"/>
        </w:rPr>
        <w:t>10 U.S.C. § 101(d); 50 U.S.C. § 3911</w:t>
      </w:r>
      <w:r w:rsidR="00B85093">
        <w:rPr>
          <w:bCs/>
          <w:iCs/>
          <w:sz w:val="28"/>
          <w:szCs w:val="28"/>
        </w:rPr>
        <w:t>(a)(</w:t>
      </w:r>
      <w:proofErr w:type="spellStart"/>
      <w:r w:rsidR="00B85093">
        <w:rPr>
          <w:bCs/>
          <w:iCs/>
          <w:sz w:val="28"/>
          <w:szCs w:val="28"/>
        </w:rPr>
        <w:t>i</w:t>
      </w:r>
      <w:proofErr w:type="spellEnd"/>
      <w:r w:rsidR="00B85093">
        <w:rPr>
          <w:bCs/>
          <w:iCs/>
          <w:sz w:val="28"/>
          <w:szCs w:val="28"/>
        </w:rPr>
        <w:t xml:space="preserve">), (ii). </w:t>
      </w:r>
      <w:r w:rsidR="009A6A40">
        <w:rPr>
          <w:bCs/>
          <w:iCs/>
          <w:sz w:val="28"/>
          <w:szCs w:val="28"/>
        </w:rPr>
        <w:t xml:space="preserve">The State Bar </w:t>
      </w:r>
      <w:r w:rsidR="00543240">
        <w:rPr>
          <w:bCs/>
          <w:iCs/>
          <w:sz w:val="28"/>
          <w:szCs w:val="28"/>
        </w:rPr>
        <w:t>sees no problem with</w:t>
      </w:r>
      <w:r w:rsidR="009A6A40">
        <w:rPr>
          <w:bCs/>
          <w:iCs/>
          <w:sz w:val="28"/>
          <w:szCs w:val="28"/>
        </w:rPr>
        <w:t xml:space="preserve"> referencing</w:t>
      </w:r>
      <w:r w:rsidR="00B85093">
        <w:rPr>
          <w:bCs/>
          <w:iCs/>
          <w:sz w:val="28"/>
          <w:szCs w:val="28"/>
        </w:rPr>
        <w:t xml:space="preserve"> existing protections </w:t>
      </w:r>
      <w:r w:rsidR="00543240">
        <w:rPr>
          <w:bCs/>
          <w:iCs/>
          <w:sz w:val="28"/>
          <w:szCs w:val="28"/>
        </w:rPr>
        <w:t xml:space="preserve">already provided by </w:t>
      </w:r>
      <w:r w:rsidR="00B85093">
        <w:rPr>
          <w:bCs/>
          <w:iCs/>
          <w:sz w:val="28"/>
          <w:szCs w:val="28"/>
        </w:rPr>
        <w:t>the SCRA</w:t>
      </w:r>
      <w:r w:rsidR="00373142">
        <w:rPr>
          <w:bCs/>
          <w:iCs/>
          <w:sz w:val="28"/>
          <w:szCs w:val="28"/>
        </w:rPr>
        <w:t xml:space="preserve">, </w:t>
      </w:r>
      <w:r w:rsidR="00D021B1">
        <w:rPr>
          <w:bCs/>
          <w:iCs/>
          <w:sz w:val="28"/>
          <w:szCs w:val="28"/>
        </w:rPr>
        <w:t xml:space="preserve">or by the ADA, </w:t>
      </w:r>
      <w:r w:rsidR="00373142">
        <w:rPr>
          <w:bCs/>
          <w:iCs/>
          <w:sz w:val="28"/>
          <w:szCs w:val="28"/>
        </w:rPr>
        <w:t xml:space="preserve">for the guidance of litigants </w:t>
      </w:r>
      <w:r w:rsidR="00435ED1">
        <w:rPr>
          <w:bCs/>
          <w:iCs/>
          <w:sz w:val="28"/>
          <w:szCs w:val="28"/>
        </w:rPr>
        <w:t>and the court</w:t>
      </w:r>
      <w:r w:rsidR="00B85093">
        <w:rPr>
          <w:bCs/>
          <w:iCs/>
          <w:sz w:val="28"/>
          <w:szCs w:val="28"/>
        </w:rPr>
        <w:t>.</w:t>
      </w:r>
      <w:r w:rsidR="00435ED1">
        <w:rPr>
          <w:bCs/>
          <w:iCs/>
          <w:sz w:val="28"/>
          <w:szCs w:val="28"/>
        </w:rPr>
        <w:t xml:space="preserve"> </w:t>
      </w:r>
      <w:r w:rsidR="00611B89">
        <w:rPr>
          <w:bCs/>
          <w:iCs/>
          <w:sz w:val="28"/>
          <w:szCs w:val="28"/>
        </w:rPr>
        <w:t xml:space="preserve">The State Bar </w:t>
      </w:r>
      <w:r w:rsidR="008D1F8E">
        <w:rPr>
          <w:bCs/>
          <w:iCs/>
          <w:sz w:val="28"/>
          <w:szCs w:val="28"/>
        </w:rPr>
        <w:t xml:space="preserve">therefore suggests that </w:t>
      </w:r>
      <w:r w:rsidR="003501AE">
        <w:rPr>
          <w:bCs/>
          <w:iCs/>
          <w:sz w:val="28"/>
          <w:szCs w:val="28"/>
        </w:rPr>
        <w:t xml:space="preserve">18(d)(iv) </w:t>
      </w:r>
      <w:r w:rsidR="0062208F">
        <w:rPr>
          <w:bCs/>
          <w:iCs/>
          <w:sz w:val="28"/>
          <w:szCs w:val="28"/>
        </w:rPr>
        <w:t xml:space="preserve">be revised to state as follows: </w:t>
      </w:r>
      <w:r w:rsidR="002A4EAC">
        <w:rPr>
          <w:bCs/>
          <w:iCs/>
          <w:sz w:val="28"/>
          <w:szCs w:val="28"/>
        </w:rPr>
        <w:t>“</w:t>
      </w:r>
      <w:r w:rsidR="002A4EAC" w:rsidRPr="00DC6B66">
        <w:rPr>
          <w:bCs/>
          <w:iCs/>
          <w:sz w:val="28"/>
          <w:szCs w:val="28"/>
          <w:u w:val="single"/>
        </w:rPr>
        <w:t xml:space="preserve">iv. Relief available under the Servicemembers Civil Relief Act. </w:t>
      </w:r>
    </w:p>
    <w:bookmarkEnd w:id="11"/>
    <w:p w14:paraId="1B2D4DCF" w14:textId="08C2E3B5" w:rsidR="008C6B1B" w:rsidRDefault="00A97B3C" w:rsidP="00B74E67">
      <w:pPr>
        <w:pStyle w:val="Body"/>
        <w:widowControl w:val="0"/>
        <w:tabs>
          <w:tab w:val="left" w:pos="720"/>
        </w:tabs>
        <w:spacing w:line="480" w:lineRule="auto"/>
        <w:ind w:firstLine="0"/>
        <w:jc w:val="both"/>
        <w:rPr>
          <w:sz w:val="28"/>
          <w:szCs w:val="28"/>
        </w:rPr>
      </w:pPr>
      <w:r w:rsidRPr="006F63FD">
        <w:rPr>
          <w:sz w:val="28"/>
          <w:szCs w:val="28"/>
        </w:rPr>
        <w:tab/>
      </w:r>
      <w:r w:rsidR="008427E5" w:rsidRPr="008427E5">
        <w:rPr>
          <w:b/>
          <w:bCs/>
          <w:sz w:val="28"/>
          <w:szCs w:val="28"/>
          <w:u w:val="single"/>
        </w:rPr>
        <w:t>Conclusion</w:t>
      </w:r>
    </w:p>
    <w:p w14:paraId="5D02FE20" w14:textId="340ECDC6" w:rsidR="000F7A7F" w:rsidRPr="00B74E67" w:rsidRDefault="008C6B1B" w:rsidP="00B74E67">
      <w:pPr>
        <w:pStyle w:val="Body"/>
        <w:widowControl w:val="0"/>
        <w:tabs>
          <w:tab w:val="left" w:pos="720"/>
        </w:tabs>
        <w:spacing w:line="480" w:lineRule="auto"/>
        <w:ind w:firstLine="0"/>
        <w:jc w:val="both"/>
        <w:rPr>
          <w:spacing w:val="-3"/>
          <w:sz w:val="28"/>
          <w:szCs w:val="28"/>
        </w:rPr>
      </w:pPr>
      <w:r>
        <w:rPr>
          <w:sz w:val="28"/>
          <w:szCs w:val="28"/>
        </w:rPr>
        <w:tab/>
      </w:r>
      <w:r w:rsidR="00B74E67">
        <w:rPr>
          <w:sz w:val="28"/>
          <w:szCs w:val="28"/>
        </w:rPr>
        <w:t>T</w:t>
      </w:r>
      <w:r w:rsidR="00A97B3C" w:rsidRPr="006F63FD">
        <w:rPr>
          <w:sz w:val="28"/>
          <w:szCs w:val="28"/>
        </w:rPr>
        <w:t>he State Bar</w:t>
      </w:r>
      <w:r w:rsidR="00A97B3C">
        <w:rPr>
          <w:sz w:val="28"/>
          <w:szCs w:val="28"/>
        </w:rPr>
        <w:t xml:space="preserve"> of Arizona</w:t>
      </w:r>
      <w:r w:rsidR="00A97B3C" w:rsidRPr="006F63FD">
        <w:rPr>
          <w:sz w:val="28"/>
          <w:szCs w:val="28"/>
        </w:rPr>
        <w:t xml:space="preserve"> respectfully requests that </w:t>
      </w:r>
      <w:r w:rsidR="00A97B3C">
        <w:rPr>
          <w:sz w:val="28"/>
          <w:szCs w:val="28"/>
        </w:rPr>
        <w:t xml:space="preserve">the Court </w:t>
      </w:r>
      <w:r w:rsidR="005B3162">
        <w:rPr>
          <w:sz w:val="28"/>
          <w:szCs w:val="28"/>
        </w:rPr>
        <w:t>approve</w:t>
      </w:r>
      <w:r w:rsidR="00A97B3C">
        <w:rPr>
          <w:sz w:val="28"/>
          <w:szCs w:val="28"/>
        </w:rPr>
        <w:t xml:space="preserve"> this Petition</w:t>
      </w:r>
      <w:r w:rsidR="005B3162">
        <w:rPr>
          <w:sz w:val="28"/>
          <w:szCs w:val="28"/>
        </w:rPr>
        <w:t xml:space="preserve"> with the </w:t>
      </w:r>
      <w:r w:rsidR="009B503E">
        <w:rPr>
          <w:sz w:val="28"/>
          <w:szCs w:val="28"/>
        </w:rPr>
        <w:t xml:space="preserve">revisions </w:t>
      </w:r>
      <w:r w:rsidR="005B3162">
        <w:rPr>
          <w:sz w:val="28"/>
          <w:szCs w:val="28"/>
        </w:rPr>
        <w:t>set forth above</w:t>
      </w:r>
      <w:r w:rsidR="00A97B3C">
        <w:rPr>
          <w:sz w:val="28"/>
          <w:szCs w:val="28"/>
        </w:rPr>
        <w:t xml:space="preserve">. </w:t>
      </w:r>
    </w:p>
    <w:p w14:paraId="13866F93" w14:textId="77777777" w:rsidR="001C3E6C" w:rsidRPr="006F63FD" w:rsidRDefault="001C3E6C" w:rsidP="001C3E6C">
      <w:pPr>
        <w:pStyle w:val="Body"/>
        <w:widowControl w:val="0"/>
        <w:tabs>
          <w:tab w:val="left" w:pos="720"/>
        </w:tabs>
        <w:ind w:firstLine="0"/>
        <w:rPr>
          <w:sz w:val="28"/>
          <w:szCs w:val="28"/>
        </w:rPr>
      </w:pPr>
      <w:r>
        <w:rPr>
          <w:szCs w:val="26"/>
        </w:rPr>
        <w:t xml:space="preserve">       </w:t>
      </w:r>
      <w:r>
        <w:rPr>
          <w:szCs w:val="26"/>
        </w:rPr>
        <w:tab/>
      </w:r>
      <w:r>
        <w:rPr>
          <w:szCs w:val="26"/>
        </w:rPr>
        <w:tab/>
      </w:r>
      <w:r>
        <w:rPr>
          <w:szCs w:val="26"/>
        </w:rPr>
        <w:tab/>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2025</w:t>
      </w:r>
      <w:r w:rsidRPr="006F63FD">
        <w:rPr>
          <w:sz w:val="28"/>
          <w:szCs w:val="28"/>
        </w:rPr>
        <w:t>.</w:t>
      </w:r>
    </w:p>
    <w:p w14:paraId="2773287B" w14:textId="77777777" w:rsidR="001C3E6C" w:rsidRPr="000F7A7F" w:rsidRDefault="001C3E6C" w:rsidP="001C3E6C">
      <w:pPr>
        <w:pStyle w:val="Body"/>
        <w:widowControl w:val="0"/>
        <w:tabs>
          <w:tab w:val="left" w:pos="720"/>
        </w:tabs>
        <w:ind w:firstLine="0"/>
        <w:rPr>
          <w:szCs w:val="26"/>
        </w:rPr>
      </w:pPr>
    </w:p>
    <w:p w14:paraId="07E4B481" w14:textId="77777777" w:rsidR="001C3E6C" w:rsidRPr="000F7A7F" w:rsidRDefault="001C3E6C" w:rsidP="001C3E6C">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6B07A86C" wp14:editId="1FD521DC">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6BED66B8" w14:textId="77777777" w:rsidR="001C3E6C" w:rsidRPr="006F63FD" w:rsidRDefault="001C3E6C" w:rsidP="001C3E6C">
      <w:pPr>
        <w:pStyle w:val="PleadingSignature"/>
        <w:keepNext w:val="0"/>
        <w:keepLines w:val="0"/>
        <w:pBdr>
          <w:top w:val="single" w:sz="4" w:space="1" w:color="auto"/>
        </w:pBdr>
        <w:spacing w:line="240" w:lineRule="auto"/>
        <w:ind w:left="4320"/>
        <w:rPr>
          <w:sz w:val="28"/>
          <w:szCs w:val="28"/>
        </w:rPr>
      </w:pPr>
      <w:r>
        <w:rPr>
          <w:sz w:val="28"/>
          <w:szCs w:val="28"/>
        </w:rPr>
        <w:t>Lisa M. Panahi</w:t>
      </w:r>
    </w:p>
    <w:p w14:paraId="0D8A80FB" w14:textId="77777777" w:rsidR="001C3E6C" w:rsidRDefault="001C3E6C" w:rsidP="001C3E6C">
      <w:pPr>
        <w:pStyle w:val="PleadingSignature"/>
        <w:keepNext w:val="0"/>
        <w:keepLines w:val="0"/>
        <w:spacing w:line="240" w:lineRule="auto"/>
        <w:ind w:left="3600" w:firstLine="720"/>
        <w:rPr>
          <w:sz w:val="28"/>
          <w:szCs w:val="28"/>
        </w:rPr>
      </w:pPr>
      <w:r>
        <w:rPr>
          <w:sz w:val="28"/>
          <w:szCs w:val="28"/>
        </w:rPr>
        <w:t>FOR THE STATE BAR OF ARIZONA</w:t>
      </w:r>
    </w:p>
    <w:p w14:paraId="1582D276" w14:textId="77777777" w:rsidR="001C3E6C" w:rsidRPr="006F63FD" w:rsidRDefault="001C3E6C" w:rsidP="001C3E6C">
      <w:pPr>
        <w:pStyle w:val="PleadingSignature"/>
        <w:keepNext w:val="0"/>
        <w:keepLines w:val="0"/>
        <w:spacing w:line="240" w:lineRule="auto"/>
        <w:ind w:left="3600" w:firstLine="720"/>
        <w:rPr>
          <w:sz w:val="28"/>
          <w:szCs w:val="28"/>
        </w:rPr>
      </w:pPr>
    </w:p>
    <w:p w14:paraId="56D0B1F6" w14:textId="77777777" w:rsidR="001C3E6C" w:rsidRPr="000F7A7F" w:rsidRDefault="001C3E6C" w:rsidP="001C3E6C">
      <w:pPr>
        <w:pStyle w:val="PleadingSignature"/>
        <w:keepNext w:val="0"/>
        <w:keepLines w:val="0"/>
        <w:spacing w:line="240" w:lineRule="auto"/>
        <w:ind w:left="5070"/>
        <w:rPr>
          <w:szCs w:val="26"/>
        </w:rPr>
      </w:pPr>
    </w:p>
    <w:p w14:paraId="1F4813F2" w14:textId="77777777" w:rsidR="001C3E6C" w:rsidRPr="00C52E56" w:rsidRDefault="001C3E6C" w:rsidP="001C3E6C">
      <w:pPr>
        <w:widowControl w:val="0"/>
        <w:spacing w:line="240" w:lineRule="auto"/>
        <w:ind w:right="4140"/>
        <w:rPr>
          <w:sz w:val="28"/>
          <w:szCs w:val="28"/>
        </w:rPr>
      </w:pPr>
      <w:r w:rsidRPr="00C52E56">
        <w:rPr>
          <w:sz w:val="28"/>
          <w:szCs w:val="28"/>
        </w:rPr>
        <w:t>Electronic copy filed with the</w:t>
      </w:r>
    </w:p>
    <w:p w14:paraId="2B31DBC5" w14:textId="77777777" w:rsidR="001C3E6C" w:rsidRPr="00C52E56" w:rsidRDefault="001C3E6C" w:rsidP="001C3E6C">
      <w:pPr>
        <w:spacing w:line="240" w:lineRule="auto"/>
        <w:ind w:right="4140"/>
        <w:rPr>
          <w:sz w:val="28"/>
          <w:szCs w:val="28"/>
        </w:rPr>
      </w:pPr>
      <w:r w:rsidRPr="00C52E56">
        <w:rPr>
          <w:sz w:val="28"/>
          <w:szCs w:val="28"/>
        </w:rPr>
        <w:t xml:space="preserve">Clerk of the </w:t>
      </w:r>
      <w:r>
        <w:rPr>
          <w:sz w:val="28"/>
          <w:szCs w:val="28"/>
        </w:rPr>
        <w:t>Supreme Court of Arizona</w:t>
      </w:r>
    </w:p>
    <w:p w14:paraId="32C8D887" w14:textId="77777777" w:rsidR="001C3E6C" w:rsidRPr="00C52E56" w:rsidRDefault="001C3E6C" w:rsidP="001C3E6C">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2025</w:t>
      </w:r>
      <w:r w:rsidRPr="00C52E56">
        <w:rPr>
          <w:sz w:val="28"/>
          <w:szCs w:val="28"/>
        </w:rPr>
        <w:t>.</w:t>
      </w:r>
    </w:p>
    <w:p w14:paraId="5E278337" w14:textId="77777777" w:rsidR="001C3E6C" w:rsidRPr="00C52E56" w:rsidRDefault="001C3E6C" w:rsidP="001C3E6C">
      <w:pPr>
        <w:spacing w:line="240" w:lineRule="auto"/>
        <w:ind w:right="4572"/>
        <w:rPr>
          <w:sz w:val="28"/>
          <w:szCs w:val="28"/>
        </w:rPr>
      </w:pPr>
    </w:p>
    <w:p w14:paraId="2CE1BC75" w14:textId="77777777" w:rsidR="001C3E6C" w:rsidRPr="00405DAC" w:rsidRDefault="001C3E6C" w:rsidP="001C3E6C">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69581EED" w14:textId="77777777" w:rsidR="000F7A7F" w:rsidRPr="00C52E56" w:rsidRDefault="000F7A7F" w:rsidP="000C48A9">
      <w:pPr>
        <w:spacing w:line="240" w:lineRule="auto"/>
        <w:ind w:right="4572"/>
        <w:rPr>
          <w:sz w:val="28"/>
          <w:szCs w:val="28"/>
        </w:rPr>
      </w:pPr>
    </w:p>
    <w:sectPr w:rsidR="000F7A7F" w:rsidRPr="00C52E56"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6A9D" w14:textId="77777777" w:rsidR="008414A9" w:rsidRDefault="008414A9">
      <w:r>
        <w:separator/>
      </w:r>
    </w:p>
  </w:endnote>
  <w:endnote w:type="continuationSeparator" w:id="0">
    <w:p w14:paraId="4F27C8A1" w14:textId="77777777" w:rsidR="008414A9" w:rsidRDefault="0084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65AF" w14:textId="77777777" w:rsidR="008414A9" w:rsidRDefault="008414A9">
      <w:r>
        <w:separator/>
      </w:r>
    </w:p>
  </w:footnote>
  <w:footnote w:type="continuationSeparator" w:id="0">
    <w:p w14:paraId="41677846" w14:textId="77777777" w:rsidR="008414A9" w:rsidRDefault="008414A9">
      <w:r>
        <w:continuationSeparator/>
      </w:r>
    </w:p>
  </w:footnote>
  <w:footnote w:id="1">
    <w:p w14:paraId="0B29036F" w14:textId="77777777"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Kunle </w:t>
      </w:r>
      <w:proofErr w:type="spellStart"/>
      <w:r w:rsidRPr="008C6B1B">
        <w:rPr>
          <w:sz w:val="28"/>
          <w:szCs w:val="28"/>
        </w:rPr>
        <w:t>Falayi</w:t>
      </w:r>
      <w:proofErr w:type="spellEnd"/>
      <w:r w:rsidRPr="008C6B1B">
        <w:rPr>
          <w:sz w:val="28"/>
          <w:szCs w:val="28"/>
        </w:rPr>
        <w:t xml:space="preserve"> and Catherine Reagor, </w:t>
      </w:r>
      <w:r w:rsidRPr="008C6B1B">
        <w:rPr>
          <w:i/>
          <w:iCs/>
          <w:sz w:val="28"/>
          <w:szCs w:val="28"/>
        </w:rPr>
        <w:t>Three evictions, three stories. Why the Phoenix area eviction crisis is only getting worse</w:t>
      </w:r>
      <w:r w:rsidRPr="008C6B1B">
        <w:rPr>
          <w:sz w:val="28"/>
          <w:szCs w:val="28"/>
        </w:rPr>
        <w:t>, azcentral (Nov. 25, 2023, 12:04 p.m.), https://www.azcentral.com/in-depth/news/local/arizona/2023/04/17/eviction-filings-are-on-the-rise-in-metro-phoenix-what-can-be-done/69907643007/.</w:t>
      </w:r>
    </w:p>
  </w:footnote>
  <w:footnote w:id="2">
    <w:p w14:paraId="3F757591" w14:textId="77777777"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Catherine Reagor, </w:t>
      </w:r>
      <w:r w:rsidRPr="008C6B1B">
        <w:rPr>
          <w:i/>
          <w:iCs/>
          <w:sz w:val="28"/>
          <w:szCs w:val="28"/>
        </w:rPr>
        <w:t>Metro Phoenix eviction filings set record in 2024, despite lower rents, more apartments</w:t>
      </w:r>
      <w:r w:rsidRPr="008C6B1B">
        <w:rPr>
          <w:sz w:val="28"/>
          <w:szCs w:val="28"/>
        </w:rPr>
        <w:t>, azcentral (Jan. 8, 2024, 6:00 a.m.), https://www.azcentral.com/story/money/real-estate/2025/01/08/metro-phoenix-eviction-filings-set-record-in-2024-despite-lower-rents/77504989007/.</w:t>
      </w:r>
    </w:p>
  </w:footnote>
  <w:footnote w:id="3">
    <w:p w14:paraId="182C1704" w14:textId="77777777"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Shea Lemar, et al., </w:t>
      </w:r>
      <w:r w:rsidRPr="008C6B1B">
        <w:rPr>
          <w:i/>
          <w:iCs/>
          <w:sz w:val="28"/>
          <w:szCs w:val="28"/>
        </w:rPr>
        <w:t>Arizona Eviction and Foreclosure Dashboard</w:t>
      </w:r>
      <w:r w:rsidRPr="008C6B1B">
        <w:rPr>
          <w:sz w:val="28"/>
          <w:szCs w:val="28"/>
        </w:rPr>
        <w:t>, Arizona State University, https://storymaps.arcgis.com/collections/89946f2d8ad74812a5fa10da4ae5ba58?item=1 (last visited Feb. 10, 2025). The dashboard notes that their number for 2023 is an undercount, as they only included evictions that were mappable, so the number may have been over 100,000 even in 2023.</w:t>
      </w:r>
    </w:p>
  </w:footnote>
  <w:footnote w:id="4">
    <w:p w14:paraId="6E7BB809" w14:textId="77777777"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w:t>
      </w:r>
      <w:r w:rsidRPr="008C6B1B">
        <w:rPr>
          <w:i/>
          <w:iCs/>
          <w:sz w:val="28"/>
          <w:szCs w:val="28"/>
        </w:rPr>
        <w:t>Id.</w:t>
      </w:r>
    </w:p>
  </w:footnote>
  <w:footnote w:id="5">
    <w:p w14:paraId="1B502B55" w14:textId="7EE44F88" w:rsidR="00AC5EC7" w:rsidRPr="008C6B1B" w:rsidRDefault="00AC5EC7" w:rsidP="008C6B1B">
      <w:pPr>
        <w:pStyle w:val="FootnoteText"/>
        <w:jc w:val="both"/>
        <w:rPr>
          <w:i/>
          <w:iCs/>
          <w:sz w:val="28"/>
          <w:szCs w:val="28"/>
        </w:rPr>
      </w:pPr>
      <w:r w:rsidRPr="008C6B1B">
        <w:rPr>
          <w:rStyle w:val="FootnoteReference"/>
          <w:sz w:val="28"/>
          <w:szCs w:val="28"/>
        </w:rPr>
        <w:footnoteRef/>
      </w:r>
      <w:r w:rsidRPr="008C6B1B">
        <w:rPr>
          <w:sz w:val="28"/>
          <w:szCs w:val="28"/>
        </w:rPr>
        <w:t xml:space="preserve"> Kunle </w:t>
      </w:r>
      <w:proofErr w:type="spellStart"/>
      <w:r w:rsidRPr="008C6B1B">
        <w:rPr>
          <w:sz w:val="28"/>
          <w:szCs w:val="28"/>
        </w:rPr>
        <w:t>Falayi</w:t>
      </w:r>
      <w:proofErr w:type="spellEnd"/>
      <w:r w:rsidRPr="008C6B1B">
        <w:rPr>
          <w:sz w:val="28"/>
          <w:szCs w:val="28"/>
        </w:rPr>
        <w:t xml:space="preserve"> and Catherine Reagor, </w:t>
      </w:r>
      <w:r w:rsidR="00280F57" w:rsidRPr="008C6B1B">
        <w:rPr>
          <w:i/>
          <w:iCs/>
          <w:sz w:val="28"/>
          <w:szCs w:val="28"/>
        </w:rPr>
        <w:t xml:space="preserve">supra </w:t>
      </w:r>
      <w:r w:rsidR="00280F57" w:rsidRPr="008C6B1B">
        <w:rPr>
          <w:sz w:val="28"/>
          <w:szCs w:val="28"/>
        </w:rPr>
        <w:t>note 1</w:t>
      </w:r>
      <w:r w:rsidR="00BF4BAC" w:rsidRPr="008C6B1B">
        <w:rPr>
          <w:i/>
          <w:iCs/>
          <w:sz w:val="28"/>
          <w:szCs w:val="28"/>
        </w:rPr>
        <w:t>.</w:t>
      </w:r>
    </w:p>
  </w:footnote>
  <w:footnote w:id="6">
    <w:p w14:paraId="6D9B0B4E" w14:textId="77777777"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Henri </w:t>
      </w:r>
      <w:proofErr w:type="spellStart"/>
      <w:r w:rsidRPr="008C6B1B">
        <w:rPr>
          <w:sz w:val="28"/>
          <w:szCs w:val="28"/>
        </w:rPr>
        <w:t>Cornec</w:t>
      </w:r>
      <w:proofErr w:type="spellEnd"/>
      <w:r w:rsidRPr="008C6B1B">
        <w:rPr>
          <w:sz w:val="28"/>
          <w:szCs w:val="28"/>
        </w:rPr>
        <w:t xml:space="preserve">, </w:t>
      </w:r>
      <w:r w:rsidRPr="008C6B1B">
        <w:rPr>
          <w:i/>
          <w:iCs/>
          <w:sz w:val="28"/>
          <w:szCs w:val="28"/>
        </w:rPr>
        <w:t>New Research Sheds Light on the Economic Consequences of Evictions</w:t>
      </w:r>
      <w:r w:rsidRPr="008C6B1B">
        <w:rPr>
          <w:sz w:val="28"/>
          <w:szCs w:val="28"/>
        </w:rPr>
        <w:t>, Yale Department of Economics (Sept. 26, 2023), https://economics.yale.edu/news/230926/new-research-sheds-light-economic-consequences-evictions.</w:t>
      </w:r>
    </w:p>
  </w:footnote>
  <w:footnote w:id="7">
    <w:p w14:paraId="700DAEB6" w14:textId="77777777" w:rsidR="00AC5EC7" w:rsidRPr="00C84BBD" w:rsidRDefault="00AC5EC7" w:rsidP="008C6B1B">
      <w:pPr>
        <w:pStyle w:val="FootnoteText"/>
        <w:jc w:val="both"/>
      </w:pPr>
      <w:r w:rsidRPr="008C6B1B">
        <w:rPr>
          <w:rStyle w:val="FootnoteReference"/>
          <w:sz w:val="28"/>
          <w:szCs w:val="28"/>
        </w:rPr>
        <w:footnoteRef/>
      </w:r>
      <w:r w:rsidRPr="008C6B1B">
        <w:rPr>
          <w:sz w:val="28"/>
          <w:szCs w:val="28"/>
        </w:rPr>
        <w:t xml:space="preserve"> </w:t>
      </w:r>
      <w:r w:rsidRPr="008C6B1B">
        <w:rPr>
          <w:i/>
          <w:iCs/>
          <w:sz w:val="28"/>
          <w:szCs w:val="28"/>
        </w:rPr>
        <w:t>Eviction Filings Associated with Increases in Homelessness</w:t>
      </w:r>
      <w:r w:rsidRPr="008C6B1B">
        <w:rPr>
          <w:sz w:val="28"/>
          <w:szCs w:val="28"/>
        </w:rPr>
        <w:t>, National Low Income Housing Coalition (Apr. 10, 2023), https://nlihc.org/resource/eviction-filings-associated-increases-homelessness.</w:t>
      </w:r>
    </w:p>
  </w:footnote>
  <w:footnote w:id="8">
    <w:p w14:paraId="57F4743A" w14:textId="4BA1013F"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Henri </w:t>
      </w:r>
      <w:proofErr w:type="spellStart"/>
      <w:r w:rsidRPr="008C6B1B">
        <w:rPr>
          <w:sz w:val="28"/>
          <w:szCs w:val="28"/>
        </w:rPr>
        <w:t>Cornec</w:t>
      </w:r>
      <w:proofErr w:type="spellEnd"/>
      <w:r w:rsidRPr="008C6B1B">
        <w:rPr>
          <w:sz w:val="28"/>
          <w:szCs w:val="28"/>
        </w:rPr>
        <w:t xml:space="preserve">, </w:t>
      </w:r>
      <w:r w:rsidR="004E4660" w:rsidRPr="008C6B1B">
        <w:rPr>
          <w:i/>
          <w:iCs/>
          <w:sz w:val="28"/>
          <w:szCs w:val="28"/>
        </w:rPr>
        <w:t xml:space="preserve">supra </w:t>
      </w:r>
      <w:r w:rsidR="004E4660" w:rsidRPr="008C6B1B">
        <w:rPr>
          <w:sz w:val="28"/>
          <w:szCs w:val="28"/>
        </w:rPr>
        <w:t>n.</w:t>
      </w:r>
      <w:r w:rsidR="007E4FE9" w:rsidRPr="008C6B1B">
        <w:rPr>
          <w:sz w:val="28"/>
          <w:szCs w:val="28"/>
        </w:rPr>
        <w:t>6.</w:t>
      </w:r>
    </w:p>
  </w:footnote>
  <w:footnote w:id="9">
    <w:p w14:paraId="581BB580" w14:textId="24B71ADA"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w:t>
      </w:r>
      <w:bookmarkStart w:id="2" w:name="dabmci_72e04278b59c4a528193e227a9505075"/>
      <w:r w:rsidR="009356AC" w:rsidRPr="008C6B1B">
        <w:rPr>
          <w:sz w:val="28"/>
          <w:szCs w:val="28"/>
        </w:rPr>
        <w:fldChar w:fldCharType="begin"/>
      </w:r>
      <w:r w:rsidR="009356AC" w:rsidRPr="008C6B1B">
        <w:rPr>
          <w:sz w:val="28"/>
          <w:szCs w:val="28"/>
        </w:rPr>
        <w:instrText>HYPERLINK "https://www.westlaw.com/Document/Ic1e7189c9c1e11d991d0cc6b54f12d4d/View/FullText.html?transitionType=Default&amp;contextData=(sc.Default)&amp;VR=3.0&amp;RS=da3.0&amp;fragmentIdentifier=co_pp_sp_780_335" \o "https://www.westlaw.com/Document/Ic1e7189c9c1e11d991d0cc6b54f12d4d/View/FullText.html?transitionType=Default&amp;contextData=(sc.Default)&amp;VR=3.0&amp;RS=da3.0&amp;fragmentIdentifier=co_pp_sp_780_335"</w:instrText>
      </w:r>
      <w:r w:rsidR="009356AC" w:rsidRPr="008C6B1B">
        <w:rPr>
          <w:sz w:val="28"/>
          <w:szCs w:val="28"/>
        </w:rPr>
      </w:r>
      <w:r w:rsidR="009356AC" w:rsidRPr="008C6B1B">
        <w:rPr>
          <w:sz w:val="28"/>
          <w:szCs w:val="28"/>
        </w:rPr>
        <w:fldChar w:fldCharType="separate"/>
      </w:r>
      <w:r w:rsidRPr="008C6B1B">
        <w:rPr>
          <w:rStyle w:val="Hyperlink"/>
          <w:color w:val="auto"/>
          <w:sz w:val="28"/>
          <w:szCs w:val="28"/>
          <w:u w:val="none"/>
        </w:rPr>
        <w:t>Mathews v. Eldridge, 424 U.S. 319, 335 (1976)</w:t>
      </w:r>
      <w:bookmarkEnd w:id="2"/>
      <w:r w:rsidR="009356AC" w:rsidRPr="008C6B1B">
        <w:rPr>
          <w:sz w:val="28"/>
          <w:szCs w:val="28"/>
        </w:rPr>
        <w:fldChar w:fldCharType="end"/>
      </w:r>
      <w:r w:rsidRPr="008C6B1B">
        <w:rPr>
          <w:sz w:val="28"/>
          <w:szCs w:val="28"/>
        </w:rPr>
        <w:t xml:space="preserve">. </w:t>
      </w:r>
    </w:p>
  </w:footnote>
  <w:footnote w:id="10">
    <w:p w14:paraId="3A0EE6F0" w14:textId="53D910BF" w:rsidR="00AC5EC7" w:rsidRPr="00640744" w:rsidRDefault="00AC5EC7" w:rsidP="008C6B1B">
      <w:pPr>
        <w:pStyle w:val="FootnoteText"/>
        <w:jc w:val="both"/>
      </w:pPr>
      <w:r w:rsidRPr="008C6B1B">
        <w:rPr>
          <w:rStyle w:val="FootnoteReference"/>
          <w:sz w:val="28"/>
          <w:szCs w:val="28"/>
        </w:rPr>
        <w:footnoteRef/>
      </w:r>
      <w:r w:rsidRPr="008C6B1B">
        <w:rPr>
          <w:sz w:val="28"/>
          <w:szCs w:val="28"/>
        </w:rPr>
        <w:t xml:space="preserve"> </w:t>
      </w:r>
      <w:bookmarkStart w:id="3" w:name="dabmci_10c0576ecd674ac5862878e7c301ac85"/>
      <w:r w:rsidR="009356AC" w:rsidRPr="008C6B1B">
        <w:rPr>
          <w:i/>
          <w:iCs/>
          <w:sz w:val="28"/>
          <w:szCs w:val="28"/>
        </w:rPr>
        <w:fldChar w:fldCharType="begin"/>
      </w:r>
      <w:r w:rsidR="009356AC" w:rsidRPr="008C6B1B">
        <w:rPr>
          <w:i/>
          <w:iCs/>
          <w:sz w:val="28"/>
          <w:szCs w:val="28"/>
        </w:rPr>
        <w:instrText>HYPERLINK "https://www.westlaw.com/Document/Ic1e7189c9c1e11d991d0cc6b54f12d4d/View/FullText.html?transitionType=Default&amp;contextData=(sc.Default)&amp;VR=3.0&amp;RS=da3.0" \o "https://www.westlaw.com/Document/Ic1e7189c9c1e11d991d0cc6b54f12d4d/View/FullText.html?transitionType=Default&amp;contextData=(sc.Default)&amp;VR=3.0&amp;RS=da3.0"</w:instrText>
      </w:r>
      <w:r w:rsidR="009356AC" w:rsidRPr="008C6B1B">
        <w:rPr>
          <w:i/>
          <w:iCs/>
          <w:sz w:val="28"/>
          <w:szCs w:val="28"/>
        </w:rPr>
      </w:r>
      <w:r w:rsidR="009356AC" w:rsidRPr="008C6B1B">
        <w:rPr>
          <w:i/>
          <w:iCs/>
          <w:sz w:val="28"/>
          <w:szCs w:val="28"/>
        </w:rPr>
        <w:fldChar w:fldCharType="separate"/>
      </w:r>
      <w:r w:rsidRPr="008C6B1B">
        <w:rPr>
          <w:rStyle w:val="Hyperlink"/>
          <w:i/>
          <w:iCs/>
          <w:color w:val="auto"/>
          <w:sz w:val="28"/>
          <w:szCs w:val="28"/>
          <w:u w:val="none"/>
        </w:rPr>
        <w:t>Id.</w:t>
      </w:r>
      <w:bookmarkEnd w:id="3"/>
      <w:r w:rsidR="009356AC" w:rsidRPr="008C6B1B">
        <w:rPr>
          <w:i/>
          <w:iCs/>
          <w:sz w:val="28"/>
          <w:szCs w:val="28"/>
        </w:rPr>
        <w:fldChar w:fldCharType="end"/>
      </w:r>
    </w:p>
  </w:footnote>
  <w:footnote w:id="11">
    <w:p w14:paraId="68BE4D31" w14:textId="5192D21B"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w:t>
      </w:r>
      <w:bookmarkStart w:id="4" w:name="dabmci_ed3fe4aa0c9248dabcae3ae3594aeef4"/>
      <w:r w:rsidR="009356AC" w:rsidRPr="008C6B1B">
        <w:rPr>
          <w:sz w:val="28"/>
          <w:szCs w:val="28"/>
        </w:rPr>
        <w:fldChar w:fldCharType="begin"/>
      </w:r>
      <w:r w:rsidR="009356AC" w:rsidRPr="008C6B1B">
        <w:rPr>
          <w:sz w:val="28"/>
          <w:szCs w:val="28"/>
        </w:rPr>
        <w:instrText>HYPERLINK "https://www.westlaw.com/Document/I2361955a9c1e11d9bdd1cfdd544ca3a4/View/FullText.html?transitionType=Default&amp;contextData=(sc.Default)&amp;VR=3.0&amp;RS=da3.0&amp;fragmentIdentifier=co_pp_sp_780_262" \o "https://www.westlaw.com/Document/I2361955a9c1e11d9bdd1cfdd544ca3a4/View/FullText.html?transitionType=Default&amp;contextData=(sc.Default)&amp;VR=3.0&amp;RS=da3.0&amp;fragmentIdentifier=co_pp_sp_780_262"</w:instrText>
      </w:r>
      <w:r w:rsidR="009356AC" w:rsidRPr="008C6B1B">
        <w:rPr>
          <w:sz w:val="28"/>
          <w:szCs w:val="28"/>
        </w:rPr>
      </w:r>
      <w:r w:rsidR="009356AC" w:rsidRPr="008C6B1B">
        <w:rPr>
          <w:sz w:val="28"/>
          <w:szCs w:val="28"/>
        </w:rPr>
        <w:fldChar w:fldCharType="separate"/>
      </w:r>
      <w:r w:rsidRPr="008C6B1B">
        <w:rPr>
          <w:rStyle w:val="Hyperlink"/>
          <w:color w:val="auto"/>
          <w:sz w:val="28"/>
          <w:szCs w:val="28"/>
          <w:u w:val="none"/>
        </w:rPr>
        <w:t>Goldberg v. Kelly, 397 U.S. 254, 262-63 (1970)</w:t>
      </w:r>
      <w:bookmarkEnd w:id="4"/>
      <w:r w:rsidR="009356AC" w:rsidRPr="008C6B1B">
        <w:rPr>
          <w:sz w:val="28"/>
          <w:szCs w:val="28"/>
        </w:rPr>
        <w:fldChar w:fldCharType="end"/>
      </w:r>
      <w:r w:rsidRPr="008C6B1B">
        <w:rPr>
          <w:sz w:val="28"/>
          <w:szCs w:val="28"/>
        </w:rPr>
        <w:t xml:space="preserve"> (quoting </w:t>
      </w:r>
      <w:bookmarkStart w:id="5" w:name="dabmci_a5e4a43c3c314440949eac78a4ba1b95"/>
      <w:r w:rsidR="009356AC" w:rsidRPr="008C6B1B">
        <w:rPr>
          <w:sz w:val="28"/>
          <w:szCs w:val="28"/>
        </w:rPr>
        <w:fldChar w:fldCharType="begin"/>
      </w:r>
      <w:r w:rsidR="009356AC" w:rsidRPr="008C6B1B">
        <w:rPr>
          <w:sz w:val="28"/>
          <w:szCs w:val="28"/>
        </w:rPr>
        <w:instrText>HYPERLINK "https://www.westlaw.com/Document/Id4cb7b009c1d11d991d0cc6b54f12d4d/View/FullText.html?transitionType=Default&amp;contextData=(sc.Default)&amp;VR=3.0&amp;RS=da3.0&amp;fragmentIdentifier=co_pp_sp_780_168" \o "https://www.westlaw.com/Document/Id4cb7b009c1d11d991d0cc6b54f12d4d/View/FullText.html?transitionType=Default&amp;contextData=(sc.Default)&amp;VR=3.0&amp;RS=da3.0&amp;fragmentIdentifier=co_pp_sp_780_168"</w:instrText>
      </w:r>
      <w:r w:rsidR="009356AC" w:rsidRPr="008C6B1B">
        <w:rPr>
          <w:sz w:val="28"/>
          <w:szCs w:val="28"/>
        </w:rPr>
      </w:r>
      <w:r w:rsidR="009356AC" w:rsidRPr="008C6B1B">
        <w:rPr>
          <w:sz w:val="28"/>
          <w:szCs w:val="28"/>
        </w:rPr>
        <w:fldChar w:fldCharType="separate"/>
      </w:r>
      <w:r w:rsidRPr="008C6B1B">
        <w:rPr>
          <w:rStyle w:val="Hyperlink"/>
          <w:color w:val="auto"/>
          <w:sz w:val="28"/>
          <w:szCs w:val="28"/>
          <w:u w:val="none"/>
        </w:rPr>
        <w:t>Joint Anti-Fascist Refugee Committee v. McGrath, 341 U.S. 123, 168 (1951)</w:t>
      </w:r>
      <w:bookmarkEnd w:id="5"/>
      <w:r w:rsidR="009356AC" w:rsidRPr="008C6B1B">
        <w:rPr>
          <w:sz w:val="28"/>
          <w:szCs w:val="28"/>
        </w:rPr>
        <w:fldChar w:fldCharType="end"/>
      </w:r>
      <w:r w:rsidRPr="008C6B1B">
        <w:rPr>
          <w:sz w:val="28"/>
          <w:szCs w:val="28"/>
        </w:rPr>
        <w:t>).</w:t>
      </w:r>
    </w:p>
  </w:footnote>
  <w:footnote w:id="12">
    <w:p w14:paraId="67A43FFE" w14:textId="3FDFE8FB"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w:t>
      </w:r>
      <w:bookmarkStart w:id="6" w:name="dabmci_b592c7b6c1294dfab6414b34079b5485"/>
      <w:r w:rsidR="009356AC" w:rsidRPr="008C6B1B">
        <w:rPr>
          <w:sz w:val="28"/>
          <w:szCs w:val="28"/>
        </w:rPr>
        <w:fldChar w:fldCharType="begin"/>
      </w:r>
      <w:r w:rsidR="009356AC" w:rsidRPr="008C6B1B">
        <w:rPr>
          <w:sz w:val="28"/>
          <w:szCs w:val="28"/>
        </w:rPr>
        <w:instrText>HYPERLINK "https://www.westlaw.com/Document/Ic1d342769c1e11d991d0cc6b54f12d4d/View/FullText.html?transitionType=Default&amp;contextData=(sc.Default)&amp;VR=3.0&amp;RS=da3.0&amp;fragmentIdentifier=co_pp_sp_780_761" \o "https://www.westlaw.com/Document/Ic1d342769c1e11d991d0cc6b54f12d4d/View/FullText.html?transitionType=Default&amp;contextData=(sc.Default)&amp;VR=3.0&amp;RS=da3.0&amp;fragmentIdentifier=co_pp_sp_780_761"</w:instrText>
      </w:r>
      <w:r w:rsidR="009356AC" w:rsidRPr="008C6B1B">
        <w:rPr>
          <w:sz w:val="28"/>
          <w:szCs w:val="28"/>
        </w:rPr>
      </w:r>
      <w:r w:rsidR="009356AC" w:rsidRPr="008C6B1B">
        <w:rPr>
          <w:sz w:val="28"/>
          <w:szCs w:val="28"/>
        </w:rPr>
        <w:fldChar w:fldCharType="separate"/>
      </w:r>
      <w:proofErr w:type="spellStart"/>
      <w:r w:rsidRPr="008C6B1B">
        <w:rPr>
          <w:rStyle w:val="Hyperlink"/>
          <w:color w:val="auto"/>
          <w:sz w:val="28"/>
          <w:szCs w:val="28"/>
          <w:u w:val="none"/>
        </w:rPr>
        <w:t>Santosky</w:t>
      </w:r>
      <w:proofErr w:type="spellEnd"/>
      <w:r w:rsidRPr="008C6B1B">
        <w:rPr>
          <w:rStyle w:val="Hyperlink"/>
          <w:color w:val="auto"/>
          <w:sz w:val="28"/>
          <w:szCs w:val="28"/>
          <w:u w:val="none"/>
        </w:rPr>
        <w:t xml:space="preserve"> v. Kramer, 455 U.S. 745, 761 (1982)</w:t>
      </w:r>
      <w:bookmarkEnd w:id="6"/>
      <w:r w:rsidR="009356AC" w:rsidRPr="008C6B1B">
        <w:rPr>
          <w:sz w:val="28"/>
          <w:szCs w:val="28"/>
        </w:rPr>
        <w:fldChar w:fldCharType="end"/>
      </w:r>
      <w:r w:rsidRPr="008C6B1B">
        <w:rPr>
          <w:sz w:val="28"/>
          <w:szCs w:val="28"/>
        </w:rPr>
        <w:t>.</w:t>
      </w:r>
    </w:p>
  </w:footnote>
  <w:footnote w:id="13">
    <w:p w14:paraId="2337E265" w14:textId="3DEDB011"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w:t>
      </w:r>
      <w:bookmarkStart w:id="7" w:name="dabmci_a5942e9d947741df96497618abfd2afe"/>
      <w:r w:rsidR="009356AC" w:rsidRPr="008C6B1B">
        <w:rPr>
          <w:sz w:val="28"/>
          <w:szCs w:val="28"/>
        </w:rPr>
        <w:fldChar w:fldCharType="begin"/>
      </w:r>
      <w:r w:rsidR="009356AC" w:rsidRPr="008C6B1B">
        <w:rPr>
          <w:sz w:val="28"/>
          <w:szCs w:val="28"/>
        </w:rPr>
        <w:instrText>HYPERLINK "https://www.westlaw.com/Document/N9E8635109DFA11D8A63DAA9EBCE8FE5A/View/FullText.html?transitionType=Default&amp;contextData=(sc.Default)&amp;VR=3.0&amp;RS=da3.0" \o "https://www.westlaw.com/Document/N9E8635109DFA11D8A63DAA9EBCE8FE5A/View/FullText.html?transitionType=Default&amp;contextData=(sc.Default)&amp;VR=3.0&amp;RS=da3.0"</w:instrText>
      </w:r>
      <w:r w:rsidR="009356AC" w:rsidRPr="008C6B1B">
        <w:rPr>
          <w:sz w:val="28"/>
          <w:szCs w:val="28"/>
        </w:rPr>
      </w:r>
      <w:r w:rsidR="009356AC" w:rsidRPr="008C6B1B">
        <w:rPr>
          <w:sz w:val="28"/>
          <w:szCs w:val="28"/>
        </w:rPr>
        <w:fldChar w:fldCharType="separate"/>
      </w:r>
      <w:r w:rsidRPr="008C6B1B">
        <w:rPr>
          <w:rStyle w:val="Hyperlink"/>
          <w:color w:val="auto"/>
          <w:sz w:val="28"/>
          <w:szCs w:val="28"/>
          <w:u w:val="none"/>
        </w:rPr>
        <w:t xml:space="preserve">U.S. Const. amend XIV, </w:t>
      </w:r>
      <w:r w:rsidRPr="008C6B1B">
        <w:rPr>
          <w:rStyle w:val="Hyperlink"/>
          <w:rFonts w:cs="Tahoma"/>
          <w:color w:val="auto"/>
          <w:sz w:val="28"/>
          <w:szCs w:val="28"/>
          <w:u w:val="none"/>
        </w:rPr>
        <w:t>§ 1</w:t>
      </w:r>
      <w:bookmarkEnd w:id="7"/>
      <w:r w:rsidR="009356AC" w:rsidRPr="008C6B1B">
        <w:rPr>
          <w:sz w:val="28"/>
          <w:szCs w:val="28"/>
        </w:rPr>
        <w:fldChar w:fldCharType="end"/>
      </w:r>
      <w:r w:rsidRPr="008C6B1B">
        <w:rPr>
          <w:rFonts w:cs="Tahoma"/>
          <w:sz w:val="28"/>
          <w:szCs w:val="28"/>
        </w:rPr>
        <w:t xml:space="preserve">; </w:t>
      </w:r>
      <w:bookmarkStart w:id="8" w:name="dabmci_2b7f177c83d04457abae13ae98044194"/>
      <w:r w:rsidR="009356AC" w:rsidRPr="008C6B1B">
        <w:rPr>
          <w:rFonts w:cs="Tahoma"/>
          <w:sz w:val="28"/>
          <w:szCs w:val="28"/>
        </w:rPr>
        <w:fldChar w:fldCharType="begin"/>
      </w:r>
      <w:r w:rsidR="009356AC" w:rsidRPr="008C6B1B">
        <w:rPr>
          <w:rFonts w:cs="Tahoma"/>
          <w:sz w:val="28"/>
          <w:szCs w:val="28"/>
        </w:rPr>
        <w:instrText>HYPERLINK "https://www.westlaw.com/Document/NE5A9362070BE11DAA16E8D4AC7636430/View/FullText.html?transitionType=Default&amp;contextData=(sc.Default)&amp;VR=3.0&amp;RS=da3.0" \o "https://www.westlaw.com/Document/NE5A9362070BE11DAA16E8D4AC7636430/View/FullText.html?transitionType=Default&amp;contextData=(sc.Default)&amp;VR=3.0&amp;RS=da3.0"</w:instrText>
      </w:r>
      <w:r w:rsidR="009356AC" w:rsidRPr="008C6B1B">
        <w:rPr>
          <w:rFonts w:cs="Tahoma"/>
          <w:sz w:val="28"/>
          <w:szCs w:val="28"/>
        </w:rPr>
      </w:r>
      <w:r w:rsidR="009356AC" w:rsidRPr="008C6B1B">
        <w:rPr>
          <w:rFonts w:cs="Tahoma"/>
          <w:sz w:val="28"/>
          <w:szCs w:val="28"/>
        </w:rPr>
        <w:fldChar w:fldCharType="separate"/>
      </w:r>
      <w:r w:rsidRPr="008C6B1B">
        <w:rPr>
          <w:rStyle w:val="Hyperlink"/>
          <w:rFonts w:cs="Tahoma"/>
          <w:color w:val="auto"/>
          <w:sz w:val="28"/>
          <w:szCs w:val="28"/>
          <w:u w:val="none"/>
        </w:rPr>
        <w:t>Ariz. Const. art. 2, § 4</w:t>
      </w:r>
      <w:bookmarkEnd w:id="8"/>
      <w:r w:rsidR="009356AC" w:rsidRPr="008C6B1B">
        <w:rPr>
          <w:rFonts w:cs="Tahoma"/>
          <w:sz w:val="28"/>
          <w:szCs w:val="28"/>
        </w:rPr>
        <w:fldChar w:fldCharType="end"/>
      </w:r>
    </w:p>
  </w:footnote>
  <w:footnote w:id="14">
    <w:p w14:paraId="31F4FE7B" w14:textId="209F0A89" w:rsidR="00AC5EC7" w:rsidRPr="008C6B1B" w:rsidRDefault="00AC5EC7" w:rsidP="008C6B1B">
      <w:pPr>
        <w:pStyle w:val="FootnoteText"/>
        <w:jc w:val="both"/>
        <w:rPr>
          <w:sz w:val="28"/>
          <w:szCs w:val="28"/>
        </w:rPr>
      </w:pPr>
      <w:r w:rsidRPr="008C6B1B">
        <w:rPr>
          <w:rStyle w:val="FootnoteReference"/>
          <w:sz w:val="28"/>
          <w:szCs w:val="28"/>
        </w:rPr>
        <w:footnoteRef/>
      </w:r>
      <w:r w:rsidRPr="008C6B1B">
        <w:rPr>
          <w:sz w:val="28"/>
          <w:szCs w:val="28"/>
        </w:rPr>
        <w:t xml:space="preserve"> </w:t>
      </w:r>
      <w:r w:rsidRPr="008C6B1B">
        <w:rPr>
          <w:i/>
          <w:iCs/>
          <w:sz w:val="28"/>
          <w:szCs w:val="28"/>
        </w:rPr>
        <w:t>See, e.g.</w:t>
      </w:r>
      <w:r w:rsidRPr="008C6B1B">
        <w:rPr>
          <w:sz w:val="28"/>
          <w:szCs w:val="28"/>
        </w:rPr>
        <w:t xml:space="preserve">, </w:t>
      </w:r>
      <w:bookmarkStart w:id="9" w:name="dabmci_4df75cb0fbf64a65b1455d7590401a76"/>
      <w:r w:rsidR="009356AC" w:rsidRPr="008C6B1B">
        <w:rPr>
          <w:sz w:val="28"/>
          <w:szCs w:val="28"/>
        </w:rPr>
        <w:fldChar w:fldCharType="begin"/>
      </w:r>
      <w:r w:rsidR="009356AC" w:rsidRPr="008C6B1B">
        <w:rPr>
          <w:sz w:val="28"/>
          <w:szCs w:val="28"/>
        </w:rPr>
        <w:instrText>HYPERLINK "https://www.westlaw.com/Document/I8a7afda0a07811df896a9debfa48a185/View/FullText.html?transitionType=Default&amp;contextData=(sc.Default)&amp;VR=3.0&amp;RS=da3.0" \o "https://www.westlaw.com/Document/I8a7afda0a07811df896a9debfa48a185/View/FullText.html?transitionType=Default&amp;contextData=(sc.Default)&amp;VR=3.0&amp;RS=da3.0"</w:instrText>
      </w:r>
      <w:r w:rsidR="009356AC" w:rsidRPr="008C6B1B">
        <w:rPr>
          <w:sz w:val="28"/>
          <w:szCs w:val="28"/>
        </w:rPr>
      </w:r>
      <w:r w:rsidR="009356AC" w:rsidRPr="008C6B1B">
        <w:rPr>
          <w:sz w:val="28"/>
          <w:szCs w:val="28"/>
        </w:rPr>
        <w:fldChar w:fldCharType="separate"/>
      </w:r>
      <w:r w:rsidRPr="008C6B1B">
        <w:rPr>
          <w:rStyle w:val="Hyperlink"/>
          <w:color w:val="auto"/>
          <w:sz w:val="28"/>
          <w:szCs w:val="28"/>
          <w:u w:val="none"/>
        </w:rPr>
        <w:t>In re MH-2008-000867, 225 Ariz. 178 (2010)</w:t>
      </w:r>
      <w:bookmarkEnd w:id="9"/>
      <w:r w:rsidR="009356AC" w:rsidRPr="008C6B1B">
        <w:rPr>
          <w:sz w:val="28"/>
          <w:szCs w:val="28"/>
        </w:rPr>
        <w:fldChar w:fldCharType="end"/>
      </w:r>
      <w:r w:rsidRPr="008C6B1B">
        <w:rPr>
          <w:sz w:val="28"/>
          <w:szCs w:val="28"/>
        </w:rPr>
        <w:t>.</w:t>
      </w:r>
    </w:p>
  </w:footnote>
  <w:footnote w:id="15">
    <w:p w14:paraId="1ED37A98" w14:textId="24529568" w:rsidR="00AC5EC7" w:rsidRPr="00110951" w:rsidRDefault="00AC5EC7" w:rsidP="008C6B1B">
      <w:pPr>
        <w:pStyle w:val="FootnoteText"/>
        <w:jc w:val="both"/>
      </w:pPr>
      <w:r w:rsidRPr="008C6B1B">
        <w:rPr>
          <w:rStyle w:val="FootnoteReference"/>
          <w:sz w:val="28"/>
          <w:szCs w:val="28"/>
        </w:rPr>
        <w:footnoteRef/>
      </w:r>
      <w:r w:rsidRPr="008C6B1B">
        <w:rPr>
          <w:sz w:val="28"/>
          <w:szCs w:val="28"/>
        </w:rPr>
        <w:t xml:space="preserve"> </w:t>
      </w:r>
      <w:bookmarkStart w:id="10" w:name="dabmci_afc613b89cdd4a019f709c8abcb4c30d"/>
      <w:r w:rsidR="009356AC" w:rsidRPr="008C6B1B">
        <w:rPr>
          <w:i/>
          <w:iCs/>
          <w:sz w:val="28"/>
          <w:szCs w:val="28"/>
        </w:rPr>
        <w:fldChar w:fldCharType="begin"/>
      </w:r>
      <w:r w:rsidR="009356AC" w:rsidRPr="008C6B1B">
        <w:rPr>
          <w:i/>
          <w:iCs/>
          <w:sz w:val="28"/>
          <w:szCs w:val="28"/>
        </w:rPr>
        <w:instrText>HYPERLINK "https://www.westlaw.com/Document/I8a7afda0a07811df896a9debfa48a185/View/FullText.html?transitionType=Default&amp;contextData=(sc.Default)&amp;VR=3.0&amp;RS=da3.0" \o "https://www.westlaw.com/Document/I8a7afda0a07811df896a9debfa48a185/View/FullText.html?transitionType=Default&amp;contextData=(sc.Default)&amp;VR=3.0&amp;RS=da3.0"</w:instrText>
      </w:r>
      <w:r w:rsidR="009356AC" w:rsidRPr="008C6B1B">
        <w:rPr>
          <w:i/>
          <w:iCs/>
          <w:sz w:val="28"/>
          <w:szCs w:val="28"/>
        </w:rPr>
      </w:r>
      <w:r w:rsidR="009356AC" w:rsidRPr="008C6B1B">
        <w:rPr>
          <w:i/>
          <w:iCs/>
          <w:sz w:val="28"/>
          <w:szCs w:val="28"/>
        </w:rPr>
        <w:fldChar w:fldCharType="separate"/>
      </w:r>
      <w:r w:rsidRPr="008C6B1B">
        <w:rPr>
          <w:rStyle w:val="Hyperlink"/>
          <w:i/>
          <w:iCs/>
          <w:color w:val="auto"/>
          <w:sz w:val="28"/>
          <w:szCs w:val="28"/>
          <w:u w:val="none"/>
        </w:rPr>
        <w:t>Id.</w:t>
      </w:r>
      <w:bookmarkEnd w:id="10"/>
      <w:r w:rsidR="009356AC" w:rsidRPr="008C6B1B">
        <w:rPr>
          <w:i/>
          <w:iCs/>
          <w:sz w:val="28"/>
          <w:szCs w:val="28"/>
        </w:rPr>
        <w:fldChar w:fldCharType="end"/>
      </w:r>
    </w:p>
  </w:footnote>
  <w:footnote w:id="16">
    <w:p w14:paraId="28F8B8B6" w14:textId="7BAC3C3E" w:rsidR="00723A31" w:rsidRPr="008C6B1B" w:rsidRDefault="00723A31" w:rsidP="008C6B1B">
      <w:pPr>
        <w:pStyle w:val="FootnoteText"/>
        <w:jc w:val="both"/>
        <w:rPr>
          <w:sz w:val="28"/>
          <w:szCs w:val="28"/>
        </w:rPr>
      </w:pPr>
      <w:r w:rsidRPr="008C6B1B">
        <w:rPr>
          <w:rStyle w:val="FootnoteReference"/>
          <w:sz w:val="28"/>
          <w:szCs w:val="28"/>
        </w:rPr>
        <w:footnoteRef/>
      </w:r>
      <w:r w:rsidRPr="008C6B1B">
        <w:rPr>
          <w:sz w:val="28"/>
          <w:szCs w:val="28"/>
        </w:rPr>
        <w:t xml:space="preserve"> While members of NOAA and </w:t>
      </w:r>
      <w:r w:rsidR="00B85093" w:rsidRPr="008C6B1B">
        <w:rPr>
          <w:sz w:val="28"/>
          <w:szCs w:val="28"/>
        </w:rPr>
        <w:t xml:space="preserve">the </w:t>
      </w:r>
      <w:r w:rsidRPr="008C6B1B">
        <w:rPr>
          <w:sz w:val="28"/>
          <w:szCs w:val="28"/>
        </w:rPr>
        <w:t xml:space="preserve">USPHS are not as prevalent as members of the Army Forces, they hold military ranks and deploy into combat. The United States Surgeon General typically wears a naval uniform because he or she is a three-star admiral </w:t>
      </w:r>
      <w:r w:rsidR="00B85093" w:rsidRPr="008C6B1B">
        <w:rPr>
          <w:sz w:val="28"/>
          <w:szCs w:val="28"/>
        </w:rPr>
        <w:t xml:space="preserve">in the </w:t>
      </w:r>
      <w:r w:rsidRPr="008C6B1B">
        <w:rPr>
          <w:sz w:val="28"/>
          <w:szCs w:val="28"/>
        </w:rPr>
        <w:t xml:space="preserve">USPHS.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92BE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7FA32"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11D4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60D"/>
    <w:multiLevelType w:val="hybridMultilevel"/>
    <w:tmpl w:val="BC3CBC42"/>
    <w:lvl w:ilvl="0" w:tplc="EE54B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659CA"/>
    <w:multiLevelType w:val="hybridMultilevel"/>
    <w:tmpl w:val="72D60CF6"/>
    <w:lvl w:ilvl="0" w:tplc="2FA05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BB3502"/>
    <w:multiLevelType w:val="hybridMultilevel"/>
    <w:tmpl w:val="8C52BE2E"/>
    <w:lvl w:ilvl="0" w:tplc="951020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3"/>
  </w:num>
  <w:num w:numId="2" w16cid:durableId="1338851655">
    <w:abstractNumId w:val="14"/>
  </w:num>
  <w:num w:numId="3" w16cid:durableId="1296182094">
    <w:abstractNumId w:val="1"/>
  </w:num>
  <w:num w:numId="4" w16cid:durableId="736973399">
    <w:abstractNumId w:val="6"/>
  </w:num>
  <w:num w:numId="5" w16cid:durableId="1994602185">
    <w:abstractNumId w:val="8"/>
  </w:num>
  <w:num w:numId="6" w16cid:durableId="705905435">
    <w:abstractNumId w:val="9"/>
  </w:num>
  <w:num w:numId="7" w16cid:durableId="1829319839">
    <w:abstractNumId w:val="2"/>
  </w:num>
  <w:num w:numId="8" w16cid:durableId="1136950692">
    <w:abstractNumId w:val="16"/>
  </w:num>
  <w:num w:numId="9" w16cid:durableId="1542329543">
    <w:abstractNumId w:val="10"/>
  </w:num>
  <w:num w:numId="10" w16cid:durableId="451173854">
    <w:abstractNumId w:val="12"/>
  </w:num>
  <w:num w:numId="11" w16cid:durableId="21368526">
    <w:abstractNumId w:val="11"/>
  </w:num>
  <w:num w:numId="12" w16cid:durableId="1141196481">
    <w:abstractNumId w:val="7"/>
  </w:num>
  <w:num w:numId="13" w16cid:durableId="984310016">
    <w:abstractNumId w:val="4"/>
  </w:num>
  <w:num w:numId="14" w16cid:durableId="102000703">
    <w:abstractNumId w:val="5"/>
  </w:num>
  <w:num w:numId="15" w16cid:durableId="972254644">
    <w:abstractNumId w:val="0"/>
  </w:num>
  <w:num w:numId="16" w16cid:durableId="1763722669">
    <w:abstractNumId w:val="3"/>
  </w:num>
  <w:num w:numId="17" w16cid:durableId="815381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2D08"/>
    <w:rsid w:val="00015F76"/>
    <w:rsid w:val="00017F93"/>
    <w:rsid w:val="00021B1C"/>
    <w:rsid w:val="00031D7C"/>
    <w:rsid w:val="000410B3"/>
    <w:rsid w:val="00043D4D"/>
    <w:rsid w:val="000465C7"/>
    <w:rsid w:val="00052372"/>
    <w:rsid w:val="000666D1"/>
    <w:rsid w:val="00071208"/>
    <w:rsid w:val="00075F44"/>
    <w:rsid w:val="0007640F"/>
    <w:rsid w:val="0008003D"/>
    <w:rsid w:val="0008256C"/>
    <w:rsid w:val="000917C0"/>
    <w:rsid w:val="00095B49"/>
    <w:rsid w:val="000A1D6B"/>
    <w:rsid w:val="000A2441"/>
    <w:rsid w:val="000C1DBF"/>
    <w:rsid w:val="000C31CE"/>
    <w:rsid w:val="000C48A9"/>
    <w:rsid w:val="000C4CB3"/>
    <w:rsid w:val="000E7645"/>
    <w:rsid w:val="000F7A7F"/>
    <w:rsid w:val="000F7C13"/>
    <w:rsid w:val="001076EC"/>
    <w:rsid w:val="0011074F"/>
    <w:rsid w:val="001223A0"/>
    <w:rsid w:val="00123BB0"/>
    <w:rsid w:val="00125B4B"/>
    <w:rsid w:val="0012632E"/>
    <w:rsid w:val="00135326"/>
    <w:rsid w:val="0014088C"/>
    <w:rsid w:val="00146668"/>
    <w:rsid w:val="00184AC0"/>
    <w:rsid w:val="00186C2F"/>
    <w:rsid w:val="00195180"/>
    <w:rsid w:val="00197291"/>
    <w:rsid w:val="001A081A"/>
    <w:rsid w:val="001A2520"/>
    <w:rsid w:val="001A5914"/>
    <w:rsid w:val="001A7DCF"/>
    <w:rsid w:val="001B48E9"/>
    <w:rsid w:val="001B698B"/>
    <w:rsid w:val="001C3C0D"/>
    <w:rsid w:val="001C3E6C"/>
    <w:rsid w:val="001D123F"/>
    <w:rsid w:val="001E1348"/>
    <w:rsid w:val="001E5DA5"/>
    <w:rsid w:val="001E7C48"/>
    <w:rsid w:val="001F591C"/>
    <w:rsid w:val="001F5E40"/>
    <w:rsid w:val="00200ECE"/>
    <w:rsid w:val="002011A0"/>
    <w:rsid w:val="00207336"/>
    <w:rsid w:val="00215505"/>
    <w:rsid w:val="00220398"/>
    <w:rsid w:val="00222ECB"/>
    <w:rsid w:val="00224241"/>
    <w:rsid w:val="0023378E"/>
    <w:rsid w:val="00235BFC"/>
    <w:rsid w:val="00243A54"/>
    <w:rsid w:val="002506BC"/>
    <w:rsid w:val="00250FBB"/>
    <w:rsid w:val="00251E89"/>
    <w:rsid w:val="00253978"/>
    <w:rsid w:val="0026700B"/>
    <w:rsid w:val="0026769D"/>
    <w:rsid w:val="00274D6A"/>
    <w:rsid w:val="00280F57"/>
    <w:rsid w:val="00284438"/>
    <w:rsid w:val="002865F8"/>
    <w:rsid w:val="0029597F"/>
    <w:rsid w:val="00297754"/>
    <w:rsid w:val="002A38C5"/>
    <w:rsid w:val="002A3FDE"/>
    <w:rsid w:val="002A4000"/>
    <w:rsid w:val="002A4EAC"/>
    <w:rsid w:val="002C26D0"/>
    <w:rsid w:val="002D0120"/>
    <w:rsid w:val="002D7E8F"/>
    <w:rsid w:val="002F0BB4"/>
    <w:rsid w:val="002F2AB7"/>
    <w:rsid w:val="002F3405"/>
    <w:rsid w:val="00303EEE"/>
    <w:rsid w:val="003141F0"/>
    <w:rsid w:val="00314DC3"/>
    <w:rsid w:val="003175CA"/>
    <w:rsid w:val="00334B42"/>
    <w:rsid w:val="00345BC4"/>
    <w:rsid w:val="003501AE"/>
    <w:rsid w:val="0035209C"/>
    <w:rsid w:val="00352347"/>
    <w:rsid w:val="0035293D"/>
    <w:rsid w:val="00354FD4"/>
    <w:rsid w:val="003566D6"/>
    <w:rsid w:val="00357F4D"/>
    <w:rsid w:val="003617D1"/>
    <w:rsid w:val="003621B6"/>
    <w:rsid w:val="003646E9"/>
    <w:rsid w:val="00366186"/>
    <w:rsid w:val="00373142"/>
    <w:rsid w:val="00377199"/>
    <w:rsid w:val="0039419B"/>
    <w:rsid w:val="003A28AC"/>
    <w:rsid w:val="003A44E7"/>
    <w:rsid w:val="003B59CB"/>
    <w:rsid w:val="003C16AD"/>
    <w:rsid w:val="003C572C"/>
    <w:rsid w:val="003E15DF"/>
    <w:rsid w:val="003E1C14"/>
    <w:rsid w:val="003E27F3"/>
    <w:rsid w:val="003E49AE"/>
    <w:rsid w:val="003E798E"/>
    <w:rsid w:val="003F5C6D"/>
    <w:rsid w:val="003F7D23"/>
    <w:rsid w:val="00407E2D"/>
    <w:rsid w:val="00416255"/>
    <w:rsid w:val="00425D2E"/>
    <w:rsid w:val="0042608F"/>
    <w:rsid w:val="004331B2"/>
    <w:rsid w:val="004345C2"/>
    <w:rsid w:val="00435ED1"/>
    <w:rsid w:val="00440E4C"/>
    <w:rsid w:val="00442035"/>
    <w:rsid w:val="00445797"/>
    <w:rsid w:val="00447011"/>
    <w:rsid w:val="00461C9D"/>
    <w:rsid w:val="00463734"/>
    <w:rsid w:val="00486CE0"/>
    <w:rsid w:val="00492606"/>
    <w:rsid w:val="00494BDF"/>
    <w:rsid w:val="00495B5F"/>
    <w:rsid w:val="004A2D49"/>
    <w:rsid w:val="004A6A6F"/>
    <w:rsid w:val="004B6952"/>
    <w:rsid w:val="004C3AE3"/>
    <w:rsid w:val="004C729B"/>
    <w:rsid w:val="004D6956"/>
    <w:rsid w:val="004E4660"/>
    <w:rsid w:val="004E5796"/>
    <w:rsid w:val="004E6BC4"/>
    <w:rsid w:val="004F23BA"/>
    <w:rsid w:val="004F3650"/>
    <w:rsid w:val="004F7E34"/>
    <w:rsid w:val="00504E1E"/>
    <w:rsid w:val="00506859"/>
    <w:rsid w:val="00510D26"/>
    <w:rsid w:val="00520F93"/>
    <w:rsid w:val="005226A5"/>
    <w:rsid w:val="005324FA"/>
    <w:rsid w:val="00543240"/>
    <w:rsid w:val="00546BF9"/>
    <w:rsid w:val="00552EFC"/>
    <w:rsid w:val="00561ABB"/>
    <w:rsid w:val="00566856"/>
    <w:rsid w:val="00575238"/>
    <w:rsid w:val="00576E8E"/>
    <w:rsid w:val="00582AE1"/>
    <w:rsid w:val="005845AE"/>
    <w:rsid w:val="005A0F0C"/>
    <w:rsid w:val="005A21B0"/>
    <w:rsid w:val="005B3162"/>
    <w:rsid w:val="005B4F67"/>
    <w:rsid w:val="005B5161"/>
    <w:rsid w:val="005B7603"/>
    <w:rsid w:val="005C115B"/>
    <w:rsid w:val="005C1BD1"/>
    <w:rsid w:val="005C606B"/>
    <w:rsid w:val="005D0936"/>
    <w:rsid w:val="005D6AD4"/>
    <w:rsid w:val="005E78C6"/>
    <w:rsid w:val="005F3416"/>
    <w:rsid w:val="00611B89"/>
    <w:rsid w:val="0062124A"/>
    <w:rsid w:val="0062208F"/>
    <w:rsid w:val="00624AE0"/>
    <w:rsid w:val="00626C50"/>
    <w:rsid w:val="00630A09"/>
    <w:rsid w:val="00632D14"/>
    <w:rsid w:val="006338C1"/>
    <w:rsid w:val="00635B0E"/>
    <w:rsid w:val="00636F5E"/>
    <w:rsid w:val="00660C65"/>
    <w:rsid w:val="00665CCF"/>
    <w:rsid w:val="006666D1"/>
    <w:rsid w:val="0066721E"/>
    <w:rsid w:val="00671038"/>
    <w:rsid w:val="006721EC"/>
    <w:rsid w:val="00673D66"/>
    <w:rsid w:val="006766BF"/>
    <w:rsid w:val="00684D10"/>
    <w:rsid w:val="00692391"/>
    <w:rsid w:val="006932BA"/>
    <w:rsid w:val="006A6546"/>
    <w:rsid w:val="006B1D3C"/>
    <w:rsid w:val="006B4F9A"/>
    <w:rsid w:val="006C4BE1"/>
    <w:rsid w:val="006C6674"/>
    <w:rsid w:val="006E1A05"/>
    <w:rsid w:val="006E29B1"/>
    <w:rsid w:val="006E4770"/>
    <w:rsid w:val="006F63FD"/>
    <w:rsid w:val="00700593"/>
    <w:rsid w:val="00705EB3"/>
    <w:rsid w:val="00707F23"/>
    <w:rsid w:val="00721303"/>
    <w:rsid w:val="00723A31"/>
    <w:rsid w:val="007251D7"/>
    <w:rsid w:val="007271A6"/>
    <w:rsid w:val="00731022"/>
    <w:rsid w:val="00732169"/>
    <w:rsid w:val="00735659"/>
    <w:rsid w:val="007366E0"/>
    <w:rsid w:val="007427C6"/>
    <w:rsid w:val="007431D2"/>
    <w:rsid w:val="007629AF"/>
    <w:rsid w:val="00762F60"/>
    <w:rsid w:val="0077110E"/>
    <w:rsid w:val="00772DBC"/>
    <w:rsid w:val="00781516"/>
    <w:rsid w:val="0078600A"/>
    <w:rsid w:val="007870CB"/>
    <w:rsid w:val="00793750"/>
    <w:rsid w:val="007A3F0F"/>
    <w:rsid w:val="007B21B1"/>
    <w:rsid w:val="007D5C49"/>
    <w:rsid w:val="007D73FF"/>
    <w:rsid w:val="007E2E9A"/>
    <w:rsid w:val="007E2FF8"/>
    <w:rsid w:val="007E3CCB"/>
    <w:rsid w:val="007E4FE9"/>
    <w:rsid w:val="007E7425"/>
    <w:rsid w:val="007F716B"/>
    <w:rsid w:val="008006ED"/>
    <w:rsid w:val="00805A32"/>
    <w:rsid w:val="00814D94"/>
    <w:rsid w:val="00820F9D"/>
    <w:rsid w:val="00822598"/>
    <w:rsid w:val="008360A1"/>
    <w:rsid w:val="008414A9"/>
    <w:rsid w:val="008427E5"/>
    <w:rsid w:val="0085226A"/>
    <w:rsid w:val="00854380"/>
    <w:rsid w:val="00861563"/>
    <w:rsid w:val="00861727"/>
    <w:rsid w:val="00862153"/>
    <w:rsid w:val="008658EE"/>
    <w:rsid w:val="008707BB"/>
    <w:rsid w:val="00871AAA"/>
    <w:rsid w:val="008741DF"/>
    <w:rsid w:val="00876F57"/>
    <w:rsid w:val="0088115C"/>
    <w:rsid w:val="0088155E"/>
    <w:rsid w:val="008817C7"/>
    <w:rsid w:val="00883BDF"/>
    <w:rsid w:val="00890776"/>
    <w:rsid w:val="00891AAA"/>
    <w:rsid w:val="008A2D38"/>
    <w:rsid w:val="008A4EB3"/>
    <w:rsid w:val="008C1674"/>
    <w:rsid w:val="008C4757"/>
    <w:rsid w:val="008C6B1B"/>
    <w:rsid w:val="008D1F83"/>
    <w:rsid w:val="008D1F8E"/>
    <w:rsid w:val="008D2EB5"/>
    <w:rsid w:val="008D55AB"/>
    <w:rsid w:val="008E5BF1"/>
    <w:rsid w:val="008E7B85"/>
    <w:rsid w:val="008F35B0"/>
    <w:rsid w:val="00912F53"/>
    <w:rsid w:val="0092191A"/>
    <w:rsid w:val="00926575"/>
    <w:rsid w:val="009274A1"/>
    <w:rsid w:val="00933EA1"/>
    <w:rsid w:val="009356AC"/>
    <w:rsid w:val="00940D13"/>
    <w:rsid w:val="00941271"/>
    <w:rsid w:val="009460CD"/>
    <w:rsid w:val="00951416"/>
    <w:rsid w:val="00954A5E"/>
    <w:rsid w:val="00955961"/>
    <w:rsid w:val="00960D21"/>
    <w:rsid w:val="0096115C"/>
    <w:rsid w:val="00963885"/>
    <w:rsid w:val="00981D29"/>
    <w:rsid w:val="00981E11"/>
    <w:rsid w:val="00983332"/>
    <w:rsid w:val="0098477E"/>
    <w:rsid w:val="00993F16"/>
    <w:rsid w:val="009A5025"/>
    <w:rsid w:val="009A6A40"/>
    <w:rsid w:val="009B503E"/>
    <w:rsid w:val="009C2F06"/>
    <w:rsid w:val="009C5FA7"/>
    <w:rsid w:val="009D7442"/>
    <w:rsid w:val="009E33F4"/>
    <w:rsid w:val="009E40DF"/>
    <w:rsid w:val="009F0F4D"/>
    <w:rsid w:val="009F5C4D"/>
    <w:rsid w:val="00A028BE"/>
    <w:rsid w:val="00A12026"/>
    <w:rsid w:val="00A1428D"/>
    <w:rsid w:val="00A1564B"/>
    <w:rsid w:val="00A326E0"/>
    <w:rsid w:val="00A4249C"/>
    <w:rsid w:val="00A434CD"/>
    <w:rsid w:val="00A46DAC"/>
    <w:rsid w:val="00A51372"/>
    <w:rsid w:val="00A5194F"/>
    <w:rsid w:val="00A6430C"/>
    <w:rsid w:val="00A72A05"/>
    <w:rsid w:val="00A75FF7"/>
    <w:rsid w:val="00A7622E"/>
    <w:rsid w:val="00A76ADD"/>
    <w:rsid w:val="00A80682"/>
    <w:rsid w:val="00A871D6"/>
    <w:rsid w:val="00A93A7C"/>
    <w:rsid w:val="00A96A04"/>
    <w:rsid w:val="00A97B3C"/>
    <w:rsid w:val="00AA5FFC"/>
    <w:rsid w:val="00AB394F"/>
    <w:rsid w:val="00AB6B40"/>
    <w:rsid w:val="00AC5EC7"/>
    <w:rsid w:val="00AD79FB"/>
    <w:rsid w:val="00AF282C"/>
    <w:rsid w:val="00AF3FF7"/>
    <w:rsid w:val="00AF6BBB"/>
    <w:rsid w:val="00AF6EE4"/>
    <w:rsid w:val="00B01280"/>
    <w:rsid w:val="00B11049"/>
    <w:rsid w:val="00B1491D"/>
    <w:rsid w:val="00B354DC"/>
    <w:rsid w:val="00B47B7D"/>
    <w:rsid w:val="00B715BE"/>
    <w:rsid w:val="00B73165"/>
    <w:rsid w:val="00B74E67"/>
    <w:rsid w:val="00B775F6"/>
    <w:rsid w:val="00B85093"/>
    <w:rsid w:val="00B91E2D"/>
    <w:rsid w:val="00B94547"/>
    <w:rsid w:val="00B94EF4"/>
    <w:rsid w:val="00BA37AA"/>
    <w:rsid w:val="00BA5447"/>
    <w:rsid w:val="00BB04EE"/>
    <w:rsid w:val="00BC5216"/>
    <w:rsid w:val="00BE23DF"/>
    <w:rsid w:val="00BE3B7B"/>
    <w:rsid w:val="00BE78BF"/>
    <w:rsid w:val="00BF43BE"/>
    <w:rsid w:val="00BF4BAC"/>
    <w:rsid w:val="00BF736C"/>
    <w:rsid w:val="00BF78DE"/>
    <w:rsid w:val="00C03E0F"/>
    <w:rsid w:val="00C03E4C"/>
    <w:rsid w:val="00C10C99"/>
    <w:rsid w:val="00C1270D"/>
    <w:rsid w:val="00C233A3"/>
    <w:rsid w:val="00C23B6A"/>
    <w:rsid w:val="00C24752"/>
    <w:rsid w:val="00C334C2"/>
    <w:rsid w:val="00C37611"/>
    <w:rsid w:val="00C465E1"/>
    <w:rsid w:val="00C52E56"/>
    <w:rsid w:val="00C53D77"/>
    <w:rsid w:val="00C5407A"/>
    <w:rsid w:val="00C550E3"/>
    <w:rsid w:val="00C6242D"/>
    <w:rsid w:val="00C662B0"/>
    <w:rsid w:val="00C67308"/>
    <w:rsid w:val="00C674E4"/>
    <w:rsid w:val="00C67A63"/>
    <w:rsid w:val="00C746FF"/>
    <w:rsid w:val="00C80C12"/>
    <w:rsid w:val="00C80DA7"/>
    <w:rsid w:val="00C84FD4"/>
    <w:rsid w:val="00C94AAC"/>
    <w:rsid w:val="00C958EE"/>
    <w:rsid w:val="00CA2498"/>
    <w:rsid w:val="00CA3D05"/>
    <w:rsid w:val="00CB0E89"/>
    <w:rsid w:val="00CD21FB"/>
    <w:rsid w:val="00CD69C1"/>
    <w:rsid w:val="00CE7B05"/>
    <w:rsid w:val="00CF0238"/>
    <w:rsid w:val="00CF2F0B"/>
    <w:rsid w:val="00D0001B"/>
    <w:rsid w:val="00D021B1"/>
    <w:rsid w:val="00D26192"/>
    <w:rsid w:val="00D36EBF"/>
    <w:rsid w:val="00D374CD"/>
    <w:rsid w:val="00D423FE"/>
    <w:rsid w:val="00D442E4"/>
    <w:rsid w:val="00D60D9B"/>
    <w:rsid w:val="00D80EDC"/>
    <w:rsid w:val="00D93E08"/>
    <w:rsid w:val="00DA1100"/>
    <w:rsid w:val="00DA64B4"/>
    <w:rsid w:val="00DC1569"/>
    <w:rsid w:val="00DC6B66"/>
    <w:rsid w:val="00DD4151"/>
    <w:rsid w:val="00DD5B1F"/>
    <w:rsid w:val="00DE188A"/>
    <w:rsid w:val="00DE7587"/>
    <w:rsid w:val="00DF0C19"/>
    <w:rsid w:val="00DF4F15"/>
    <w:rsid w:val="00DF7AEA"/>
    <w:rsid w:val="00E047D3"/>
    <w:rsid w:val="00E1340D"/>
    <w:rsid w:val="00E15570"/>
    <w:rsid w:val="00E1709E"/>
    <w:rsid w:val="00E22851"/>
    <w:rsid w:val="00E2658A"/>
    <w:rsid w:val="00E266B7"/>
    <w:rsid w:val="00E321C5"/>
    <w:rsid w:val="00E33E49"/>
    <w:rsid w:val="00E41E0A"/>
    <w:rsid w:val="00E468F7"/>
    <w:rsid w:val="00E56BBC"/>
    <w:rsid w:val="00E5772B"/>
    <w:rsid w:val="00E67511"/>
    <w:rsid w:val="00E74EE4"/>
    <w:rsid w:val="00E81026"/>
    <w:rsid w:val="00E81295"/>
    <w:rsid w:val="00E82D0F"/>
    <w:rsid w:val="00E846A1"/>
    <w:rsid w:val="00E86B74"/>
    <w:rsid w:val="00E914F5"/>
    <w:rsid w:val="00E92C39"/>
    <w:rsid w:val="00E93043"/>
    <w:rsid w:val="00E93421"/>
    <w:rsid w:val="00E950B5"/>
    <w:rsid w:val="00EA012C"/>
    <w:rsid w:val="00EC6994"/>
    <w:rsid w:val="00EC78F3"/>
    <w:rsid w:val="00EC78F9"/>
    <w:rsid w:val="00ED746F"/>
    <w:rsid w:val="00EE6687"/>
    <w:rsid w:val="00EE7480"/>
    <w:rsid w:val="00F00D78"/>
    <w:rsid w:val="00F02AB9"/>
    <w:rsid w:val="00F04876"/>
    <w:rsid w:val="00F05879"/>
    <w:rsid w:val="00F06F5B"/>
    <w:rsid w:val="00F16C11"/>
    <w:rsid w:val="00F21C4E"/>
    <w:rsid w:val="00F2357E"/>
    <w:rsid w:val="00F2485D"/>
    <w:rsid w:val="00F2676B"/>
    <w:rsid w:val="00F33926"/>
    <w:rsid w:val="00F46EE1"/>
    <w:rsid w:val="00F476DB"/>
    <w:rsid w:val="00F53BAE"/>
    <w:rsid w:val="00F56849"/>
    <w:rsid w:val="00F60C61"/>
    <w:rsid w:val="00F64B52"/>
    <w:rsid w:val="00F660D6"/>
    <w:rsid w:val="00F82F6D"/>
    <w:rsid w:val="00F84BA9"/>
    <w:rsid w:val="00F850BE"/>
    <w:rsid w:val="00FA2F5B"/>
    <w:rsid w:val="00FB5291"/>
    <w:rsid w:val="00FB5E84"/>
    <w:rsid w:val="00FB7FF8"/>
    <w:rsid w:val="00FC04EF"/>
    <w:rsid w:val="00FC1F09"/>
    <w:rsid w:val="00FD3D9A"/>
    <w:rsid w:val="00FD48C5"/>
    <w:rsid w:val="00FE1536"/>
    <w:rsid w:val="00FE1E23"/>
    <w:rsid w:val="00FE7861"/>
    <w:rsid w:val="00FF0BC6"/>
    <w:rsid w:val="00FF24C3"/>
    <w:rsid w:val="00FF4E27"/>
    <w:rsid w:val="00FF4EBD"/>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9356AC"/>
    <w:rPr>
      <w:color w:val="605E5C"/>
      <w:shd w:val="clear" w:color="auto" w:fill="E1DFDD"/>
    </w:rPr>
  </w:style>
  <w:style w:type="paragraph" w:styleId="ListParagraph">
    <w:name w:val="List Paragraph"/>
    <w:basedOn w:val="Normal"/>
    <w:uiPriority w:val="34"/>
    <w:qFormat/>
    <w:rsid w:val="00793750"/>
    <w:pPr>
      <w:spacing w:line="240" w:lineRule="auto"/>
      <w:ind w:left="720"/>
    </w:pPr>
    <w:rPr>
      <w:rFonts w:ascii="Calibri" w:eastAsiaTheme="minorHAnsi" w:hAnsi="Calibri" w:cs="Calibri"/>
    </w:rPr>
  </w:style>
  <w:style w:type="paragraph" w:styleId="Revision">
    <w:name w:val="Revision"/>
    <w:hidden/>
    <w:uiPriority w:val="99"/>
    <w:semiHidden/>
    <w:rsid w:val="00A326E0"/>
  </w:style>
  <w:style w:type="character" w:styleId="CommentReference">
    <w:name w:val="annotation reference"/>
    <w:basedOn w:val="DefaultParagraphFont"/>
    <w:rsid w:val="00C24752"/>
    <w:rPr>
      <w:sz w:val="16"/>
      <w:szCs w:val="16"/>
    </w:rPr>
  </w:style>
  <w:style w:type="paragraph" w:styleId="CommentText">
    <w:name w:val="annotation text"/>
    <w:basedOn w:val="Normal"/>
    <w:link w:val="CommentTextChar"/>
    <w:rsid w:val="00C24752"/>
    <w:pPr>
      <w:spacing w:line="240" w:lineRule="auto"/>
    </w:pPr>
  </w:style>
  <w:style w:type="character" w:customStyle="1" w:styleId="CommentTextChar">
    <w:name w:val="Comment Text Char"/>
    <w:basedOn w:val="DefaultParagraphFont"/>
    <w:link w:val="CommentText"/>
    <w:rsid w:val="00C24752"/>
  </w:style>
  <w:style w:type="paragraph" w:styleId="CommentSubject">
    <w:name w:val="annotation subject"/>
    <w:basedOn w:val="CommentText"/>
    <w:next w:val="CommentText"/>
    <w:link w:val="CommentSubjectChar"/>
    <w:rsid w:val="00C24752"/>
    <w:rPr>
      <w:b/>
      <w:bCs/>
    </w:rPr>
  </w:style>
  <w:style w:type="character" w:customStyle="1" w:styleId="CommentSubjectChar">
    <w:name w:val="Comment Subject Char"/>
    <w:basedOn w:val="CommentTextChar"/>
    <w:link w:val="CommentSubject"/>
    <w:rsid w:val="00C24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0366">
      <w:bodyDiv w:val="1"/>
      <w:marLeft w:val="0"/>
      <w:marRight w:val="0"/>
      <w:marTop w:val="0"/>
      <w:marBottom w:val="0"/>
      <w:divBdr>
        <w:top w:val="none" w:sz="0" w:space="0" w:color="auto"/>
        <w:left w:val="none" w:sz="0" w:space="0" w:color="auto"/>
        <w:bottom w:val="none" w:sz="0" w:space="0" w:color="auto"/>
        <w:right w:val="none" w:sz="0" w:space="0" w:color="auto"/>
      </w:divBdr>
    </w:div>
    <w:div w:id="8874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7</TotalTime>
  <Pages>14</Pages>
  <Words>2972</Words>
  <Characters>15990</Characters>
  <Application>Microsoft Office Word</Application>
  <DocSecurity>4</DocSecurity>
  <Lines>296</Lines>
  <Paragraphs>68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2025-02-24T18:03:00Z</cp:lastPrinted>
  <dcterms:created xsi:type="dcterms:W3CDTF">2025-05-01T17:32:00Z</dcterms:created>
  <dcterms:modified xsi:type="dcterms:W3CDTF">2025-05-01T17:32:00Z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