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5AE85F3B"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sidR="00732169">
              <w:rPr>
                <w:sz w:val="28"/>
                <w:szCs w:val="28"/>
              </w:rPr>
              <w:br/>
            </w:r>
            <w:r w:rsidR="002E19CE">
              <w:rPr>
                <w:sz w:val="28"/>
                <w:szCs w:val="28"/>
              </w:rPr>
              <w:t>Bar No. 023421</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1EB8AE0B" w14:textId="77777777" w:rsidR="002E19CE" w:rsidRDefault="002E19CE" w:rsidP="001A3D47">
      <w:pPr>
        <w:spacing w:line="240" w:lineRule="exact"/>
        <w:rPr>
          <w:color w:val="FF0000"/>
          <w:sz w:val="28"/>
          <w:szCs w:val="28"/>
        </w:rPr>
      </w:pPr>
    </w:p>
    <w:p w14:paraId="50EF446E" w14:textId="77777777" w:rsidR="000633CB" w:rsidRDefault="000633CB" w:rsidP="001A3D47">
      <w:pPr>
        <w:spacing w:line="240" w:lineRule="exact"/>
        <w:rPr>
          <w:color w:val="FF0000"/>
          <w:sz w:val="28"/>
          <w:szCs w:val="28"/>
        </w:rPr>
      </w:pPr>
    </w:p>
    <w:p w14:paraId="3BCF972A" w14:textId="77777777" w:rsidR="000633CB" w:rsidRDefault="000633CB" w:rsidP="001A3D47">
      <w:pPr>
        <w:spacing w:line="240" w:lineRule="exact"/>
        <w:rPr>
          <w:color w:val="FF0000"/>
          <w:sz w:val="28"/>
          <w:szCs w:val="28"/>
        </w:rPr>
      </w:pPr>
    </w:p>
    <w:p w14:paraId="27F62809" w14:textId="77777777" w:rsidR="000633CB" w:rsidRDefault="000633CB" w:rsidP="001A3D47">
      <w:pPr>
        <w:spacing w:line="240" w:lineRule="exact"/>
        <w:rPr>
          <w:color w:val="FF0000"/>
          <w:sz w:val="28"/>
          <w:szCs w:val="28"/>
        </w:rPr>
      </w:pPr>
    </w:p>
    <w:p w14:paraId="667E8EC1" w14:textId="77777777" w:rsidR="001A3D47" w:rsidRPr="001A3D47" w:rsidRDefault="001A3D47" w:rsidP="001A3D47">
      <w:pPr>
        <w:spacing w:line="240" w:lineRule="exact"/>
        <w:jc w:val="center"/>
        <w:rPr>
          <w:color w:val="FF0000"/>
          <w:sz w:val="28"/>
          <w:szCs w:val="28"/>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D36FB34" w:rsidR="00357F4D" w:rsidRPr="00BF5976" w:rsidRDefault="00E67511" w:rsidP="00BF5976">
            <w:pPr>
              <w:pStyle w:val="Caption"/>
              <w:spacing w:before="240" w:line="260" w:lineRule="exact"/>
              <w:rPr>
                <w:b/>
                <w:sz w:val="28"/>
                <w:szCs w:val="28"/>
              </w:rPr>
            </w:pPr>
            <w:r w:rsidRPr="00732169">
              <w:rPr>
                <w:b/>
                <w:sz w:val="28"/>
                <w:szCs w:val="28"/>
              </w:rPr>
              <w:t xml:space="preserve">PETITION TO </w:t>
            </w:r>
            <w:r w:rsidR="00BF5976">
              <w:rPr>
                <w:b/>
                <w:sz w:val="28"/>
                <w:szCs w:val="28"/>
              </w:rPr>
              <w:t>AMEND RULES 32(</w:t>
            </w:r>
            <w:r w:rsidR="007F5D94">
              <w:rPr>
                <w:b/>
                <w:sz w:val="28"/>
                <w:szCs w:val="28"/>
              </w:rPr>
              <w:t>A)-(M)</w:t>
            </w:r>
            <w:r w:rsidR="00BF5976">
              <w:rPr>
                <w:b/>
                <w:sz w:val="28"/>
                <w:szCs w:val="28"/>
              </w:rPr>
              <w:t xml:space="preserve"> OF THE ARIZONA RULES OF SUPREME COURT</w:t>
            </w:r>
            <w:r w:rsidR="00BF5976">
              <w:rPr>
                <w:b/>
                <w:sz w:val="28"/>
                <w:szCs w:val="28"/>
              </w:rPr>
              <w:br/>
            </w:r>
          </w:p>
        </w:tc>
        <w:tc>
          <w:tcPr>
            <w:tcW w:w="4524" w:type="dxa"/>
            <w:tcBorders>
              <w:top w:val="nil"/>
              <w:left w:val="single" w:sz="4" w:space="0" w:color="auto"/>
            </w:tcBorders>
            <w:shd w:val="clear" w:color="auto" w:fill="auto"/>
          </w:tcPr>
          <w:p w14:paraId="35CED5CB" w14:textId="3D9F42D8"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2E19CE">
              <w:rPr>
                <w:sz w:val="28"/>
                <w:szCs w:val="28"/>
              </w:rPr>
              <w:t>-25-0001</w:t>
            </w:r>
          </w:p>
          <w:p w14:paraId="5AEC962D" w14:textId="69E45656" w:rsidR="00357F4D" w:rsidRPr="00405DAC" w:rsidRDefault="00405DAC" w:rsidP="000F7A7F">
            <w:pPr>
              <w:pStyle w:val="Caption"/>
              <w:tabs>
                <w:tab w:val="left" w:pos="1238"/>
              </w:tabs>
              <w:spacing w:line="260" w:lineRule="exact"/>
              <w:ind w:right="115"/>
              <w:jc w:val="center"/>
              <w:rPr>
                <w:b/>
                <w:sz w:val="28"/>
                <w:szCs w:val="28"/>
              </w:rPr>
            </w:pPr>
            <w:r w:rsidRPr="00405DAC">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C3C7CF5" w14:textId="34B0E902" w:rsidR="002E19CE" w:rsidRDefault="0008003D" w:rsidP="000633CB">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w:t>
      </w:r>
      <w:r w:rsidR="00732AEF">
        <w:rPr>
          <w:sz w:val="28"/>
          <w:szCs w:val="28"/>
        </w:rPr>
        <w:t>Petition, requesting</w:t>
      </w:r>
      <w:r w:rsidR="000E1232">
        <w:rPr>
          <w:sz w:val="28"/>
          <w:szCs w:val="28"/>
        </w:rPr>
        <w:t xml:space="preserve"> that the Court deny the Petition</w:t>
      </w:r>
      <w:r w:rsidR="00A4249C">
        <w:rPr>
          <w:sz w:val="28"/>
          <w:szCs w:val="28"/>
        </w:rPr>
        <w:t xml:space="preserve">. </w:t>
      </w:r>
      <w:r w:rsidR="00123D22">
        <w:rPr>
          <w:sz w:val="28"/>
          <w:szCs w:val="28"/>
        </w:rPr>
        <w:t xml:space="preserve">This Petition was filed one month after this Court issued its Order, dated December 3, 2024, </w:t>
      </w:r>
      <w:r w:rsidR="00D776B3">
        <w:rPr>
          <w:sz w:val="28"/>
          <w:szCs w:val="28"/>
        </w:rPr>
        <w:t>ruling on</w:t>
      </w:r>
      <w:r w:rsidR="00123D22">
        <w:rPr>
          <w:sz w:val="28"/>
          <w:szCs w:val="28"/>
        </w:rPr>
        <w:t xml:space="preserve"> Petition to Amend Rules 32(c) and (d), R-24-0030. </w:t>
      </w:r>
      <w:r w:rsidR="003C18E9">
        <w:rPr>
          <w:sz w:val="28"/>
          <w:szCs w:val="28"/>
        </w:rPr>
        <w:t>Much of t</w:t>
      </w:r>
      <w:r w:rsidR="00123D22">
        <w:rPr>
          <w:sz w:val="28"/>
          <w:szCs w:val="28"/>
        </w:rPr>
        <w:t xml:space="preserve">his Petition </w:t>
      </w:r>
      <w:r w:rsidR="003C18E9">
        <w:rPr>
          <w:sz w:val="28"/>
          <w:szCs w:val="28"/>
        </w:rPr>
        <w:t xml:space="preserve">repeats </w:t>
      </w:r>
      <w:r w:rsidR="00123D22">
        <w:rPr>
          <w:sz w:val="28"/>
          <w:szCs w:val="28"/>
        </w:rPr>
        <w:t xml:space="preserve">arguments made by Petitioners in R-24-0030. </w:t>
      </w:r>
      <w:r w:rsidR="00894792">
        <w:rPr>
          <w:sz w:val="28"/>
          <w:szCs w:val="28"/>
        </w:rPr>
        <w:t>While the State Bar agrees that this Court is the proper forum to decide the structure and mission of the State Bar, the State Bar opposes the proposed rule</w:t>
      </w:r>
      <w:r w:rsidR="00B67D33">
        <w:rPr>
          <w:sz w:val="28"/>
          <w:szCs w:val="28"/>
        </w:rPr>
        <w:t xml:space="preserve"> </w:t>
      </w:r>
      <w:r w:rsidR="00894792">
        <w:rPr>
          <w:sz w:val="28"/>
          <w:szCs w:val="28"/>
        </w:rPr>
        <w:t>amendments for the reasons s</w:t>
      </w:r>
      <w:r w:rsidR="00732AEF">
        <w:rPr>
          <w:sz w:val="28"/>
          <w:szCs w:val="28"/>
        </w:rPr>
        <w:t>et forth</w:t>
      </w:r>
      <w:r w:rsidR="00894792">
        <w:rPr>
          <w:sz w:val="28"/>
          <w:szCs w:val="28"/>
        </w:rPr>
        <w:t xml:space="preserve"> in this Comment</w:t>
      </w:r>
      <w:r w:rsidR="000B22CB">
        <w:rPr>
          <w:sz w:val="28"/>
          <w:szCs w:val="28"/>
        </w:rPr>
        <w:t xml:space="preserve">. </w:t>
      </w:r>
    </w:p>
    <w:p w14:paraId="2D49743F" w14:textId="6433B4CD" w:rsidR="00C27531" w:rsidRPr="000030BB" w:rsidRDefault="00C27531" w:rsidP="003E2977">
      <w:pPr>
        <w:pStyle w:val="Body"/>
        <w:widowControl w:val="0"/>
        <w:numPr>
          <w:ilvl w:val="0"/>
          <w:numId w:val="25"/>
        </w:numPr>
        <w:spacing w:line="480" w:lineRule="auto"/>
        <w:jc w:val="both"/>
        <w:rPr>
          <w:b/>
          <w:bCs/>
          <w:sz w:val="28"/>
          <w:szCs w:val="28"/>
          <w:u w:val="single"/>
        </w:rPr>
      </w:pPr>
      <w:r w:rsidRPr="000030BB">
        <w:rPr>
          <w:b/>
          <w:bCs/>
          <w:sz w:val="28"/>
          <w:szCs w:val="28"/>
          <w:u w:val="single"/>
        </w:rPr>
        <w:lastRenderedPageBreak/>
        <w:t>BACKGROUND</w:t>
      </w:r>
    </w:p>
    <w:p w14:paraId="028D4FE2" w14:textId="2CD7C31B" w:rsidR="00245A64" w:rsidRDefault="00245A64" w:rsidP="00245A64">
      <w:pPr>
        <w:pStyle w:val="Body"/>
        <w:widowControl w:val="0"/>
        <w:spacing w:line="480" w:lineRule="auto"/>
        <w:ind w:firstLine="0"/>
        <w:jc w:val="both"/>
        <w:rPr>
          <w:sz w:val="28"/>
          <w:szCs w:val="28"/>
        </w:rPr>
      </w:pPr>
      <w:r>
        <w:rPr>
          <w:b/>
          <w:bCs/>
          <w:sz w:val="28"/>
          <w:szCs w:val="28"/>
        </w:rPr>
        <w:tab/>
      </w:r>
      <w:r w:rsidR="00AC30A6">
        <w:rPr>
          <w:sz w:val="28"/>
          <w:szCs w:val="28"/>
        </w:rPr>
        <w:t>During the l</w:t>
      </w:r>
      <w:r w:rsidR="00D776B3">
        <w:rPr>
          <w:sz w:val="28"/>
          <w:szCs w:val="28"/>
        </w:rPr>
        <w:t xml:space="preserve">ast rules-cycle, the Goldwater </w:t>
      </w:r>
      <w:r w:rsidR="00EA6DC8">
        <w:rPr>
          <w:sz w:val="28"/>
          <w:szCs w:val="28"/>
        </w:rPr>
        <w:t>Institute</w:t>
      </w:r>
      <w:r w:rsidR="00D776B3">
        <w:rPr>
          <w:sz w:val="28"/>
          <w:szCs w:val="28"/>
        </w:rPr>
        <w:t xml:space="preserve"> and counsel</w:t>
      </w:r>
      <w:r w:rsidR="00EA6DC8">
        <w:rPr>
          <w:sz w:val="28"/>
          <w:szCs w:val="28"/>
        </w:rPr>
        <w:t>,</w:t>
      </w:r>
      <w:r w:rsidR="00D776B3">
        <w:rPr>
          <w:sz w:val="28"/>
          <w:szCs w:val="28"/>
        </w:rPr>
        <w:t xml:space="preserve"> individually and on behalf of Goldwater, filed a petition to amend Rules 32(b) and (c) of the Arizona Rules of the Supreme Court (the “2024 Petition</w:t>
      </w:r>
      <w:r w:rsidR="002740E5">
        <w:rPr>
          <w:sz w:val="28"/>
          <w:szCs w:val="28"/>
        </w:rPr>
        <w:t>”</w:t>
      </w:r>
      <w:r w:rsidR="00D776B3">
        <w:rPr>
          <w:sz w:val="28"/>
          <w:szCs w:val="28"/>
        </w:rPr>
        <w:t xml:space="preserve">). </w:t>
      </w:r>
      <w:r w:rsidR="00D776B3">
        <w:rPr>
          <w:i/>
          <w:iCs/>
          <w:sz w:val="28"/>
          <w:szCs w:val="28"/>
        </w:rPr>
        <w:t xml:space="preserve">See </w:t>
      </w:r>
      <w:r w:rsidR="00D776B3">
        <w:rPr>
          <w:sz w:val="28"/>
          <w:szCs w:val="28"/>
        </w:rPr>
        <w:t xml:space="preserve">R-24-0030. </w:t>
      </w:r>
      <w:proofErr w:type="gramStart"/>
      <w:r w:rsidR="00D776B3">
        <w:rPr>
          <w:sz w:val="28"/>
          <w:szCs w:val="28"/>
        </w:rPr>
        <w:t>Similar to</w:t>
      </w:r>
      <w:proofErr w:type="gramEnd"/>
      <w:r w:rsidR="00D776B3">
        <w:rPr>
          <w:sz w:val="28"/>
          <w:szCs w:val="28"/>
        </w:rPr>
        <w:t xml:space="preserve"> this Petition, the 2024 Petition sought to</w:t>
      </w:r>
      <w:r w:rsidR="00290D5E">
        <w:rPr>
          <w:sz w:val="28"/>
          <w:szCs w:val="28"/>
        </w:rPr>
        <w:t xml:space="preserve"> isolate the regulatory functions</w:t>
      </w:r>
      <w:r w:rsidR="00E6416C">
        <w:rPr>
          <w:sz w:val="28"/>
          <w:szCs w:val="28"/>
        </w:rPr>
        <w:t xml:space="preserve"> from other programs and activities of the Bar funded by annual licensing fees. This Court rejected the changes proposed in 2024 Petition, and instead, amended Rule 32(c)(9) to clarify that all State Bar activities, not just lobbying, </w:t>
      </w:r>
      <w:r w:rsidR="002C39A7">
        <w:rPr>
          <w:sz w:val="28"/>
          <w:szCs w:val="28"/>
        </w:rPr>
        <w:t xml:space="preserve">must </w:t>
      </w:r>
      <w:r w:rsidR="00E6416C">
        <w:rPr>
          <w:sz w:val="28"/>
          <w:szCs w:val="28"/>
        </w:rPr>
        <w:t>comply with Keller v. State Bar of California, 496 U.S. 1 (1990).</w:t>
      </w:r>
      <w:r w:rsidR="00E6416C">
        <w:rPr>
          <w:rStyle w:val="FootnoteReference"/>
          <w:sz w:val="28"/>
          <w:szCs w:val="28"/>
        </w:rPr>
        <w:footnoteReference w:id="1"/>
      </w:r>
    </w:p>
    <w:p w14:paraId="0776437F" w14:textId="01E7B10C" w:rsidR="002E19CE" w:rsidRPr="00D776B3" w:rsidRDefault="002740E5" w:rsidP="00245A64">
      <w:pPr>
        <w:pStyle w:val="Body"/>
        <w:widowControl w:val="0"/>
        <w:spacing w:line="480" w:lineRule="auto"/>
        <w:ind w:firstLine="0"/>
        <w:jc w:val="both"/>
        <w:rPr>
          <w:sz w:val="28"/>
          <w:szCs w:val="28"/>
        </w:rPr>
      </w:pPr>
      <w:r>
        <w:rPr>
          <w:sz w:val="28"/>
          <w:szCs w:val="28"/>
        </w:rPr>
        <w:tab/>
      </w:r>
      <w:r w:rsidR="00D4720C">
        <w:rPr>
          <w:sz w:val="28"/>
          <w:szCs w:val="28"/>
        </w:rPr>
        <w:t xml:space="preserve">This Petition, </w:t>
      </w:r>
      <w:r w:rsidR="003D30F4">
        <w:rPr>
          <w:sz w:val="28"/>
          <w:szCs w:val="28"/>
        </w:rPr>
        <w:t>however, goes further</w:t>
      </w:r>
      <w:r w:rsidR="003C18E9">
        <w:rPr>
          <w:sz w:val="28"/>
          <w:szCs w:val="28"/>
        </w:rPr>
        <w:t xml:space="preserve"> than the 2024 Petition by</w:t>
      </w:r>
      <w:r w:rsidR="003D30F4">
        <w:rPr>
          <w:sz w:val="28"/>
          <w:szCs w:val="28"/>
        </w:rPr>
        <w:t xml:space="preserve"> asking the Court to </w:t>
      </w:r>
      <w:r w:rsidR="002A29F1">
        <w:rPr>
          <w:sz w:val="28"/>
          <w:szCs w:val="28"/>
        </w:rPr>
        <w:t>eliminate</w:t>
      </w:r>
      <w:r w:rsidR="003D30F4">
        <w:rPr>
          <w:sz w:val="28"/>
          <w:szCs w:val="28"/>
        </w:rPr>
        <w:t xml:space="preserve"> the current</w:t>
      </w:r>
      <w:r w:rsidR="00D4720C">
        <w:rPr>
          <w:sz w:val="28"/>
          <w:szCs w:val="28"/>
        </w:rPr>
        <w:t xml:space="preserve"> mission of the State Bar promulgated by this Court</w:t>
      </w:r>
      <w:r w:rsidR="00DF7E82">
        <w:rPr>
          <w:sz w:val="28"/>
          <w:szCs w:val="28"/>
        </w:rPr>
        <w:t xml:space="preserve"> and grow the Administrative Office of the Court</w:t>
      </w:r>
      <w:r w:rsidR="000B5C1E">
        <w:rPr>
          <w:sz w:val="28"/>
          <w:szCs w:val="28"/>
        </w:rPr>
        <w:t xml:space="preserve"> (the “AOC”) to include functions currently delegated to the State Bar</w:t>
      </w:r>
      <w:r w:rsidR="00D4720C">
        <w:rPr>
          <w:sz w:val="28"/>
          <w:szCs w:val="28"/>
        </w:rPr>
        <w:t>.</w:t>
      </w:r>
      <w:r w:rsidR="005B3F13">
        <w:rPr>
          <w:sz w:val="28"/>
          <w:szCs w:val="28"/>
        </w:rPr>
        <w:t xml:space="preserve"> The </w:t>
      </w:r>
      <w:r w:rsidR="00DF7E82">
        <w:rPr>
          <w:sz w:val="28"/>
          <w:szCs w:val="28"/>
        </w:rPr>
        <w:t>Petition ignores</w:t>
      </w:r>
      <w:r w:rsidR="005B3F13">
        <w:rPr>
          <w:sz w:val="28"/>
          <w:szCs w:val="28"/>
        </w:rPr>
        <w:t xml:space="preserve"> important aspects of our current mission like protection of the public and access to justice. </w:t>
      </w:r>
      <w:r w:rsidR="006441A9">
        <w:rPr>
          <w:sz w:val="28"/>
          <w:szCs w:val="28"/>
        </w:rPr>
        <w:t>Additionally, Petitioners ask this Court to</w:t>
      </w:r>
      <w:r w:rsidR="003D30F4">
        <w:rPr>
          <w:sz w:val="28"/>
          <w:szCs w:val="28"/>
        </w:rPr>
        <w:t xml:space="preserve"> expand </w:t>
      </w:r>
      <w:r w:rsidR="000B5C1E">
        <w:rPr>
          <w:sz w:val="28"/>
          <w:szCs w:val="28"/>
        </w:rPr>
        <w:t>the AOC</w:t>
      </w:r>
      <w:r w:rsidR="003D30F4">
        <w:rPr>
          <w:sz w:val="28"/>
          <w:szCs w:val="28"/>
        </w:rPr>
        <w:t xml:space="preserve"> by</w:t>
      </w:r>
      <w:r w:rsidR="006441A9">
        <w:rPr>
          <w:sz w:val="28"/>
          <w:szCs w:val="28"/>
        </w:rPr>
        <w:t xml:space="preserve"> </w:t>
      </w:r>
      <w:r w:rsidR="005B3F13">
        <w:rPr>
          <w:sz w:val="28"/>
          <w:szCs w:val="28"/>
        </w:rPr>
        <w:t>transferring</w:t>
      </w:r>
      <w:r w:rsidR="006441A9">
        <w:rPr>
          <w:sz w:val="28"/>
          <w:szCs w:val="28"/>
        </w:rPr>
        <w:t xml:space="preserve"> the State Bar’s role in lawyer regulation and continuing legal education compliance to the Court. </w:t>
      </w:r>
      <w:r w:rsidR="009B5A08">
        <w:rPr>
          <w:sz w:val="28"/>
          <w:szCs w:val="28"/>
        </w:rPr>
        <w:t xml:space="preserve">The Petition </w:t>
      </w:r>
      <w:r w:rsidR="00F86DF4">
        <w:rPr>
          <w:sz w:val="28"/>
          <w:szCs w:val="28"/>
        </w:rPr>
        <w:lastRenderedPageBreak/>
        <w:t>proposes</w:t>
      </w:r>
      <w:r w:rsidR="009B5A08">
        <w:rPr>
          <w:sz w:val="28"/>
          <w:szCs w:val="28"/>
        </w:rPr>
        <w:t xml:space="preserve"> a </w:t>
      </w:r>
      <w:r w:rsidR="00AE28D4">
        <w:rPr>
          <w:sz w:val="28"/>
          <w:szCs w:val="28"/>
        </w:rPr>
        <w:t xml:space="preserve">voluntary </w:t>
      </w:r>
      <w:r w:rsidR="009B5A08">
        <w:rPr>
          <w:sz w:val="28"/>
          <w:szCs w:val="28"/>
        </w:rPr>
        <w:t>State Bar that, instead of furthering the mission set by th</w:t>
      </w:r>
      <w:r w:rsidR="000B5C1E">
        <w:rPr>
          <w:sz w:val="28"/>
          <w:szCs w:val="28"/>
        </w:rPr>
        <w:t xml:space="preserve">is </w:t>
      </w:r>
      <w:r w:rsidR="009B5A08">
        <w:rPr>
          <w:sz w:val="28"/>
          <w:szCs w:val="28"/>
        </w:rPr>
        <w:t xml:space="preserve">Court, advocates for ideological causes supported by funding members. See Pet. at 2. </w:t>
      </w:r>
    </w:p>
    <w:p w14:paraId="34BAF8E4" w14:textId="67A8B933" w:rsidR="00245A64" w:rsidRPr="000030BB" w:rsidRDefault="00DF7E82" w:rsidP="003E2977">
      <w:pPr>
        <w:pStyle w:val="Body"/>
        <w:widowControl w:val="0"/>
        <w:numPr>
          <w:ilvl w:val="0"/>
          <w:numId w:val="25"/>
        </w:numPr>
        <w:spacing w:line="480" w:lineRule="auto"/>
        <w:jc w:val="both"/>
        <w:rPr>
          <w:b/>
          <w:bCs/>
          <w:sz w:val="28"/>
          <w:szCs w:val="28"/>
          <w:u w:val="single"/>
        </w:rPr>
      </w:pPr>
      <w:r w:rsidRPr="000030BB">
        <w:rPr>
          <w:b/>
          <w:bCs/>
          <w:sz w:val="28"/>
          <w:szCs w:val="28"/>
          <w:u w:val="single"/>
        </w:rPr>
        <w:t xml:space="preserve">CURRENT </w:t>
      </w:r>
      <w:r w:rsidR="00245A64" w:rsidRPr="000030BB">
        <w:rPr>
          <w:b/>
          <w:bCs/>
          <w:sz w:val="28"/>
          <w:szCs w:val="28"/>
          <w:u w:val="single"/>
        </w:rPr>
        <w:t>MISSION OF THE STATE BAR OF ARIZONA</w:t>
      </w:r>
    </w:p>
    <w:p w14:paraId="30AA6BAB" w14:textId="307FB921" w:rsidR="002E19CE" w:rsidRDefault="0069761C" w:rsidP="000633CB">
      <w:pPr>
        <w:pStyle w:val="Body"/>
        <w:widowControl w:val="0"/>
        <w:spacing w:line="480" w:lineRule="auto"/>
        <w:ind w:firstLine="720"/>
        <w:jc w:val="both"/>
        <w:rPr>
          <w:sz w:val="28"/>
          <w:szCs w:val="28"/>
        </w:rPr>
      </w:pPr>
      <w:r>
        <w:rPr>
          <w:sz w:val="28"/>
          <w:szCs w:val="28"/>
        </w:rPr>
        <w:t xml:space="preserve">The State Bar </w:t>
      </w:r>
      <w:r>
        <w:rPr>
          <w:i/>
          <w:sz w:val="28"/>
          <w:szCs w:val="28"/>
        </w:rPr>
        <w:t>“</w:t>
      </w:r>
      <w:r w:rsidRPr="0069761C">
        <w:rPr>
          <w:iCs/>
          <w:sz w:val="28"/>
          <w:szCs w:val="28"/>
        </w:rPr>
        <w:t>exists to serve and protect the public with respect to the provision of legal services and access to justice</w:t>
      </w:r>
      <w:r>
        <w:rPr>
          <w:i/>
          <w:sz w:val="28"/>
          <w:szCs w:val="28"/>
        </w:rPr>
        <w:t xml:space="preserve">.” </w:t>
      </w:r>
      <w:r>
        <w:rPr>
          <w:sz w:val="28"/>
          <w:szCs w:val="28"/>
        </w:rPr>
        <w:t>Rule 32(a)(2)</w:t>
      </w:r>
      <w:r w:rsidR="00E42A3C">
        <w:rPr>
          <w:sz w:val="28"/>
          <w:szCs w:val="28"/>
        </w:rPr>
        <w:t xml:space="preserve">, Ariz. R. Sup. Ct. This mission was given to the State Bar </w:t>
      </w:r>
      <w:r w:rsidR="008E1A35">
        <w:rPr>
          <w:sz w:val="28"/>
          <w:szCs w:val="28"/>
        </w:rPr>
        <w:t>by</w:t>
      </w:r>
      <w:r w:rsidR="00E42A3C">
        <w:rPr>
          <w:sz w:val="28"/>
          <w:szCs w:val="28"/>
        </w:rPr>
        <w:t xml:space="preserve"> th</w:t>
      </w:r>
      <w:r w:rsidR="0055039A">
        <w:rPr>
          <w:sz w:val="28"/>
          <w:szCs w:val="28"/>
        </w:rPr>
        <w:t>is</w:t>
      </w:r>
      <w:r w:rsidR="00E42A3C">
        <w:rPr>
          <w:sz w:val="28"/>
          <w:szCs w:val="28"/>
        </w:rPr>
        <w:t xml:space="preserve"> Court and the State Bar carries out programs and activities, including but not limited to lawyer regulation, </w:t>
      </w:r>
      <w:r w:rsidR="008E1A35">
        <w:rPr>
          <w:sz w:val="28"/>
          <w:szCs w:val="28"/>
        </w:rPr>
        <w:t>in furtherance of</w:t>
      </w:r>
      <w:r w:rsidR="00E42A3C">
        <w:rPr>
          <w:sz w:val="28"/>
          <w:szCs w:val="28"/>
        </w:rPr>
        <w:t xml:space="preserve"> this mission.</w:t>
      </w:r>
    </w:p>
    <w:p w14:paraId="464084DB" w14:textId="24AF4DEC" w:rsidR="00DF7E82" w:rsidRPr="000030BB" w:rsidRDefault="00C27531" w:rsidP="003E2977">
      <w:pPr>
        <w:pStyle w:val="Body"/>
        <w:widowControl w:val="0"/>
        <w:numPr>
          <w:ilvl w:val="0"/>
          <w:numId w:val="25"/>
        </w:numPr>
        <w:spacing w:line="480" w:lineRule="auto"/>
        <w:jc w:val="both"/>
        <w:rPr>
          <w:b/>
          <w:bCs/>
          <w:sz w:val="28"/>
          <w:szCs w:val="28"/>
          <w:u w:val="single"/>
        </w:rPr>
      </w:pPr>
      <w:r w:rsidRPr="000030BB">
        <w:rPr>
          <w:b/>
          <w:bCs/>
          <w:sz w:val="28"/>
          <w:szCs w:val="28"/>
          <w:u w:val="single"/>
        </w:rPr>
        <w:t>DISCUSSION</w:t>
      </w:r>
    </w:p>
    <w:p w14:paraId="51913BCC" w14:textId="3D00590F" w:rsidR="002E19CE" w:rsidRPr="000633CB" w:rsidRDefault="005B3F13" w:rsidP="000633CB">
      <w:pPr>
        <w:pStyle w:val="Body"/>
        <w:widowControl w:val="0"/>
        <w:spacing w:line="480" w:lineRule="auto"/>
        <w:ind w:firstLine="360"/>
        <w:jc w:val="both"/>
        <w:rPr>
          <w:sz w:val="28"/>
          <w:szCs w:val="28"/>
        </w:rPr>
      </w:pPr>
      <w:r w:rsidRPr="00DF7E82">
        <w:rPr>
          <w:sz w:val="28"/>
          <w:szCs w:val="28"/>
        </w:rPr>
        <w:t xml:space="preserve">There are several inaccurate assertions and recitations of the current state of the law made in the Petition, including how exactly </w:t>
      </w:r>
      <w:r w:rsidRPr="00DF7E82">
        <w:rPr>
          <w:i/>
          <w:iCs/>
          <w:sz w:val="28"/>
          <w:szCs w:val="28"/>
        </w:rPr>
        <w:t>Janus v. American FSCME</w:t>
      </w:r>
      <w:r w:rsidRPr="00DF7E82">
        <w:rPr>
          <w:sz w:val="28"/>
          <w:szCs w:val="28"/>
        </w:rPr>
        <w:t xml:space="preserve">, 585 U.S. 878, 930 (2018) applies to integrated bars. While Petitioner is correct that integrated bars have recently been subject to complex litigation that Petitioners refer to as the “bar wars,” what remains true today is that </w:t>
      </w:r>
      <w:r w:rsidRPr="00DF7E82">
        <w:rPr>
          <w:i/>
          <w:iCs/>
          <w:sz w:val="28"/>
          <w:szCs w:val="28"/>
        </w:rPr>
        <w:t>Keller</w:t>
      </w:r>
      <w:r w:rsidRPr="00DF7E82">
        <w:rPr>
          <w:sz w:val="28"/>
          <w:szCs w:val="28"/>
        </w:rPr>
        <w:t xml:space="preserve"> and </w:t>
      </w:r>
      <w:r w:rsidRPr="00DF7E82">
        <w:rPr>
          <w:i/>
          <w:iCs/>
          <w:sz w:val="28"/>
          <w:szCs w:val="28"/>
        </w:rPr>
        <w:t xml:space="preserve">Keller’s </w:t>
      </w:r>
      <w:r w:rsidRPr="00DF7E82">
        <w:rPr>
          <w:sz w:val="28"/>
          <w:szCs w:val="28"/>
        </w:rPr>
        <w:t xml:space="preserve">progeny remain controlling authority over integrated bars and </w:t>
      </w:r>
      <w:r w:rsidRPr="00DF7E82">
        <w:rPr>
          <w:i/>
          <w:iCs/>
          <w:sz w:val="28"/>
          <w:szCs w:val="28"/>
        </w:rPr>
        <w:t xml:space="preserve">Janus </w:t>
      </w:r>
      <w:r w:rsidRPr="00DF7E82">
        <w:rPr>
          <w:sz w:val="28"/>
          <w:szCs w:val="28"/>
        </w:rPr>
        <w:t xml:space="preserve">did not overturn </w:t>
      </w:r>
      <w:r w:rsidRPr="00DF7E82">
        <w:rPr>
          <w:i/>
          <w:iCs/>
          <w:sz w:val="28"/>
          <w:szCs w:val="28"/>
        </w:rPr>
        <w:t>Keller</w:t>
      </w:r>
      <w:r w:rsidRPr="00DF7E82">
        <w:rPr>
          <w:sz w:val="28"/>
          <w:szCs w:val="28"/>
        </w:rPr>
        <w:t>.</w:t>
      </w:r>
    </w:p>
    <w:p w14:paraId="054F465B" w14:textId="77777777" w:rsidR="00155B7E" w:rsidRDefault="00155B7E" w:rsidP="00155B7E">
      <w:pPr>
        <w:pStyle w:val="Body"/>
        <w:widowControl w:val="0"/>
        <w:numPr>
          <w:ilvl w:val="0"/>
          <w:numId w:val="20"/>
        </w:numPr>
        <w:spacing w:line="480" w:lineRule="auto"/>
        <w:jc w:val="both"/>
        <w:rPr>
          <w:b/>
          <w:bCs/>
          <w:sz w:val="28"/>
          <w:szCs w:val="28"/>
        </w:rPr>
      </w:pPr>
      <w:r>
        <w:rPr>
          <w:b/>
          <w:bCs/>
          <w:sz w:val="28"/>
          <w:szCs w:val="28"/>
        </w:rPr>
        <w:t>The State Bar is not a Labor Union.</w:t>
      </w:r>
    </w:p>
    <w:p w14:paraId="7BFF626A" w14:textId="3A5A0A2D" w:rsidR="00AC30A6" w:rsidRDefault="00AC30A6" w:rsidP="00155B7E">
      <w:pPr>
        <w:pStyle w:val="Body"/>
        <w:widowControl w:val="0"/>
        <w:spacing w:line="480" w:lineRule="auto"/>
        <w:ind w:firstLine="720"/>
        <w:jc w:val="both"/>
        <w:rPr>
          <w:sz w:val="28"/>
          <w:szCs w:val="28"/>
        </w:rPr>
      </w:pPr>
      <w:r>
        <w:rPr>
          <w:sz w:val="28"/>
          <w:szCs w:val="28"/>
        </w:rPr>
        <w:t xml:space="preserve">In the Petition, Petitioners assert that the State Bar has not complied with </w:t>
      </w:r>
      <w:r w:rsidRPr="00AC30A6">
        <w:rPr>
          <w:i/>
          <w:iCs/>
          <w:sz w:val="28"/>
          <w:szCs w:val="28"/>
        </w:rPr>
        <w:t>Janus</w:t>
      </w:r>
      <w:r>
        <w:rPr>
          <w:sz w:val="28"/>
          <w:szCs w:val="28"/>
        </w:rPr>
        <w:t xml:space="preserve"> and that “</w:t>
      </w:r>
      <w:r w:rsidRPr="00AC30A6">
        <w:rPr>
          <w:i/>
          <w:iCs/>
          <w:sz w:val="28"/>
          <w:szCs w:val="28"/>
        </w:rPr>
        <w:t>Janus</w:t>
      </w:r>
      <w:r>
        <w:rPr>
          <w:sz w:val="28"/>
          <w:szCs w:val="28"/>
        </w:rPr>
        <w:t xml:space="preserve"> set a new rule. The Arizona Bar ignored it. This Court’s order </w:t>
      </w:r>
      <w:r>
        <w:rPr>
          <w:sz w:val="28"/>
          <w:szCs w:val="28"/>
        </w:rPr>
        <w:lastRenderedPageBreak/>
        <w:t xml:space="preserve">dated 12/3/24 does not rectify this issue.” </w:t>
      </w:r>
      <w:r w:rsidRPr="000633CB">
        <w:rPr>
          <w:i/>
          <w:iCs/>
          <w:sz w:val="28"/>
          <w:szCs w:val="28"/>
        </w:rPr>
        <w:t>See</w:t>
      </w:r>
      <w:r>
        <w:rPr>
          <w:sz w:val="28"/>
          <w:szCs w:val="28"/>
        </w:rPr>
        <w:t xml:space="preserve"> Pet. at 12. </w:t>
      </w:r>
      <w:r w:rsidR="00DF61D8">
        <w:rPr>
          <w:sz w:val="28"/>
          <w:szCs w:val="28"/>
        </w:rPr>
        <w:t xml:space="preserve">This is a mischaracterization of the </w:t>
      </w:r>
      <w:r w:rsidR="004E5467">
        <w:rPr>
          <w:sz w:val="28"/>
          <w:szCs w:val="28"/>
        </w:rPr>
        <w:t>status</w:t>
      </w:r>
      <w:r w:rsidR="00DF61D8">
        <w:rPr>
          <w:sz w:val="28"/>
          <w:szCs w:val="28"/>
        </w:rPr>
        <w:t xml:space="preserve"> of the law as applied to integrated bars. </w:t>
      </w:r>
      <w:r w:rsidRPr="00AC30A6">
        <w:rPr>
          <w:i/>
          <w:iCs/>
          <w:sz w:val="28"/>
          <w:szCs w:val="28"/>
        </w:rPr>
        <w:t>Janus</w:t>
      </w:r>
      <w:r>
        <w:rPr>
          <w:i/>
          <w:iCs/>
          <w:sz w:val="28"/>
          <w:szCs w:val="28"/>
        </w:rPr>
        <w:t xml:space="preserve"> </w:t>
      </w:r>
      <w:r>
        <w:rPr>
          <w:sz w:val="28"/>
          <w:szCs w:val="28"/>
        </w:rPr>
        <w:t>is not the applicable controlling authority</w:t>
      </w:r>
      <w:r w:rsidR="002300D2">
        <w:rPr>
          <w:sz w:val="28"/>
          <w:szCs w:val="28"/>
        </w:rPr>
        <w:t xml:space="preserve">. </w:t>
      </w:r>
      <w:r w:rsidR="002300D2" w:rsidRPr="002300D2">
        <w:rPr>
          <w:i/>
          <w:iCs/>
          <w:sz w:val="28"/>
          <w:szCs w:val="28"/>
        </w:rPr>
        <w:t>Janus</w:t>
      </w:r>
      <w:r w:rsidR="00EC0C52">
        <w:rPr>
          <w:sz w:val="28"/>
          <w:szCs w:val="28"/>
        </w:rPr>
        <w:t xml:space="preserve">’ holding applies to </w:t>
      </w:r>
      <w:r>
        <w:rPr>
          <w:sz w:val="28"/>
          <w:szCs w:val="28"/>
        </w:rPr>
        <w:t>public sector labor unions</w:t>
      </w:r>
      <w:r w:rsidR="00EC0C52">
        <w:rPr>
          <w:sz w:val="28"/>
          <w:szCs w:val="28"/>
        </w:rPr>
        <w:t>,</w:t>
      </w:r>
      <w:r>
        <w:rPr>
          <w:sz w:val="28"/>
          <w:szCs w:val="28"/>
        </w:rPr>
        <w:t xml:space="preserve"> not integrated bars. </w:t>
      </w:r>
      <w:r w:rsidR="00DF61D8">
        <w:rPr>
          <w:i/>
          <w:iCs/>
          <w:sz w:val="28"/>
          <w:szCs w:val="28"/>
        </w:rPr>
        <w:t>Janus</w:t>
      </w:r>
      <w:r w:rsidR="00DF61D8">
        <w:rPr>
          <w:sz w:val="28"/>
          <w:szCs w:val="28"/>
        </w:rPr>
        <w:t xml:space="preserve"> 138 S.</w:t>
      </w:r>
      <w:r w:rsidR="002E19CE">
        <w:rPr>
          <w:sz w:val="28"/>
          <w:szCs w:val="28"/>
        </w:rPr>
        <w:t xml:space="preserve"> </w:t>
      </w:r>
      <w:r w:rsidR="00DF61D8">
        <w:rPr>
          <w:sz w:val="28"/>
          <w:szCs w:val="28"/>
        </w:rPr>
        <w:t xml:space="preserve">Ct. 2448, 2486. The U. S. Supreme Court has yet to apply </w:t>
      </w:r>
      <w:r w:rsidR="00DF61D8" w:rsidRPr="00DF61D8">
        <w:rPr>
          <w:i/>
          <w:iCs/>
          <w:sz w:val="28"/>
          <w:szCs w:val="28"/>
        </w:rPr>
        <w:t>Janus’</w:t>
      </w:r>
      <w:r w:rsidR="00DF61D8">
        <w:rPr>
          <w:sz w:val="28"/>
          <w:szCs w:val="28"/>
        </w:rPr>
        <w:t xml:space="preserve"> holding to integrated bars and overturn the germaneness framework it established in</w:t>
      </w:r>
      <w:r w:rsidR="00DF61D8" w:rsidRPr="00DF61D8">
        <w:rPr>
          <w:i/>
          <w:iCs/>
          <w:sz w:val="28"/>
          <w:szCs w:val="28"/>
        </w:rPr>
        <w:t xml:space="preserve"> Keller</w:t>
      </w:r>
      <w:r w:rsidR="00DF61D8">
        <w:rPr>
          <w:i/>
          <w:iCs/>
          <w:sz w:val="28"/>
          <w:szCs w:val="28"/>
        </w:rPr>
        <w:t>.</w:t>
      </w:r>
    </w:p>
    <w:p w14:paraId="0D12E329" w14:textId="24777483" w:rsidR="009B26E6" w:rsidRPr="00DC2BC7" w:rsidRDefault="00155B7E" w:rsidP="00DC2BC7">
      <w:pPr>
        <w:pStyle w:val="Body"/>
        <w:widowControl w:val="0"/>
        <w:spacing w:line="480" w:lineRule="auto"/>
        <w:ind w:firstLine="720"/>
        <w:jc w:val="both"/>
        <w:rPr>
          <w:sz w:val="28"/>
          <w:szCs w:val="28"/>
        </w:rPr>
      </w:pPr>
      <w:r>
        <w:rPr>
          <w:sz w:val="28"/>
          <w:szCs w:val="28"/>
        </w:rPr>
        <w:t>The State Bar is not a labor organization. Labor organizations exist primarily to bargain with employers for the benefit of the organization’s members on things such as working conditions, benefits, and compensation. By contrast, the State Bar does not engage in union-type advocacy on behalf of our members, nor does the State Bar purport to speak in a unified voice on behalf of our membership. Rather, the State Bar is empowered by this Court to organize and promote activities that fulfill the responsibilities of the legal profession</w:t>
      </w:r>
      <w:r w:rsidR="00B5455D">
        <w:rPr>
          <w:sz w:val="28"/>
          <w:szCs w:val="28"/>
        </w:rPr>
        <w:t>,</w:t>
      </w:r>
      <w:r>
        <w:rPr>
          <w:sz w:val="28"/>
          <w:szCs w:val="28"/>
        </w:rPr>
        <w:t xml:space="preserve"> to promote access to justice</w:t>
      </w:r>
      <w:r w:rsidR="00B5455D">
        <w:rPr>
          <w:sz w:val="28"/>
          <w:szCs w:val="28"/>
        </w:rPr>
        <w:t>,</w:t>
      </w:r>
      <w:r>
        <w:rPr>
          <w:sz w:val="28"/>
          <w:szCs w:val="28"/>
        </w:rPr>
        <w:t xml:space="preserve"> to aid in the administration of justice</w:t>
      </w:r>
      <w:r w:rsidR="00B5455D">
        <w:rPr>
          <w:sz w:val="28"/>
          <w:szCs w:val="28"/>
        </w:rPr>
        <w:t>,</w:t>
      </w:r>
      <w:r>
        <w:rPr>
          <w:sz w:val="28"/>
          <w:szCs w:val="28"/>
        </w:rPr>
        <w:t xml:space="preserve"> to assist in the regulation and discipline of attorneys</w:t>
      </w:r>
      <w:r w:rsidR="00B5455D">
        <w:rPr>
          <w:sz w:val="28"/>
          <w:szCs w:val="28"/>
        </w:rPr>
        <w:t>,</w:t>
      </w:r>
      <w:r>
        <w:rPr>
          <w:sz w:val="28"/>
          <w:szCs w:val="28"/>
        </w:rPr>
        <w:t xml:space="preserve"> to conduct educational programs</w:t>
      </w:r>
      <w:r w:rsidR="00B5455D">
        <w:rPr>
          <w:sz w:val="28"/>
          <w:szCs w:val="28"/>
        </w:rPr>
        <w:t>,</w:t>
      </w:r>
      <w:r>
        <w:rPr>
          <w:sz w:val="28"/>
          <w:szCs w:val="28"/>
        </w:rPr>
        <w:t xml:space="preserve"> and to provide forums for the discussion of subjects pertaining to the practice of law. </w:t>
      </w:r>
      <w:r>
        <w:rPr>
          <w:iCs/>
          <w:sz w:val="28"/>
          <w:szCs w:val="28"/>
        </w:rPr>
        <w:t xml:space="preserve">Rule 32(a)(2). </w:t>
      </w:r>
      <w:r>
        <w:rPr>
          <w:sz w:val="28"/>
          <w:szCs w:val="28"/>
        </w:rPr>
        <w:t xml:space="preserve">The charges from the Court to the State Bar, as spelled out in Rule 32, do not require the State Bar to heed the political or ideological dispositions of our members or to speak as a voice for our members. Instead, the State Bar’s functions are performed under the guiding </w:t>
      </w:r>
      <w:r>
        <w:rPr>
          <w:sz w:val="28"/>
          <w:szCs w:val="28"/>
        </w:rPr>
        <w:lastRenderedPageBreak/>
        <w:t>centerpiece of protection of the public, in conformity with Rule 32.</w:t>
      </w:r>
    </w:p>
    <w:p w14:paraId="52C0F27F" w14:textId="4D84EC0A" w:rsidR="009B26E6" w:rsidRPr="003F4F00" w:rsidRDefault="009B26E6" w:rsidP="009B26E6">
      <w:pPr>
        <w:pStyle w:val="Body"/>
        <w:widowControl w:val="0"/>
        <w:numPr>
          <w:ilvl w:val="0"/>
          <w:numId w:val="20"/>
        </w:numPr>
        <w:spacing w:line="240" w:lineRule="auto"/>
        <w:jc w:val="both"/>
        <w:rPr>
          <w:b/>
          <w:bCs/>
          <w:i/>
          <w:iCs/>
          <w:sz w:val="28"/>
          <w:szCs w:val="28"/>
        </w:rPr>
      </w:pPr>
      <w:r>
        <w:rPr>
          <w:b/>
          <w:bCs/>
          <w:sz w:val="28"/>
          <w:szCs w:val="28"/>
        </w:rPr>
        <w:t xml:space="preserve">The </w:t>
      </w:r>
      <w:r w:rsidR="00F846CF">
        <w:rPr>
          <w:b/>
          <w:bCs/>
          <w:sz w:val="28"/>
          <w:szCs w:val="28"/>
        </w:rPr>
        <w:t xml:space="preserve">U.S. </w:t>
      </w:r>
      <w:r>
        <w:rPr>
          <w:b/>
          <w:bCs/>
          <w:sz w:val="28"/>
          <w:szCs w:val="28"/>
        </w:rPr>
        <w:t>Supreme Court Has Not Over</w:t>
      </w:r>
      <w:r w:rsidR="00581D51">
        <w:rPr>
          <w:b/>
          <w:bCs/>
          <w:sz w:val="28"/>
          <w:szCs w:val="28"/>
        </w:rPr>
        <w:t>turned</w:t>
      </w:r>
      <w:r>
        <w:rPr>
          <w:b/>
          <w:bCs/>
          <w:sz w:val="28"/>
          <w:szCs w:val="28"/>
        </w:rPr>
        <w:t xml:space="preserve"> </w:t>
      </w:r>
      <w:r w:rsidRPr="00CA6237">
        <w:rPr>
          <w:b/>
          <w:bCs/>
          <w:i/>
          <w:iCs/>
          <w:sz w:val="28"/>
          <w:szCs w:val="28"/>
        </w:rPr>
        <w:t>Keller v. State Bar of California</w:t>
      </w:r>
      <w:r>
        <w:rPr>
          <w:b/>
          <w:bCs/>
          <w:sz w:val="28"/>
          <w:szCs w:val="28"/>
        </w:rPr>
        <w:t>; and</w:t>
      </w:r>
      <w:r w:rsidR="004E5467">
        <w:rPr>
          <w:b/>
          <w:bCs/>
          <w:sz w:val="28"/>
          <w:szCs w:val="28"/>
        </w:rPr>
        <w:t xml:space="preserve"> a Rule Petition is not the </w:t>
      </w:r>
      <w:r w:rsidR="00F846CF">
        <w:rPr>
          <w:b/>
          <w:bCs/>
          <w:sz w:val="28"/>
          <w:szCs w:val="28"/>
        </w:rPr>
        <w:t xml:space="preserve">Appropriate </w:t>
      </w:r>
      <w:r w:rsidR="004E5467">
        <w:rPr>
          <w:b/>
          <w:bCs/>
          <w:sz w:val="28"/>
          <w:szCs w:val="28"/>
        </w:rPr>
        <w:t xml:space="preserve">Forum to Litigate </w:t>
      </w:r>
      <w:r w:rsidR="00F846CF">
        <w:rPr>
          <w:b/>
          <w:bCs/>
          <w:sz w:val="28"/>
          <w:szCs w:val="28"/>
        </w:rPr>
        <w:t xml:space="preserve">Opposition to </w:t>
      </w:r>
      <w:r w:rsidR="00197FF2">
        <w:rPr>
          <w:b/>
          <w:bCs/>
          <w:sz w:val="28"/>
          <w:szCs w:val="28"/>
        </w:rPr>
        <w:t>U.S. Supreme Court Precedent</w:t>
      </w:r>
      <w:r>
        <w:rPr>
          <w:b/>
          <w:bCs/>
          <w:sz w:val="28"/>
          <w:szCs w:val="28"/>
        </w:rPr>
        <w:t xml:space="preserve">. </w:t>
      </w:r>
    </w:p>
    <w:p w14:paraId="4F23C562" w14:textId="77777777" w:rsidR="009B26E6" w:rsidRPr="00CA6237" w:rsidRDefault="009B26E6" w:rsidP="009B26E6">
      <w:pPr>
        <w:pStyle w:val="Body"/>
        <w:widowControl w:val="0"/>
        <w:spacing w:line="240" w:lineRule="auto"/>
        <w:ind w:left="1080" w:firstLine="0"/>
        <w:jc w:val="both"/>
        <w:rPr>
          <w:b/>
          <w:bCs/>
          <w:i/>
          <w:iCs/>
          <w:sz w:val="28"/>
          <w:szCs w:val="28"/>
        </w:rPr>
      </w:pPr>
    </w:p>
    <w:p w14:paraId="7ED93289" w14:textId="5612B508" w:rsidR="00B57766" w:rsidRPr="008460CC" w:rsidRDefault="00704134" w:rsidP="00BD2540">
      <w:pPr>
        <w:pStyle w:val="Body"/>
        <w:widowControl w:val="0"/>
        <w:spacing w:line="480" w:lineRule="auto"/>
        <w:ind w:firstLine="720"/>
        <w:jc w:val="both"/>
        <w:rPr>
          <w:sz w:val="28"/>
          <w:szCs w:val="28"/>
        </w:rPr>
      </w:pPr>
      <w:r>
        <w:rPr>
          <w:sz w:val="28"/>
          <w:szCs w:val="28"/>
        </w:rPr>
        <w:t xml:space="preserve">While Petitioners take issue with the germaneness test set by </w:t>
      </w:r>
      <w:r w:rsidRPr="00704134">
        <w:rPr>
          <w:i/>
          <w:iCs/>
          <w:sz w:val="28"/>
          <w:szCs w:val="28"/>
        </w:rPr>
        <w:t>Keller</w:t>
      </w:r>
      <w:r>
        <w:rPr>
          <w:sz w:val="28"/>
          <w:szCs w:val="28"/>
        </w:rPr>
        <w:t>,</w:t>
      </w:r>
      <w:r w:rsidR="009B26E6">
        <w:rPr>
          <w:sz w:val="28"/>
          <w:szCs w:val="28"/>
        </w:rPr>
        <w:t xml:space="preserve"> </w:t>
      </w:r>
      <w:r w:rsidR="009B26E6" w:rsidRPr="00704134">
        <w:rPr>
          <w:i/>
          <w:iCs/>
          <w:sz w:val="28"/>
          <w:szCs w:val="28"/>
        </w:rPr>
        <w:t xml:space="preserve">Keller </w:t>
      </w:r>
      <w:r w:rsidR="009B26E6">
        <w:rPr>
          <w:sz w:val="28"/>
          <w:szCs w:val="28"/>
        </w:rPr>
        <w:t xml:space="preserve">remains </w:t>
      </w:r>
      <w:r>
        <w:rPr>
          <w:sz w:val="28"/>
          <w:szCs w:val="28"/>
        </w:rPr>
        <w:t>upheld, and</w:t>
      </w:r>
      <w:r w:rsidR="009B26E6">
        <w:rPr>
          <w:sz w:val="28"/>
          <w:szCs w:val="28"/>
        </w:rPr>
        <w:t xml:space="preserve"> the State Bar can </w:t>
      </w:r>
      <w:r>
        <w:rPr>
          <w:sz w:val="28"/>
          <w:szCs w:val="28"/>
        </w:rPr>
        <w:t>constitutionally</w:t>
      </w:r>
      <w:r w:rsidR="009B26E6">
        <w:rPr>
          <w:sz w:val="28"/>
          <w:szCs w:val="28"/>
        </w:rPr>
        <w:t xml:space="preserve"> fund activities related to lawyer regulation </w:t>
      </w:r>
      <w:r w:rsidR="009B26E6" w:rsidRPr="00EF482F">
        <w:rPr>
          <w:i/>
          <w:iCs/>
          <w:sz w:val="28"/>
          <w:szCs w:val="28"/>
        </w:rPr>
        <w:t>and</w:t>
      </w:r>
      <w:r w:rsidR="009B26E6">
        <w:rPr>
          <w:sz w:val="28"/>
          <w:szCs w:val="28"/>
        </w:rPr>
        <w:t xml:space="preserve"> improving the quality of legal services.</w:t>
      </w:r>
      <w:r>
        <w:rPr>
          <w:sz w:val="28"/>
          <w:szCs w:val="28"/>
        </w:rPr>
        <w:t xml:space="preserve"> The Petition focuses significantly on Petitioners’ belief that </w:t>
      </w:r>
      <w:r w:rsidRPr="00704134">
        <w:rPr>
          <w:i/>
          <w:iCs/>
          <w:sz w:val="28"/>
          <w:szCs w:val="28"/>
        </w:rPr>
        <w:t xml:space="preserve">Keller </w:t>
      </w:r>
      <w:r>
        <w:rPr>
          <w:sz w:val="28"/>
          <w:szCs w:val="28"/>
        </w:rPr>
        <w:t>should be overturned. This is not the appropriate forum to litigate that issue. Only the United State</w:t>
      </w:r>
      <w:r w:rsidR="002471B9">
        <w:rPr>
          <w:sz w:val="28"/>
          <w:szCs w:val="28"/>
        </w:rPr>
        <w:t>s</w:t>
      </w:r>
      <w:r>
        <w:rPr>
          <w:sz w:val="28"/>
          <w:szCs w:val="28"/>
        </w:rPr>
        <w:t xml:space="preserve"> Supreme Court can overturn </w:t>
      </w:r>
      <w:r w:rsidRPr="00704134">
        <w:rPr>
          <w:i/>
          <w:iCs/>
          <w:sz w:val="28"/>
          <w:szCs w:val="28"/>
        </w:rPr>
        <w:t xml:space="preserve">Keller </w:t>
      </w:r>
      <w:r>
        <w:rPr>
          <w:sz w:val="28"/>
          <w:szCs w:val="28"/>
        </w:rPr>
        <w:t>and establish a new legal standard with respect to the integrated bar structure. To date,</w:t>
      </w:r>
      <w:r w:rsidR="009B0910">
        <w:rPr>
          <w:sz w:val="28"/>
          <w:szCs w:val="28"/>
        </w:rPr>
        <w:t xml:space="preserve"> the U.S. Supreme Court</w:t>
      </w:r>
      <w:r>
        <w:rPr>
          <w:sz w:val="28"/>
          <w:szCs w:val="28"/>
        </w:rPr>
        <w:t xml:space="preserve"> has declined several recent requests to do so.</w:t>
      </w:r>
      <w:r>
        <w:rPr>
          <w:rStyle w:val="FootnoteReference"/>
          <w:sz w:val="28"/>
          <w:szCs w:val="28"/>
        </w:rPr>
        <w:footnoteReference w:id="2"/>
      </w:r>
      <w:r w:rsidR="00B11169">
        <w:rPr>
          <w:sz w:val="28"/>
          <w:szCs w:val="28"/>
        </w:rPr>
        <w:t xml:space="preserve"> However, this issue is before the Supreme Court again during the pendency of this Petition</w:t>
      </w:r>
      <w:r w:rsidR="00BD2540">
        <w:rPr>
          <w:sz w:val="28"/>
          <w:szCs w:val="28"/>
        </w:rPr>
        <w:t xml:space="preserve">. See </w:t>
      </w:r>
      <w:r w:rsidR="00BD2540">
        <w:rPr>
          <w:i/>
          <w:iCs/>
          <w:sz w:val="28"/>
          <w:szCs w:val="28"/>
        </w:rPr>
        <w:t>Crowe v. State Bar of Oregon</w:t>
      </w:r>
      <w:r w:rsidR="00BD2540">
        <w:rPr>
          <w:sz w:val="28"/>
          <w:szCs w:val="28"/>
        </w:rPr>
        <w:t>,</w:t>
      </w:r>
      <w:r w:rsidR="00B57766">
        <w:rPr>
          <w:sz w:val="28"/>
          <w:szCs w:val="28"/>
        </w:rPr>
        <w:t xml:space="preserve"> No. 24-1025</w:t>
      </w:r>
      <w:r w:rsidR="00BD2540">
        <w:rPr>
          <w:sz w:val="28"/>
          <w:szCs w:val="28"/>
        </w:rPr>
        <w:t xml:space="preserve"> (U.S. filed March 21,</w:t>
      </w:r>
      <w:r w:rsidR="0033407F">
        <w:rPr>
          <w:sz w:val="28"/>
          <w:szCs w:val="28"/>
        </w:rPr>
        <w:t xml:space="preserve"> </w:t>
      </w:r>
      <w:r w:rsidR="00BD2540">
        <w:rPr>
          <w:sz w:val="28"/>
          <w:szCs w:val="28"/>
        </w:rPr>
        <w:t>2025).</w:t>
      </w:r>
      <w:r w:rsidR="0033407F" w:rsidRPr="008460CC">
        <w:rPr>
          <w:sz w:val="28"/>
          <w:szCs w:val="28"/>
        </w:rPr>
        <w:t xml:space="preserve"> </w:t>
      </w:r>
    </w:p>
    <w:p w14:paraId="5C285015" w14:textId="686CA4F2" w:rsidR="002E19CE" w:rsidRPr="000633CB" w:rsidRDefault="00704134" w:rsidP="000633CB">
      <w:pPr>
        <w:pStyle w:val="Body"/>
        <w:widowControl w:val="0"/>
        <w:spacing w:line="480" w:lineRule="auto"/>
        <w:ind w:firstLine="720"/>
        <w:jc w:val="both"/>
        <w:rPr>
          <w:sz w:val="28"/>
          <w:szCs w:val="28"/>
        </w:rPr>
      </w:pPr>
      <w:r>
        <w:rPr>
          <w:sz w:val="28"/>
          <w:szCs w:val="28"/>
        </w:rPr>
        <w:t>T</w:t>
      </w:r>
      <w:r w:rsidR="009B26E6">
        <w:rPr>
          <w:sz w:val="28"/>
          <w:szCs w:val="28"/>
        </w:rPr>
        <w:t xml:space="preserve">his Court has the authority to decide changes to the structure, mission and scope of the State Bar’s activities, </w:t>
      </w:r>
      <w:r w:rsidR="00374F2A">
        <w:rPr>
          <w:sz w:val="28"/>
          <w:szCs w:val="28"/>
        </w:rPr>
        <w:t xml:space="preserve">irrespective of </w:t>
      </w:r>
      <w:proofErr w:type="gramStart"/>
      <w:r w:rsidR="00374F2A">
        <w:rPr>
          <w:sz w:val="28"/>
          <w:szCs w:val="28"/>
        </w:rPr>
        <w:t>the SCOTUS</w:t>
      </w:r>
      <w:proofErr w:type="gramEnd"/>
      <w:r w:rsidR="00374F2A">
        <w:rPr>
          <w:sz w:val="28"/>
          <w:szCs w:val="28"/>
        </w:rPr>
        <w:t xml:space="preserve">’ decision to revisit </w:t>
      </w:r>
      <w:r w:rsidR="00374F2A" w:rsidRPr="00374F2A">
        <w:rPr>
          <w:i/>
          <w:iCs/>
          <w:sz w:val="28"/>
          <w:szCs w:val="28"/>
        </w:rPr>
        <w:lastRenderedPageBreak/>
        <w:t>Keller.</w:t>
      </w:r>
      <w:r w:rsidR="009B26E6">
        <w:rPr>
          <w:sz w:val="28"/>
          <w:szCs w:val="28"/>
        </w:rPr>
        <w:t xml:space="preserve"> </w:t>
      </w:r>
      <w:r w:rsidR="00374F2A">
        <w:rPr>
          <w:sz w:val="28"/>
          <w:szCs w:val="28"/>
        </w:rPr>
        <w:t>Therefore, this Comment will not</w:t>
      </w:r>
      <w:r w:rsidR="00506FFD">
        <w:rPr>
          <w:sz w:val="28"/>
          <w:szCs w:val="28"/>
        </w:rPr>
        <w:t xml:space="preserve"> focus on</w:t>
      </w:r>
      <w:r w:rsidR="00374F2A">
        <w:rPr>
          <w:sz w:val="28"/>
          <w:szCs w:val="28"/>
        </w:rPr>
        <w:t xml:space="preserve"> </w:t>
      </w:r>
      <w:r w:rsidR="002E19CE">
        <w:rPr>
          <w:sz w:val="28"/>
          <w:szCs w:val="28"/>
        </w:rPr>
        <w:t>whether</w:t>
      </w:r>
      <w:r w:rsidR="00374F2A">
        <w:rPr>
          <w:sz w:val="28"/>
          <w:szCs w:val="28"/>
        </w:rPr>
        <w:t xml:space="preserve"> </w:t>
      </w:r>
      <w:r w:rsidR="00374F2A" w:rsidRPr="00480B8C">
        <w:rPr>
          <w:i/>
          <w:iCs/>
          <w:sz w:val="28"/>
          <w:szCs w:val="28"/>
        </w:rPr>
        <w:t xml:space="preserve">Keller </w:t>
      </w:r>
      <w:r w:rsidR="00374F2A">
        <w:rPr>
          <w:sz w:val="28"/>
          <w:szCs w:val="28"/>
        </w:rPr>
        <w:t xml:space="preserve">should be overturned, but rather, why this Court should maintain the current integrated structure of the State Bar. </w:t>
      </w:r>
    </w:p>
    <w:p w14:paraId="39AB1B83" w14:textId="1701AEA0" w:rsidR="00374F2A" w:rsidRPr="000030BB" w:rsidRDefault="000030BB" w:rsidP="000030BB">
      <w:pPr>
        <w:pStyle w:val="Body"/>
        <w:widowControl w:val="0"/>
        <w:spacing w:line="480" w:lineRule="auto"/>
        <w:ind w:firstLine="720"/>
        <w:jc w:val="both"/>
        <w:rPr>
          <w:b/>
          <w:bCs/>
          <w:sz w:val="28"/>
          <w:szCs w:val="28"/>
          <w:u w:val="single"/>
        </w:rPr>
      </w:pPr>
      <w:r>
        <w:rPr>
          <w:b/>
          <w:bCs/>
          <w:sz w:val="28"/>
          <w:szCs w:val="28"/>
        </w:rPr>
        <w:t>IV.</w:t>
      </w:r>
      <w:r>
        <w:rPr>
          <w:b/>
          <w:bCs/>
          <w:sz w:val="28"/>
          <w:szCs w:val="28"/>
        </w:rPr>
        <w:tab/>
      </w:r>
      <w:r w:rsidR="00374F2A" w:rsidRPr="000030BB">
        <w:rPr>
          <w:b/>
          <w:bCs/>
          <w:sz w:val="28"/>
          <w:szCs w:val="28"/>
          <w:u w:val="single"/>
        </w:rPr>
        <w:t>ARGUMENT</w:t>
      </w:r>
    </w:p>
    <w:p w14:paraId="1615C422" w14:textId="3F1697D4" w:rsidR="00155B7E" w:rsidRDefault="00155B7E" w:rsidP="001236C8">
      <w:pPr>
        <w:pStyle w:val="Body"/>
        <w:widowControl w:val="0"/>
        <w:numPr>
          <w:ilvl w:val="0"/>
          <w:numId w:val="21"/>
        </w:numPr>
        <w:spacing w:line="240" w:lineRule="auto"/>
        <w:jc w:val="both"/>
        <w:rPr>
          <w:b/>
          <w:sz w:val="28"/>
          <w:szCs w:val="28"/>
        </w:rPr>
      </w:pPr>
      <w:r>
        <w:rPr>
          <w:b/>
          <w:sz w:val="28"/>
          <w:szCs w:val="28"/>
        </w:rPr>
        <w:t>The State Bar</w:t>
      </w:r>
      <w:r w:rsidR="001236C8">
        <w:rPr>
          <w:b/>
          <w:sz w:val="28"/>
          <w:szCs w:val="28"/>
        </w:rPr>
        <w:t>’s Structure Allows the State Bar to</w:t>
      </w:r>
      <w:r>
        <w:rPr>
          <w:b/>
          <w:sz w:val="28"/>
          <w:szCs w:val="28"/>
        </w:rPr>
        <w:t xml:space="preserve"> </w:t>
      </w:r>
      <w:r w:rsidR="001236C8">
        <w:rPr>
          <w:b/>
          <w:sz w:val="28"/>
          <w:szCs w:val="28"/>
        </w:rPr>
        <w:t>Further the</w:t>
      </w:r>
      <w:r>
        <w:rPr>
          <w:b/>
          <w:sz w:val="28"/>
          <w:szCs w:val="28"/>
        </w:rPr>
        <w:t xml:space="preserve"> Mission and Activities</w:t>
      </w:r>
      <w:r w:rsidR="00581D51">
        <w:rPr>
          <w:b/>
          <w:sz w:val="28"/>
          <w:szCs w:val="28"/>
        </w:rPr>
        <w:t xml:space="preserve"> Delegated by This Court</w:t>
      </w:r>
      <w:r>
        <w:rPr>
          <w:b/>
          <w:sz w:val="28"/>
          <w:szCs w:val="28"/>
        </w:rPr>
        <w:t xml:space="preserve"> in Conformity with </w:t>
      </w:r>
      <w:r w:rsidR="001236C8">
        <w:rPr>
          <w:b/>
          <w:iCs/>
          <w:sz w:val="28"/>
          <w:szCs w:val="28"/>
        </w:rPr>
        <w:t>Rule 32</w:t>
      </w:r>
      <w:r w:rsidR="00581D51">
        <w:rPr>
          <w:b/>
          <w:iCs/>
          <w:sz w:val="28"/>
          <w:szCs w:val="28"/>
        </w:rPr>
        <w:t>.</w:t>
      </w:r>
    </w:p>
    <w:p w14:paraId="5C11F8A2" w14:textId="77777777" w:rsidR="00155B7E" w:rsidRPr="000C77BA" w:rsidRDefault="00155B7E" w:rsidP="00155B7E">
      <w:pPr>
        <w:pStyle w:val="Body"/>
        <w:widowControl w:val="0"/>
        <w:spacing w:line="240" w:lineRule="auto"/>
        <w:ind w:left="1080" w:firstLine="0"/>
        <w:jc w:val="both"/>
        <w:rPr>
          <w:b/>
          <w:sz w:val="28"/>
          <w:szCs w:val="28"/>
        </w:rPr>
      </w:pPr>
    </w:p>
    <w:p w14:paraId="0952E147" w14:textId="425A62E5" w:rsidR="00953E10" w:rsidRDefault="00155B7E" w:rsidP="00DF7E82">
      <w:pPr>
        <w:pStyle w:val="Body"/>
        <w:widowControl w:val="0"/>
        <w:spacing w:line="480" w:lineRule="auto"/>
        <w:ind w:firstLine="720"/>
        <w:jc w:val="both"/>
        <w:rPr>
          <w:sz w:val="28"/>
          <w:szCs w:val="28"/>
        </w:rPr>
      </w:pPr>
      <w:r>
        <w:rPr>
          <w:sz w:val="28"/>
          <w:szCs w:val="28"/>
        </w:rPr>
        <w:t>The State Bar</w:t>
      </w:r>
      <w:r w:rsidR="00581D51">
        <w:rPr>
          <w:sz w:val="28"/>
          <w:szCs w:val="28"/>
        </w:rPr>
        <w:t xml:space="preserve"> cannot and</w:t>
      </w:r>
      <w:r>
        <w:rPr>
          <w:sz w:val="28"/>
          <w:szCs w:val="28"/>
        </w:rPr>
        <w:t xml:space="preserve"> does not use membership fees to fund activities of a political or ideological nature that are not reasonably related to </w:t>
      </w:r>
      <w:r w:rsidR="000633CB">
        <w:rPr>
          <w:sz w:val="28"/>
          <w:szCs w:val="28"/>
        </w:rPr>
        <w:t xml:space="preserve">lawyer regulation </w:t>
      </w:r>
      <w:r>
        <w:rPr>
          <w:sz w:val="28"/>
          <w:szCs w:val="28"/>
        </w:rPr>
        <w:t xml:space="preserve">or improving the quality of legal services. </w:t>
      </w:r>
      <w:r w:rsidR="00953E10">
        <w:rPr>
          <w:sz w:val="28"/>
          <w:szCs w:val="28"/>
        </w:rPr>
        <w:t xml:space="preserve">As an apolitical organization, the State Bar </w:t>
      </w:r>
      <w:r w:rsidR="00D96730">
        <w:rPr>
          <w:sz w:val="28"/>
          <w:szCs w:val="28"/>
        </w:rPr>
        <w:t>focuses</w:t>
      </w:r>
      <w:r w:rsidR="00953E10">
        <w:rPr>
          <w:sz w:val="28"/>
          <w:szCs w:val="28"/>
        </w:rPr>
        <w:t xml:space="preserve"> on directives from the Court that support the legal professio</w:t>
      </w:r>
      <w:r w:rsidR="0021612D">
        <w:rPr>
          <w:sz w:val="28"/>
          <w:szCs w:val="28"/>
        </w:rPr>
        <w:t>n</w:t>
      </w:r>
      <w:r w:rsidR="00953E10">
        <w:rPr>
          <w:sz w:val="28"/>
          <w:szCs w:val="28"/>
        </w:rPr>
        <w:t xml:space="preserve"> and needs of our state with respect to legal services. </w:t>
      </w:r>
      <w:r w:rsidR="00D96730">
        <w:rPr>
          <w:sz w:val="28"/>
          <w:szCs w:val="28"/>
        </w:rPr>
        <w:t xml:space="preserve">Contrary to the assertion made in the Petition that “mandatory bars have divided loyalties,” Pet. at 13, the State Bar of Arizona prioritizes activities and programs in furtherance of the mission and directives given to us by the Court, as codified in Rule 32. </w:t>
      </w:r>
    </w:p>
    <w:p w14:paraId="1F023182" w14:textId="6DDBD75F" w:rsidR="00155B7E" w:rsidRPr="00DF7E82" w:rsidRDefault="00D96730" w:rsidP="00DF7E82">
      <w:pPr>
        <w:pStyle w:val="Body"/>
        <w:widowControl w:val="0"/>
        <w:spacing w:line="480" w:lineRule="auto"/>
        <w:ind w:firstLine="720"/>
        <w:jc w:val="both"/>
        <w:rPr>
          <w:sz w:val="28"/>
          <w:szCs w:val="28"/>
        </w:rPr>
      </w:pPr>
      <w:r>
        <w:rPr>
          <w:sz w:val="28"/>
          <w:szCs w:val="28"/>
        </w:rPr>
        <w:t>And while</w:t>
      </w:r>
      <w:r w:rsidR="00155B7E">
        <w:rPr>
          <w:sz w:val="28"/>
          <w:szCs w:val="28"/>
        </w:rPr>
        <w:t xml:space="preserve"> the State Bar uses annual fees only for </w:t>
      </w:r>
      <w:r w:rsidR="00155B7E" w:rsidRPr="002F2369">
        <w:rPr>
          <w:i/>
          <w:sz w:val="28"/>
          <w:szCs w:val="28"/>
        </w:rPr>
        <w:t>Keller</w:t>
      </w:r>
      <w:r w:rsidR="00155B7E">
        <w:rPr>
          <w:sz w:val="28"/>
          <w:szCs w:val="28"/>
        </w:rPr>
        <w:t>-</w:t>
      </w:r>
      <w:r w:rsidR="001236C8">
        <w:rPr>
          <w:sz w:val="28"/>
          <w:szCs w:val="28"/>
        </w:rPr>
        <w:t>compliant</w:t>
      </w:r>
      <w:r w:rsidR="00155B7E">
        <w:rPr>
          <w:sz w:val="28"/>
          <w:szCs w:val="28"/>
        </w:rPr>
        <w:t xml:space="preserve"> activities</w:t>
      </w:r>
      <w:r>
        <w:rPr>
          <w:sz w:val="28"/>
          <w:szCs w:val="28"/>
        </w:rPr>
        <w:t>,</w:t>
      </w:r>
      <w:r w:rsidR="001236C8">
        <w:rPr>
          <w:sz w:val="28"/>
          <w:szCs w:val="28"/>
        </w:rPr>
        <w:t xml:space="preserve"> </w:t>
      </w:r>
      <w:r>
        <w:rPr>
          <w:sz w:val="28"/>
          <w:szCs w:val="28"/>
        </w:rPr>
        <w:t>consistent with</w:t>
      </w:r>
      <w:r w:rsidR="00155B7E">
        <w:rPr>
          <w:sz w:val="28"/>
          <w:szCs w:val="28"/>
        </w:rPr>
        <w:t xml:space="preserve"> Rule 32, a member may still object to and receive a refund of the annual fee allocable to those</w:t>
      </w:r>
      <w:r>
        <w:rPr>
          <w:sz w:val="28"/>
          <w:szCs w:val="28"/>
        </w:rPr>
        <w:t xml:space="preserve"> objectionable</w:t>
      </w:r>
      <w:r w:rsidR="00155B7E">
        <w:rPr>
          <w:sz w:val="28"/>
          <w:szCs w:val="28"/>
        </w:rPr>
        <w:t xml:space="preserve"> activities. </w:t>
      </w:r>
      <w:r w:rsidR="00155B7E" w:rsidRPr="002F2369">
        <w:rPr>
          <w:i/>
          <w:sz w:val="28"/>
          <w:szCs w:val="28"/>
        </w:rPr>
        <w:t>See</w:t>
      </w:r>
      <w:r w:rsidR="00155B7E">
        <w:rPr>
          <w:sz w:val="28"/>
          <w:szCs w:val="28"/>
        </w:rPr>
        <w:t xml:space="preserve"> Rule 32(c)(9).</w:t>
      </w:r>
      <w:r w:rsidR="001236C8">
        <w:rPr>
          <w:sz w:val="28"/>
          <w:szCs w:val="28"/>
        </w:rPr>
        <w:t xml:space="preserve"> The State Bar supported the recent amendment by this Court to Rule 32(c)(9)</w:t>
      </w:r>
      <w:r w:rsidR="00953E10">
        <w:rPr>
          <w:sz w:val="28"/>
          <w:szCs w:val="28"/>
        </w:rPr>
        <w:t xml:space="preserve">, clarifying that all activities, not just lobbying, must comply with </w:t>
      </w:r>
      <w:r w:rsidR="00953E10" w:rsidRPr="00953E10">
        <w:rPr>
          <w:i/>
          <w:iCs/>
          <w:sz w:val="28"/>
          <w:szCs w:val="28"/>
        </w:rPr>
        <w:t>Keller</w:t>
      </w:r>
      <w:r w:rsidR="00953E10">
        <w:rPr>
          <w:sz w:val="28"/>
          <w:szCs w:val="28"/>
        </w:rPr>
        <w:t>.</w:t>
      </w:r>
      <w:r w:rsidR="001236C8">
        <w:rPr>
          <w:sz w:val="28"/>
          <w:szCs w:val="28"/>
        </w:rPr>
        <w:t xml:space="preserve"> </w:t>
      </w:r>
      <w:r w:rsidR="00E22ACF">
        <w:rPr>
          <w:sz w:val="28"/>
          <w:szCs w:val="28"/>
        </w:rPr>
        <w:t>The</w:t>
      </w:r>
      <w:r w:rsidR="008B265A">
        <w:rPr>
          <w:sz w:val="28"/>
          <w:szCs w:val="28"/>
        </w:rPr>
        <w:t xml:space="preserve"> Second Comment of </w:t>
      </w:r>
      <w:r w:rsidR="008B265A">
        <w:rPr>
          <w:sz w:val="28"/>
          <w:szCs w:val="28"/>
        </w:rPr>
        <w:lastRenderedPageBreak/>
        <w:t>the State Bar of Arizona to R-24-003</w:t>
      </w:r>
      <w:r w:rsidR="006421AC">
        <w:rPr>
          <w:sz w:val="28"/>
          <w:szCs w:val="28"/>
        </w:rPr>
        <w:t xml:space="preserve">0. Attached as </w:t>
      </w:r>
      <w:proofErr w:type="gramStart"/>
      <w:r w:rsidR="006421AC">
        <w:rPr>
          <w:sz w:val="28"/>
          <w:szCs w:val="28"/>
        </w:rPr>
        <w:t>Appendix</w:t>
      </w:r>
      <w:proofErr w:type="gramEnd"/>
      <w:r w:rsidR="006421AC">
        <w:rPr>
          <w:sz w:val="28"/>
          <w:szCs w:val="28"/>
        </w:rPr>
        <w:t xml:space="preserve">. </w:t>
      </w:r>
    </w:p>
    <w:p w14:paraId="093B6635" w14:textId="66B92984" w:rsidR="003F4F00" w:rsidRPr="000633CB" w:rsidRDefault="00365D40" w:rsidP="000633CB">
      <w:pPr>
        <w:pStyle w:val="Body"/>
        <w:widowControl w:val="0"/>
        <w:numPr>
          <w:ilvl w:val="0"/>
          <w:numId w:val="21"/>
        </w:numPr>
        <w:spacing w:line="240" w:lineRule="auto"/>
        <w:rPr>
          <w:b/>
          <w:bCs/>
          <w:sz w:val="28"/>
          <w:szCs w:val="28"/>
        </w:rPr>
      </w:pPr>
      <w:r>
        <w:rPr>
          <w:b/>
          <w:bCs/>
          <w:sz w:val="28"/>
          <w:szCs w:val="28"/>
        </w:rPr>
        <w:t>The</w:t>
      </w:r>
      <w:r w:rsidR="00953E10">
        <w:rPr>
          <w:b/>
          <w:bCs/>
          <w:sz w:val="28"/>
          <w:szCs w:val="28"/>
        </w:rPr>
        <w:t xml:space="preserve"> State Bar Advances</w:t>
      </w:r>
      <w:r w:rsidR="00581D51">
        <w:rPr>
          <w:b/>
          <w:bCs/>
          <w:sz w:val="28"/>
          <w:szCs w:val="28"/>
        </w:rPr>
        <w:t xml:space="preserve"> Important State Interest</w:t>
      </w:r>
      <w:r w:rsidR="00953E10">
        <w:rPr>
          <w:b/>
          <w:bCs/>
          <w:sz w:val="28"/>
          <w:szCs w:val="28"/>
        </w:rPr>
        <w:t>s</w:t>
      </w:r>
      <w:r w:rsidR="00581D51">
        <w:rPr>
          <w:b/>
          <w:bCs/>
          <w:sz w:val="28"/>
          <w:szCs w:val="28"/>
        </w:rPr>
        <w:t xml:space="preserve"> Set Forth in the</w:t>
      </w:r>
      <w:r>
        <w:rPr>
          <w:b/>
          <w:bCs/>
          <w:sz w:val="28"/>
          <w:szCs w:val="28"/>
        </w:rPr>
        <w:t xml:space="preserve"> Mission Given to the State Bar by th</w:t>
      </w:r>
      <w:r w:rsidR="001236C8">
        <w:rPr>
          <w:b/>
          <w:bCs/>
          <w:sz w:val="28"/>
          <w:szCs w:val="28"/>
        </w:rPr>
        <w:t>is</w:t>
      </w:r>
      <w:r>
        <w:rPr>
          <w:b/>
          <w:bCs/>
          <w:sz w:val="28"/>
          <w:szCs w:val="28"/>
        </w:rPr>
        <w:t xml:space="preserve"> Court. </w:t>
      </w:r>
    </w:p>
    <w:p w14:paraId="1563E4DF" w14:textId="61EADB2E" w:rsidR="00817985" w:rsidRDefault="00633E9C" w:rsidP="003D30F4">
      <w:pPr>
        <w:pStyle w:val="Body"/>
        <w:widowControl w:val="0"/>
        <w:numPr>
          <w:ilvl w:val="0"/>
          <w:numId w:val="23"/>
        </w:numPr>
        <w:spacing w:line="480" w:lineRule="auto"/>
        <w:jc w:val="both"/>
        <w:rPr>
          <w:b/>
          <w:bCs/>
          <w:sz w:val="28"/>
          <w:szCs w:val="28"/>
        </w:rPr>
      </w:pPr>
      <w:r>
        <w:rPr>
          <w:b/>
          <w:bCs/>
          <w:sz w:val="28"/>
          <w:szCs w:val="28"/>
        </w:rPr>
        <w:t>Protection of the Public</w:t>
      </w:r>
    </w:p>
    <w:p w14:paraId="27F3ECC8" w14:textId="2090B8F8" w:rsidR="002A4DC7" w:rsidRPr="00F072DE" w:rsidRDefault="00BD648D" w:rsidP="00F072DE">
      <w:pPr>
        <w:pStyle w:val="Body"/>
        <w:widowControl w:val="0"/>
        <w:spacing w:line="480" w:lineRule="auto"/>
        <w:ind w:firstLine="720"/>
        <w:jc w:val="both"/>
        <w:rPr>
          <w:sz w:val="28"/>
          <w:szCs w:val="28"/>
        </w:rPr>
      </w:pPr>
      <w:r>
        <w:rPr>
          <w:sz w:val="28"/>
          <w:szCs w:val="28"/>
        </w:rPr>
        <w:t xml:space="preserve">The </w:t>
      </w:r>
      <w:r w:rsidR="001A358A">
        <w:rPr>
          <w:sz w:val="28"/>
          <w:szCs w:val="28"/>
        </w:rPr>
        <w:t>State Bar</w:t>
      </w:r>
      <w:r>
        <w:rPr>
          <w:sz w:val="28"/>
          <w:szCs w:val="28"/>
        </w:rPr>
        <w:t xml:space="preserve"> has a</w:t>
      </w:r>
      <w:r w:rsidR="001A358A">
        <w:rPr>
          <w:sz w:val="28"/>
          <w:szCs w:val="28"/>
        </w:rPr>
        <w:t xml:space="preserve"> role in </w:t>
      </w:r>
      <w:r w:rsidR="006C4918">
        <w:rPr>
          <w:sz w:val="28"/>
          <w:szCs w:val="28"/>
        </w:rPr>
        <w:t xml:space="preserve">aiding the Court to “organize and promote activities </w:t>
      </w:r>
      <w:r w:rsidR="00C07590">
        <w:rPr>
          <w:sz w:val="28"/>
          <w:szCs w:val="28"/>
        </w:rPr>
        <w:t xml:space="preserve">that </w:t>
      </w:r>
      <w:r w:rsidR="006C4918">
        <w:rPr>
          <w:sz w:val="28"/>
          <w:szCs w:val="28"/>
        </w:rPr>
        <w:t>fulfill the responsibilities of the legal profession and its members to the public.” Rule 32(a)(2)(A)</w:t>
      </w:r>
      <w:r w:rsidR="000633CB">
        <w:rPr>
          <w:sz w:val="28"/>
          <w:szCs w:val="28"/>
        </w:rPr>
        <w:t>.</w:t>
      </w:r>
      <w:r w:rsidR="00F072DE">
        <w:rPr>
          <w:sz w:val="28"/>
          <w:szCs w:val="28"/>
        </w:rPr>
        <w:t xml:space="preserve"> </w:t>
      </w:r>
      <w:r>
        <w:rPr>
          <w:sz w:val="28"/>
          <w:szCs w:val="28"/>
        </w:rPr>
        <w:t xml:space="preserve">The following </w:t>
      </w:r>
      <w:r w:rsidR="00953E10">
        <w:rPr>
          <w:sz w:val="28"/>
          <w:szCs w:val="28"/>
        </w:rPr>
        <w:t xml:space="preserve">State Bar </w:t>
      </w:r>
      <w:r>
        <w:rPr>
          <w:sz w:val="28"/>
          <w:szCs w:val="28"/>
        </w:rPr>
        <w:t>programs</w:t>
      </w:r>
      <w:r w:rsidR="00065152">
        <w:rPr>
          <w:sz w:val="28"/>
          <w:szCs w:val="28"/>
        </w:rPr>
        <w:t>, in conjunction with lawyer regulation,</w:t>
      </w:r>
      <w:r>
        <w:rPr>
          <w:sz w:val="28"/>
          <w:szCs w:val="28"/>
        </w:rPr>
        <w:t xml:space="preserve"> further </w:t>
      </w:r>
      <w:r w:rsidR="00953E10">
        <w:rPr>
          <w:sz w:val="28"/>
          <w:szCs w:val="28"/>
        </w:rPr>
        <w:t>protection of the public</w:t>
      </w:r>
      <w:r w:rsidR="00E13383">
        <w:rPr>
          <w:sz w:val="28"/>
          <w:szCs w:val="28"/>
        </w:rPr>
        <w:t xml:space="preserve"> and should remain funded by practitioners practicing in this state</w:t>
      </w:r>
      <w:r w:rsidR="00BE283F">
        <w:rPr>
          <w:sz w:val="28"/>
          <w:szCs w:val="28"/>
        </w:rPr>
        <w:t xml:space="preserve"> </w:t>
      </w:r>
      <w:r w:rsidR="006246A1">
        <w:rPr>
          <w:sz w:val="28"/>
          <w:szCs w:val="28"/>
        </w:rPr>
        <w:t>as a self-regulating profession</w:t>
      </w:r>
      <w:r w:rsidR="00E13383">
        <w:rPr>
          <w:sz w:val="28"/>
          <w:szCs w:val="28"/>
        </w:rPr>
        <w:t>:</w:t>
      </w:r>
    </w:p>
    <w:p w14:paraId="53876AEE" w14:textId="67E7D72A" w:rsidR="00E27BC3" w:rsidRDefault="00E27BC3" w:rsidP="00E27BC3">
      <w:pPr>
        <w:pStyle w:val="Body"/>
        <w:widowControl w:val="0"/>
        <w:numPr>
          <w:ilvl w:val="0"/>
          <w:numId w:val="16"/>
        </w:numPr>
        <w:spacing w:line="480" w:lineRule="auto"/>
        <w:ind w:left="1080"/>
        <w:jc w:val="both"/>
        <w:rPr>
          <w:sz w:val="28"/>
          <w:szCs w:val="28"/>
        </w:rPr>
      </w:pPr>
      <w:r>
        <w:rPr>
          <w:sz w:val="28"/>
          <w:szCs w:val="28"/>
        </w:rPr>
        <w:t>T</w:t>
      </w:r>
      <w:r w:rsidR="008450C7">
        <w:rPr>
          <w:sz w:val="28"/>
          <w:szCs w:val="28"/>
        </w:rPr>
        <w:t xml:space="preserve">he State Bar’s Fee Arbitration </w:t>
      </w:r>
      <w:r w:rsidR="00500AEB">
        <w:rPr>
          <w:sz w:val="28"/>
          <w:szCs w:val="28"/>
        </w:rPr>
        <w:t>P</w:t>
      </w:r>
      <w:r w:rsidR="008450C7">
        <w:rPr>
          <w:sz w:val="28"/>
          <w:szCs w:val="28"/>
        </w:rPr>
        <w:t>rogram i</w:t>
      </w:r>
      <w:r>
        <w:rPr>
          <w:sz w:val="28"/>
          <w:szCs w:val="28"/>
        </w:rPr>
        <w:t xml:space="preserve">s </w:t>
      </w:r>
      <w:r w:rsidR="008450C7">
        <w:rPr>
          <w:sz w:val="28"/>
          <w:szCs w:val="28"/>
        </w:rPr>
        <w:t xml:space="preserve">often the first forum that resolves a bar charge based on a fee dispute. </w:t>
      </w:r>
    </w:p>
    <w:p w14:paraId="551DDB8C" w14:textId="725C78B2" w:rsidR="00E27BC3" w:rsidRDefault="008450C7" w:rsidP="00E27BC3">
      <w:pPr>
        <w:pStyle w:val="Body"/>
        <w:widowControl w:val="0"/>
        <w:numPr>
          <w:ilvl w:val="0"/>
          <w:numId w:val="16"/>
        </w:numPr>
        <w:spacing w:line="480" w:lineRule="auto"/>
        <w:ind w:left="1080"/>
        <w:jc w:val="both"/>
        <w:rPr>
          <w:sz w:val="28"/>
          <w:szCs w:val="28"/>
        </w:rPr>
      </w:pPr>
      <w:r>
        <w:rPr>
          <w:sz w:val="28"/>
          <w:szCs w:val="28"/>
        </w:rPr>
        <w:t xml:space="preserve">The State Bar’s Conservatorship </w:t>
      </w:r>
      <w:r w:rsidR="00500AEB">
        <w:rPr>
          <w:sz w:val="28"/>
          <w:szCs w:val="28"/>
        </w:rPr>
        <w:t>P</w:t>
      </w:r>
      <w:r>
        <w:rPr>
          <w:sz w:val="28"/>
          <w:szCs w:val="28"/>
        </w:rPr>
        <w:t>rogram works with the Lawyer Regulation Division to</w:t>
      </w:r>
      <w:r w:rsidR="00E27BC3">
        <w:rPr>
          <w:sz w:val="28"/>
          <w:szCs w:val="28"/>
        </w:rPr>
        <w:t xml:space="preserve"> secure and</w:t>
      </w:r>
      <w:r>
        <w:rPr>
          <w:sz w:val="28"/>
          <w:szCs w:val="28"/>
        </w:rPr>
        <w:t xml:space="preserve"> return client funds and files when an attorney facing discipline poses a risk to misappropriation of client funds and/or files. </w:t>
      </w:r>
    </w:p>
    <w:p w14:paraId="32989D3E" w14:textId="77777777" w:rsidR="00E27BC3" w:rsidRDefault="008450C7" w:rsidP="00E27BC3">
      <w:pPr>
        <w:pStyle w:val="Body"/>
        <w:widowControl w:val="0"/>
        <w:numPr>
          <w:ilvl w:val="0"/>
          <w:numId w:val="16"/>
        </w:numPr>
        <w:spacing w:line="480" w:lineRule="auto"/>
        <w:ind w:left="1080"/>
        <w:jc w:val="both"/>
        <w:rPr>
          <w:sz w:val="28"/>
          <w:szCs w:val="28"/>
        </w:rPr>
      </w:pPr>
      <w:r>
        <w:rPr>
          <w:sz w:val="28"/>
          <w:szCs w:val="28"/>
        </w:rPr>
        <w:t>T</w:t>
      </w:r>
      <w:r w:rsidR="00B06A38">
        <w:rPr>
          <w:sz w:val="28"/>
          <w:szCs w:val="28"/>
        </w:rPr>
        <w:t>he State Bar’s Ethics</w:t>
      </w:r>
      <w:r w:rsidR="006C4918">
        <w:rPr>
          <w:sz w:val="28"/>
          <w:szCs w:val="28"/>
        </w:rPr>
        <w:t xml:space="preserve"> Hotline </w:t>
      </w:r>
      <w:r w:rsidR="00B06A38">
        <w:rPr>
          <w:sz w:val="28"/>
          <w:szCs w:val="28"/>
        </w:rPr>
        <w:t>operates outside of the Lawyer Regulation Division and addresses approximately 2,</w:t>
      </w:r>
      <w:r w:rsidR="006C4918">
        <w:rPr>
          <w:sz w:val="28"/>
          <w:szCs w:val="28"/>
        </w:rPr>
        <w:t>0</w:t>
      </w:r>
      <w:r w:rsidR="00B06A38">
        <w:rPr>
          <w:sz w:val="28"/>
          <w:szCs w:val="28"/>
        </w:rPr>
        <w:t xml:space="preserve">00 ethics inquiries a year. The Ethics Hotline serves as a resource that disciplinary counsel can direct a member to, to receive ethical guidance, and hopefully avoid the necessity of further remedial action by the State Bar. </w:t>
      </w:r>
    </w:p>
    <w:p w14:paraId="449EB5EE" w14:textId="081176CF" w:rsidR="00E27BC3" w:rsidRDefault="00B06A38" w:rsidP="00E27BC3">
      <w:pPr>
        <w:pStyle w:val="Body"/>
        <w:widowControl w:val="0"/>
        <w:numPr>
          <w:ilvl w:val="0"/>
          <w:numId w:val="16"/>
        </w:numPr>
        <w:spacing w:line="480" w:lineRule="auto"/>
        <w:ind w:left="1080"/>
        <w:jc w:val="both"/>
        <w:rPr>
          <w:sz w:val="28"/>
          <w:szCs w:val="28"/>
        </w:rPr>
      </w:pPr>
      <w:r w:rsidRPr="00E27BC3">
        <w:rPr>
          <w:sz w:val="28"/>
          <w:szCs w:val="28"/>
        </w:rPr>
        <w:lastRenderedPageBreak/>
        <w:t xml:space="preserve">The State Bar also operates </w:t>
      </w:r>
      <w:r w:rsidR="00500AEB">
        <w:rPr>
          <w:sz w:val="28"/>
          <w:szCs w:val="28"/>
        </w:rPr>
        <w:t>M</w:t>
      </w:r>
      <w:r w:rsidRPr="00E27BC3">
        <w:rPr>
          <w:sz w:val="28"/>
          <w:szCs w:val="28"/>
        </w:rPr>
        <w:t xml:space="preserve">ember </w:t>
      </w:r>
      <w:r w:rsidR="00500AEB">
        <w:rPr>
          <w:sz w:val="28"/>
          <w:szCs w:val="28"/>
        </w:rPr>
        <w:t>A</w:t>
      </w:r>
      <w:r w:rsidRPr="00E27BC3">
        <w:rPr>
          <w:sz w:val="28"/>
          <w:szCs w:val="28"/>
        </w:rPr>
        <w:t xml:space="preserve">ssistance and </w:t>
      </w:r>
      <w:r w:rsidR="00500AEB">
        <w:rPr>
          <w:sz w:val="28"/>
          <w:szCs w:val="28"/>
        </w:rPr>
        <w:t>L</w:t>
      </w:r>
      <w:r w:rsidRPr="00E27BC3">
        <w:rPr>
          <w:sz w:val="28"/>
          <w:szCs w:val="28"/>
        </w:rPr>
        <w:t xml:space="preserve">aw </w:t>
      </w:r>
      <w:r w:rsidR="00500AEB">
        <w:rPr>
          <w:sz w:val="28"/>
          <w:szCs w:val="28"/>
        </w:rPr>
        <w:t>O</w:t>
      </w:r>
      <w:r w:rsidRPr="00E27BC3">
        <w:rPr>
          <w:sz w:val="28"/>
          <w:szCs w:val="28"/>
        </w:rPr>
        <w:t xml:space="preserve">ffice </w:t>
      </w:r>
      <w:r w:rsidR="00500AEB">
        <w:rPr>
          <w:sz w:val="28"/>
          <w:szCs w:val="28"/>
        </w:rPr>
        <w:t>M</w:t>
      </w:r>
      <w:r w:rsidRPr="00E27BC3">
        <w:rPr>
          <w:sz w:val="28"/>
          <w:szCs w:val="28"/>
        </w:rPr>
        <w:t xml:space="preserve">anagement </w:t>
      </w:r>
      <w:r w:rsidR="00500AEB">
        <w:rPr>
          <w:sz w:val="28"/>
          <w:szCs w:val="28"/>
        </w:rPr>
        <w:t>P</w:t>
      </w:r>
      <w:r w:rsidRPr="00E27BC3">
        <w:rPr>
          <w:sz w:val="28"/>
          <w:szCs w:val="28"/>
        </w:rPr>
        <w:t>rogram</w:t>
      </w:r>
      <w:r w:rsidR="00EA6264">
        <w:rPr>
          <w:sz w:val="28"/>
          <w:szCs w:val="28"/>
        </w:rPr>
        <w:t>s</w:t>
      </w:r>
      <w:r w:rsidRPr="00E27BC3">
        <w:rPr>
          <w:sz w:val="28"/>
          <w:szCs w:val="28"/>
        </w:rPr>
        <w:t xml:space="preserve">. These programs serve as critical resources for the Lawyer Regulation Division to direct members who have been identified with practice management or personal issues that could lead to ethical violations. Disciplinary counsel will utilize these programs </w:t>
      </w:r>
      <w:r w:rsidR="00500AEB" w:rsidRPr="00E27BC3">
        <w:rPr>
          <w:sz w:val="28"/>
          <w:szCs w:val="28"/>
        </w:rPr>
        <w:t>to</w:t>
      </w:r>
      <w:r w:rsidRPr="00E27BC3">
        <w:rPr>
          <w:sz w:val="28"/>
          <w:szCs w:val="28"/>
        </w:rPr>
        <w:t xml:space="preserve"> explore proactive assistance for members in lieu of harsher sanctions, where appropriate. </w:t>
      </w:r>
    </w:p>
    <w:p w14:paraId="1CA0DE3B" w14:textId="18AF3EEC" w:rsidR="00365D40" w:rsidRDefault="00633E9C" w:rsidP="003D30F4">
      <w:pPr>
        <w:pStyle w:val="Body"/>
        <w:widowControl w:val="0"/>
        <w:numPr>
          <w:ilvl w:val="0"/>
          <w:numId w:val="23"/>
        </w:numPr>
        <w:spacing w:line="480" w:lineRule="auto"/>
        <w:jc w:val="both"/>
        <w:rPr>
          <w:b/>
          <w:bCs/>
          <w:sz w:val="28"/>
          <w:szCs w:val="28"/>
        </w:rPr>
      </w:pPr>
      <w:r>
        <w:rPr>
          <w:b/>
          <w:bCs/>
          <w:sz w:val="28"/>
          <w:szCs w:val="28"/>
        </w:rPr>
        <w:t>Access to Justice</w:t>
      </w:r>
    </w:p>
    <w:p w14:paraId="64041D80" w14:textId="60FF47A0" w:rsidR="00384493" w:rsidRDefault="00BD648D" w:rsidP="00384493">
      <w:pPr>
        <w:pStyle w:val="Body"/>
        <w:widowControl w:val="0"/>
        <w:spacing w:line="480" w:lineRule="auto"/>
        <w:ind w:firstLine="720"/>
        <w:jc w:val="both"/>
        <w:rPr>
          <w:sz w:val="28"/>
          <w:szCs w:val="28"/>
        </w:rPr>
      </w:pPr>
      <w:r>
        <w:rPr>
          <w:sz w:val="28"/>
          <w:szCs w:val="28"/>
        </w:rPr>
        <w:t>P</w:t>
      </w:r>
      <w:r w:rsidR="0015487E">
        <w:rPr>
          <w:sz w:val="28"/>
          <w:szCs w:val="28"/>
        </w:rPr>
        <w:t xml:space="preserve">romoting access to justice </w:t>
      </w:r>
      <w:r>
        <w:rPr>
          <w:sz w:val="28"/>
          <w:szCs w:val="28"/>
        </w:rPr>
        <w:t>is set forth in</w:t>
      </w:r>
      <w:r w:rsidR="0015487E">
        <w:rPr>
          <w:sz w:val="28"/>
          <w:szCs w:val="28"/>
        </w:rPr>
        <w:t xml:space="preserve"> the State Bar’s mission, </w:t>
      </w:r>
      <w:r>
        <w:rPr>
          <w:sz w:val="28"/>
          <w:szCs w:val="28"/>
        </w:rPr>
        <w:t xml:space="preserve">under </w:t>
      </w:r>
      <w:r w:rsidR="0015487E">
        <w:rPr>
          <w:sz w:val="28"/>
          <w:szCs w:val="28"/>
        </w:rPr>
        <w:t xml:space="preserve">Rule 32(a)(2)(B), </w:t>
      </w:r>
      <w:r w:rsidR="002E19CE">
        <w:rPr>
          <w:sz w:val="28"/>
          <w:szCs w:val="28"/>
        </w:rPr>
        <w:t>and</w:t>
      </w:r>
      <w:r w:rsidR="0015487E">
        <w:rPr>
          <w:sz w:val="28"/>
          <w:szCs w:val="28"/>
        </w:rPr>
        <w:t xml:space="preserve"> aligns with Goal 1 of the Court’s Strategic Agenda</w:t>
      </w:r>
      <w:r w:rsidR="00384493">
        <w:rPr>
          <w:sz w:val="28"/>
          <w:szCs w:val="28"/>
        </w:rPr>
        <w:t xml:space="preserve"> to expand and promote access to justice. </w:t>
      </w:r>
    </w:p>
    <w:p w14:paraId="31A57208" w14:textId="5B6BC974" w:rsidR="0015487E" w:rsidRPr="004F49CF" w:rsidRDefault="007A4F4F" w:rsidP="007A4F4F">
      <w:pPr>
        <w:pStyle w:val="Body"/>
        <w:widowControl w:val="0"/>
        <w:spacing w:line="480" w:lineRule="auto"/>
        <w:ind w:firstLine="0"/>
        <w:jc w:val="both"/>
        <w:rPr>
          <w:sz w:val="28"/>
          <w:szCs w:val="28"/>
        </w:rPr>
      </w:pPr>
      <w:r>
        <w:rPr>
          <w:sz w:val="28"/>
          <w:szCs w:val="28"/>
        </w:rPr>
        <w:tab/>
        <w:t xml:space="preserve">The </w:t>
      </w:r>
      <w:r w:rsidR="009A2484">
        <w:rPr>
          <w:sz w:val="28"/>
          <w:szCs w:val="28"/>
        </w:rPr>
        <w:t xml:space="preserve">State Bar’s Public Service Center serves as the State Bar’s hub for legal aid, resources and consumer information. The Public Service Center also organizes free legal clinics and provides advice to the public on how to engage an attorney, including modest means and pro bono programs. The </w:t>
      </w:r>
      <w:r>
        <w:rPr>
          <w:sz w:val="28"/>
          <w:szCs w:val="28"/>
        </w:rPr>
        <w:t>Petition leaves unanswere</w:t>
      </w:r>
      <w:r w:rsidR="00953E10">
        <w:rPr>
          <w:sz w:val="28"/>
          <w:szCs w:val="28"/>
        </w:rPr>
        <w:t>d how and who will aid the Court in</w:t>
      </w:r>
      <w:r w:rsidR="00E13383">
        <w:rPr>
          <w:sz w:val="28"/>
          <w:szCs w:val="28"/>
        </w:rPr>
        <w:t>, in a meaningful way,</w:t>
      </w:r>
      <w:r w:rsidR="00953E10">
        <w:rPr>
          <w:sz w:val="28"/>
          <w:szCs w:val="28"/>
        </w:rPr>
        <w:t xml:space="preserve"> addressing </w:t>
      </w:r>
      <w:r w:rsidR="0099570D">
        <w:rPr>
          <w:sz w:val="28"/>
          <w:szCs w:val="28"/>
        </w:rPr>
        <w:t>the need for</w:t>
      </w:r>
      <w:r w:rsidR="00953E10">
        <w:rPr>
          <w:sz w:val="28"/>
          <w:szCs w:val="28"/>
        </w:rPr>
        <w:t xml:space="preserve"> access to legal services and legal information for low-income individuals if the State Bar only exists as a voluntary organization</w:t>
      </w:r>
      <w:r w:rsidR="0099570D">
        <w:rPr>
          <w:sz w:val="28"/>
          <w:szCs w:val="28"/>
        </w:rPr>
        <w:t xml:space="preserve"> controlled by the individual interests of donating members. </w:t>
      </w:r>
    </w:p>
    <w:p w14:paraId="16C5D242" w14:textId="76AB8B55" w:rsidR="00341114" w:rsidRDefault="00B76323" w:rsidP="00441612">
      <w:pPr>
        <w:pStyle w:val="Body"/>
        <w:widowControl w:val="0"/>
        <w:numPr>
          <w:ilvl w:val="0"/>
          <w:numId w:val="21"/>
        </w:numPr>
        <w:spacing w:line="240" w:lineRule="auto"/>
        <w:jc w:val="both"/>
        <w:rPr>
          <w:b/>
          <w:bCs/>
          <w:sz w:val="28"/>
          <w:szCs w:val="28"/>
        </w:rPr>
      </w:pPr>
      <w:r>
        <w:rPr>
          <w:b/>
          <w:bCs/>
          <w:sz w:val="28"/>
          <w:szCs w:val="28"/>
        </w:rPr>
        <w:lastRenderedPageBreak/>
        <w:t>Petitio</w:t>
      </w:r>
      <w:r w:rsidR="00F06716">
        <w:rPr>
          <w:b/>
          <w:bCs/>
          <w:sz w:val="28"/>
          <w:szCs w:val="28"/>
        </w:rPr>
        <w:t>ners’ Proposal</w:t>
      </w:r>
      <w:r w:rsidR="0089009C">
        <w:rPr>
          <w:b/>
          <w:bCs/>
          <w:sz w:val="28"/>
          <w:szCs w:val="28"/>
        </w:rPr>
        <w:t xml:space="preserve"> to Grow State Government by Transferring the State Bar’s Lawyer Regulation and MCLE Compliance to the Court</w:t>
      </w:r>
      <w:r w:rsidR="00F06716">
        <w:rPr>
          <w:b/>
          <w:bCs/>
          <w:sz w:val="28"/>
          <w:szCs w:val="28"/>
        </w:rPr>
        <w:t xml:space="preserve"> Underestimates the Breadth of This Expansion to Maintain the Level of Support the State Bar Provides to this Court</w:t>
      </w:r>
      <w:r w:rsidR="0089009C">
        <w:rPr>
          <w:b/>
          <w:bCs/>
          <w:sz w:val="28"/>
          <w:szCs w:val="28"/>
        </w:rPr>
        <w:t>.</w:t>
      </w:r>
    </w:p>
    <w:p w14:paraId="6D1F9357" w14:textId="77777777" w:rsidR="00287F0B" w:rsidRDefault="00287F0B" w:rsidP="00581D51">
      <w:pPr>
        <w:pStyle w:val="Body"/>
        <w:widowControl w:val="0"/>
        <w:spacing w:line="240" w:lineRule="auto"/>
        <w:ind w:firstLine="0"/>
        <w:jc w:val="both"/>
        <w:rPr>
          <w:b/>
          <w:bCs/>
          <w:sz w:val="28"/>
          <w:szCs w:val="28"/>
        </w:rPr>
      </w:pPr>
    </w:p>
    <w:p w14:paraId="2D3F12CF" w14:textId="41D96C19" w:rsidR="00581D51" w:rsidRDefault="00581D51" w:rsidP="00C226DF">
      <w:pPr>
        <w:pStyle w:val="Body"/>
        <w:widowControl w:val="0"/>
        <w:spacing w:line="480" w:lineRule="auto"/>
        <w:ind w:firstLine="720"/>
        <w:jc w:val="both"/>
        <w:rPr>
          <w:sz w:val="28"/>
          <w:szCs w:val="28"/>
        </w:rPr>
      </w:pPr>
      <w:r>
        <w:rPr>
          <w:sz w:val="28"/>
          <w:szCs w:val="28"/>
        </w:rPr>
        <w:t xml:space="preserve">Petitioners’ characterization of its proposed amendment to Rule 32 causing a “modest expansion” to the AOC exemplifies </w:t>
      </w:r>
      <w:r w:rsidR="00CE617E">
        <w:rPr>
          <w:sz w:val="28"/>
          <w:szCs w:val="28"/>
        </w:rPr>
        <w:t>a</w:t>
      </w:r>
      <w:r>
        <w:rPr>
          <w:sz w:val="28"/>
          <w:szCs w:val="28"/>
        </w:rPr>
        <w:t xml:space="preserve"> lack of understanding</w:t>
      </w:r>
      <w:r w:rsidR="00CE617E">
        <w:rPr>
          <w:sz w:val="28"/>
          <w:szCs w:val="28"/>
        </w:rPr>
        <w:t xml:space="preserve"> </w:t>
      </w:r>
      <w:r w:rsidR="00065152">
        <w:rPr>
          <w:sz w:val="28"/>
          <w:szCs w:val="28"/>
        </w:rPr>
        <w:t xml:space="preserve">of </w:t>
      </w:r>
      <w:r w:rsidR="00CE617E">
        <w:rPr>
          <w:sz w:val="28"/>
          <w:szCs w:val="28"/>
        </w:rPr>
        <w:t xml:space="preserve">what </w:t>
      </w:r>
      <w:r w:rsidR="00065152">
        <w:rPr>
          <w:sz w:val="28"/>
          <w:szCs w:val="28"/>
        </w:rPr>
        <w:t>may be</w:t>
      </w:r>
      <w:r w:rsidR="00CE617E">
        <w:rPr>
          <w:sz w:val="28"/>
          <w:szCs w:val="28"/>
        </w:rPr>
        <w:t xml:space="preserve"> lost </w:t>
      </w:r>
      <w:r w:rsidR="002B0F07">
        <w:rPr>
          <w:sz w:val="28"/>
          <w:szCs w:val="28"/>
        </w:rPr>
        <w:t>if</w:t>
      </w:r>
      <w:r w:rsidR="00CE617E">
        <w:rPr>
          <w:sz w:val="28"/>
          <w:szCs w:val="28"/>
        </w:rPr>
        <w:t xml:space="preserve"> regulation is removed from an integrated structure, in which resources are </w:t>
      </w:r>
      <w:r w:rsidR="00B248B7">
        <w:rPr>
          <w:sz w:val="28"/>
          <w:szCs w:val="28"/>
        </w:rPr>
        <w:t>cross utilized</w:t>
      </w:r>
      <w:r w:rsidR="00CE617E">
        <w:rPr>
          <w:sz w:val="28"/>
          <w:szCs w:val="28"/>
        </w:rPr>
        <w:t xml:space="preserve"> to support proactive management and rehabilitative support for lawyers. </w:t>
      </w:r>
      <w:r w:rsidR="00B248B7">
        <w:rPr>
          <w:sz w:val="28"/>
          <w:szCs w:val="28"/>
        </w:rPr>
        <w:t>T</w:t>
      </w:r>
      <w:r w:rsidR="00A9576F">
        <w:rPr>
          <w:sz w:val="28"/>
          <w:szCs w:val="28"/>
        </w:rPr>
        <w:t>h</w:t>
      </w:r>
      <w:r w:rsidR="00CE617E">
        <w:rPr>
          <w:sz w:val="28"/>
          <w:szCs w:val="28"/>
        </w:rPr>
        <w:t>e</w:t>
      </w:r>
      <w:r w:rsidR="00A9576F">
        <w:rPr>
          <w:sz w:val="28"/>
          <w:szCs w:val="28"/>
        </w:rPr>
        <w:t xml:space="preserve"> benefit of maintaining lawyer regulation within an</w:t>
      </w:r>
      <w:r w:rsidR="00CE617E">
        <w:rPr>
          <w:sz w:val="28"/>
          <w:szCs w:val="28"/>
        </w:rPr>
        <w:t xml:space="preserve"> integrated bar </w:t>
      </w:r>
      <w:r w:rsidR="00114515">
        <w:rPr>
          <w:sz w:val="28"/>
          <w:szCs w:val="28"/>
        </w:rPr>
        <w:t>is that</w:t>
      </w:r>
      <w:r w:rsidR="00B248B7">
        <w:rPr>
          <w:sz w:val="28"/>
          <w:szCs w:val="28"/>
        </w:rPr>
        <w:t xml:space="preserve"> the</w:t>
      </w:r>
      <w:r w:rsidR="00114515">
        <w:rPr>
          <w:sz w:val="28"/>
          <w:szCs w:val="28"/>
        </w:rPr>
        <w:t xml:space="preserve"> lawyer regulation </w:t>
      </w:r>
      <w:r w:rsidR="00B248B7">
        <w:rPr>
          <w:sz w:val="28"/>
          <w:szCs w:val="28"/>
        </w:rPr>
        <w:t xml:space="preserve">office </w:t>
      </w:r>
      <w:r w:rsidR="00114515">
        <w:rPr>
          <w:sz w:val="28"/>
          <w:szCs w:val="28"/>
        </w:rPr>
        <w:t xml:space="preserve">has additional tools and resources </w:t>
      </w:r>
      <w:r w:rsidR="00B248B7">
        <w:rPr>
          <w:sz w:val="28"/>
          <w:szCs w:val="28"/>
        </w:rPr>
        <w:t xml:space="preserve">to help lawyers and their clients </w:t>
      </w:r>
      <w:r w:rsidR="00114515">
        <w:rPr>
          <w:sz w:val="28"/>
          <w:szCs w:val="28"/>
        </w:rPr>
        <w:t>because it benefits from economies of scale</w:t>
      </w:r>
      <w:r w:rsidR="005F5133">
        <w:rPr>
          <w:sz w:val="28"/>
          <w:szCs w:val="28"/>
        </w:rPr>
        <w:t>.</w:t>
      </w:r>
      <w:r w:rsidR="00114515">
        <w:rPr>
          <w:sz w:val="28"/>
          <w:szCs w:val="28"/>
        </w:rPr>
        <w:t xml:space="preserve"> </w:t>
      </w:r>
    </w:p>
    <w:p w14:paraId="594C0F9F" w14:textId="71936969" w:rsidR="0075614D" w:rsidRDefault="0075614D" w:rsidP="0075614D">
      <w:pPr>
        <w:pStyle w:val="Body"/>
        <w:widowControl w:val="0"/>
        <w:numPr>
          <w:ilvl w:val="0"/>
          <w:numId w:val="24"/>
        </w:numPr>
        <w:spacing w:line="480" w:lineRule="auto"/>
        <w:jc w:val="both"/>
        <w:rPr>
          <w:b/>
          <w:bCs/>
          <w:sz w:val="28"/>
          <w:szCs w:val="28"/>
        </w:rPr>
      </w:pPr>
      <w:r w:rsidRPr="0075614D">
        <w:rPr>
          <w:b/>
          <w:bCs/>
          <w:sz w:val="28"/>
          <w:szCs w:val="28"/>
        </w:rPr>
        <w:t xml:space="preserve">Lawyer Regulation </w:t>
      </w:r>
      <w:r w:rsidR="001C1E72">
        <w:rPr>
          <w:b/>
          <w:bCs/>
          <w:sz w:val="28"/>
          <w:szCs w:val="28"/>
        </w:rPr>
        <w:t xml:space="preserve">Services and </w:t>
      </w:r>
      <w:r w:rsidR="00114515">
        <w:rPr>
          <w:b/>
          <w:bCs/>
          <w:sz w:val="28"/>
          <w:szCs w:val="28"/>
        </w:rPr>
        <w:t>Resources</w:t>
      </w:r>
    </w:p>
    <w:p w14:paraId="6B42C136" w14:textId="6B591992" w:rsidR="009C0B95" w:rsidRDefault="0042772C" w:rsidP="00B248B7">
      <w:pPr>
        <w:spacing w:line="480" w:lineRule="auto"/>
        <w:ind w:firstLine="720"/>
        <w:jc w:val="both"/>
        <w:rPr>
          <w:sz w:val="28"/>
          <w:szCs w:val="28"/>
        </w:rPr>
      </w:pPr>
      <w:r w:rsidRPr="0042772C">
        <w:rPr>
          <w:sz w:val="28"/>
          <w:szCs w:val="28"/>
        </w:rPr>
        <w:t>Lawyer Regulation is often the place where emerging issues or trends with lawyers are identified. The integrated structure allows for coordination with</w:t>
      </w:r>
      <w:r w:rsidR="00CE617E">
        <w:rPr>
          <w:sz w:val="28"/>
          <w:szCs w:val="28"/>
        </w:rPr>
        <w:t>in the integrated</w:t>
      </w:r>
      <w:r w:rsidRPr="0042772C">
        <w:rPr>
          <w:sz w:val="28"/>
          <w:szCs w:val="28"/>
        </w:rPr>
        <w:t xml:space="preserve"> bar</w:t>
      </w:r>
      <w:r w:rsidR="00CE617E">
        <w:rPr>
          <w:sz w:val="28"/>
          <w:szCs w:val="28"/>
        </w:rPr>
        <w:t xml:space="preserve"> </w:t>
      </w:r>
      <w:r w:rsidRPr="0042772C">
        <w:rPr>
          <w:sz w:val="28"/>
          <w:szCs w:val="28"/>
        </w:rPr>
        <w:t>to quickly address</w:t>
      </w:r>
      <w:r w:rsidR="00B248B7">
        <w:rPr>
          <w:sz w:val="28"/>
          <w:szCs w:val="28"/>
        </w:rPr>
        <w:t xml:space="preserve"> such trends</w:t>
      </w:r>
      <w:r w:rsidRPr="0042772C">
        <w:rPr>
          <w:sz w:val="28"/>
          <w:szCs w:val="28"/>
        </w:rPr>
        <w:t>. For example, increases in overdraft notification could prompt</w:t>
      </w:r>
      <w:r w:rsidR="009C0B95">
        <w:rPr>
          <w:sz w:val="28"/>
          <w:szCs w:val="28"/>
        </w:rPr>
        <w:t xml:space="preserve"> the</w:t>
      </w:r>
      <w:r w:rsidRPr="0042772C">
        <w:rPr>
          <w:sz w:val="28"/>
          <w:szCs w:val="28"/>
        </w:rPr>
        <w:t xml:space="preserve"> lawyer regulation</w:t>
      </w:r>
      <w:r w:rsidR="009C0B95">
        <w:rPr>
          <w:sz w:val="28"/>
          <w:szCs w:val="28"/>
        </w:rPr>
        <w:t xml:space="preserve"> office</w:t>
      </w:r>
      <w:r w:rsidRPr="0042772C">
        <w:rPr>
          <w:sz w:val="28"/>
          <w:szCs w:val="28"/>
        </w:rPr>
        <w:t xml:space="preserve"> to work together with </w:t>
      </w:r>
      <w:r w:rsidR="009C0B95">
        <w:rPr>
          <w:sz w:val="28"/>
          <w:szCs w:val="28"/>
        </w:rPr>
        <w:t xml:space="preserve">the </w:t>
      </w:r>
      <w:r w:rsidRPr="0042772C">
        <w:rPr>
          <w:sz w:val="28"/>
          <w:szCs w:val="28"/>
        </w:rPr>
        <w:t xml:space="preserve">member services </w:t>
      </w:r>
      <w:r w:rsidR="009C0B95">
        <w:rPr>
          <w:sz w:val="28"/>
          <w:szCs w:val="28"/>
        </w:rPr>
        <w:t xml:space="preserve">division </w:t>
      </w:r>
      <w:r w:rsidRPr="0042772C">
        <w:rPr>
          <w:sz w:val="28"/>
          <w:szCs w:val="28"/>
        </w:rPr>
        <w:t xml:space="preserve">to develop coordinated education and training to </w:t>
      </w:r>
      <w:r w:rsidR="009C0B95">
        <w:rPr>
          <w:sz w:val="28"/>
          <w:szCs w:val="28"/>
        </w:rPr>
        <w:t>mitigate trust accounting issues for lawyers</w:t>
      </w:r>
      <w:r w:rsidRPr="0042772C">
        <w:rPr>
          <w:sz w:val="28"/>
          <w:szCs w:val="28"/>
        </w:rPr>
        <w:t xml:space="preserve">. </w:t>
      </w:r>
    </w:p>
    <w:p w14:paraId="000AD88F" w14:textId="2FE31C04" w:rsidR="0042772C" w:rsidRPr="0042772C" w:rsidRDefault="0042772C" w:rsidP="00B248B7">
      <w:pPr>
        <w:spacing w:line="480" w:lineRule="auto"/>
        <w:ind w:firstLine="720"/>
        <w:jc w:val="both"/>
        <w:rPr>
          <w:sz w:val="28"/>
          <w:szCs w:val="28"/>
        </w:rPr>
      </w:pPr>
      <w:r w:rsidRPr="0042772C">
        <w:rPr>
          <w:sz w:val="28"/>
          <w:szCs w:val="28"/>
        </w:rPr>
        <w:t>Another example</w:t>
      </w:r>
      <w:r w:rsidR="009C0B95">
        <w:rPr>
          <w:sz w:val="28"/>
          <w:szCs w:val="28"/>
        </w:rPr>
        <w:t xml:space="preserve"> is </w:t>
      </w:r>
      <w:r w:rsidRPr="0042772C">
        <w:rPr>
          <w:sz w:val="28"/>
          <w:szCs w:val="28"/>
        </w:rPr>
        <w:t>fraud schemes targeting lawyers</w:t>
      </w:r>
      <w:r w:rsidR="009C0B95">
        <w:rPr>
          <w:sz w:val="28"/>
          <w:szCs w:val="28"/>
        </w:rPr>
        <w:t>. When these schemes</w:t>
      </w:r>
      <w:r w:rsidR="00B248B7">
        <w:rPr>
          <w:sz w:val="28"/>
          <w:szCs w:val="28"/>
        </w:rPr>
        <w:t xml:space="preserve"> became pervasive,</w:t>
      </w:r>
      <w:r w:rsidRPr="0042772C">
        <w:rPr>
          <w:sz w:val="28"/>
          <w:szCs w:val="28"/>
        </w:rPr>
        <w:t xml:space="preserve"> </w:t>
      </w:r>
      <w:r w:rsidR="00B248B7">
        <w:rPr>
          <w:sz w:val="28"/>
          <w:szCs w:val="28"/>
        </w:rPr>
        <w:t>the lawyer regulation office</w:t>
      </w:r>
      <w:r w:rsidRPr="0042772C">
        <w:rPr>
          <w:sz w:val="28"/>
          <w:szCs w:val="28"/>
        </w:rPr>
        <w:t xml:space="preserve"> worked with the</w:t>
      </w:r>
      <w:r w:rsidR="00B248B7">
        <w:rPr>
          <w:sz w:val="28"/>
          <w:szCs w:val="28"/>
        </w:rPr>
        <w:t xml:space="preserve"> State Bar’s c</w:t>
      </w:r>
      <w:r w:rsidRPr="0042772C">
        <w:rPr>
          <w:sz w:val="28"/>
          <w:szCs w:val="28"/>
        </w:rPr>
        <w:t xml:space="preserve">ommunications department to place a warning on the State Bar’s webpage to alert </w:t>
      </w:r>
      <w:r w:rsidRPr="0042772C">
        <w:rPr>
          <w:sz w:val="28"/>
          <w:szCs w:val="28"/>
        </w:rPr>
        <w:lastRenderedPageBreak/>
        <w:t>lawyers to the scheme, provide instruction on how to identify the scheme</w:t>
      </w:r>
      <w:r w:rsidR="00C4137C">
        <w:rPr>
          <w:sz w:val="28"/>
          <w:szCs w:val="28"/>
        </w:rPr>
        <w:t>,</w:t>
      </w:r>
      <w:r w:rsidRPr="0042772C">
        <w:rPr>
          <w:sz w:val="28"/>
          <w:szCs w:val="28"/>
        </w:rPr>
        <w:t xml:space="preserve"> and direct</w:t>
      </w:r>
      <w:r w:rsidR="00B248B7">
        <w:rPr>
          <w:sz w:val="28"/>
          <w:szCs w:val="28"/>
        </w:rPr>
        <w:t>ed lawyers to resources</w:t>
      </w:r>
      <w:r w:rsidRPr="0042772C">
        <w:rPr>
          <w:sz w:val="28"/>
          <w:szCs w:val="28"/>
        </w:rPr>
        <w:t xml:space="preserve"> t</w:t>
      </w:r>
      <w:r w:rsidR="00B248B7">
        <w:rPr>
          <w:sz w:val="28"/>
          <w:szCs w:val="28"/>
        </w:rPr>
        <w:t>o assist in the event of fraud</w:t>
      </w:r>
      <w:r w:rsidRPr="0042772C">
        <w:rPr>
          <w:sz w:val="28"/>
          <w:szCs w:val="28"/>
        </w:rPr>
        <w:t xml:space="preserve">.  </w:t>
      </w:r>
    </w:p>
    <w:p w14:paraId="30CD3DF0" w14:textId="6B14CA66" w:rsidR="00CE617E" w:rsidRDefault="00CE617E" w:rsidP="00756F19">
      <w:pPr>
        <w:spacing w:line="480" w:lineRule="auto"/>
        <w:ind w:firstLine="720"/>
        <w:jc w:val="both"/>
        <w:rPr>
          <w:sz w:val="28"/>
          <w:szCs w:val="28"/>
        </w:rPr>
      </w:pPr>
      <w:r w:rsidRPr="00CE617E">
        <w:rPr>
          <w:sz w:val="28"/>
          <w:szCs w:val="28"/>
        </w:rPr>
        <w:t xml:space="preserve">The State Bar’s Law Office Management Assistance Program (LOMAP) offers hands-on training, assistance and advice to attorneys struggling to operate their law offices in compliance with the ethical rules. </w:t>
      </w:r>
      <w:r w:rsidR="00756F19">
        <w:rPr>
          <w:sz w:val="28"/>
          <w:szCs w:val="28"/>
        </w:rPr>
        <w:t>Nearly</w:t>
      </w:r>
      <w:r w:rsidRPr="00CE617E">
        <w:rPr>
          <w:sz w:val="28"/>
          <w:szCs w:val="28"/>
        </w:rPr>
        <w:t xml:space="preserve"> one hundred lawyers a year receive assistance through the program</w:t>
      </w:r>
      <w:r w:rsidR="009C0B95">
        <w:rPr>
          <w:sz w:val="28"/>
          <w:szCs w:val="28"/>
        </w:rPr>
        <w:t xml:space="preserve"> either by</w:t>
      </w:r>
      <w:r w:rsidR="00756F19">
        <w:rPr>
          <w:sz w:val="28"/>
          <w:szCs w:val="28"/>
        </w:rPr>
        <w:t xml:space="preserve"> order</w:t>
      </w:r>
      <w:r w:rsidRPr="00CE617E">
        <w:rPr>
          <w:sz w:val="28"/>
          <w:szCs w:val="28"/>
        </w:rPr>
        <w:t xml:space="preserve"> to participate or </w:t>
      </w:r>
      <w:proofErr w:type="gramStart"/>
      <w:r w:rsidRPr="00CE617E">
        <w:rPr>
          <w:sz w:val="28"/>
          <w:szCs w:val="28"/>
        </w:rPr>
        <w:t>by</w:t>
      </w:r>
      <w:proofErr w:type="gramEnd"/>
      <w:r w:rsidRPr="00CE617E">
        <w:rPr>
          <w:sz w:val="28"/>
          <w:szCs w:val="28"/>
        </w:rPr>
        <w:t xml:space="preserve"> </w:t>
      </w:r>
      <w:r w:rsidR="00756F19">
        <w:rPr>
          <w:sz w:val="28"/>
          <w:szCs w:val="28"/>
        </w:rPr>
        <w:t>consent</w:t>
      </w:r>
      <w:r w:rsidRPr="00CE617E">
        <w:rPr>
          <w:sz w:val="28"/>
          <w:szCs w:val="28"/>
        </w:rPr>
        <w:t xml:space="preserve"> to participate in the program as a term of diversion. State Bar LOMAP </w:t>
      </w:r>
      <w:r w:rsidR="00756F19">
        <w:rPr>
          <w:sz w:val="28"/>
          <w:szCs w:val="28"/>
        </w:rPr>
        <w:t>c</w:t>
      </w:r>
      <w:r w:rsidRPr="00CE617E">
        <w:rPr>
          <w:sz w:val="28"/>
          <w:szCs w:val="28"/>
        </w:rPr>
        <w:t xml:space="preserve">ounsel visit participating lawyers’ offices in person and conduct a thorough and personalized office evaluation with the lawyer. LOMAP counsel identify areas of non-compliance with the rules and areas where office operations can be improved or made more efficient. LOMAP then develops and implements a plan for improving the lawyer’s office operations. Necessary resources, including but not limited to, policies, templates and software are provided to the participating lawyer for their use. LOMAP </w:t>
      </w:r>
      <w:r w:rsidR="009C0B95">
        <w:rPr>
          <w:sz w:val="28"/>
          <w:szCs w:val="28"/>
        </w:rPr>
        <w:t>c</w:t>
      </w:r>
      <w:r w:rsidRPr="00CE617E">
        <w:rPr>
          <w:sz w:val="28"/>
          <w:szCs w:val="28"/>
        </w:rPr>
        <w:t xml:space="preserve">ounsel continues to monitor and follow up with the participating lawyer for a period of eighteen months or two years to provide regular and ongoing assistance. LOMAP also provides hands-on IOLTA trust account training and monitoring for attorneys who are having difficulty managing their attorney IOLTA </w:t>
      </w:r>
      <w:r w:rsidR="005A4E2B" w:rsidRPr="00CE617E">
        <w:rPr>
          <w:sz w:val="28"/>
          <w:szCs w:val="28"/>
        </w:rPr>
        <w:t>accounts. The</w:t>
      </w:r>
      <w:r w:rsidRPr="00CE617E">
        <w:rPr>
          <w:sz w:val="28"/>
          <w:szCs w:val="28"/>
        </w:rPr>
        <w:t xml:space="preserve"> loss of the LOMAP program would likely result in a significant uptick in the number of ethical violations that occur</w:t>
      </w:r>
      <w:r w:rsidR="000633CB">
        <w:rPr>
          <w:sz w:val="28"/>
          <w:szCs w:val="28"/>
        </w:rPr>
        <w:t>,</w:t>
      </w:r>
      <w:r w:rsidRPr="00CE617E">
        <w:rPr>
          <w:sz w:val="28"/>
          <w:szCs w:val="28"/>
        </w:rPr>
        <w:t xml:space="preserve"> as well as a significant increase in the </w:t>
      </w:r>
      <w:r w:rsidRPr="00CE617E">
        <w:rPr>
          <w:sz w:val="28"/>
          <w:szCs w:val="28"/>
        </w:rPr>
        <w:lastRenderedPageBreak/>
        <w:t>recidivism rate of lawyers who have previously been found to have violated the ethical rules.</w:t>
      </w:r>
    </w:p>
    <w:p w14:paraId="315EDB6D" w14:textId="4D9FF7EC" w:rsidR="00065152" w:rsidRDefault="00065152" w:rsidP="00756F19">
      <w:pPr>
        <w:spacing w:line="480" w:lineRule="auto"/>
        <w:jc w:val="both"/>
        <w:rPr>
          <w:sz w:val="28"/>
          <w:szCs w:val="28"/>
        </w:rPr>
      </w:pPr>
      <w:r>
        <w:rPr>
          <w:sz w:val="28"/>
          <w:szCs w:val="28"/>
        </w:rPr>
        <w:tab/>
        <w:t>As mentioned in Section IV.B.1.</w:t>
      </w:r>
      <w:r w:rsidR="00664B89">
        <w:rPr>
          <w:sz w:val="28"/>
          <w:szCs w:val="28"/>
        </w:rPr>
        <w:t xml:space="preserve"> above</w:t>
      </w:r>
      <w:r>
        <w:rPr>
          <w:sz w:val="28"/>
          <w:szCs w:val="28"/>
        </w:rPr>
        <w:t xml:space="preserve">, the integrated bar structure also allows lawyer regulation to work closely with programs such as the Fee Arbitration Program, Conservatorship Program, and Client Protection Fund to provide contemporaneous services to clients impacted by lawyer misconduct or incapacity. </w:t>
      </w:r>
    </w:p>
    <w:p w14:paraId="40BE1FA3" w14:textId="17A58FC3" w:rsidR="00266D54" w:rsidRPr="0042772C" w:rsidRDefault="00266D54" w:rsidP="00756F19">
      <w:pPr>
        <w:spacing w:line="480" w:lineRule="auto"/>
        <w:jc w:val="both"/>
        <w:rPr>
          <w:sz w:val="28"/>
          <w:szCs w:val="28"/>
        </w:rPr>
      </w:pPr>
      <w:r>
        <w:rPr>
          <w:sz w:val="28"/>
          <w:szCs w:val="28"/>
        </w:rPr>
        <w:tab/>
      </w:r>
      <w:r w:rsidR="009C0B95">
        <w:rPr>
          <w:sz w:val="28"/>
          <w:szCs w:val="28"/>
        </w:rPr>
        <w:t>W</w:t>
      </w:r>
      <w:r>
        <w:rPr>
          <w:sz w:val="28"/>
          <w:szCs w:val="28"/>
        </w:rPr>
        <w:t>hile lawyer regulation could be moved to the Court through an expansion of the AOC, the State Bar believe</w:t>
      </w:r>
      <w:r w:rsidR="009C0B95">
        <w:rPr>
          <w:sz w:val="28"/>
          <w:szCs w:val="28"/>
        </w:rPr>
        <w:t>s</w:t>
      </w:r>
      <w:r>
        <w:rPr>
          <w:sz w:val="28"/>
          <w:szCs w:val="28"/>
        </w:rPr>
        <w:t xml:space="preserve"> that maintaining lawyer regulation under the current structure </w:t>
      </w:r>
      <w:r w:rsidR="009C0B95">
        <w:rPr>
          <w:sz w:val="28"/>
          <w:szCs w:val="28"/>
        </w:rPr>
        <w:t>better supports</w:t>
      </w:r>
      <w:r>
        <w:rPr>
          <w:sz w:val="28"/>
          <w:szCs w:val="28"/>
        </w:rPr>
        <w:t xml:space="preserve"> lawyers and clients of lawyers involved in disciplinary matters. </w:t>
      </w:r>
    </w:p>
    <w:p w14:paraId="7ABF9015" w14:textId="74C72DCC" w:rsidR="0075614D" w:rsidRPr="0075614D" w:rsidRDefault="0075614D" w:rsidP="0075614D">
      <w:pPr>
        <w:pStyle w:val="Body"/>
        <w:widowControl w:val="0"/>
        <w:numPr>
          <w:ilvl w:val="0"/>
          <w:numId w:val="24"/>
        </w:numPr>
        <w:spacing w:line="480" w:lineRule="auto"/>
        <w:jc w:val="both"/>
        <w:rPr>
          <w:b/>
          <w:bCs/>
          <w:sz w:val="28"/>
          <w:szCs w:val="28"/>
        </w:rPr>
      </w:pPr>
      <w:r>
        <w:rPr>
          <w:b/>
          <w:bCs/>
          <w:sz w:val="28"/>
          <w:szCs w:val="28"/>
        </w:rPr>
        <w:t xml:space="preserve">Practice Area Committees </w:t>
      </w:r>
    </w:p>
    <w:p w14:paraId="69DBD799" w14:textId="4236EAC4" w:rsidR="00441612" w:rsidRDefault="00441612" w:rsidP="00441612">
      <w:pPr>
        <w:pStyle w:val="Body"/>
        <w:widowControl w:val="0"/>
        <w:spacing w:line="480" w:lineRule="auto"/>
        <w:ind w:firstLine="720"/>
        <w:jc w:val="both"/>
        <w:rPr>
          <w:sz w:val="28"/>
          <w:szCs w:val="28"/>
        </w:rPr>
      </w:pPr>
      <w:r>
        <w:rPr>
          <w:sz w:val="28"/>
          <w:szCs w:val="28"/>
        </w:rPr>
        <w:t>State Bar committees and staff play a vital role in helping practitioners and the Court</w:t>
      </w:r>
      <w:r w:rsidR="00F06716">
        <w:rPr>
          <w:sz w:val="28"/>
          <w:szCs w:val="28"/>
        </w:rPr>
        <w:t xml:space="preserve"> update or refine practice rules, changes to the law, and best practices.</w:t>
      </w:r>
      <w:r>
        <w:rPr>
          <w:sz w:val="28"/>
          <w:szCs w:val="28"/>
        </w:rPr>
        <w:t xml:space="preserve"> For example, Arizona Revised Statute § 12-110(A) provides: </w:t>
      </w:r>
    </w:p>
    <w:p w14:paraId="31EAF05C" w14:textId="77777777" w:rsidR="00441612" w:rsidRDefault="00441612" w:rsidP="00441612">
      <w:pPr>
        <w:pStyle w:val="Body"/>
        <w:widowControl w:val="0"/>
        <w:spacing w:line="240" w:lineRule="auto"/>
        <w:ind w:left="720" w:right="720" w:firstLine="0"/>
        <w:jc w:val="both"/>
        <w:rPr>
          <w:sz w:val="28"/>
          <w:szCs w:val="28"/>
        </w:rPr>
      </w:pPr>
      <w:r w:rsidRPr="00E458E0">
        <w:rPr>
          <w:sz w:val="28"/>
          <w:szCs w:val="28"/>
        </w:rPr>
        <w:t xml:space="preserve">The state bar, or a representative group selected by the bar, shall act as an advisory board and shall either voluntarily or upon request of </w:t>
      </w:r>
      <w:proofErr w:type="gramStart"/>
      <w:r w:rsidRPr="00E458E0">
        <w:rPr>
          <w:sz w:val="28"/>
          <w:szCs w:val="28"/>
        </w:rPr>
        <w:t>a majority of</w:t>
      </w:r>
      <w:proofErr w:type="gramEnd"/>
      <w:r w:rsidRPr="00E458E0">
        <w:rPr>
          <w:sz w:val="28"/>
          <w:szCs w:val="28"/>
        </w:rPr>
        <w:t xml:space="preserve"> the judges of the supreme court, consult with, recommend to or advise the court on any matter dealt with or proposed to be dealt with in the rules.</w:t>
      </w:r>
    </w:p>
    <w:p w14:paraId="1D13C2DB" w14:textId="77777777" w:rsidR="00441612" w:rsidRDefault="00441612" w:rsidP="00441612">
      <w:pPr>
        <w:pStyle w:val="Body"/>
        <w:widowControl w:val="0"/>
        <w:spacing w:line="240" w:lineRule="auto"/>
        <w:ind w:left="720" w:right="720" w:firstLine="0"/>
        <w:jc w:val="both"/>
        <w:rPr>
          <w:sz w:val="28"/>
          <w:szCs w:val="28"/>
        </w:rPr>
      </w:pPr>
    </w:p>
    <w:p w14:paraId="1A26FF56" w14:textId="5A705174" w:rsidR="00441612" w:rsidRDefault="00441612" w:rsidP="00441612">
      <w:pPr>
        <w:pStyle w:val="Body"/>
        <w:widowControl w:val="0"/>
        <w:spacing w:line="480" w:lineRule="auto"/>
        <w:ind w:firstLine="0"/>
        <w:jc w:val="both"/>
        <w:rPr>
          <w:sz w:val="28"/>
          <w:szCs w:val="28"/>
        </w:rPr>
      </w:pPr>
      <w:r>
        <w:rPr>
          <w:sz w:val="28"/>
          <w:szCs w:val="28"/>
        </w:rPr>
        <w:tab/>
        <w:t xml:space="preserve">The State Bar’s practice area committees, each year, engage in thoughtful study and discussion of rules related to their respective practice areas. In </w:t>
      </w:r>
      <w:r>
        <w:rPr>
          <w:sz w:val="28"/>
          <w:szCs w:val="28"/>
        </w:rPr>
        <w:lastRenderedPageBreak/>
        <w:t xml:space="preserve">coordination with these standing committees, the State Bar proposes rule changes and comments to rule changes for the Court’s </w:t>
      </w:r>
      <w:proofErr w:type="gramStart"/>
      <w:r>
        <w:rPr>
          <w:sz w:val="28"/>
          <w:szCs w:val="28"/>
        </w:rPr>
        <w:t>consideration</w:t>
      </w:r>
      <w:proofErr w:type="gramEnd"/>
      <w:r w:rsidR="00F06716">
        <w:rPr>
          <w:sz w:val="28"/>
          <w:szCs w:val="28"/>
        </w:rPr>
        <w:t xml:space="preserve"> every rules-cycle</w:t>
      </w:r>
      <w:r>
        <w:rPr>
          <w:sz w:val="28"/>
          <w:szCs w:val="28"/>
        </w:rPr>
        <w:t xml:space="preserve">. </w:t>
      </w:r>
    </w:p>
    <w:p w14:paraId="651E4D6C" w14:textId="4F27ED29" w:rsidR="00441612" w:rsidRDefault="00441612" w:rsidP="00441612">
      <w:pPr>
        <w:pStyle w:val="Body"/>
        <w:widowControl w:val="0"/>
        <w:spacing w:line="480" w:lineRule="auto"/>
        <w:ind w:firstLine="0"/>
        <w:jc w:val="both"/>
        <w:rPr>
          <w:sz w:val="28"/>
          <w:szCs w:val="28"/>
        </w:rPr>
      </w:pPr>
      <w:r>
        <w:rPr>
          <w:sz w:val="28"/>
          <w:szCs w:val="28"/>
        </w:rPr>
        <w:tab/>
        <w:t xml:space="preserve">Additionally, the State Bar also administers both the </w:t>
      </w:r>
      <w:r w:rsidR="000633CB">
        <w:rPr>
          <w:sz w:val="28"/>
          <w:szCs w:val="28"/>
        </w:rPr>
        <w:t>C</w:t>
      </w:r>
      <w:r>
        <w:rPr>
          <w:sz w:val="28"/>
          <w:szCs w:val="28"/>
        </w:rPr>
        <w:t xml:space="preserve">ivil and </w:t>
      </w:r>
      <w:r w:rsidR="000633CB">
        <w:rPr>
          <w:sz w:val="28"/>
          <w:szCs w:val="28"/>
        </w:rPr>
        <w:t>C</w:t>
      </w:r>
      <w:r>
        <w:rPr>
          <w:sz w:val="28"/>
          <w:szCs w:val="28"/>
        </w:rPr>
        <w:t xml:space="preserve">riminal Jury Instructions Committee, which, under established guidelines, update, and revise jury instructions to ensure that such instructions are current, correct, and concise. </w:t>
      </w:r>
    </w:p>
    <w:p w14:paraId="6F8AC12C" w14:textId="49C20E71" w:rsidR="002E19CE" w:rsidRPr="00581D51" w:rsidRDefault="00441612" w:rsidP="0021612D">
      <w:pPr>
        <w:pStyle w:val="Body"/>
        <w:widowControl w:val="0"/>
        <w:spacing w:line="480" w:lineRule="auto"/>
        <w:ind w:firstLine="0"/>
        <w:jc w:val="both"/>
        <w:rPr>
          <w:sz w:val="28"/>
          <w:szCs w:val="28"/>
        </w:rPr>
      </w:pPr>
      <w:r>
        <w:rPr>
          <w:sz w:val="28"/>
          <w:szCs w:val="28"/>
        </w:rPr>
        <w:tab/>
        <w:t>These practice area committees, including the Civil Practice and Procedure, Criminal Practice and Procedure, Family Law Practice and Procedure, and Jury Instruction Committees, provide a tremendous amount of value to practitioners and the bench through their study and work to update and refine the rules and practice procedures. The State Bar, as a member-funded organization, provides th</w:t>
      </w:r>
      <w:r w:rsidR="0004448D">
        <w:rPr>
          <w:sz w:val="28"/>
          <w:szCs w:val="28"/>
        </w:rPr>
        <w:t>is</w:t>
      </w:r>
      <w:r>
        <w:rPr>
          <w:sz w:val="28"/>
          <w:szCs w:val="28"/>
        </w:rPr>
        <w:t xml:space="preserve"> </w:t>
      </w:r>
      <w:r w:rsidR="002E19CE">
        <w:rPr>
          <w:sz w:val="28"/>
          <w:szCs w:val="28"/>
        </w:rPr>
        <w:t>forum and</w:t>
      </w:r>
      <w:r w:rsidR="009E62BE">
        <w:rPr>
          <w:sz w:val="28"/>
          <w:szCs w:val="28"/>
        </w:rPr>
        <w:t xml:space="preserve"> assur</w:t>
      </w:r>
      <w:r w:rsidR="00C6506E">
        <w:rPr>
          <w:sz w:val="28"/>
          <w:szCs w:val="28"/>
        </w:rPr>
        <w:t>es</w:t>
      </w:r>
      <w:r>
        <w:rPr>
          <w:sz w:val="28"/>
          <w:szCs w:val="28"/>
        </w:rPr>
        <w:t xml:space="preserve"> this </w:t>
      </w:r>
      <w:r w:rsidR="009E62BE">
        <w:rPr>
          <w:sz w:val="28"/>
          <w:szCs w:val="28"/>
        </w:rPr>
        <w:t>support to both the Court</w:t>
      </w:r>
      <w:r>
        <w:rPr>
          <w:sz w:val="28"/>
          <w:szCs w:val="28"/>
        </w:rPr>
        <w:t xml:space="preserve"> </w:t>
      </w:r>
      <w:r w:rsidR="009E62BE">
        <w:rPr>
          <w:sz w:val="28"/>
          <w:szCs w:val="28"/>
        </w:rPr>
        <w:t>and practitioners in our state.</w:t>
      </w:r>
    </w:p>
    <w:p w14:paraId="74CBABD8" w14:textId="5704E0A0" w:rsidR="000C48A9" w:rsidRPr="003E2977" w:rsidRDefault="003E2977" w:rsidP="00FC55B8">
      <w:pPr>
        <w:pStyle w:val="Body"/>
        <w:widowControl w:val="0"/>
        <w:spacing w:line="480" w:lineRule="auto"/>
        <w:ind w:firstLine="720"/>
        <w:jc w:val="both"/>
        <w:rPr>
          <w:rStyle w:val="BodyTextChar"/>
          <w:b/>
          <w:sz w:val="28"/>
          <w:szCs w:val="28"/>
          <w:u w:val="single"/>
        </w:rPr>
      </w:pPr>
      <w:r>
        <w:rPr>
          <w:rStyle w:val="BodyTextChar"/>
          <w:b/>
          <w:sz w:val="28"/>
          <w:szCs w:val="28"/>
        </w:rPr>
        <w:t>V.</w:t>
      </w:r>
      <w:r>
        <w:rPr>
          <w:rStyle w:val="BodyTextChar"/>
          <w:b/>
          <w:sz w:val="28"/>
          <w:szCs w:val="28"/>
        </w:rPr>
        <w:tab/>
      </w:r>
      <w:r w:rsidR="007A3F0F" w:rsidRPr="003E2977">
        <w:rPr>
          <w:rStyle w:val="BodyTextChar"/>
          <w:b/>
          <w:sz w:val="28"/>
          <w:szCs w:val="28"/>
          <w:u w:val="single"/>
        </w:rPr>
        <w:t>CONCLUSION</w:t>
      </w:r>
    </w:p>
    <w:p w14:paraId="448C7F78" w14:textId="0CA2247A" w:rsidR="000F7C13" w:rsidRPr="006F63FD" w:rsidRDefault="000C48A9" w:rsidP="00D751F6">
      <w:pPr>
        <w:pStyle w:val="Body"/>
        <w:widowControl w:val="0"/>
        <w:tabs>
          <w:tab w:val="left" w:pos="720"/>
        </w:tabs>
        <w:spacing w:line="480" w:lineRule="auto"/>
        <w:ind w:firstLine="0"/>
        <w:jc w:val="both"/>
        <w:rPr>
          <w:spacing w:val="-3"/>
          <w:sz w:val="28"/>
          <w:szCs w:val="28"/>
        </w:rPr>
      </w:pPr>
      <w:r w:rsidRPr="006F63FD">
        <w:rPr>
          <w:sz w:val="28"/>
          <w:szCs w:val="28"/>
        </w:rPr>
        <w:tab/>
      </w:r>
      <w:r w:rsidR="00B2069C" w:rsidRPr="00B2069C">
        <w:rPr>
          <w:sz w:val="28"/>
          <w:szCs w:val="28"/>
        </w:rPr>
        <w:t>The State Bar agrees with Petitioner</w:t>
      </w:r>
      <w:r w:rsidR="00B2069C">
        <w:rPr>
          <w:sz w:val="28"/>
          <w:szCs w:val="28"/>
        </w:rPr>
        <w:t>s</w:t>
      </w:r>
      <w:r w:rsidR="00B2069C" w:rsidRPr="00B2069C">
        <w:rPr>
          <w:sz w:val="28"/>
          <w:szCs w:val="28"/>
        </w:rPr>
        <w:t xml:space="preserve"> that this Court is the proper forum to decide the mission, structure, and governance of the State Bar. However, the State Bar </w:t>
      </w:r>
      <w:r w:rsidR="00B2069C">
        <w:rPr>
          <w:sz w:val="28"/>
          <w:szCs w:val="28"/>
        </w:rPr>
        <w:t xml:space="preserve">opposes </w:t>
      </w:r>
      <w:r w:rsidR="006A22A5">
        <w:rPr>
          <w:sz w:val="28"/>
          <w:szCs w:val="28"/>
        </w:rPr>
        <w:t>Petitioners’ proposal to drastically reshape the role of the State Bar and the support it provides by delegation to this Court</w:t>
      </w:r>
      <w:r w:rsidR="00B2069C" w:rsidRPr="00B2069C">
        <w:rPr>
          <w:sz w:val="28"/>
          <w:szCs w:val="28"/>
        </w:rPr>
        <w:t xml:space="preserve">.  </w:t>
      </w:r>
      <w:r w:rsidR="003E2977">
        <w:rPr>
          <w:sz w:val="28"/>
          <w:szCs w:val="28"/>
        </w:rPr>
        <w:t xml:space="preserve">The State Bar believes that such a change would be to the detriment of the legal community and the public it serves. </w:t>
      </w:r>
      <w:r w:rsidR="00B2069C" w:rsidRPr="00B2069C">
        <w:rPr>
          <w:sz w:val="28"/>
          <w:szCs w:val="28"/>
        </w:rPr>
        <w:t>For the reasons s</w:t>
      </w:r>
      <w:r w:rsidR="00B2069C">
        <w:rPr>
          <w:sz w:val="28"/>
          <w:szCs w:val="28"/>
        </w:rPr>
        <w:t>et forth</w:t>
      </w:r>
      <w:r w:rsidR="00B2069C" w:rsidRPr="00B2069C">
        <w:rPr>
          <w:sz w:val="28"/>
          <w:szCs w:val="28"/>
        </w:rPr>
        <w:t xml:space="preserve"> in this Comment, the State Ba</w:t>
      </w:r>
      <w:r w:rsidR="00B2069C">
        <w:rPr>
          <w:sz w:val="28"/>
          <w:szCs w:val="28"/>
        </w:rPr>
        <w:t>r</w:t>
      </w:r>
      <w:r w:rsidR="00B2069C" w:rsidRPr="00B2069C">
        <w:rPr>
          <w:sz w:val="28"/>
          <w:szCs w:val="28"/>
        </w:rPr>
        <w:t xml:space="preserve"> respectfully requests that the Court deny</w:t>
      </w:r>
      <w:r w:rsidR="00B2069C">
        <w:rPr>
          <w:sz w:val="28"/>
          <w:szCs w:val="28"/>
        </w:rPr>
        <w:t xml:space="preserve"> the Petition. </w:t>
      </w:r>
    </w:p>
    <w:p w14:paraId="446B636D" w14:textId="46147FDE" w:rsidR="00405DAC" w:rsidRPr="006F63FD" w:rsidRDefault="00405DAC" w:rsidP="00405DAC">
      <w:pPr>
        <w:pStyle w:val="Body"/>
        <w:widowControl w:val="0"/>
        <w:tabs>
          <w:tab w:val="left" w:pos="720"/>
        </w:tabs>
        <w:ind w:firstLine="0"/>
        <w:rPr>
          <w:sz w:val="28"/>
          <w:szCs w:val="28"/>
        </w:rPr>
      </w:pPr>
      <w:r>
        <w:rPr>
          <w:szCs w:val="26"/>
        </w:rPr>
        <w:lastRenderedPageBreak/>
        <w:t xml:space="preserve">       </w:t>
      </w:r>
      <w:r w:rsidR="000633CB">
        <w:rPr>
          <w:szCs w:val="26"/>
        </w:rPr>
        <w:tab/>
      </w:r>
      <w:r w:rsidR="000633CB">
        <w:rPr>
          <w:szCs w:val="26"/>
        </w:rPr>
        <w:tab/>
      </w:r>
      <w:r w:rsidR="000633CB">
        <w:rPr>
          <w:szCs w:val="26"/>
        </w:rPr>
        <w:tab/>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w:t>
      </w:r>
      <w:r w:rsidR="00E318B1">
        <w:rPr>
          <w:sz w:val="28"/>
          <w:szCs w:val="28"/>
        </w:rPr>
        <w:t>5</w:t>
      </w:r>
      <w:r w:rsidRPr="006F63FD">
        <w:rPr>
          <w:sz w:val="28"/>
          <w:szCs w:val="28"/>
        </w:rPr>
        <w:t>.</w:t>
      </w:r>
    </w:p>
    <w:p w14:paraId="66D225AF" w14:textId="77777777" w:rsidR="00405DAC" w:rsidRPr="000F7A7F" w:rsidRDefault="00405DAC" w:rsidP="00405DAC">
      <w:pPr>
        <w:pStyle w:val="Body"/>
        <w:widowControl w:val="0"/>
        <w:tabs>
          <w:tab w:val="left" w:pos="720"/>
        </w:tabs>
        <w:ind w:firstLine="0"/>
        <w:rPr>
          <w:szCs w:val="26"/>
        </w:rPr>
      </w:pPr>
    </w:p>
    <w:p w14:paraId="26FCA9A8" w14:textId="632BD851" w:rsidR="00405DAC" w:rsidRPr="000F7A7F" w:rsidRDefault="00405DAC" w:rsidP="00405DAC">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6A248F4A" wp14:editId="179A03CB">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460547E8" w14:textId="77777777" w:rsidR="00405DAC" w:rsidRPr="006F63FD" w:rsidRDefault="00405DAC" w:rsidP="002E19CE">
      <w:pPr>
        <w:pStyle w:val="PleadingSignature"/>
        <w:keepNext w:val="0"/>
        <w:keepLines w:val="0"/>
        <w:pBdr>
          <w:top w:val="single" w:sz="4" w:space="1" w:color="auto"/>
        </w:pBdr>
        <w:spacing w:line="240" w:lineRule="auto"/>
        <w:ind w:left="4320"/>
        <w:rPr>
          <w:sz w:val="28"/>
          <w:szCs w:val="28"/>
        </w:rPr>
      </w:pPr>
      <w:r>
        <w:rPr>
          <w:sz w:val="28"/>
          <w:szCs w:val="28"/>
        </w:rPr>
        <w:t>Lisa M. Panahi</w:t>
      </w:r>
    </w:p>
    <w:p w14:paraId="53A459C2" w14:textId="0DB77BA7" w:rsidR="00405DAC" w:rsidRDefault="002E19CE" w:rsidP="002E19CE">
      <w:pPr>
        <w:pStyle w:val="PleadingSignature"/>
        <w:keepNext w:val="0"/>
        <w:keepLines w:val="0"/>
        <w:spacing w:line="240" w:lineRule="auto"/>
        <w:ind w:left="3600" w:firstLine="720"/>
        <w:rPr>
          <w:sz w:val="28"/>
          <w:szCs w:val="28"/>
        </w:rPr>
      </w:pPr>
      <w:r>
        <w:rPr>
          <w:sz w:val="28"/>
          <w:szCs w:val="28"/>
        </w:rPr>
        <w:t>FOR THE STATE BAR OF ARIZONA</w:t>
      </w:r>
    </w:p>
    <w:p w14:paraId="100FFBAD" w14:textId="77777777" w:rsidR="002E19CE" w:rsidRPr="006F63FD" w:rsidRDefault="002E19CE" w:rsidP="002E19CE">
      <w:pPr>
        <w:pStyle w:val="PleadingSignature"/>
        <w:keepNext w:val="0"/>
        <w:keepLines w:val="0"/>
        <w:spacing w:line="240" w:lineRule="auto"/>
        <w:ind w:left="3600" w:firstLine="720"/>
        <w:rPr>
          <w:sz w:val="28"/>
          <w:szCs w:val="28"/>
        </w:rPr>
      </w:pPr>
    </w:p>
    <w:p w14:paraId="63145672" w14:textId="77777777" w:rsidR="00405DAC" w:rsidRPr="000F7A7F" w:rsidRDefault="00405DAC" w:rsidP="00405DAC">
      <w:pPr>
        <w:pStyle w:val="PleadingSignature"/>
        <w:keepNext w:val="0"/>
        <w:keepLines w:val="0"/>
        <w:spacing w:line="240" w:lineRule="auto"/>
        <w:ind w:left="5070"/>
        <w:rPr>
          <w:szCs w:val="26"/>
        </w:rPr>
      </w:pPr>
    </w:p>
    <w:p w14:paraId="61F276E2" w14:textId="77777777" w:rsidR="00405DAC" w:rsidRPr="00C52E56" w:rsidRDefault="00405DAC" w:rsidP="00405DAC">
      <w:pPr>
        <w:widowControl w:val="0"/>
        <w:spacing w:line="240" w:lineRule="auto"/>
        <w:ind w:right="4140"/>
        <w:rPr>
          <w:sz w:val="28"/>
          <w:szCs w:val="28"/>
        </w:rPr>
      </w:pPr>
      <w:r w:rsidRPr="00C52E56">
        <w:rPr>
          <w:sz w:val="28"/>
          <w:szCs w:val="28"/>
        </w:rPr>
        <w:t>Electronic copy filed with the</w:t>
      </w:r>
    </w:p>
    <w:p w14:paraId="2DC79C9C" w14:textId="77777777" w:rsidR="00405DAC" w:rsidRPr="00C52E56" w:rsidRDefault="00405DAC" w:rsidP="00405DAC">
      <w:pPr>
        <w:spacing w:line="240" w:lineRule="auto"/>
        <w:ind w:right="4140"/>
        <w:rPr>
          <w:sz w:val="28"/>
          <w:szCs w:val="28"/>
        </w:rPr>
      </w:pPr>
      <w:r w:rsidRPr="00C52E56">
        <w:rPr>
          <w:sz w:val="28"/>
          <w:szCs w:val="28"/>
        </w:rPr>
        <w:t xml:space="preserve">Clerk of the </w:t>
      </w:r>
      <w:r>
        <w:rPr>
          <w:sz w:val="28"/>
          <w:szCs w:val="28"/>
        </w:rPr>
        <w:t>Supreme Court of Arizona</w:t>
      </w:r>
    </w:p>
    <w:p w14:paraId="5DCFE4B6" w14:textId="39AFEF84" w:rsidR="00405DAC" w:rsidRPr="00C52E56" w:rsidRDefault="00405DAC" w:rsidP="00405DAC">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w:t>
      </w:r>
      <w:r w:rsidR="00E318B1">
        <w:rPr>
          <w:sz w:val="28"/>
          <w:szCs w:val="28"/>
        </w:rPr>
        <w:t>5</w:t>
      </w:r>
      <w:r w:rsidRPr="00C52E56">
        <w:rPr>
          <w:sz w:val="28"/>
          <w:szCs w:val="28"/>
        </w:rPr>
        <w:t>.</w:t>
      </w:r>
    </w:p>
    <w:p w14:paraId="0B86045E" w14:textId="77777777" w:rsidR="00405DAC" w:rsidRPr="00C52E56" w:rsidRDefault="00405DAC" w:rsidP="00405DAC">
      <w:pPr>
        <w:spacing w:line="240" w:lineRule="auto"/>
        <w:ind w:right="4572"/>
        <w:rPr>
          <w:sz w:val="28"/>
          <w:szCs w:val="28"/>
        </w:rPr>
      </w:pPr>
    </w:p>
    <w:p w14:paraId="4A07E8A6" w14:textId="2D366F38" w:rsidR="00052372" w:rsidRPr="00405DAC" w:rsidRDefault="00405DAC" w:rsidP="00405DAC">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sectPr w:rsidR="00052372" w:rsidRPr="00405DAC" w:rsidSect="002E19CE">
      <w:headerReference w:type="even" r:id="rId9"/>
      <w:headerReference w:type="default" r:id="rId10"/>
      <w:footerReference w:type="even" r:id="rId11"/>
      <w:footerReference w:type="default" r:id="rId12"/>
      <w:headerReference w:type="first" r:id="rId13"/>
      <w:footerReference w:type="first" r:id="rId14"/>
      <w:pgSz w:w="12240" w:h="15840" w:code="1"/>
      <w:pgMar w:top="0" w:right="1440" w:bottom="171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20FA" w14:textId="77777777" w:rsidR="0075259A" w:rsidRDefault="0075259A">
      <w:r>
        <w:separator/>
      </w:r>
    </w:p>
  </w:endnote>
  <w:endnote w:type="continuationSeparator" w:id="0">
    <w:p w14:paraId="0441AF4F" w14:textId="77777777" w:rsidR="0075259A" w:rsidRDefault="0075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094" w14:textId="77777777" w:rsidR="00A32600" w:rsidRDefault="00A3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C045" w14:textId="77777777" w:rsidR="0075259A" w:rsidRDefault="0075259A">
      <w:r>
        <w:separator/>
      </w:r>
    </w:p>
  </w:footnote>
  <w:footnote w:type="continuationSeparator" w:id="0">
    <w:p w14:paraId="284CF9BE" w14:textId="77777777" w:rsidR="0075259A" w:rsidRDefault="0075259A">
      <w:r>
        <w:continuationSeparator/>
      </w:r>
    </w:p>
  </w:footnote>
  <w:footnote w:id="1">
    <w:p w14:paraId="2116E4ED" w14:textId="3A079938" w:rsidR="00E6416C" w:rsidRPr="002E19CE" w:rsidRDefault="00E6416C" w:rsidP="002E19CE">
      <w:pPr>
        <w:pStyle w:val="FootnoteText"/>
        <w:jc w:val="both"/>
        <w:rPr>
          <w:sz w:val="28"/>
          <w:szCs w:val="28"/>
        </w:rPr>
      </w:pPr>
      <w:r w:rsidRPr="002E19CE">
        <w:rPr>
          <w:rStyle w:val="FootnoteReference"/>
          <w:sz w:val="28"/>
          <w:szCs w:val="28"/>
        </w:rPr>
        <w:footnoteRef/>
      </w:r>
      <w:r w:rsidRPr="002E19CE">
        <w:rPr>
          <w:sz w:val="28"/>
          <w:szCs w:val="28"/>
        </w:rPr>
        <w:t xml:space="preserve"> </w:t>
      </w:r>
      <w:r w:rsidR="00EA6DC8" w:rsidRPr="002E19CE">
        <w:rPr>
          <w:sz w:val="28"/>
          <w:szCs w:val="28"/>
        </w:rPr>
        <w:t xml:space="preserve">The Petition incorrectly states that this Court amended Rule 32(c)(9) to prohibit the State Bar from engaging in lobbying activities. </w:t>
      </w:r>
      <w:r w:rsidR="00EA6DC8" w:rsidRPr="002E19CE">
        <w:rPr>
          <w:i/>
          <w:iCs/>
          <w:sz w:val="28"/>
          <w:szCs w:val="28"/>
        </w:rPr>
        <w:t>See</w:t>
      </w:r>
      <w:r w:rsidR="00EA6DC8" w:rsidRPr="002E19CE">
        <w:rPr>
          <w:sz w:val="28"/>
          <w:szCs w:val="28"/>
        </w:rPr>
        <w:t xml:space="preserve"> Fn. 1 of Pet. Instead, this Court amended Rule 32(c)(9) to clarify that all State Bar activities must comply with </w:t>
      </w:r>
      <w:r w:rsidR="00EA6DC8" w:rsidRPr="002E19CE">
        <w:rPr>
          <w:i/>
          <w:iCs/>
          <w:sz w:val="28"/>
          <w:szCs w:val="28"/>
        </w:rPr>
        <w:t>Keller</w:t>
      </w:r>
      <w:r w:rsidR="004142A9" w:rsidRPr="002E19CE">
        <w:rPr>
          <w:sz w:val="28"/>
          <w:szCs w:val="28"/>
        </w:rPr>
        <w:t xml:space="preserve">, not just lobbying activities. </w:t>
      </w:r>
    </w:p>
  </w:footnote>
  <w:footnote w:id="2">
    <w:p w14:paraId="05734EAF" w14:textId="10695D76" w:rsidR="002F17D8" w:rsidRPr="002E19CE" w:rsidRDefault="00704134" w:rsidP="002E19CE">
      <w:pPr>
        <w:pStyle w:val="FootnoteText"/>
        <w:jc w:val="both"/>
        <w:rPr>
          <w:sz w:val="28"/>
          <w:szCs w:val="28"/>
        </w:rPr>
      </w:pPr>
      <w:r w:rsidRPr="002E19CE">
        <w:rPr>
          <w:rStyle w:val="FootnoteReference"/>
          <w:sz w:val="28"/>
          <w:szCs w:val="28"/>
        </w:rPr>
        <w:footnoteRef/>
      </w:r>
      <w:r w:rsidRPr="002E19CE">
        <w:rPr>
          <w:sz w:val="28"/>
          <w:szCs w:val="28"/>
        </w:rPr>
        <w:t xml:space="preserve"> </w:t>
      </w:r>
      <w:r w:rsidR="002F17D8" w:rsidRPr="002E19CE">
        <w:rPr>
          <w:sz w:val="28"/>
          <w:szCs w:val="28"/>
        </w:rPr>
        <w:t xml:space="preserve">The United States Supreme Court has rejected petitions for certiorari seeking to review and overturn </w:t>
      </w:r>
      <w:r w:rsidR="002F17D8" w:rsidRPr="002E19CE">
        <w:rPr>
          <w:i/>
          <w:iCs/>
          <w:sz w:val="28"/>
          <w:szCs w:val="28"/>
        </w:rPr>
        <w:t>Keller</w:t>
      </w:r>
      <w:r w:rsidR="002F17D8" w:rsidRPr="002E19CE">
        <w:rPr>
          <w:sz w:val="28"/>
          <w:szCs w:val="28"/>
        </w:rPr>
        <w:t xml:space="preserve"> </w:t>
      </w:r>
      <w:r w:rsidR="000633CB">
        <w:rPr>
          <w:sz w:val="28"/>
          <w:szCs w:val="28"/>
        </w:rPr>
        <w:t>seven</w:t>
      </w:r>
      <w:r w:rsidR="002F17D8" w:rsidRPr="002E19CE">
        <w:rPr>
          <w:sz w:val="28"/>
          <w:szCs w:val="28"/>
        </w:rPr>
        <w:t xml:space="preserve"> times in the last five years. </w:t>
      </w:r>
      <w:r w:rsidR="002F17D8" w:rsidRPr="002E19CE">
        <w:rPr>
          <w:i/>
          <w:iCs/>
          <w:sz w:val="28"/>
          <w:szCs w:val="28"/>
        </w:rPr>
        <w:t>See Fleck v. Wetch</w:t>
      </w:r>
      <w:r w:rsidR="002F17D8" w:rsidRPr="002E19CE">
        <w:rPr>
          <w:sz w:val="28"/>
          <w:szCs w:val="28"/>
        </w:rPr>
        <w:t>, 140 S.</w:t>
      </w:r>
      <w:r w:rsidR="000633CB">
        <w:rPr>
          <w:sz w:val="28"/>
          <w:szCs w:val="28"/>
        </w:rPr>
        <w:t xml:space="preserve"> </w:t>
      </w:r>
      <w:r w:rsidR="002F17D8" w:rsidRPr="002E19CE">
        <w:rPr>
          <w:sz w:val="28"/>
          <w:szCs w:val="28"/>
        </w:rPr>
        <w:t xml:space="preserve">Ct. 1294 (2020); </w:t>
      </w:r>
      <w:bookmarkStart w:id="2" w:name="_Hlk158128481"/>
      <w:r w:rsidR="002F17D8" w:rsidRPr="002E19CE">
        <w:rPr>
          <w:i/>
          <w:iCs/>
          <w:sz w:val="28"/>
          <w:szCs w:val="28"/>
        </w:rPr>
        <w:t>Gruber v. Oregon State Bar</w:t>
      </w:r>
      <w:r w:rsidR="002F17D8" w:rsidRPr="002E19CE">
        <w:rPr>
          <w:sz w:val="28"/>
          <w:szCs w:val="28"/>
        </w:rPr>
        <w:t>, 142 S.</w:t>
      </w:r>
      <w:r w:rsidR="000633CB">
        <w:rPr>
          <w:sz w:val="28"/>
          <w:szCs w:val="28"/>
        </w:rPr>
        <w:t xml:space="preserve"> </w:t>
      </w:r>
      <w:r w:rsidR="002F17D8" w:rsidRPr="002E19CE">
        <w:rPr>
          <w:sz w:val="28"/>
          <w:szCs w:val="28"/>
        </w:rPr>
        <w:t>Ct. 78</w:t>
      </w:r>
      <w:bookmarkEnd w:id="2"/>
      <w:r w:rsidR="002F17D8" w:rsidRPr="002E19CE">
        <w:rPr>
          <w:sz w:val="28"/>
          <w:szCs w:val="28"/>
        </w:rPr>
        <w:t xml:space="preserve"> (2021); </w:t>
      </w:r>
      <w:bookmarkStart w:id="3" w:name="_Hlk157687416"/>
      <w:r w:rsidR="002F17D8" w:rsidRPr="002E19CE">
        <w:rPr>
          <w:i/>
          <w:iCs/>
          <w:sz w:val="28"/>
          <w:szCs w:val="28"/>
        </w:rPr>
        <w:t>Crowe v. Oregon State Bar</w:t>
      </w:r>
      <w:r w:rsidR="002F17D8" w:rsidRPr="002E19CE">
        <w:rPr>
          <w:sz w:val="28"/>
          <w:szCs w:val="28"/>
        </w:rPr>
        <w:t>, 142 S.</w:t>
      </w:r>
      <w:r w:rsidR="000633CB">
        <w:rPr>
          <w:sz w:val="28"/>
          <w:szCs w:val="28"/>
        </w:rPr>
        <w:t xml:space="preserve"> </w:t>
      </w:r>
      <w:r w:rsidR="002F17D8" w:rsidRPr="002E19CE">
        <w:rPr>
          <w:sz w:val="28"/>
          <w:szCs w:val="28"/>
        </w:rPr>
        <w:t xml:space="preserve">Ct. 79 (2021); </w:t>
      </w:r>
      <w:r w:rsidR="002F17D8" w:rsidRPr="002E19CE">
        <w:rPr>
          <w:i/>
          <w:iCs/>
          <w:sz w:val="28"/>
          <w:szCs w:val="28"/>
        </w:rPr>
        <w:t>Schell v. Darby</w:t>
      </w:r>
      <w:r w:rsidR="002F17D8" w:rsidRPr="002E19CE">
        <w:rPr>
          <w:sz w:val="28"/>
          <w:szCs w:val="28"/>
        </w:rPr>
        <w:t xml:space="preserve">, 142 S. Ct. 1440 (2022); </w:t>
      </w:r>
      <w:r w:rsidR="002F17D8" w:rsidRPr="002E19CE">
        <w:rPr>
          <w:i/>
          <w:iCs/>
          <w:sz w:val="28"/>
          <w:szCs w:val="28"/>
        </w:rPr>
        <w:t>McDonald v. Firth</w:t>
      </w:r>
      <w:r w:rsidR="002F17D8" w:rsidRPr="002E19CE">
        <w:rPr>
          <w:sz w:val="28"/>
          <w:szCs w:val="28"/>
        </w:rPr>
        <w:t xml:space="preserve">, 142 S. Ct. 1442 (2022); </w:t>
      </w:r>
      <w:r w:rsidR="002F17D8" w:rsidRPr="002E19CE">
        <w:rPr>
          <w:i/>
          <w:iCs/>
          <w:sz w:val="28"/>
          <w:szCs w:val="28"/>
        </w:rPr>
        <w:t>Taylor v. Heath</w:t>
      </w:r>
      <w:r w:rsidR="002F17D8" w:rsidRPr="002E19CE">
        <w:rPr>
          <w:sz w:val="28"/>
          <w:szCs w:val="28"/>
        </w:rPr>
        <w:t>, 142 S.</w:t>
      </w:r>
      <w:r w:rsidR="000633CB">
        <w:rPr>
          <w:sz w:val="28"/>
          <w:szCs w:val="28"/>
        </w:rPr>
        <w:t xml:space="preserve"> </w:t>
      </w:r>
      <w:r w:rsidR="002F17D8" w:rsidRPr="002E19CE">
        <w:rPr>
          <w:sz w:val="28"/>
          <w:szCs w:val="28"/>
        </w:rPr>
        <w:t xml:space="preserve">Ct. 1441 (2022); and </w:t>
      </w:r>
      <w:r w:rsidR="002F17D8" w:rsidRPr="002E19CE">
        <w:rPr>
          <w:i/>
          <w:iCs/>
          <w:sz w:val="28"/>
          <w:szCs w:val="28"/>
        </w:rPr>
        <w:t>File v. Hickey</w:t>
      </w:r>
      <w:r w:rsidR="002F17D8" w:rsidRPr="002E19CE">
        <w:rPr>
          <w:sz w:val="28"/>
          <w:szCs w:val="28"/>
        </w:rPr>
        <w:t xml:space="preserve">, 143 S. Ct. 745 (2023).  </w:t>
      </w:r>
      <w:bookmarkEnd w:id="3"/>
    </w:p>
    <w:p w14:paraId="43CB26AB" w14:textId="339E42E7" w:rsidR="00704134" w:rsidRDefault="007041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573C" w14:textId="77777777" w:rsidR="00A32600" w:rsidRDefault="00A32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544A88D9" w:rsidR="007870CB" w:rsidRDefault="000C48A9">
    <w:pPr>
      <w:pStyle w:val="Header"/>
    </w:pPr>
    <w:r>
      <w:rPr>
        <w:noProof/>
      </w:rPr>
      <mc:AlternateContent>
        <mc:Choice Requires="wps">
          <w:drawing>
            <wp:anchor distT="0" distB="0" distL="114300" distR="114300" simplePos="0" relativeHeight="251657728"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BB21"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8A2D3"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1ACC"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8752"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C905" w14:textId="77777777" w:rsidR="00A32600" w:rsidRDefault="00A32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BB9"/>
    <w:multiLevelType w:val="hybridMultilevel"/>
    <w:tmpl w:val="3CFAA69E"/>
    <w:lvl w:ilvl="0" w:tplc="A1DA9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A0145"/>
    <w:multiLevelType w:val="hybridMultilevel"/>
    <w:tmpl w:val="A23658D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 w15:restartNumberingAfterBreak="0">
    <w:nsid w:val="1D0739E2"/>
    <w:multiLevelType w:val="hybridMultilevel"/>
    <w:tmpl w:val="FAA4E898"/>
    <w:lvl w:ilvl="0" w:tplc="57409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49488F"/>
    <w:multiLevelType w:val="hybridMultilevel"/>
    <w:tmpl w:val="2ABCF94A"/>
    <w:lvl w:ilvl="0" w:tplc="481A81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25555"/>
    <w:multiLevelType w:val="hybridMultilevel"/>
    <w:tmpl w:val="33F823A2"/>
    <w:lvl w:ilvl="0" w:tplc="7D547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873288"/>
    <w:multiLevelType w:val="hybridMultilevel"/>
    <w:tmpl w:val="B604575E"/>
    <w:lvl w:ilvl="0" w:tplc="7D525A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F666AC"/>
    <w:multiLevelType w:val="hybridMultilevel"/>
    <w:tmpl w:val="81AE5260"/>
    <w:lvl w:ilvl="0" w:tplc="D0607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B169A"/>
    <w:multiLevelType w:val="hybridMultilevel"/>
    <w:tmpl w:val="0B2E4766"/>
    <w:lvl w:ilvl="0" w:tplc="213E94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B8F259B"/>
    <w:multiLevelType w:val="hybridMultilevel"/>
    <w:tmpl w:val="43E4E84E"/>
    <w:lvl w:ilvl="0" w:tplc="91225D9E">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581BB4"/>
    <w:multiLevelType w:val="hybridMultilevel"/>
    <w:tmpl w:val="1A707EBE"/>
    <w:lvl w:ilvl="0" w:tplc="FFFFFFFF">
      <w:start w:val="1"/>
      <w:numFmt w:val="upperLetter"/>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EF26740"/>
    <w:multiLevelType w:val="hybridMultilevel"/>
    <w:tmpl w:val="8B662D98"/>
    <w:lvl w:ilvl="0" w:tplc="ADE6DA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6656467">
    <w:abstractNumId w:val="19"/>
  </w:num>
  <w:num w:numId="2" w16cid:durableId="1154566703">
    <w:abstractNumId w:val="20"/>
  </w:num>
  <w:num w:numId="3" w16cid:durableId="1647197062">
    <w:abstractNumId w:val="1"/>
  </w:num>
  <w:num w:numId="4" w16cid:durableId="638387173">
    <w:abstractNumId w:val="7"/>
  </w:num>
  <w:num w:numId="5" w16cid:durableId="1253079668">
    <w:abstractNumId w:val="13"/>
  </w:num>
  <w:num w:numId="6" w16cid:durableId="1037390029">
    <w:abstractNumId w:val="14"/>
  </w:num>
  <w:num w:numId="7" w16cid:durableId="573585453">
    <w:abstractNumId w:val="2"/>
  </w:num>
  <w:num w:numId="8" w16cid:durableId="254411661">
    <w:abstractNumId w:val="24"/>
  </w:num>
  <w:num w:numId="9" w16cid:durableId="1559709547">
    <w:abstractNumId w:val="15"/>
  </w:num>
  <w:num w:numId="10" w16cid:durableId="103119457">
    <w:abstractNumId w:val="18"/>
  </w:num>
  <w:num w:numId="11" w16cid:durableId="963199198">
    <w:abstractNumId w:val="17"/>
  </w:num>
  <w:num w:numId="12" w16cid:durableId="862018039">
    <w:abstractNumId w:val="9"/>
  </w:num>
  <w:num w:numId="13" w16cid:durableId="352654520">
    <w:abstractNumId w:val="5"/>
  </w:num>
  <w:num w:numId="14" w16cid:durableId="306208326">
    <w:abstractNumId w:val="6"/>
  </w:num>
  <w:num w:numId="15" w16cid:durableId="587884520">
    <w:abstractNumId w:val="23"/>
  </w:num>
  <w:num w:numId="16" w16cid:durableId="1374693107">
    <w:abstractNumId w:val="3"/>
  </w:num>
  <w:num w:numId="17" w16cid:durableId="2113210064">
    <w:abstractNumId w:val="21"/>
  </w:num>
  <w:num w:numId="18" w16cid:durableId="633488289">
    <w:abstractNumId w:val="8"/>
  </w:num>
  <w:num w:numId="19" w16cid:durableId="2008560377">
    <w:abstractNumId w:val="0"/>
  </w:num>
  <w:num w:numId="20" w16cid:durableId="250554111">
    <w:abstractNumId w:val="22"/>
  </w:num>
  <w:num w:numId="21" w16cid:durableId="474418667">
    <w:abstractNumId w:val="16"/>
  </w:num>
  <w:num w:numId="22" w16cid:durableId="776602654">
    <w:abstractNumId w:val="4"/>
  </w:num>
  <w:num w:numId="23" w16cid:durableId="1843080986">
    <w:abstractNumId w:val="10"/>
  </w:num>
  <w:num w:numId="24" w16cid:durableId="361712727">
    <w:abstractNumId w:val="12"/>
  </w:num>
  <w:num w:numId="25" w16cid:durableId="1501315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yN7EwMTMxtzQzNjdS0lEKTi0uzszPAykwrAUA5B+lQywAAAA="/>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30BB"/>
    <w:rsid w:val="00005901"/>
    <w:rsid w:val="00012862"/>
    <w:rsid w:val="000248E4"/>
    <w:rsid w:val="00026B5C"/>
    <w:rsid w:val="000410B3"/>
    <w:rsid w:val="00043D4D"/>
    <w:rsid w:val="0004448D"/>
    <w:rsid w:val="0005086B"/>
    <w:rsid w:val="00052372"/>
    <w:rsid w:val="000633CB"/>
    <w:rsid w:val="00065152"/>
    <w:rsid w:val="000666D1"/>
    <w:rsid w:val="00071755"/>
    <w:rsid w:val="000722C9"/>
    <w:rsid w:val="0008003D"/>
    <w:rsid w:val="000917C0"/>
    <w:rsid w:val="000A1D6B"/>
    <w:rsid w:val="000B22CB"/>
    <w:rsid w:val="000B356F"/>
    <w:rsid w:val="000B5C1E"/>
    <w:rsid w:val="000C48A9"/>
    <w:rsid w:val="000C4CB3"/>
    <w:rsid w:val="000C77BA"/>
    <w:rsid w:val="000D667B"/>
    <w:rsid w:val="000E1232"/>
    <w:rsid w:val="000F3CBD"/>
    <w:rsid w:val="000F7A7F"/>
    <w:rsid w:val="000F7C13"/>
    <w:rsid w:val="0010221E"/>
    <w:rsid w:val="00114515"/>
    <w:rsid w:val="001236C8"/>
    <w:rsid w:val="00123D22"/>
    <w:rsid w:val="001257BC"/>
    <w:rsid w:val="00126654"/>
    <w:rsid w:val="00134D43"/>
    <w:rsid w:val="00135326"/>
    <w:rsid w:val="00140034"/>
    <w:rsid w:val="0015487E"/>
    <w:rsid w:val="00155B7E"/>
    <w:rsid w:val="001579AD"/>
    <w:rsid w:val="00197FF2"/>
    <w:rsid w:val="001A2520"/>
    <w:rsid w:val="001A358A"/>
    <w:rsid w:val="001A3D47"/>
    <w:rsid w:val="001B260F"/>
    <w:rsid w:val="001B7C1A"/>
    <w:rsid w:val="001C13F4"/>
    <w:rsid w:val="001C1E72"/>
    <w:rsid w:val="001C69D5"/>
    <w:rsid w:val="001E6FBA"/>
    <w:rsid w:val="001F591C"/>
    <w:rsid w:val="00200484"/>
    <w:rsid w:val="002020DD"/>
    <w:rsid w:val="00207336"/>
    <w:rsid w:val="0021314B"/>
    <w:rsid w:val="0021612D"/>
    <w:rsid w:val="002300D2"/>
    <w:rsid w:val="00233D54"/>
    <w:rsid w:val="00245A64"/>
    <w:rsid w:val="002471B9"/>
    <w:rsid w:val="002572CC"/>
    <w:rsid w:val="00264F0B"/>
    <w:rsid w:val="00266D54"/>
    <w:rsid w:val="00270DA6"/>
    <w:rsid w:val="002740E5"/>
    <w:rsid w:val="00274D6A"/>
    <w:rsid w:val="00287F0B"/>
    <w:rsid w:val="00290D5E"/>
    <w:rsid w:val="002A29F1"/>
    <w:rsid w:val="002A3853"/>
    <w:rsid w:val="002A4DC7"/>
    <w:rsid w:val="002B0F07"/>
    <w:rsid w:val="002C2870"/>
    <w:rsid w:val="002C39A7"/>
    <w:rsid w:val="002D4D2D"/>
    <w:rsid w:val="002E19CE"/>
    <w:rsid w:val="002F17D8"/>
    <w:rsid w:val="00314320"/>
    <w:rsid w:val="0033407F"/>
    <w:rsid w:val="00334284"/>
    <w:rsid w:val="00334B42"/>
    <w:rsid w:val="003403FF"/>
    <w:rsid w:val="00341114"/>
    <w:rsid w:val="0034222E"/>
    <w:rsid w:val="0034222F"/>
    <w:rsid w:val="00352347"/>
    <w:rsid w:val="00354E2A"/>
    <w:rsid w:val="003566D6"/>
    <w:rsid w:val="00357F4D"/>
    <w:rsid w:val="003617D1"/>
    <w:rsid w:val="00365D40"/>
    <w:rsid w:val="00374F2A"/>
    <w:rsid w:val="003763E1"/>
    <w:rsid w:val="00377199"/>
    <w:rsid w:val="00384493"/>
    <w:rsid w:val="0038499B"/>
    <w:rsid w:val="003A1415"/>
    <w:rsid w:val="003A28AC"/>
    <w:rsid w:val="003A39C9"/>
    <w:rsid w:val="003A3B62"/>
    <w:rsid w:val="003C18E9"/>
    <w:rsid w:val="003D0E77"/>
    <w:rsid w:val="003D0ECA"/>
    <w:rsid w:val="003D30F4"/>
    <w:rsid w:val="003D4772"/>
    <w:rsid w:val="003D622D"/>
    <w:rsid w:val="003E2977"/>
    <w:rsid w:val="003F4F00"/>
    <w:rsid w:val="003F6406"/>
    <w:rsid w:val="00400ACD"/>
    <w:rsid w:val="00405DAC"/>
    <w:rsid w:val="0040647A"/>
    <w:rsid w:val="00407E2D"/>
    <w:rsid w:val="004142A9"/>
    <w:rsid w:val="0042411E"/>
    <w:rsid w:val="0042772C"/>
    <w:rsid w:val="004331B2"/>
    <w:rsid w:val="00440E4C"/>
    <w:rsid w:val="00441209"/>
    <w:rsid w:val="0044124D"/>
    <w:rsid w:val="00441612"/>
    <w:rsid w:val="00463734"/>
    <w:rsid w:val="00480B8C"/>
    <w:rsid w:val="00494BDF"/>
    <w:rsid w:val="004A4323"/>
    <w:rsid w:val="004B05DC"/>
    <w:rsid w:val="004C3AE3"/>
    <w:rsid w:val="004D3F0D"/>
    <w:rsid w:val="004E5467"/>
    <w:rsid w:val="004E55EA"/>
    <w:rsid w:val="004F49CF"/>
    <w:rsid w:val="00500AEB"/>
    <w:rsid w:val="00504E1E"/>
    <w:rsid w:val="00506859"/>
    <w:rsid w:val="00506FFD"/>
    <w:rsid w:val="0052068B"/>
    <w:rsid w:val="00520F93"/>
    <w:rsid w:val="00531268"/>
    <w:rsid w:val="00537B78"/>
    <w:rsid w:val="00542E7C"/>
    <w:rsid w:val="0055039A"/>
    <w:rsid w:val="00562A4B"/>
    <w:rsid w:val="005652A5"/>
    <w:rsid w:val="00566856"/>
    <w:rsid w:val="00581D51"/>
    <w:rsid w:val="005845AE"/>
    <w:rsid w:val="00595E68"/>
    <w:rsid w:val="005A1A83"/>
    <w:rsid w:val="005A21B0"/>
    <w:rsid w:val="005A4E2B"/>
    <w:rsid w:val="005B1FFB"/>
    <w:rsid w:val="005B3F13"/>
    <w:rsid w:val="005B5161"/>
    <w:rsid w:val="005C3B86"/>
    <w:rsid w:val="005D6AD4"/>
    <w:rsid w:val="005F18B7"/>
    <w:rsid w:val="005F5133"/>
    <w:rsid w:val="00606B1B"/>
    <w:rsid w:val="006246A1"/>
    <w:rsid w:val="00627482"/>
    <w:rsid w:val="006332C0"/>
    <w:rsid w:val="006338C1"/>
    <w:rsid w:val="00633E9C"/>
    <w:rsid w:val="006340D8"/>
    <w:rsid w:val="00636F5E"/>
    <w:rsid w:val="006410D8"/>
    <w:rsid w:val="006421AC"/>
    <w:rsid w:val="006441A9"/>
    <w:rsid w:val="00650E98"/>
    <w:rsid w:val="00664B89"/>
    <w:rsid w:val="00665CCF"/>
    <w:rsid w:val="006666D1"/>
    <w:rsid w:val="006721EC"/>
    <w:rsid w:val="00676312"/>
    <w:rsid w:val="006766BF"/>
    <w:rsid w:val="00677623"/>
    <w:rsid w:val="006824D9"/>
    <w:rsid w:val="00692391"/>
    <w:rsid w:val="006932BA"/>
    <w:rsid w:val="00694A31"/>
    <w:rsid w:val="0069761C"/>
    <w:rsid w:val="006A22A5"/>
    <w:rsid w:val="006B4F9A"/>
    <w:rsid w:val="006C4918"/>
    <w:rsid w:val="006E4770"/>
    <w:rsid w:val="006F63FD"/>
    <w:rsid w:val="00704134"/>
    <w:rsid w:val="007114A1"/>
    <w:rsid w:val="00713764"/>
    <w:rsid w:val="00723E7D"/>
    <w:rsid w:val="00726C30"/>
    <w:rsid w:val="00731F04"/>
    <w:rsid w:val="00732169"/>
    <w:rsid w:val="00732AEF"/>
    <w:rsid w:val="00735659"/>
    <w:rsid w:val="00737EC2"/>
    <w:rsid w:val="007427C6"/>
    <w:rsid w:val="0075259A"/>
    <w:rsid w:val="0075614D"/>
    <w:rsid w:val="00756F19"/>
    <w:rsid w:val="00761333"/>
    <w:rsid w:val="00770082"/>
    <w:rsid w:val="0077110E"/>
    <w:rsid w:val="007870CB"/>
    <w:rsid w:val="007A033C"/>
    <w:rsid w:val="007A3F0F"/>
    <w:rsid w:val="007A4F4F"/>
    <w:rsid w:val="007B2B70"/>
    <w:rsid w:val="007C47E9"/>
    <w:rsid w:val="007C65CA"/>
    <w:rsid w:val="007D4D5F"/>
    <w:rsid w:val="007D5C49"/>
    <w:rsid w:val="007D73FF"/>
    <w:rsid w:val="007E0621"/>
    <w:rsid w:val="007E2440"/>
    <w:rsid w:val="007E297B"/>
    <w:rsid w:val="007E3CCB"/>
    <w:rsid w:val="007F5D94"/>
    <w:rsid w:val="007F77FB"/>
    <w:rsid w:val="008006ED"/>
    <w:rsid w:val="0081005F"/>
    <w:rsid w:val="00817985"/>
    <w:rsid w:val="00822598"/>
    <w:rsid w:val="008237E3"/>
    <w:rsid w:val="008360A1"/>
    <w:rsid w:val="008363E5"/>
    <w:rsid w:val="00844C2F"/>
    <w:rsid w:val="008450C7"/>
    <w:rsid w:val="008460CC"/>
    <w:rsid w:val="00861563"/>
    <w:rsid w:val="00871A75"/>
    <w:rsid w:val="00871AAA"/>
    <w:rsid w:val="00876F57"/>
    <w:rsid w:val="0088378F"/>
    <w:rsid w:val="0089009C"/>
    <w:rsid w:val="00891AAA"/>
    <w:rsid w:val="00894792"/>
    <w:rsid w:val="008A4EB3"/>
    <w:rsid w:val="008B265A"/>
    <w:rsid w:val="008C32DC"/>
    <w:rsid w:val="008D6C97"/>
    <w:rsid w:val="008E1A35"/>
    <w:rsid w:val="00933EA1"/>
    <w:rsid w:val="009427EE"/>
    <w:rsid w:val="00942F7C"/>
    <w:rsid w:val="00944EA4"/>
    <w:rsid w:val="00951416"/>
    <w:rsid w:val="00953E10"/>
    <w:rsid w:val="00954A5E"/>
    <w:rsid w:val="00960D21"/>
    <w:rsid w:val="00981D29"/>
    <w:rsid w:val="00981E11"/>
    <w:rsid w:val="0099473F"/>
    <w:rsid w:val="0099570D"/>
    <w:rsid w:val="009A2484"/>
    <w:rsid w:val="009B0910"/>
    <w:rsid w:val="009B26E6"/>
    <w:rsid w:val="009B5A08"/>
    <w:rsid w:val="009C0B95"/>
    <w:rsid w:val="009C33E3"/>
    <w:rsid w:val="009E62BE"/>
    <w:rsid w:val="009F0179"/>
    <w:rsid w:val="009F121F"/>
    <w:rsid w:val="009F3703"/>
    <w:rsid w:val="00A01DFD"/>
    <w:rsid w:val="00A06E5E"/>
    <w:rsid w:val="00A115E9"/>
    <w:rsid w:val="00A1564B"/>
    <w:rsid w:val="00A22F33"/>
    <w:rsid w:val="00A27EEB"/>
    <w:rsid w:val="00A32600"/>
    <w:rsid w:val="00A36348"/>
    <w:rsid w:val="00A418F4"/>
    <w:rsid w:val="00A4249C"/>
    <w:rsid w:val="00A5194F"/>
    <w:rsid w:val="00A60984"/>
    <w:rsid w:val="00A732AB"/>
    <w:rsid w:val="00A8063B"/>
    <w:rsid w:val="00A80D63"/>
    <w:rsid w:val="00A871D6"/>
    <w:rsid w:val="00A93A7C"/>
    <w:rsid w:val="00A9576F"/>
    <w:rsid w:val="00A976E5"/>
    <w:rsid w:val="00AB0AA9"/>
    <w:rsid w:val="00AC30A6"/>
    <w:rsid w:val="00AC4B2E"/>
    <w:rsid w:val="00AD2A3D"/>
    <w:rsid w:val="00AD3BFF"/>
    <w:rsid w:val="00AE28D4"/>
    <w:rsid w:val="00AF282C"/>
    <w:rsid w:val="00AF3FF7"/>
    <w:rsid w:val="00B06A38"/>
    <w:rsid w:val="00B11169"/>
    <w:rsid w:val="00B117F1"/>
    <w:rsid w:val="00B1491D"/>
    <w:rsid w:val="00B2069C"/>
    <w:rsid w:val="00B248B7"/>
    <w:rsid w:val="00B47B7D"/>
    <w:rsid w:val="00B5455D"/>
    <w:rsid w:val="00B57766"/>
    <w:rsid w:val="00B673C3"/>
    <w:rsid w:val="00B67D33"/>
    <w:rsid w:val="00B76323"/>
    <w:rsid w:val="00B803FF"/>
    <w:rsid w:val="00B91A68"/>
    <w:rsid w:val="00B93F7C"/>
    <w:rsid w:val="00BA4D94"/>
    <w:rsid w:val="00BA64AB"/>
    <w:rsid w:val="00BC2706"/>
    <w:rsid w:val="00BC2F3B"/>
    <w:rsid w:val="00BD2540"/>
    <w:rsid w:val="00BD648D"/>
    <w:rsid w:val="00BE283F"/>
    <w:rsid w:val="00BE5462"/>
    <w:rsid w:val="00BF5976"/>
    <w:rsid w:val="00C03E0F"/>
    <w:rsid w:val="00C07590"/>
    <w:rsid w:val="00C226DF"/>
    <w:rsid w:val="00C27531"/>
    <w:rsid w:val="00C30B2E"/>
    <w:rsid w:val="00C4137C"/>
    <w:rsid w:val="00C52E56"/>
    <w:rsid w:val="00C5407A"/>
    <w:rsid w:val="00C6506E"/>
    <w:rsid w:val="00C662B0"/>
    <w:rsid w:val="00C713F6"/>
    <w:rsid w:val="00C84FD4"/>
    <w:rsid w:val="00C86477"/>
    <w:rsid w:val="00C958EE"/>
    <w:rsid w:val="00C9658F"/>
    <w:rsid w:val="00CA6237"/>
    <w:rsid w:val="00CC6E97"/>
    <w:rsid w:val="00CD21FB"/>
    <w:rsid w:val="00CE2AAE"/>
    <w:rsid w:val="00CE617E"/>
    <w:rsid w:val="00CF16E7"/>
    <w:rsid w:val="00D03D25"/>
    <w:rsid w:val="00D11311"/>
    <w:rsid w:val="00D301CA"/>
    <w:rsid w:val="00D37CC3"/>
    <w:rsid w:val="00D423FE"/>
    <w:rsid w:val="00D442D9"/>
    <w:rsid w:val="00D442E4"/>
    <w:rsid w:val="00D4720C"/>
    <w:rsid w:val="00D60D9B"/>
    <w:rsid w:val="00D64F8C"/>
    <w:rsid w:val="00D65EF9"/>
    <w:rsid w:val="00D751F6"/>
    <w:rsid w:val="00D776B3"/>
    <w:rsid w:val="00D80EDC"/>
    <w:rsid w:val="00D84EFF"/>
    <w:rsid w:val="00D96730"/>
    <w:rsid w:val="00D97CC1"/>
    <w:rsid w:val="00DA4EDB"/>
    <w:rsid w:val="00DA64B4"/>
    <w:rsid w:val="00DA78E9"/>
    <w:rsid w:val="00DC0445"/>
    <w:rsid w:val="00DC2BC7"/>
    <w:rsid w:val="00DD26CD"/>
    <w:rsid w:val="00DD3791"/>
    <w:rsid w:val="00DF4F15"/>
    <w:rsid w:val="00DF61D8"/>
    <w:rsid w:val="00DF7E82"/>
    <w:rsid w:val="00E047D3"/>
    <w:rsid w:val="00E10834"/>
    <w:rsid w:val="00E13383"/>
    <w:rsid w:val="00E201CB"/>
    <w:rsid w:val="00E22ACF"/>
    <w:rsid w:val="00E25C52"/>
    <w:rsid w:val="00E266B7"/>
    <w:rsid w:val="00E27BC3"/>
    <w:rsid w:val="00E318B1"/>
    <w:rsid w:val="00E321C5"/>
    <w:rsid w:val="00E4104F"/>
    <w:rsid w:val="00E41F77"/>
    <w:rsid w:val="00E42A3C"/>
    <w:rsid w:val="00E458E0"/>
    <w:rsid w:val="00E5772B"/>
    <w:rsid w:val="00E6416C"/>
    <w:rsid w:val="00E67511"/>
    <w:rsid w:val="00E81026"/>
    <w:rsid w:val="00E82D0F"/>
    <w:rsid w:val="00E950B5"/>
    <w:rsid w:val="00E96E53"/>
    <w:rsid w:val="00EA6264"/>
    <w:rsid w:val="00EA6DC8"/>
    <w:rsid w:val="00EC0C52"/>
    <w:rsid w:val="00EE2A2B"/>
    <w:rsid w:val="00EF28AD"/>
    <w:rsid w:val="00EF482F"/>
    <w:rsid w:val="00F05879"/>
    <w:rsid w:val="00F06716"/>
    <w:rsid w:val="00F06F5B"/>
    <w:rsid w:val="00F072DE"/>
    <w:rsid w:val="00F11B3E"/>
    <w:rsid w:val="00F20A7D"/>
    <w:rsid w:val="00F2485D"/>
    <w:rsid w:val="00F30CB2"/>
    <w:rsid w:val="00F33926"/>
    <w:rsid w:val="00F464DE"/>
    <w:rsid w:val="00F53A4D"/>
    <w:rsid w:val="00F60C61"/>
    <w:rsid w:val="00F64B52"/>
    <w:rsid w:val="00F65998"/>
    <w:rsid w:val="00F75E4A"/>
    <w:rsid w:val="00F846CF"/>
    <w:rsid w:val="00F850BE"/>
    <w:rsid w:val="00F86DF4"/>
    <w:rsid w:val="00FA0693"/>
    <w:rsid w:val="00FB5291"/>
    <w:rsid w:val="00FB5E84"/>
    <w:rsid w:val="00FC55B8"/>
    <w:rsid w:val="00FC661E"/>
    <w:rsid w:val="00FD2A8A"/>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365D40"/>
    <w:rPr>
      <w:color w:val="605E5C"/>
      <w:shd w:val="clear" w:color="auto" w:fill="E1DFDD"/>
    </w:rPr>
  </w:style>
  <w:style w:type="character" w:styleId="CommentReference">
    <w:name w:val="annotation reference"/>
    <w:basedOn w:val="DefaultParagraphFont"/>
    <w:rsid w:val="003403FF"/>
    <w:rPr>
      <w:sz w:val="16"/>
      <w:szCs w:val="16"/>
    </w:rPr>
  </w:style>
  <w:style w:type="paragraph" w:styleId="CommentText">
    <w:name w:val="annotation text"/>
    <w:basedOn w:val="Normal"/>
    <w:link w:val="CommentTextChar"/>
    <w:rsid w:val="003403FF"/>
    <w:pPr>
      <w:spacing w:line="240" w:lineRule="auto"/>
    </w:pPr>
  </w:style>
  <w:style w:type="character" w:customStyle="1" w:styleId="CommentTextChar">
    <w:name w:val="Comment Text Char"/>
    <w:basedOn w:val="DefaultParagraphFont"/>
    <w:link w:val="CommentText"/>
    <w:rsid w:val="003403FF"/>
  </w:style>
  <w:style w:type="paragraph" w:styleId="CommentSubject">
    <w:name w:val="annotation subject"/>
    <w:basedOn w:val="CommentText"/>
    <w:next w:val="CommentText"/>
    <w:link w:val="CommentSubjectChar"/>
    <w:rsid w:val="003403FF"/>
    <w:rPr>
      <w:b/>
      <w:bCs/>
    </w:rPr>
  </w:style>
  <w:style w:type="character" w:customStyle="1" w:styleId="CommentSubjectChar">
    <w:name w:val="Comment Subject Char"/>
    <w:basedOn w:val="CommentTextChar"/>
    <w:link w:val="CommentSubject"/>
    <w:rsid w:val="003403FF"/>
    <w:rPr>
      <w:b/>
      <w:bCs/>
    </w:rPr>
  </w:style>
  <w:style w:type="paragraph" w:styleId="Revision">
    <w:name w:val="Revision"/>
    <w:hidden/>
    <w:uiPriority w:val="99"/>
    <w:semiHidden/>
    <w:rsid w:val="0038499B"/>
  </w:style>
  <w:style w:type="character" w:styleId="FollowedHyperlink">
    <w:name w:val="FollowedHyperlink"/>
    <w:basedOn w:val="DefaultParagraphFont"/>
    <w:rsid w:val="00DC04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942A-E7BB-4B96-B613-46288C57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13</Pages>
  <Words>2562</Words>
  <Characters>13527</Characters>
  <Application>Microsoft Office Word</Application>
  <DocSecurity>0</DocSecurity>
  <Lines>250</Lines>
  <Paragraphs>54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2024-02-01T15:31:00Z</cp:lastPrinted>
  <dcterms:created xsi:type="dcterms:W3CDTF">2025-05-01T17:35:00Z</dcterms:created>
  <dcterms:modified xsi:type="dcterms:W3CDTF">2025-05-01T17:35:00Z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