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51EED05D" w14:textId="77777777" w:rsidR="00A209F2" w:rsidRDefault="00F850BE" w:rsidP="00000C35">
            <w:pPr>
              <w:pStyle w:val="FirmInformation"/>
              <w:spacing w:line="240" w:lineRule="auto"/>
              <w:rPr>
                <w:sz w:val="28"/>
                <w:szCs w:val="28"/>
              </w:rPr>
            </w:pPr>
            <w:bookmarkStart w:id="0" w:name="_zzmpFIXED_CounselTable"/>
            <w:r>
              <w:rPr>
                <w:sz w:val="28"/>
                <w:szCs w:val="28"/>
              </w:rPr>
              <w:t>Lisa M. Panahi</w:t>
            </w:r>
          </w:p>
          <w:p w14:paraId="3B92AF78" w14:textId="51BC6816" w:rsidR="00000C35" w:rsidRDefault="00F850BE" w:rsidP="00000C35">
            <w:pPr>
              <w:pStyle w:val="FirmInformation"/>
              <w:spacing w:line="240" w:lineRule="auto"/>
              <w:rPr>
                <w:sz w:val="28"/>
                <w:szCs w:val="28"/>
              </w:rPr>
            </w:pPr>
            <w:r>
              <w:rPr>
                <w:sz w:val="28"/>
                <w:szCs w:val="28"/>
              </w:rPr>
              <w:t>Bar No. 023421</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Default="00357F4D" w:rsidP="00735659">
      <w:pPr>
        <w:pStyle w:val="Court"/>
        <w:spacing w:line="508" w:lineRule="exact"/>
        <w:jc w:val="left"/>
        <w:rPr>
          <w:b/>
        </w:rPr>
      </w:pPr>
    </w:p>
    <w:p w14:paraId="76D62AC4" w14:textId="77777777" w:rsidR="00A209F2" w:rsidRPr="000F7A7F" w:rsidRDefault="00A209F2"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27F30B4A" w:rsidR="00357F4D" w:rsidRPr="00A97B3C" w:rsidRDefault="00A97B3C" w:rsidP="00A97B3C">
            <w:pPr>
              <w:pStyle w:val="Caption"/>
              <w:spacing w:before="240" w:line="260" w:lineRule="exact"/>
              <w:rPr>
                <w:b/>
                <w:sz w:val="28"/>
                <w:szCs w:val="28"/>
              </w:rPr>
            </w:pPr>
            <w:r w:rsidRPr="00732169">
              <w:rPr>
                <w:b/>
                <w:sz w:val="28"/>
                <w:szCs w:val="28"/>
              </w:rPr>
              <w:t xml:space="preserve">PETITION TO </w:t>
            </w:r>
            <w:r>
              <w:rPr>
                <w:b/>
                <w:sz w:val="28"/>
                <w:szCs w:val="28"/>
              </w:rPr>
              <w:t xml:space="preserve">AMEND </w:t>
            </w:r>
            <w:r w:rsidR="00BC5216">
              <w:rPr>
                <w:b/>
                <w:sz w:val="28"/>
                <w:szCs w:val="28"/>
              </w:rPr>
              <w:t>RULE</w:t>
            </w:r>
            <w:r w:rsidR="0007640F">
              <w:rPr>
                <w:b/>
                <w:sz w:val="28"/>
                <w:szCs w:val="28"/>
              </w:rPr>
              <w:t xml:space="preserve"> </w:t>
            </w:r>
            <w:r w:rsidR="00BC5216">
              <w:rPr>
                <w:b/>
                <w:sz w:val="28"/>
                <w:szCs w:val="28"/>
              </w:rPr>
              <w:t>15, RULES OF PROCEDURE FOR EVICTION ACTIONS</w:t>
            </w:r>
            <w:r>
              <w:rPr>
                <w:b/>
                <w:sz w:val="28"/>
                <w:szCs w:val="28"/>
              </w:rPr>
              <w:br/>
            </w:r>
          </w:p>
        </w:tc>
        <w:tc>
          <w:tcPr>
            <w:tcW w:w="4524" w:type="dxa"/>
            <w:tcBorders>
              <w:top w:val="nil"/>
              <w:left w:val="single" w:sz="4" w:space="0" w:color="auto"/>
            </w:tcBorders>
            <w:shd w:val="clear" w:color="auto" w:fill="auto"/>
          </w:tcPr>
          <w:p w14:paraId="35CED5CB" w14:textId="13F0011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C5216">
              <w:rPr>
                <w:sz w:val="28"/>
                <w:szCs w:val="28"/>
              </w:rPr>
              <w:t>25-0019</w:t>
            </w:r>
          </w:p>
          <w:p w14:paraId="5AEC962D" w14:textId="041D92B1" w:rsidR="00357F4D" w:rsidRPr="00A97B3C" w:rsidRDefault="00B632EC" w:rsidP="000F7A7F">
            <w:pPr>
              <w:pStyle w:val="Caption"/>
              <w:tabs>
                <w:tab w:val="left" w:pos="1238"/>
              </w:tabs>
              <w:spacing w:line="260" w:lineRule="exact"/>
              <w:ind w:right="115"/>
              <w:jc w:val="center"/>
              <w:rPr>
                <w:b/>
                <w:sz w:val="28"/>
                <w:szCs w:val="28"/>
              </w:rPr>
            </w:pPr>
            <w:r>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0A2EFA3" w14:textId="28A1C891" w:rsidR="00A97B3C" w:rsidRDefault="00A97B3C" w:rsidP="009356AC">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p>
    <w:p w14:paraId="664E7C60" w14:textId="39BB82BD" w:rsidR="001E7C48" w:rsidRDefault="009B503E" w:rsidP="00A97B3C">
      <w:pPr>
        <w:pStyle w:val="Body"/>
        <w:widowControl w:val="0"/>
        <w:spacing w:line="480" w:lineRule="auto"/>
        <w:ind w:firstLine="720"/>
        <w:jc w:val="both"/>
        <w:rPr>
          <w:sz w:val="28"/>
          <w:szCs w:val="28"/>
        </w:rPr>
      </w:pPr>
      <w:r>
        <w:rPr>
          <w:sz w:val="28"/>
          <w:szCs w:val="28"/>
        </w:rPr>
        <w:t xml:space="preserve"> First, t</w:t>
      </w:r>
      <w:r w:rsidR="00546BF9">
        <w:rPr>
          <w:sz w:val="28"/>
          <w:szCs w:val="28"/>
        </w:rPr>
        <w:t>he Petition proposes to add to Rule 15, Rules of Procedure for Eviction Actions (“</w:t>
      </w:r>
      <w:r w:rsidR="001E7C48">
        <w:rPr>
          <w:sz w:val="28"/>
          <w:szCs w:val="28"/>
        </w:rPr>
        <w:t>RPEA</w:t>
      </w:r>
      <w:r w:rsidR="00546BF9">
        <w:rPr>
          <w:sz w:val="28"/>
          <w:szCs w:val="28"/>
        </w:rPr>
        <w:t xml:space="preserve">”), </w:t>
      </w:r>
      <w:bookmarkStart w:id="2" w:name="_Hlk193694583"/>
      <w:r w:rsidR="00546BF9">
        <w:rPr>
          <w:sz w:val="28"/>
          <w:szCs w:val="28"/>
        </w:rPr>
        <w:t xml:space="preserve">the </w:t>
      </w:r>
      <w:r w:rsidR="00F53BAE">
        <w:rPr>
          <w:sz w:val="28"/>
          <w:szCs w:val="28"/>
        </w:rPr>
        <w:t xml:space="preserve">last </w:t>
      </w:r>
      <w:r w:rsidR="00546BF9">
        <w:rPr>
          <w:sz w:val="28"/>
          <w:szCs w:val="28"/>
        </w:rPr>
        <w:t xml:space="preserve">three grounds </w:t>
      </w:r>
      <w:r w:rsidR="00F53BAE">
        <w:rPr>
          <w:sz w:val="28"/>
          <w:szCs w:val="28"/>
        </w:rPr>
        <w:t>listed in Rule 60</w:t>
      </w:r>
      <w:r>
        <w:rPr>
          <w:sz w:val="28"/>
          <w:szCs w:val="28"/>
        </w:rPr>
        <w:t>(b)</w:t>
      </w:r>
      <w:r w:rsidR="00F53BAE">
        <w:rPr>
          <w:sz w:val="28"/>
          <w:szCs w:val="28"/>
        </w:rPr>
        <w:t xml:space="preserve">, Rules of Civil Procedure, </w:t>
      </w:r>
      <w:r w:rsidR="00546BF9">
        <w:rPr>
          <w:sz w:val="28"/>
          <w:szCs w:val="28"/>
        </w:rPr>
        <w:t>for seeking relief from judgments, orders</w:t>
      </w:r>
      <w:r w:rsidR="008D55AB">
        <w:rPr>
          <w:sz w:val="28"/>
          <w:szCs w:val="28"/>
        </w:rPr>
        <w:t>, and proceedings</w:t>
      </w:r>
      <w:r w:rsidR="00F53BAE">
        <w:rPr>
          <w:sz w:val="28"/>
          <w:szCs w:val="28"/>
        </w:rPr>
        <w:t>.</w:t>
      </w:r>
      <w:bookmarkEnd w:id="2"/>
      <w:r w:rsidR="00546BF9">
        <w:rPr>
          <w:sz w:val="28"/>
          <w:szCs w:val="28"/>
        </w:rPr>
        <w:t xml:space="preserve"> </w:t>
      </w:r>
      <w:r w:rsidR="001E7C48">
        <w:rPr>
          <w:sz w:val="28"/>
          <w:szCs w:val="28"/>
        </w:rPr>
        <w:t xml:space="preserve">Those </w:t>
      </w:r>
      <w:r w:rsidR="001B6D81">
        <w:rPr>
          <w:sz w:val="28"/>
          <w:szCs w:val="28"/>
        </w:rPr>
        <w:t>three</w:t>
      </w:r>
      <w:r w:rsidR="009356AC">
        <w:rPr>
          <w:sz w:val="28"/>
          <w:szCs w:val="28"/>
        </w:rPr>
        <w:t xml:space="preserve"> </w:t>
      </w:r>
      <w:r w:rsidR="001E7C48">
        <w:rPr>
          <w:sz w:val="28"/>
          <w:szCs w:val="28"/>
        </w:rPr>
        <w:t>grounds</w:t>
      </w:r>
      <w:r w:rsidR="001B6D81">
        <w:rPr>
          <w:sz w:val="28"/>
          <w:szCs w:val="28"/>
        </w:rPr>
        <w:t>, which are a familiar and traditional part of Rule 60(b),</w:t>
      </w:r>
      <w:r w:rsidR="001E7C48">
        <w:rPr>
          <w:sz w:val="28"/>
          <w:szCs w:val="28"/>
        </w:rPr>
        <w:t xml:space="preserve"> are:</w:t>
      </w:r>
    </w:p>
    <w:p w14:paraId="2729E1A8" w14:textId="113396B2" w:rsidR="001E7C48" w:rsidRPr="00A209F2" w:rsidRDefault="001E7C48" w:rsidP="00A209F2">
      <w:pPr>
        <w:pStyle w:val="BodyText"/>
        <w:widowControl w:val="0"/>
        <w:spacing w:line="240" w:lineRule="auto"/>
        <w:ind w:left="1440" w:right="1440"/>
        <w:jc w:val="both"/>
        <w:rPr>
          <w:sz w:val="28"/>
          <w:szCs w:val="28"/>
        </w:rPr>
      </w:pPr>
      <w:r w:rsidRPr="001E7C48">
        <w:rPr>
          <w:sz w:val="28"/>
          <w:szCs w:val="28"/>
        </w:rPr>
        <w:t xml:space="preserve">(11) The judgment is </w:t>
      </w:r>
      <w:proofErr w:type="gramStart"/>
      <w:r w:rsidRPr="001E7C48">
        <w:rPr>
          <w:sz w:val="28"/>
          <w:szCs w:val="28"/>
        </w:rPr>
        <w:t>void;</w:t>
      </w:r>
      <w:proofErr w:type="gramEnd"/>
    </w:p>
    <w:p w14:paraId="23323E1B" w14:textId="1E90B34F" w:rsidR="001E7C48" w:rsidRPr="001E7C48" w:rsidRDefault="001E7C48" w:rsidP="001E7C48">
      <w:pPr>
        <w:pStyle w:val="BodyText"/>
        <w:widowControl w:val="0"/>
        <w:spacing w:line="240" w:lineRule="auto"/>
        <w:ind w:left="1440" w:right="1440"/>
        <w:jc w:val="both"/>
        <w:rPr>
          <w:sz w:val="28"/>
          <w:szCs w:val="28"/>
        </w:rPr>
      </w:pPr>
      <w:r w:rsidRPr="001E7C48">
        <w:rPr>
          <w:sz w:val="28"/>
          <w:szCs w:val="28"/>
        </w:rPr>
        <w:t xml:space="preserve">(12) The judgment has been satisfied, released, or discharged; it is based on an earlier judgment that has been reversed or vacated; or applying it prospectively is no </w:t>
      </w:r>
      <w:r w:rsidRPr="001E7C48">
        <w:rPr>
          <w:sz w:val="28"/>
          <w:szCs w:val="28"/>
        </w:rPr>
        <w:lastRenderedPageBreak/>
        <w:t>longer equitable; or</w:t>
      </w:r>
    </w:p>
    <w:p w14:paraId="6887E6E6" w14:textId="4C0FFD34" w:rsidR="003C6CF0" w:rsidRDefault="001E7C48" w:rsidP="00B632EC">
      <w:pPr>
        <w:pStyle w:val="BodyText"/>
        <w:widowControl w:val="0"/>
        <w:spacing w:line="240" w:lineRule="auto"/>
        <w:ind w:left="1440" w:right="1440"/>
        <w:jc w:val="both"/>
        <w:rPr>
          <w:sz w:val="28"/>
          <w:szCs w:val="28"/>
        </w:rPr>
      </w:pPr>
      <w:r w:rsidRPr="001E7C48">
        <w:rPr>
          <w:sz w:val="28"/>
          <w:szCs w:val="28"/>
        </w:rPr>
        <w:t>(13) Any other reason justifying relief.</w:t>
      </w:r>
    </w:p>
    <w:p w14:paraId="4BDE2A87" w14:textId="77777777" w:rsidR="00B632EC" w:rsidRDefault="00B632EC" w:rsidP="00B632EC">
      <w:pPr>
        <w:pStyle w:val="BodyText"/>
        <w:widowControl w:val="0"/>
        <w:spacing w:line="240" w:lineRule="auto"/>
        <w:ind w:left="1440" w:right="1440"/>
        <w:jc w:val="both"/>
        <w:rPr>
          <w:sz w:val="28"/>
          <w:szCs w:val="28"/>
        </w:rPr>
      </w:pPr>
    </w:p>
    <w:p w14:paraId="3BD80502" w14:textId="37166B87" w:rsidR="00243A54" w:rsidRDefault="00F53BAE" w:rsidP="00A97B3C">
      <w:pPr>
        <w:pStyle w:val="Body"/>
        <w:widowControl w:val="0"/>
        <w:spacing w:line="480" w:lineRule="auto"/>
        <w:ind w:firstLine="720"/>
        <w:jc w:val="both"/>
        <w:rPr>
          <w:sz w:val="28"/>
          <w:szCs w:val="28"/>
        </w:rPr>
      </w:pPr>
      <w:r>
        <w:rPr>
          <w:sz w:val="28"/>
          <w:szCs w:val="28"/>
        </w:rPr>
        <w:t>Th</w:t>
      </w:r>
      <w:r w:rsidR="009356AC">
        <w:rPr>
          <w:sz w:val="28"/>
          <w:szCs w:val="28"/>
        </w:rPr>
        <w:t>e</w:t>
      </w:r>
      <w:r>
        <w:rPr>
          <w:sz w:val="28"/>
          <w:szCs w:val="28"/>
        </w:rPr>
        <w:t xml:space="preserve">se grounds were omitted </w:t>
      </w:r>
      <w:r w:rsidR="00546BF9">
        <w:rPr>
          <w:sz w:val="28"/>
          <w:szCs w:val="28"/>
        </w:rPr>
        <w:t xml:space="preserve">from Rule 15 when the RPEA </w:t>
      </w:r>
      <w:r w:rsidR="008D55AB">
        <w:rPr>
          <w:sz w:val="28"/>
          <w:szCs w:val="28"/>
        </w:rPr>
        <w:t>was originally</w:t>
      </w:r>
      <w:r w:rsidR="00546BF9">
        <w:rPr>
          <w:sz w:val="28"/>
          <w:szCs w:val="28"/>
        </w:rPr>
        <w:t xml:space="preserve"> promulgated in 2008. </w:t>
      </w:r>
      <w:r w:rsidR="009356AC">
        <w:rPr>
          <w:sz w:val="28"/>
          <w:szCs w:val="28"/>
        </w:rPr>
        <w:t>Now, sixteen years later, b</w:t>
      </w:r>
      <w:r w:rsidR="00243A54">
        <w:rPr>
          <w:sz w:val="28"/>
          <w:szCs w:val="28"/>
        </w:rPr>
        <w:t xml:space="preserve">ased upon </w:t>
      </w:r>
      <w:r w:rsidR="009B503E">
        <w:rPr>
          <w:sz w:val="28"/>
          <w:szCs w:val="28"/>
        </w:rPr>
        <w:t>petitioner’s showing of need</w:t>
      </w:r>
      <w:r w:rsidR="00243A54">
        <w:rPr>
          <w:sz w:val="28"/>
          <w:szCs w:val="28"/>
        </w:rPr>
        <w:t xml:space="preserve">, the </w:t>
      </w:r>
      <w:r w:rsidR="003A70C2">
        <w:rPr>
          <w:sz w:val="28"/>
          <w:szCs w:val="28"/>
        </w:rPr>
        <w:t>State Bar</w:t>
      </w:r>
      <w:r w:rsidR="001E7C48">
        <w:rPr>
          <w:sz w:val="28"/>
          <w:szCs w:val="28"/>
        </w:rPr>
        <w:t xml:space="preserve"> concluded that the existing Rule 15 provis</w:t>
      </w:r>
      <w:r w:rsidR="00243A54">
        <w:rPr>
          <w:sz w:val="28"/>
          <w:szCs w:val="28"/>
        </w:rPr>
        <w:t>i</w:t>
      </w:r>
      <w:r w:rsidR="001E7C48">
        <w:rPr>
          <w:sz w:val="28"/>
          <w:szCs w:val="28"/>
        </w:rPr>
        <w:t xml:space="preserve">ons are not sufficient to cover all instances </w:t>
      </w:r>
      <w:r w:rsidR="00243A54">
        <w:rPr>
          <w:sz w:val="28"/>
          <w:szCs w:val="28"/>
        </w:rPr>
        <w:t>where a party may deserve relief</w:t>
      </w:r>
      <w:r w:rsidR="001E7C48">
        <w:rPr>
          <w:sz w:val="28"/>
          <w:szCs w:val="28"/>
        </w:rPr>
        <w:t xml:space="preserve">, such as </w:t>
      </w:r>
      <w:r w:rsidR="00243A54">
        <w:rPr>
          <w:sz w:val="28"/>
          <w:szCs w:val="28"/>
        </w:rPr>
        <w:t>cases of incorrect venue or where the tenant is in a rent-to-own relationship with the plaintiff.</w:t>
      </w:r>
      <w:r w:rsidR="001B6D81">
        <w:rPr>
          <w:sz w:val="28"/>
          <w:szCs w:val="28"/>
        </w:rPr>
        <w:t xml:space="preserve"> </w:t>
      </w:r>
      <w:bookmarkStart w:id="3" w:name="_Hlk190873901"/>
      <w:r w:rsidR="001B6D81">
        <w:rPr>
          <w:sz w:val="28"/>
          <w:szCs w:val="28"/>
        </w:rPr>
        <w:t xml:space="preserve">If a party files a frivolous motion under the additional grounds, the court can </w:t>
      </w:r>
      <w:r w:rsidR="00984C86">
        <w:rPr>
          <w:sz w:val="28"/>
          <w:szCs w:val="28"/>
        </w:rPr>
        <w:t xml:space="preserve">exercise </w:t>
      </w:r>
      <w:r w:rsidR="00EC08AA">
        <w:rPr>
          <w:sz w:val="28"/>
          <w:szCs w:val="28"/>
        </w:rPr>
        <w:t>its</w:t>
      </w:r>
      <w:r w:rsidR="00984C86">
        <w:rPr>
          <w:sz w:val="28"/>
          <w:szCs w:val="28"/>
        </w:rPr>
        <w:t xml:space="preserve"> discretion to </w:t>
      </w:r>
      <w:r w:rsidR="001B6D81">
        <w:rPr>
          <w:sz w:val="28"/>
          <w:szCs w:val="28"/>
        </w:rPr>
        <w:t xml:space="preserve">summarily deny the motion. </w:t>
      </w:r>
    </w:p>
    <w:p w14:paraId="2A8303A4" w14:textId="5E06DEA5" w:rsidR="002D0120" w:rsidRDefault="00243A54" w:rsidP="00A97B3C">
      <w:pPr>
        <w:pStyle w:val="Body"/>
        <w:widowControl w:val="0"/>
        <w:spacing w:line="480" w:lineRule="auto"/>
        <w:ind w:firstLine="720"/>
        <w:jc w:val="both"/>
        <w:rPr>
          <w:sz w:val="28"/>
          <w:szCs w:val="28"/>
        </w:rPr>
      </w:pPr>
      <w:bookmarkStart w:id="4" w:name="_Hlk193695181"/>
      <w:bookmarkEnd w:id="3"/>
      <w:r>
        <w:rPr>
          <w:sz w:val="28"/>
          <w:szCs w:val="28"/>
        </w:rPr>
        <w:t xml:space="preserve">The State Bar </w:t>
      </w:r>
      <w:r w:rsidR="009356AC">
        <w:rPr>
          <w:sz w:val="28"/>
          <w:szCs w:val="28"/>
        </w:rPr>
        <w:t>agrees that</w:t>
      </w:r>
      <w:r w:rsidR="00A97B3C">
        <w:rPr>
          <w:sz w:val="28"/>
          <w:szCs w:val="28"/>
        </w:rPr>
        <w:t xml:space="preserve"> </w:t>
      </w:r>
      <w:r w:rsidR="001E7C48">
        <w:rPr>
          <w:sz w:val="28"/>
          <w:szCs w:val="28"/>
        </w:rPr>
        <w:t xml:space="preserve">it is </w:t>
      </w:r>
      <w:r w:rsidR="00345BC4">
        <w:rPr>
          <w:sz w:val="28"/>
          <w:szCs w:val="28"/>
        </w:rPr>
        <w:t>appropriate</w:t>
      </w:r>
      <w:r w:rsidR="00A97B3C">
        <w:rPr>
          <w:sz w:val="28"/>
          <w:szCs w:val="28"/>
        </w:rPr>
        <w:t xml:space="preserve"> </w:t>
      </w:r>
      <w:r>
        <w:rPr>
          <w:sz w:val="28"/>
          <w:szCs w:val="28"/>
        </w:rPr>
        <w:t>to</w:t>
      </w:r>
      <w:r w:rsidR="0042608F">
        <w:rPr>
          <w:sz w:val="28"/>
          <w:szCs w:val="28"/>
        </w:rPr>
        <w:t xml:space="preserve"> harmoniz</w:t>
      </w:r>
      <w:r>
        <w:rPr>
          <w:sz w:val="28"/>
          <w:szCs w:val="28"/>
        </w:rPr>
        <w:t>e</w:t>
      </w:r>
      <w:r w:rsidR="0042608F">
        <w:rPr>
          <w:sz w:val="28"/>
          <w:szCs w:val="28"/>
        </w:rPr>
        <w:t xml:space="preserve"> the</w:t>
      </w:r>
      <w:r w:rsidR="001D123F">
        <w:rPr>
          <w:sz w:val="28"/>
          <w:szCs w:val="28"/>
        </w:rPr>
        <w:t xml:space="preserve"> safeguards</w:t>
      </w:r>
      <w:r w:rsidR="0042608F">
        <w:rPr>
          <w:sz w:val="28"/>
          <w:szCs w:val="28"/>
        </w:rPr>
        <w:t xml:space="preserve"> afforded</w:t>
      </w:r>
      <w:r w:rsidR="00AC5EC7">
        <w:rPr>
          <w:sz w:val="28"/>
          <w:szCs w:val="28"/>
        </w:rPr>
        <w:t xml:space="preserve"> </w:t>
      </w:r>
      <w:r w:rsidR="00065987">
        <w:rPr>
          <w:sz w:val="28"/>
          <w:szCs w:val="28"/>
        </w:rPr>
        <w:t xml:space="preserve">to </w:t>
      </w:r>
      <w:r w:rsidR="00AC5EC7">
        <w:rPr>
          <w:sz w:val="28"/>
          <w:szCs w:val="28"/>
        </w:rPr>
        <w:t xml:space="preserve">eviction </w:t>
      </w:r>
      <w:r w:rsidR="00345BC4">
        <w:rPr>
          <w:sz w:val="28"/>
          <w:szCs w:val="28"/>
        </w:rPr>
        <w:t>parties</w:t>
      </w:r>
      <w:r w:rsidR="001D123F">
        <w:rPr>
          <w:sz w:val="28"/>
          <w:szCs w:val="28"/>
        </w:rPr>
        <w:t xml:space="preserve"> </w:t>
      </w:r>
      <w:r w:rsidR="0042608F">
        <w:rPr>
          <w:sz w:val="28"/>
          <w:szCs w:val="28"/>
        </w:rPr>
        <w:t>under Rule 15</w:t>
      </w:r>
      <w:r w:rsidR="009B503E">
        <w:rPr>
          <w:sz w:val="28"/>
          <w:szCs w:val="28"/>
        </w:rPr>
        <w:t>, RPEA</w:t>
      </w:r>
      <w:r w:rsidR="0042608F">
        <w:rPr>
          <w:sz w:val="28"/>
          <w:szCs w:val="28"/>
        </w:rPr>
        <w:t xml:space="preserve"> with</w:t>
      </w:r>
      <w:r w:rsidR="00AC5EC7">
        <w:rPr>
          <w:sz w:val="28"/>
          <w:szCs w:val="28"/>
        </w:rPr>
        <w:t xml:space="preserve"> those </w:t>
      </w:r>
      <w:r w:rsidR="0042608F">
        <w:rPr>
          <w:sz w:val="28"/>
          <w:szCs w:val="28"/>
        </w:rPr>
        <w:t>provided</w:t>
      </w:r>
      <w:r w:rsidR="00AC5EC7">
        <w:rPr>
          <w:sz w:val="28"/>
          <w:szCs w:val="28"/>
        </w:rPr>
        <w:t xml:space="preserve"> </w:t>
      </w:r>
      <w:r w:rsidR="009B503E">
        <w:rPr>
          <w:sz w:val="28"/>
          <w:szCs w:val="28"/>
        </w:rPr>
        <w:t xml:space="preserve">to </w:t>
      </w:r>
      <w:r w:rsidR="00AC5EC7">
        <w:rPr>
          <w:sz w:val="28"/>
          <w:szCs w:val="28"/>
        </w:rPr>
        <w:t>other civil litigants</w:t>
      </w:r>
      <w:r w:rsidR="0042608F">
        <w:rPr>
          <w:sz w:val="28"/>
          <w:szCs w:val="28"/>
        </w:rPr>
        <w:t xml:space="preserve"> under Rule 60</w:t>
      </w:r>
      <w:r w:rsidR="009356AC">
        <w:rPr>
          <w:sz w:val="28"/>
          <w:szCs w:val="28"/>
        </w:rPr>
        <w:t>(b)</w:t>
      </w:r>
      <w:r w:rsidR="0042608F">
        <w:rPr>
          <w:sz w:val="28"/>
          <w:szCs w:val="28"/>
        </w:rPr>
        <w:t>, Rules of Civil Procedure</w:t>
      </w:r>
      <w:r w:rsidR="008D1F83">
        <w:rPr>
          <w:sz w:val="28"/>
          <w:szCs w:val="28"/>
        </w:rPr>
        <w:t xml:space="preserve">. </w:t>
      </w:r>
      <w:bookmarkEnd w:id="4"/>
      <w:r w:rsidR="00561ABB" w:rsidRPr="00561ABB">
        <w:rPr>
          <w:sz w:val="28"/>
          <w:szCs w:val="28"/>
        </w:rPr>
        <w:t xml:space="preserve">The proposed amendments will </w:t>
      </w:r>
      <w:r w:rsidR="009356AC">
        <w:rPr>
          <w:sz w:val="28"/>
          <w:szCs w:val="28"/>
        </w:rPr>
        <w:t>secure</w:t>
      </w:r>
      <w:r w:rsidR="009B503E">
        <w:rPr>
          <w:sz w:val="28"/>
          <w:szCs w:val="28"/>
        </w:rPr>
        <w:t xml:space="preserve"> </w:t>
      </w:r>
      <w:r>
        <w:rPr>
          <w:sz w:val="28"/>
          <w:szCs w:val="28"/>
        </w:rPr>
        <w:t>fundamentally fair procedures</w:t>
      </w:r>
      <w:r w:rsidR="00561ABB" w:rsidRPr="00561ABB">
        <w:rPr>
          <w:sz w:val="28"/>
          <w:szCs w:val="28"/>
        </w:rPr>
        <w:t xml:space="preserve"> for parties who seek relief from eviction judgments, orders, and proceedings affecting their property</w:t>
      </w:r>
      <w:r w:rsidR="009B503E">
        <w:rPr>
          <w:sz w:val="28"/>
          <w:szCs w:val="28"/>
        </w:rPr>
        <w:t>,</w:t>
      </w:r>
      <w:r w:rsidR="00561ABB" w:rsidRPr="00561ABB">
        <w:rPr>
          <w:sz w:val="28"/>
          <w:szCs w:val="28"/>
        </w:rPr>
        <w:t xml:space="preserve"> </w:t>
      </w:r>
      <w:r w:rsidR="009356AC">
        <w:rPr>
          <w:sz w:val="28"/>
          <w:szCs w:val="28"/>
        </w:rPr>
        <w:t>family</w:t>
      </w:r>
      <w:r w:rsidR="009B503E">
        <w:rPr>
          <w:sz w:val="28"/>
          <w:szCs w:val="28"/>
        </w:rPr>
        <w:t>, and vital interests</w:t>
      </w:r>
      <w:r w:rsidR="00561ABB" w:rsidRPr="00561ABB">
        <w:rPr>
          <w:sz w:val="28"/>
          <w:szCs w:val="28"/>
        </w:rPr>
        <w:t xml:space="preserve">.  </w:t>
      </w:r>
    </w:p>
    <w:p w14:paraId="0FC496C9" w14:textId="04A0F0D5" w:rsidR="00243A54" w:rsidRDefault="009B503E" w:rsidP="00A97B3C">
      <w:pPr>
        <w:pStyle w:val="Body"/>
        <w:widowControl w:val="0"/>
        <w:spacing w:line="480" w:lineRule="auto"/>
        <w:ind w:firstLine="720"/>
        <w:jc w:val="both"/>
        <w:rPr>
          <w:sz w:val="28"/>
          <w:szCs w:val="28"/>
        </w:rPr>
      </w:pPr>
      <w:bookmarkStart w:id="5" w:name="_Hlk193695679"/>
      <w:r>
        <w:rPr>
          <w:sz w:val="28"/>
          <w:szCs w:val="28"/>
        </w:rPr>
        <w:t xml:space="preserve"> Second, t</w:t>
      </w:r>
      <w:r w:rsidR="00243A54" w:rsidRPr="00561ABB">
        <w:rPr>
          <w:sz w:val="28"/>
          <w:szCs w:val="28"/>
        </w:rPr>
        <w:t xml:space="preserve">he </w:t>
      </w:r>
      <w:r>
        <w:rPr>
          <w:sz w:val="28"/>
          <w:szCs w:val="28"/>
        </w:rPr>
        <w:t>Petition proposes to add to Rule 15(c)</w:t>
      </w:r>
      <w:r w:rsidR="00243A54" w:rsidRPr="00561ABB">
        <w:rPr>
          <w:sz w:val="28"/>
          <w:szCs w:val="28"/>
        </w:rPr>
        <w:t xml:space="preserve"> a </w:t>
      </w:r>
      <w:r w:rsidR="00235BFC">
        <w:rPr>
          <w:sz w:val="28"/>
          <w:szCs w:val="28"/>
        </w:rPr>
        <w:t xml:space="preserve">mandatory </w:t>
      </w:r>
      <w:r w:rsidR="00243A54" w:rsidRPr="00561ABB">
        <w:rPr>
          <w:sz w:val="28"/>
          <w:szCs w:val="28"/>
        </w:rPr>
        <w:t>stay of judgments, orders, and proceedings during the existing three-day consideration period for motions constituting emergency matters</w:t>
      </w:r>
      <w:r w:rsidR="00F31B8B">
        <w:rPr>
          <w:sz w:val="28"/>
          <w:szCs w:val="28"/>
        </w:rPr>
        <w:t>. This is</w:t>
      </w:r>
      <w:r w:rsidR="00235BFC">
        <w:rPr>
          <w:sz w:val="28"/>
          <w:szCs w:val="28"/>
        </w:rPr>
        <w:t xml:space="preserve"> </w:t>
      </w:r>
      <w:r>
        <w:rPr>
          <w:sz w:val="28"/>
          <w:szCs w:val="28"/>
        </w:rPr>
        <w:t xml:space="preserve">a negligible delay </w:t>
      </w:r>
      <w:r w:rsidR="00235BFC">
        <w:rPr>
          <w:sz w:val="28"/>
          <w:szCs w:val="28"/>
        </w:rPr>
        <w:t>which the State Bar believes will</w:t>
      </w:r>
      <w:r w:rsidR="00243A54" w:rsidRPr="00561ABB">
        <w:rPr>
          <w:sz w:val="28"/>
          <w:szCs w:val="28"/>
        </w:rPr>
        <w:t xml:space="preserve"> minimize irreparable harm and maximize judicial efficiency.</w:t>
      </w:r>
    </w:p>
    <w:bookmarkEnd w:id="5"/>
    <w:p w14:paraId="0B61BEA1" w14:textId="4B42D1C8" w:rsidR="00984C86" w:rsidRDefault="00984C86" w:rsidP="00C0420F">
      <w:pPr>
        <w:pStyle w:val="Body"/>
        <w:widowControl w:val="0"/>
        <w:spacing w:line="480" w:lineRule="auto"/>
        <w:ind w:firstLine="720"/>
        <w:jc w:val="both"/>
        <w:rPr>
          <w:sz w:val="28"/>
          <w:szCs w:val="28"/>
        </w:rPr>
      </w:pPr>
      <w:r>
        <w:rPr>
          <w:sz w:val="28"/>
          <w:szCs w:val="28"/>
        </w:rPr>
        <w:lastRenderedPageBreak/>
        <w:t xml:space="preserve">A prefatory note is in order </w:t>
      </w:r>
      <w:proofErr w:type="gramStart"/>
      <w:r>
        <w:rPr>
          <w:sz w:val="28"/>
          <w:szCs w:val="28"/>
        </w:rPr>
        <w:t>in light of</w:t>
      </w:r>
      <w:proofErr w:type="gramEnd"/>
      <w:r>
        <w:rPr>
          <w:sz w:val="28"/>
          <w:szCs w:val="28"/>
        </w:rPr>
        <w:t xml:space="preserve"> the Comment submitted in this </w:t>
      </w:r>
      <w:proofErr w:type="gramStart"/>
      <w:r>
        <w:rPr>
          <w:sz w:val="28"/>
          <w:szCs w:val="28"/>
        </w:rPr>
        <w:t>rule</w:t>
      </w:r>
      <w:r w:rsidR="00B632EC">
        <w:rPr>
          <w:sz w:val="28"/>
          <w:szCs w:val="28"/>
        </w:rPr>
        <w:t xml:space="preserve"> </w:t>
      </w:r>
      <w:r>
        <w:rPr>
          <w:sz w:val="28"/>
          <w:szCs w:val="28"/>
        </w:rPr>
        <w:t>matter</w:t>
      </w:r>
      <w:proofErr w:type="gramEnd"/>
      <w:r>
        <w:rPr>
          <w:sz w:val="28"/>
          <w:szCs w:val="28"/>
        </w:rPr>
        <w:t xml:space="preserve"> by the Justice of the Peace Bench in Maricopa County. First, the State Bar wholeheartedly agrees, and there can be no dispute, that eviction actions in Arizona are “statutory summary proceedings and the statutes establishing them govern their scope and procedure.” Rule 2, RPEA</w:t>
      </w:r>
      <w:r w:rsidR="006A7A5F">
        <w:rPr>
          <w:sz w:val="28"/>
          <w:szCs w:val="28"/>
        </w:rPr>
        <w:t xml:space="preserve"> </w:t>
      </w:r>
      <w:r>
        <w:rPr>
          <w:sz w:val="28"/>
          <w:szCs w:val="28"/>
        </w:rPr>
        <w:t>(Construction of Rules)</w:t>
      </w:r>
      <w:r w:rsidR="00E318EB">
        <w:rPr>
          <w:sz w:val="28"/>
          <w:szCs w:val="28"/>
        </w:rPr>
        <w:t>.</w:t>
      </w:r>
      <w:r>
        <w:rPr>
          <w:sz w:val="28"/>
          <w:szCs w:val="28"/>
        </w:rPr>
        <w:t xml:space="preserve"> The purpose of forcible entry and detainer actions is to provide a summary, speedy, and adequate remedy for obtaining possession of premises. </w:t>
      </w:r>
      <w:r w:rsidRPr="00630A09">
        <w:rPr>
          <w:i/>
          <w:iCs/>
          <w:sz w:val="28"/>
          <w:szCs w:val="28"/>
        </w:rPr>
        <w:t>Olds Bros. Lumber Co</w:t>
      </w:r>
      <w:r>
        <w:rPr>
          <w:sz w:val="28"/>
          <w:szCs w:val="28"/>
        </w:rPr>
        <w:t xml:space="preserve">. </w:t>
      </w:r>
      <w:r w:rsidRPr="00630A09">
        <w:rPr>
          <w:i/>
          <w:iCs/>
          <w:sz w:val="28"/>
          <w:szCs w:val="28"/>
        </w:rPr>
        <w:t>v.</w:t>
      </w:r>
      <w:r>
        <w:rPr>
          <w:sz w:val="28"/>
          <w:szCs w:val="28"/>
        </w:rPr>
        <w:t xml:space="preserve"> </w:t>
      </w:r>
      <w:r w:rsidRPr="00630A09">
        <w:rPr>
          <w:i/>
          <w:iCs/>
          <w:sz w:val="28"/>
          <w:szCs w:val="28"/>
        </w:rPr>
        <w:t>Rushing</w:t>
      </w:r>
      <w:r>
        <w:rPr>
          <w:sz w:val="28"/>
          <w:szCs w:val="28"/>
        </w:rPr>
        <w:t>, 64 Ariz.</w:t>
      </w:r>
      <w:r w:rsidR="003008C3">
        <w:rPr>
          <w:sz w:val="28"/>
          <w:szCs w:val="28"/>
        </w:rPr>
        <w:t xml:space="preserve"> </w:t>
      </w:r>
      <w:r>
        <w:rPr>
          <w:sz w:val="28"/>
          <w:szCs w:val="28"/>
        </w:rPr>
        <w:t>199, 204-05 (1946). This objective would be “entirely frustrated if the defendant were permitted to deny his landlord’s title</w:t>
      </w:r>
      <w:r w:rsidR="00E318EB">
        <w:rPr>
          <w:sz w:val="28"/>
          <w:szCs w:val="28"/>
        </w:rPr>
        <w:t>,</w:t>
      </w:r>
      <w:r>
        <w:rPr>
          <w:sz w:val="28"/>
          <w:szCs w:val="28"/>
        </w:rPr>
        <w:t xml:space="preserve"> or to interpose customary and usual defenses permissible in the ordinary action at law</w:t>
      </w:r>
      <w:r w:rsidR="00376B23">
        <w:rPr>
          <w:sz w:val="28"/>
          <w:szCs w:val="28"/>
        </w:rPr>
        <w:t>”</w:t>
      </w:r>
      <w:r>
        <w:rPr>
          <w:sz w:val="28"/>
          <w:szCs w:val="28"/>
        </w:rPr>
        <w:t xml:space="preserve"> such as counterclaims, offsets and cross complaints. </w:t>
      </w:r>
      <w:r w:rsidRPr="00222ECB">
        <w:rPr>
          <w:i/>
          <w:iCs/>
          <w:sz w:val="28"/>
          <w:szCs w:val="28"/>
        </w:rPr>
        <w:t>Id</w:t>
      </w:r>
      <w:r w:rsidRPr="00493F24">
        <w:rPr>
          <w:i/>
          <w:iCs/>
          <w:sz w:val="28"/>
          <w:szCs w:val="28"/>
        </w:rPr>
        <w:t xml:space="preserve">. </w:t>
      </w:r>
      <w:r>
        <w:rPr>
          <w:sz w:val="28"/>
          <w:szCs w:val="28"/>
        </w:rPr>
        <w:t xml:space="preserve">at 205. </w:t>
      </w:r>
    </w:p>
    <w:p w14:paraId="3FDAE49B" w14:textId="5E203370" w:rsidR="00984C86" w:rsidRDefault="00984C86" w:rsidP="00984C86">
      <w:pPr>
        <w:pStyle w:val="Body"/>
        <w:widowControl w:val="0"/>
        <w:spacing w:line="480" w:lineRule="auto"/>
        <w:ind w:firstLine="0"/>
        <w:jc w:val="both"/>
        <w:rPr>
          <w:sz w:val="28"/>
          <w:szCs w:val="28"/>
        </w:rPr>
      </w:pPr>
      <w:r>
        <w:rPr>
          <w:sz w:val="28"/>
          <w:szCs w:val="28"/>
        </w:rPr>
        <w:t xml:space="preserve"> </w:t>
      </w:r>
      <w:r>
        <w:rPr>
          <w:sz w:val="28"/>
          <w:szCs w:val="28"/>
        </w:rPr>
        <w:tab/>
        <w:t xml:space="preserve">Evictions actions are designed to resolve the right to possession quickly and do not include the full procedural safeguards of general civil action. </w:t>
      </w:r>
      <w:r w:rsidRPr="00630A09">
        <w:rPr>
          <w:i/>
          <w:iCs/>
          <w:sz w:val="28"/>
          <w:szCs w:val="28"/>
        </w:rPr>
        <w:t>Colonial Tr-City Ltd. Partnership v. Ben Franklin Stores, Inc.,</w:t>
      </w:r>
      <w:r>
        <w:rPr>
          <w:sz w:val="28"/>
          <w:szCs w:val="28"/>
        </w:rPr>
        <w:t xml:space="preserve"> stated: </w:t>
      </w:r>
    </w:p>
    <w:p w14:paraId="4B80D80A" w14:textId="3171C7BB" w:rsidR="00984C86" w:rsidRDefault="00984C86" w:rsidP="00984C86">
      <w:pPr>
        <w:pStyle w:val="Body"/>
        <w:widowControl w:val="0"/>
        <w:spacing w:before="240" w:after="240" w:line="240" w:lineRule="auto"/>
        <w:ind w:left="576" w:right="576" w:firstLine="0"/>
        <w:jc w:val="both"/>
        <w:rPr>
          <w:sz w:val="28"/>
          <w:szCs w:val="28"/>
        </w:rPr>
      </w:pPr>
      <w:r>
        <w:rPr>
          <w:sz w:val="28"/>
          <w:szCs w:val="28"/>
        </w:rPr>
        <w:t xml:space="preserve"> The policy behind our holding is obvious; the summary proceedings authorized by section 33-361 and the forcible entry and detainer statutes do not furnish </w:t>
      </w:r>
      <w:proofErr w:type="gramStart"/>
      <w:r>
        <w:rPr>
          <w:sz w:val="28"/>
          <w:szCs w:val="28"/>
        </w:rPr>
        <w:t>all of</w:t>
      </w:r>
      <w:proofErr w:type="gramEnd"/>
      <w:r>
        <w:rPr>
          <w:sz w:val="28"/>
          <w:szCs w:val="28"/>
        </w:rPr>
        <w:t xml:space="preserve"> the procedural safeguards provided in a general civil action. “In order to provide an expeditious means of recovering possession, </w:t>
      </w:r>
      <w:r w:rsidR="00B632EC">
        <w:rPr>
          <w:sz w:val="28"/>
          <w:szCs w:val="28"/>
        </w:rPr>
        <w:t>the [</w:t>
      </w:r>
      <w:r>
        <w:rPr>
          <w:sz w:val="28"/>
          <w:szCs w:val="28"/>
        </w:rPr>
        <w:t>forcible entry and detainer] statutes provide for streamlined procedures.” 2 Richard R. Powell, Powell on Real Property § 246(3) (1993). “Notice periods are short, pleadings are restricted, triable issues are limited, discovery is general unavailable, and the judgment is promptly operative.”</w:t>
      </w:r>
      <w:r w:rsidRPr="00015F76">
        <w:rPr>
          <w:i/>
          <w:iCs/>
          <w:sz w:val="28"/>
          <w:szCs w:val="28"/>
        </w:rPr>
        <w:t xml:space="preserve"> Id</w:t>
      </w:r>
      <w:r w:rsidRPr="00493F24">
        <w:rPr>
          <w:i/>
          <w:iCs/>
          <w:sz w:val="28"/>
          <w:szCs w:val="28"/>
        </w:rPr>
        <w:t xml:space="preserve">. </w:t>
      </w:r>
    </w:p>
    <w:p w14:paraId="28ECC749" w14:textId="343D6458" w:rsidR="00984C86" w:rsidRDefault="00AF61A1" w:rsidP="00984C86">
      <w:pPr>
        <w:pStyle w:val="Body"/>
        <w:widowControl w:val="0"/>
        <w:spacing w:line="480" w:lineRule="auto"/>
        <w:ind w:firstLine="0"/>
        <w:jc w:val="both"/>
        <w:rPr>
          <w:sz w:val="28"/>
          <w:szCs w:val="28"/>
        </w:rPr>
      </w:pPr>
      <w:r>
        <w:rPr>
          <w:sz w:val="28"/>
          <w:szCs w:val="28"/>
        </w:rPr>
        <w:lastRenderedPageBreak/>
        <w:t>179 Ariz. 428 433 (1993)</w:t>
      </w:r>
      <w:r w:rsidR="000A4293">
        <w:rPr>
          <w:sz w:val="28"/>
          <w:szCs w:val="28"/>
        </w:rPr>
        <w:t>.</w:t>
      </w:r>
    </w:p>
    <w:p w14:paraId="3832D4DE" w14:textId="533B176D" w:rsidR="00984C86" w:rsidRDefault="00984C86" w:rsidP="00984C86">
      <w:pPr>
        <w:pStyle w:val="Body"/>
        <w:widowControl w:val="0"/>
        <w:spacing w:line="480" w:lineRule="auto"/>
        <w:ind w:firstLine="720"/>
        <w:jc w:val="both"/>
        <w:rPr>
          <w:sz w:val="28"/>
          <w:szCs w:val="28"/>
        </w:rPr>
      </w:pPr>
      <w:r>
        <w:rPr>
          <w:sz w:val="28"/>
          <w:szCs w:val="28"/>
        </w:rPr>
        <w:t>However, the State Bar concludes that the proposed amendments may be adopted without trenching on these principles. The proposed amendments do not seek to lengthen notice provisions, to expand triable issues, to</w:t>
      </w:r>
      <w:r w:rsidR="00725FE3">
        <w:rPr>
          <w:sz w:val="28"/>
          <w:szCs w:val="28"/>
        </w:rPr>
        <w:t xml:space="preserve"> </w:t>
      </w:r>
      <w:r>
        <w:rPr>
          <w:sz w:val="28"/>
          <w:szCs w:val="28"/>
        </w:rPr>
        <w:t xml:space="preserve">authorize counterclaims, cross-claims, or offsets, to open discovery where there was none, or to protract a proceeding beyond the </w:t>
      </w:r>
      <w:r w:rsidR="007715C8">
        <w:rPr>
          <w:sz w:val="28"/>
          <w:szCs w:val="28"/>
        </w:rPr>
        <w:t>three</w:t>
      </w:r>
      <w:r>
        <w:rPr>
          <w:sz w:val="28"/>
          <w:szCs w:val="28"/>
        </w:rPr>
        <w:t xml:space="preserve"> days already permitted for a continuance. Instead</w:t>
      </w:r>
      <w:r w:rsidR="00B41FFD">
        <w:rPr>
          <w:sz w:val="28"/>
          <w:szCs w:val="28"/>
        </w:rPr>
        <w:t>, in place</w:t>
      </w:r>
      <w:r>
        <w:rPr>
          <w:sz w:val="28"/>
          <w:szCs w:val="28"/>
        </w:rPr>
        <w:t xml:space="preserve"> of the truncated version of Civil Rule 60(b) </w:t>
      </w:r>
      <w:r w:rsidR="00B41FFD">
        <w:rPr>
          <w:sz w:val="28"/>
          <w:szCs w:val="28"/>
        </w:rPr>
        <w:t xml:space="preserve">now </w:t>
      </w:r>
      <w:r>
        <w:rPr>
          <w:sz w:val="28"/>
          <w:szCs w:val="28"/>
        </w:rPr>
        <w:t xml:space="preserve">applicable in eviction actions, they add </w:t>
      </w:r>
      <w:r w:rsidR="00B41FFD">
        <w:rPr>
          <w:sz w:val="28"/>
          <w:szCs w:val="28"/>
        </w:rPr>
        <w:t xml:space="preserve">the entirety of the grounds </w:t>
      </w:r>
      <w:r w:rsidR="007D0C6D">
        <w:rPr>
          <w:sz w:val="28"/>
          <w:szCs w:val="28"/>
        </w:rPr>
        <w:t xml:space="preserve">available </w:t>
      </w:r>
      <w:r w:rsidR="00B41FFD">
        <w:rPr>
          <w:sz w:val="28"/>
          <w:szCs w:val="28"/>
        </w:rPr>
        <w:t xml:space="preserve">for a 60(b) motion, grounds which </w:t>
      </w:r>
      <w:r w:rsidR="000F0E5A">
        <w:rPr>
          <w:sz w:val="28"/>
          <w:szCs w:val="28"/>
        </w:rPr>
        <w:t>have traditionally been utilized</w:t>
      </w:r>
      <w:r w:rsidR="00B41FFD">
        <w:rPr>
          <w:sz w:val="28"/>
          <w:szCs w:val="28"/>
        </w:rPr>
        <w:t xml:space="preserve"> to redress </w:t>
      </w:r>
      <w:r w:rsidR="000F0E5A">
        <w:rPr>
          <w:sz w:val="28"/>
          <w:szCs w:val="28"/>
        </w:rPr>
        <w:t>a wide variety of</w:t>
      </w:r>
      <w:r w:rsidR="00B41FFD">
        <w:rPr>
          <w:sz w:val="28"/>
          <w:szCs w:val="28"/>
        </w:rPr>
        <w:t xml:space="preserve"> defects potentially invalidating a judgment. </w:t>
      </w:r>
    </w:p>
    <w:p w14:paraId="201FFEB7" w14:textId="2D6DD5C1" w:rsidR="00525C6B" w:rsidRDefault="00D86551" w:rsidP="00A209F2">
      <w:pPr>
        <w:spacing w:line="480" w:lineRule="auto"/>
        <w:ind w:firstLine="720"/>
        <w:jc w:val="both"/>
        <w:rPr>
          <w:sz w:val="28"/>
          <w:szCs w:val="28"/>
        </w:rPr>
      </w:pPr>
      <w:r w:rsidRPr="00A9258C">
        <w:rPr>
          <w:sz w:val="28"/>
          <w:szCs w:val="28"/>
        </w:rPr>
        <w:t xml:space="preserve">The Petition appears to </w:t>
      </w:r>
      <w:r w:rsidR="00EB1271" w:rsidRPr="00A9258C">
        <w:rPr>
          <w:sz w:val="28"/>
          <w:szCs w:val="28"/>
        </w:rPr>
        <w:t>meet</w:t>
      </w:r>
      <w:r w:rsidRPr="00A9258C">
        <w:rPr>
          <w:sz w:val="28"/>
          <w:szCs w:val="28"/>
        </w:rPr>
        <w:t xml:space="preserve"> the </w:t>
      </w:r>
      <w:r w:rsidR="00956BFD" w:rsidRPr="00A9258C">
        <w:rPr>
          <w:sz w:val="28"/>
          <w:szCs w:val="28"/>
        </w:rPr>
        <w:t xml:space="preserve">required </w:t>
      </w:r>
      <w:r w:rsidR="005309DF" w:rsidRPr="00A9258C">
        <w:rPr>
          <w:sz w:val="28"/>
          <w:szCs w:val="28"/>
        </w:rPr>
        <w:t>showing of need</w:t>
      </w:r>
      <w:r w:rsidR="00525C6B" w:rsidRPr="00A9258C">
        <w:rPr>
          <w:sz w:val="28"/>
          <w:szCs w:val="28"/>
        </w:rPr>
        <w:t xml:space="preserve"> </w:t>
      </w:r>
      <w:proofErr w:type="gramStart"/>
      <w:r w:rsidR="00525C6B" w:rsidRPr="00A9258C">
        <w:rPr>
          <w:sz w:val="28"/>
          <w:szCs w:val="28"/>
        </w:rPr>
        <w:t>in light of</w:t>
      </w:r>
      <w:proofErr w:type="gramEnd"/>
      <w:r w:rsidR="005309DF" w:rsidRPr="00A9258C">
        <w:rPr>
          <w:sz w:val="28"/>
          <w:szCs w:val="28"/>
        </w:rPr>
        <w:t xml:space="preserve"> the important property interests implicated when </w:t>
      </w:r>
      <w:r w:rsidR="00525C6B" w:rsidRPr="00A9258C">
        <w:rPr>
          <w:sz w:val="28"/>
          <w:szCs w:val="28"/>
        </w:rPr>
        <w:t xml:space="preserve">three of the </w:t>
      </w:r>
      <w:r w:rsidR="001965FB" w:rsidRPr="00A9258C">
        <w:rPr>
          <w:sz w:val="28"/>
          <w:szCs w:val="28"/>
        </w:rPr>
        <w:t xml:space="preserve">Rule 60(b) grounds are </w:t>
      </w:r>
      <w:r w:rsidR="00EB1271" w:rsidRPr="00A9258C">
        <w:rPr>
          <w:sz w:val="28"/>
          <w:szCs w:val="28"/>
        </w:rPr>
        <w:t>for</w:t>
      </w:r>
      <w:r w:rsidR="00B716D0" w:rsidRPr="00A9258C">
        <w:rPr>
          <w:sz w:val="28"/>
          <w:szCs w:val="28"/>
        </w:rPr>
        <w:t>e</w:t>
      </w:r>
      <w:r w:rsidR="00EB1271" w:rsidRPr="00A9258C">
        <w:rPr>
          <w:sz w:val="28"/>
          <w:szCs w:val="28"/>
        </w:rPr>
        <w:t>closed to</w:t>
      </w:r>
      <w:r w:rsidR="001965FB" w:rsidRPr="00A9258C">
        <w:rPr>
          <w:sz w:val="28"/>
          <w:szCs w:val="28"/>
        </w:rPr>
        <w:t xml:space="preserve"> eviction litigants as under the current rule. </w:t>
      </w:r>
      <w:r w:rsidR="00525C6B" w:rsidRPr="00A9258C">
        <w:rPr>
          <w:sz w:val="28"/>
          <w:szCs w:val="28"/>
        </w:rPr>
        <w:t xml:space="preserve">Eviction proceedings have grave consequences </w:t>
      </w:r>
      <w:proofErr w:type="gramStart"/>
      <w:r w:rsidR="00525C6B" w:rsidRPr="00A9258C">
        <w:rPr>
          <w:sz w:val="28"/>
          <w:szCs w:val="28"/>
        </w:rPr>
        <w:t>to</w:t>
      </w:r>
      <w:proofErr w:type="gramEnd"/>
      <w:r w:rsidR="00525C6B" w:rsidRPr="00A9258C">
        <w:rPr>
          <w:sz w:val="28"/>
          <w:szCs w:val="28"/>
        </w:rPr>
        <w:t xml:space="preserve"> both parties, each of whom have property interests subject to constitutional </w:t>
      </w:r>
      <w:r w:rsidR="00A602E1" w:rsidRPr="00A9258C">
        <w:rPr>
          <w:sz w:val="28"/>
          <w:szCs w:val="28"/>
        </w:rPr>
        <w:t>d</w:t>
      </w:r>
      <w:r w:rsidR="00525C6B" w:rsidRPr="00A9258C">
        <w:rPr>
          <w:sz w:val="28"/>
          <w:szCs w:val="28"/>
        </w:rPr>
        <w:t xml:space="preserve">ue </w:t>
      </w:r>
      <w:r w:rsidR="00A602E1" w:rsidRPr="00A9258C">
        <w:rPr>
          <w:sz w:val="28"/>
          <w:szCs w:val="28"/>
        </w:rPr>
        <w:t>p</w:t>
      </w:r>
      <w:r w:rsidR="00525C6B" w:rsidRPr="00A9258C">
        <w:rPr>
          <w:sz w:val="28"/>
          <w:szCs w:val="28"/>
        </w:rPr>
        <w:t>rocess safeguards. Motions for relief from judgments, orders, and proceedings in eviction actions should include the available bases for relief</w:t>
      </w:r>
      <w:r w:rsidR="00E42F03">
        <w:rPr>
          <w:sz w:val="28"/>
          <w:szCs w:val="28"/>
        </w:rPr>
        <w:t>,</w:t>
      </w:r>
      <w:r w:rsidR="00525C6B" w:rsidRPr="00A9258C">
        <w:rPr>
          <w:sz w:val="28"/>
          <w:szCs w:val="28"/>
        </w:rPr>
        <w:t xml:space="preserve"> and the associated case law</w:t>
      </w:r>
      <w:r w:rsidR="00E42F03">
        <w:rPr>
          <w:sz w:val="28"/>
          <w:szCs w:val="28"/>
        </w:rPr>
        <w:t>,</w:t>
      </w:r>
      <w:r w:rsidR="00525C6B" w:rsidRPr="00A9258C">
        <w:rPr>
          <w:sz w:val="28"/>
          <w:szCs w:val="28"/>
        </w:rPr>
        <w:t xml:space="preserve"> for similar motions in other civil litigation.  </w:t>
      </w:r>
      <w:r w:rsidR="00A209F2" w:rsidRPr="00A9258C">
        <w:rPr>
          <w:sz w:val="28"/>
          <w:szCs w:val="28"/>
        </w:rPr>
        <w:t>The following</w:t>
      </w:r>
      <w:r w:rsidR="00DB14CF" w:rsidRPr="00A9258C">
        <w:rPr>
          <w:sz w:val="28"/>
          <w:szCs w:val="28"/>
        </w:rPr>
        <w:t xml:space="preserve"> are </w:t>
      </w:r>
      <w:r w:rsidR="009D52FB" w:rsidRPr="00A9258C">
        <w:rPr>
          <w:sz w:val="28"/>
          <w:szCs w:val="28"/>
        </w:rPr>
        <w:t xml:space="preserve">concrete </w:t>
      </w:r>
      <w:r w:rsidR="00DB14CF" w:rsidRPr="00A9258C">
        <w:rPr>
          <w:sz w:val="28"/>
          <w:szCs w:val="28"/>
        </w:rPr>
        <w:t xml:space="preserve">examples </w:t>
      </w:r>
      <w:r w:rsidR="002C579C" w:rsidRPr="00A9258C">
        <w:rPr>
          <w:sz w:val="28"/>
          <w:szCs w:val="28"/>
        </w:rPr>
        <w:t xml:space="preserve">of the need for the additional grounds </w:t>
      </w:r>
      <w:r w:rsidR="00D13A3A" w:rsidRPr="00A9258C">
        <w:rPr>
          <w:sz w:val="28"/>
          <w:szCs w:val="28"/>
        </w:rPr>
        <w:t xml:space="preserve">proposed </w:t>
      </w:r>
      <w:r w:rsidR="00A7114D" w:rsidRPr="00A9258C">
        <w:rPr>
          <w:sz w:val="28"/>
          <w:szCs w:val="28"/>
        </w:rPr>
        <w:t>as</w:t>
      </w:r>
      <w:r w:rsidR="00D13A3A" w:rsidRPr="00A9258C">
        <w:rPr>
          <w:sz w:val="28"/>
          <w:szCs w:val="28"/>
        </w:rPr>
        <w:t xml:space="preserve"> Rule 15</w:t>
      </w:r>
      <w:r w:rsidR="00B716D0" w:rsidRPr="00A9258C">
        <w:rPr>
          <w:sz w:val="28"/>
          <w:szCs w:val="28"/>
        </w:rPr>
        <w:t xml:space="preserve"> (11), (12), and (13)</w:t>
      </w:r>
      <w:r w:rsidR="00525C6B" w:rsidRPr="00A9258C">
        <w:rPr>
          <w:sz w:val="28"/>
          <w:szCs w:val="28"/>
        </w:rPr>
        <w:t xml:space="preserve">: </w:t>
      </w:r>
    </w:p>
    <w:p w14:paraId="525E4221" w14:textId="77777777" w:rsidR="00B632EC" w:rsidRDefault="00B632EC" w:rsidP="00A209F2">
      <w:pPr>
        <w:spacing w:line="480" w:lineRule="auto"/>
        <w:ind w:firstLine="720"/>
        <w:jc w:val="both"/>
        <w:rPr>
          <w:sz w:val="28"/>
          <w:szCs w:val="28"/>
        </w:rPr>
      </w:pPr>
    </w:p>
    <w:p w14:paraId="7F241556" w14:textId="43130515" w:rsidR="00836AF2" w:rsidRPr="00F1476D" w:rsidRDefault="001F4FFE" w:rsidP="00A209F2">
      <w:pPr>
        <w:pStyle w:val="ListParagraph"/>
        <w:spacing w:line="480" w:lineRule="auto"/>
        <w:ind w:left="0" w:firstLine="720"/>
        <w:rPr>
          <w:rFonts w:eastAsia="Times New Roman"/>
          <w:b/>
          <w:bCs/>
          <w:sz w:val="28"/>
          <w:szCs w:val="28"/>
        </w:rPr>
      </w:pPr>
      <w:r w:rsidRPr="00F1476D">
        <w:rPr>
          <w:rFonts w:ascii="Times New Roman" w:eastAsia="Times New Roman" w:hAnsi="Times New Roman" w:cs="Times New Roman"/>
          <w:b/>
          <w:bCs/>
          <w:sz w:val="28"/>
          <w:szCs w:val="28"/>
        </w:rPr>
        <w:lastRenderedPageBreak/>
        <w:t xml:space="preserve">Examples </w:t>
      </w:r>
      <w:r w:rsidR="007C5E13" w:rsidRPr="00F1476D">
        <w:rPr>
          <w:rFonts w:ascii="Times New Roman" w:eastAsia="Times New Roman" w:hAnsi="Times New Roman" w:cs="Times New Roman"/>
          <w:b/>
          <w:bCs/>
          <w:sz w:val="28"/>
          <w:szCs w:val="28"/>
        </w:rPr>
        <w:t>of need for</w:t>
      </w:r>
      <w:r w:rsidRPr="00F1476D">
        <w:rPr>
          <w:rFonts w:ascii="Times New Roman" w:eastAsia="Times New Roman" w:hAnsi="Times New Roman" w:cs="Times New Roman"/>
          <w:b/>
          <w:bCs/>
          <w:sz w:val="28"/>
          <w:szCs w:val="28"/>
        </w:rPr>
        <w:t xml:space="preserve"> </w:t>
      </w:r>
      <w:r w:rsidR="00755281" w:rsidRPr="00F1476D">
        <w:rPr>
          <w:rFonts w:ascii="Times New Roman" w:eastAsia="Times New Roman" w:hAnsi="Times New Roman" w:cs="Times New Roman"/>
          <w:b/>
          <w:bCs/>
          <w:sz w:val="28"/>
          <w:szCs w:val="28"/>
        </w:rPr>
        <w:t>p</w:t>
      </w:r>
      <w:r w:rsidR="00046644" w:rsidRPr="00F1476D">
        <w:rPr>
          <w:rFonts w:ascii="Times New Roman" w:eastAsia="Times New Roman" w:hAnsi="Times New Roman" w:cs="Times New Roman"/>
          <w:b/>
          <w:bCs/>
          <w:sz w:val="28"/>
          <w:szCs w:val="28"/>
        </w:rPr>
        <w:t>roposed Rule 15(11)</w:t>
      </w:r>
      <w:r w:rsidR="005F55FE" w:rsidRPr="00F1476D">
        <w:rPr>
          <w:rFonts w:ascii="Times New Roman" w:eastAsia="Times New Roman" w:hAnsi="Times New Roman" w:cs="Times New Roman"/>
          <w:b/>
          <w:bCs/>
          <w:sz w:val="28"/>
          <w:szCs w:val="28"/>
        </w:rPr>
        <w:t xml:space="preserve"> [Source: </w:t>
      </w:r>
      <w:r w:rsidR="0062278B" w:rsidRPr="00F1476D">
        <w:rPr>
          <w:rFonts w:ascii="Times New Roman" w:eastAsia="Times New Roman" w:hAnsi="Times New Roman" w:cs="Times New Roman"/>
          <w:b/>
          <w:bCs/>
          <w:sz w:val="28"/>
          <w:szCs w:val="28"/>
        </w:rPr>
        <w:t xml:space="preserve">Civil </w:t>
      </w:r>
      <w:r w:rsidR="00525C6B" w:rsidRPr="00F1476D">
        <w:rPr>
          <w:rFonts w:ascii="Times New Roman" w:eastAsia="Times New Roman" w:hAnsi="Times New Roman" w:cs="Times New Roman"/>
          <w:b/>
          <w:bCs/>
          <w:sz w:val="28"/>
          <w:szCs w:val="28"/>
        </w:rPr>
        <w:t>Rule 60(b)(4)</w:t>
      </w:r>
      <w:r w:rsidR="005F55FE" w:rsidRPr="00F1476D">
        <w:rPr>
          <w:rFonts w:ascii="Times New Roman" w:eastAsia="Times New Roman" w:hAnsi="Times New Roman" w:cs="Times New Roman"/>
          <w:b/>
          <w:bCs/>
          <w:sz w:val="28"/>
          <w:szCs w:val="28"/>
        </w:rPr>
        <w:t>]</w:t>
      </w:r>
    </w:p>
    <w:p w14:paraId="48C2D292" w14:textId="29C939D7" w:rsidR="001B0F0A" w:rsidRPr="00F1476D" w:rsidRDefault="00FE5B79" w:rsidP="00B632EC">
      <w:pPr>
        <w:pStyle w:val="ListParagraph"/>
        <w:spacing w:line="480" w:lineRule="auto"/>
        <w:ind w:left="0"/>
        <w:jc w:val="both"/>
        <w:rPr>
          <w:rFonts w:eastAsia="Times New Roman"/>
          <w:sz w:val="28"/>
          <w:szCs w:val="28"/>
        </w:rPr>
      </w:pPr>
      <w:r>
        <w:rPr>
          <w:rFonts w:ascii="Times New Roman" w:hAnsi="Times New Roman" w:cs="Times New Roman"/>
          <w:sz w:val="26"/>
          <w:szCs w:val="26"/>
        </w:rPr>
        <w:tab/>
      </w:r>
      <w:r w:rsidR="00525C6B" w:rsidRPr="00F1476D">
        <w:rPr>
          <w:rStyle w:val="user-highlighted-active"/>
          <w:rFonts w:ascii="Times New Roman" w:eastAsia="Times New Roman" w:hAnsi="Times New Roman" w:cs="Times New Roman"/>
          <w:color w:val="333333"/>
          <w:sz w:val="28"/>
          <w:szCs w:val="28"/>
          <w:shd w:val="clear" w:color="auto" w:fill="FFFFFF"/>
        </w:rPr>
        <w:t>A judgment or order is</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3A70C2">
        <w:rPr>
          <w:rStyle w:val="ldml-quotation"/>
          <w:rFonts w:ascii="Times New Roman" w:eastAsia="Times New Roman" w:hAnsi="Times New Roman" w:cs="Times New Roman"/>
          <w:color w:val="333333"/>
          <w:sz w:val="28"/>
          <w:szCs w:val="28"/>
          <w:shd w:val="clear" w:color="auto" w:fill="FFFFFF"/>
        </w:rPr>
        <w:t>“</w:t>
      </w:r>
      <w:r w:rsidR="00525C6B" w:rsidRPr="00F1476D">
        <w:rPr>
          <w:rStyle w:val="ldml-quotation"/>
          <w:rFonts w:ascii="Times New Roman" w:eastAsia="Times New Roman" w:hAnsi="Times New Roman" w:cs="Times New Roman"/>
          <w:color w:val="333333"/>
          <w:sz w:val="28"/>
          <w:szCs w:val="28"/>
          <w:shd w:val="clear" w:color="auto" w:fill="FFFFFF"/>
        </w:rPr>
        <w:t>void</w:t>
      </w:r>
      <w:r w:rsidR="003A70C2">
        <w:rPr>
          <w:rStyle w:val="ldml-quotation"/>
          <w:rFonts w:ascii="Times New Roman" w:eastAsia="Times New Roman" w:hAnsi="Times New Roman" w:cs="Times New Roman"/>
          <w:color w:val="333333"/>
          <w:sz w:val="28"/>
          <w:szCs w:val="28"/>
          <w:shd w:val="clear" w:color="auto" w:fill="FFFFFF"/>
        </w:rPr>
        <w:t>”</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user-highlighted-active"/>
          <w:rFonts w:ascii="Times New Roman" w:eastAsia="Times New Roman" w:hAnsi="Times New Roman" w:cs="Times New Roman"/>
          <w:color w:val="333333"/>
          <w:sz w:val="28"/>
          <w:szCs w:val="28"/>
          <w:shd w:val="clear" w:color="auto" w:fill="FFFFFF"/>
        </w:rPr>
        <w:t>if</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ldml-entity"/>
          <w:rFonts w:ascii="Times New Roman" w:eastAsia="Times New Roman" w:hAnsi="Times New Roman" w:cs="Times New Roman"/>
          <w:color w:val="333333"/>
          <w:sz w:val="28"/>
          <w:szCs w:val="28"/>
          <w:shd w:val="clear" w:color="auto" w:fill="FFFFFF"/>
        </w:rPr>
        <w:t>the</w:t>
      </w:r>
      <w:r w:rsidR="00E5165B" w:rsidRPr="00F1476D">
        <w:rPr>
          <w:rStyle w:val="ldml-entity"/>
          <w:rFonts w:ascii="Times New Roman" w:eastAsia="Times New Roman" w:hAnsi="Times New Roman" w:cs="Times New Roman"/>
          <w:color w:val="333333"/>
          <w:sz w:val="28"/>
          <w:szCs w:val="28"/>
          <w:shd w:val="clear" w:color="auto" w:fill="FFFFFF"/>
        </w:rPr>
        <w:t xml:space="preserve"> </w:t>
      </w:r>
      <w:r w:rsidR="00525C6B" w:rsidRPr="00F1476D">
        <w:rPr>
          <w:rStyle w:val="ldml-entity"/>
          <w:rFonts w:ascii="Times New Roman" w:eastAsia="Times New Roman" w:hAnsi="Times New Roman" w:cs="Times New Roman"/>
          <w:color w:val="333333"/>
          <w:sz w:val="28"/>
          <w:szCs w:val="28"/>
          <w:shd w:val="clear" w:color="auto" w:fill="FFFFFF"/>
        </w:rPr>
        <w:t>court</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user-highlighted-active"/>
          <w:rFonts w:ascii="Times New Roman" w:eastAsia="Times New Roman" w:hAnsi="Times New Roman" w:cs="Times New Roman"/>
          <w:color w:val="333333"/>
          <w:sz w:val="28"/>
          <w:szCs w:val="28"/>
          <w:shd w:val="clear" w:color="auto" w:fill="FFFFFF"/>
        </w:rPr>
        <w:t>entering it lacked jurisdiction:</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ldml-parenthetical"/>
          <w:rFonts w:ascii="Times New Roman" w:eastAsia="Times New Roman" w:hAnsi="Times New Roman" w:cs="Times New Roman"/>
          <w:color w:val="333333"/>
          <w:sz w:val="28"/>
          <w:szCs w:val="28"/>
          <w:shd w:val="clear" w:color="auto" w:fill="FFFFFF"/>
        </w:rPr>
        <w:t>(1)</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user-highlighted-active"/>
          <w:rFonts w:ascii="Times New Roman" w:eastAsia="Times New Roman" w:hAnsi="Times New Roman" w:cs="Times New Roman"/>
          <w:color w:val="333333"/>
          <w:sz w:val="28"/>
          <w:szCs w:val="28"/>
          <w:shd w:val="clear" w:color="auto" w:fill="FFFFFF"/>
        </w:rPr>
        <w:t>over the subject matter,</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ldml-parenthetical"/>
          <w:rFonts w:ascii="Times New Roman" w:eastAsia="Times New Roman" w:hAnsi="Times New Roman" w:cs="Times New Roman"/>
          <w:color w:val="333333"/>
          <w:sz w:val="28"/>
          <w:szCs w:val="28"/>
          <w:shd w:val="clear" w:color="auto" w:fill="FFFFFF"/>
        </w:rPr>
        <w:t>(2)</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user-highlighted-active"/>
          <w:rFonts w:ascii="Times New Roman" w:eastAsia="Times New Roman" w:hAnsi="Times New Roman" w:cs="Times New Roman"/>
          <w:color w:val="333333"/>
          <w:sz w:val="28"/>
          <w:szCs w:val="28"/>
          <w:shd w:val="clear" w:color="auto" w:fill="FFFFFF"/>
        </w:rPr>
        <w:t>over the person involved, or</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ldml-parenthetical"/>
          <w:rFonts w:ascii="Times New Roman" w:eastAsia="Times New Roman" w:hAnsi="Times New Roman" w:cs="Times New Roman"/>
          <w:color w:val="333333"/>
          <w:sz w:val="28"/>
          <w:szCs w:val="28"/>
          <w:shd w:val="clear" w:color="auto" w:fill="FFFFFF"/>
        </w:rPr>
        <w:t>(3)</w:t>
      </w:r>
      <w:r w:rsidR="00B632EC">
        <w:rPr>
          <w:rStyle w:val="user-highlighted-active"/>
          <w:rFonts w:ascii="Times New Roman" w:eastAsia="Times New Roman" w:hAnsi="Times New Roman" w:cs="Times New Roman"/>
          <w:color w:val="333333"/>
          <w:sz w:val="28"/>
          <w:szCs w:val="28"/>
          <w:shd w:val="clear" w:color="auto" w:fill="FFFFFF"/>
        </w:rPr>
        <w:t xml:space="preserve"> </w:t>
      </w:r>
      <w:r w:rsidR="00525C6B" w:rsidRPr="00F1476D">
        <w:rPr>
          <w:rStyle w:val="user-highlighted-active"/>
          <w:rFonts w:ascii="Times New Roman" w:eastAsia="Times New Roman" w:hAnsi="Times New Roman" w:cs="Times New Roman"/>
          <w:color w:val="333333"/>
          <w:sz w:val="28"/>
          <w:szCs w:val="28"/>
          <w:shd w:val="clear" w:color="auto" w:fill="FFFFFF"/>
        </w:rPr>
        <w:t xml:space="preserve">to render the </w:t>
      </w:r>
      <w:proofErr w:type="gramStart"/>
      <w:r w:rsidR="00525C6B" w:rsidRPr="00F1476D">
        <w:rPr>
          <w:rStyle w:val="user-highlighted-active"/>
          <w:rFonts w:ascii="Times New Roman" w:eastAsia="Times New Roman" w:hAnsi="Times New Roman" w:cs="Times New Roman"/>
          <w:color w:val="333333"/>
          <w:sz w:val="28"/>
          <w:szCs w:val="28"/>
          <w:shd w:val="clear" w:color="auto" w:fill="FFFFFF"/>
        </w:rPr>
        <w:t>particular judgment</w:t>
      </w:r>
      <w:proofErr w:type="gramEnd"/>
      <w:r w:rsidR="00525C6B" w:rsidRPr="00F1476D">
        <w:rPr>
          <w:rStyle w:val="user-highlighted-active"/>
          <w:rFonts w:ascii="Times New Roman" w:eastAsia="Times New Roman" w:hAnsi="Times New Roman" w:cs="Times New Roman"/>
          <w:color w:val="333333"/>
          <w:sz w:val="28"/>
          <w:szCs w:val="28"/>
          <w:shd w:val="clear" w:color="auto" w:fill="FFFFFF"/>
        </w:rPr>
        <w:t xml:space="preserve"> or order entered.</w:t>
      </w:r>
      <w:r w:rsidR="00B632EC">
        <w:rPr>
          <w:rFonts w:ascii="Times New Roman" w:eastAsia="Times New Roman" w:hAnsi="Times New Roman" w:cs="Times New Roman"/>
          <w:sz w:val="28"/>
          <w:szCs w:val="28"/>
        </w:rPr>
        <w:t xml:space="preserve"> </w:t>
      </w:r>
      <w:r w:rsidR="00525C6B" w:rsidRPr="00F1476D">
        <w:rPr>
          <w:rFonts w:ascii="Times New Roman" w:eastAsia="Times New Roman" w:hAnsi="Times New Roman" w:cs="Times New Roman"/>
          <w:i/>
          <w:iCs/>
          <w:sz w:val="28"/>
          <w:szCs w:val="28"/>
        </w:rPr>
        <w:t>Martin v. Martin</w:t>
      </w:r>
      <w:r w:rsidR="00525C6B" w:rsidRPr="00F1476D">
        <w:rPr>
          <w:rFonts w:ascii="Times New Roman" w:eastAsia="Times New Roman" w:hAnsi="Times New Roman" w:cs="Times New Roman"/>
          <w:sz w:val="28"/>
          <w:szCs w:val="28"/>
        </w:rPr>
        <w:t>, 182 Ariz. 11 (Ariz. Ct. App. 1994) (citing</w:t>
      </w:r>
      <w:r w:rsidR="00B632EC">
        <w:rPr>
          <w:rFonts w:ascii="Times New Roman" w:eastAsia="Times New Roman" w:hAnsi="Times New Roman" w:cs="Times New Roman"/>
          <w:sz w:val="28"/>
          <w:szCs w:val="28"/>
        </w:rPr>
        <w:t xml:space="preserve"> </w:t>
      </w:r>
      <w:r w:rsidR="00525C6B" w:rsidRPr="003008C3">
        <w:rPr>
          <w:rStyle w:val="ldml-refname"/>
          <w:rFonts w:ascii="Times New Roman" w:eastAsia="Times New Roman" w:hAnsi="Times New Roman" w:cs="Times New Roman"/>
          <w:i/>
          <w:iCs/>
          <w:color w:val="000000"/>
          <w:sz w:val="28"/>
          <w:szCs w:val="28"/>
          <w:shd w:val="clear" w:color="auto" w:fill="F8F9FA"/>
        </w:rPr>
        <w:t xml:space="preserve">Matter of Adoption of </w:t>
      </w:r>
      <w:proofErr w:type="spellStart"/>
      <w:r w:rsidR="00525C6B" w:rsidRPr="003008C3">
        <w:rPr>
          <w:rStyle w:val="ldml-refname"/>
          <w:rFonts w:ascii="Times New Roman" w:eastAsia="Times New Roman" w:hAnsi="Times New Roman" w:cs="Times New Roman"/>
          <w:i/>
          <w:iCs/>
          <w:color w:val="000000"/>
          <w:sz w:val="28"/>
          <w:szCs w:val="28"/>
          <w:shd w:val="clear" w:color="auto" w:fill="F8F9FA"/>
        </w:rPr>
        <w:t>Hadtrath</w:t>
      </w:r>
      <w:proofErr w:type="spellEnd"/>
      <w:r w:rsidR="00525C6B" w:rsidRPr="003008C3">
        <w:rPr>
          <w:rStyle w:val="user-highlighted-active"/>
          <w:rFonts w:ascii="Times New Roman" w:eastAsia="Times New Roman" w:hAnsi="Times New Roman" w:cs="Times New Roman"/>
          <w:color w:val="000000"/>
          <w:sz w:val="28"/>
          <w:szCs w:val="28"/>
          <w:shd w:val="clear" w:color="auto" w:fill="F8F9FA"/>
        </w:rPr>
        <w:t>,</w:t>
      </w:r>
      <w:r w:rsidR="00B632EC">
        <w:rPr>
          <w:rStyle w:val="user-highlighted-active"/>
          <w:rFonts w:ascii="Times New Roman" w:eastAsia="Times New Roman" w:hAnsi="Times New Roman" w:cs="Times New Roman"/>
          <w:color w:val="000000"/>
          <w:sz w:val="28"/>
          <w:szCs w:val="28"/>
          <w:shd w:val="clear" w:color="auto" w:fill="F8F9FA"/>
        </w:rPr>
        <w:t xml:space="preserve"> </w:t>
      </w:r>
      <w:r w:rsidR="00525C6B" w:rsidRPr="003008C3">
        <w:rPr>
          <w:rStyle w:val="ldml-cite"/>
          <w:rFonts w:ascii="Times New Roman" w:eastAsia="Times New Roman" w:hAnsi="Times New Roman" w:cs="Times New Roman"/>
          <w:color w:val="000000"/>
          <w:sz w:val="28"/>
          <w:szCs w:val="28"/>
          <w:shd w:val="clear" w:color="auto" w:fill="F8F9FA"/>
        </w:rPr>
        <w:t xml:space="preserve">121 Ariz. 606, </w:t>
      </w:r>
      <w:r w:rsidR="00B632EC" w:rsidRPr="003008C3">
        <w:rPr>
          <w:rStyle w:val="ldml-cite"/>
          <w:rFonts w:ascii="Times New Roman" w:eastAsia="Times New Roman" w:hAnsi="Times New Roman" w:cs="Times New Roman"/>
          <w:color w:val="000000"/>
          <w:sz w:val="28"/>
          <w:szCs w:val="28"/>
          <w:shd w:val="clear" w:color="auto" w:fill="F8F9FA"/>
        </w:rPr>
        <w:t>608</w:t>
      </w:r>
      <w:r w:rsidR="00B632EC" w:rsidRPr="003008C3">
        <w:rPr>
          <w:rStyle w:val="user-highlighted-active"/>
          <w:rFonts w:ascii="Times New Roman" w:eastAsia="Times New Roman" w:hAnsi="Times New Roman" w:cs="Times New Roman"/>
          <w:color w:val="000000"/>
          <w:sz w:val="28"/>
          <w:szCs w:val="28"/>
          <w:shd w:val="clear" w:color="auto" w:fill="F8F9FA"/>
        </w:rPr>
        <w:t>, (</w:t>
      </w:r>
      <w:r w:rsidR="00525C6B" w:rsidRPr="003008C3">
        <w:rPr>
          <w:rStyle w:val="ldml-date"/>
          <w:rFonts w:ascii="Times New Roman" w:eastAsia="Times New Roman" w:hAnsi="Times New Roman" w:cs="Times New Roman"/>
          <w:color w:val="000000"/>
          <w:sz w:val="28"/>
          <w:szCs w:val="28"/>
          <w:shd w:val="clear" w:color="auto" w:fill="F8F9FA"/>
        </w:rPr>
        <w:t>1979</w:t>
      </w:r>
      <w:r w:rsidR="00525C6B" w:rsidRPr="00F1476D">
        <w:rPr>
          <w:rStyle w:val="user-highlighted-active"/>
          <w:rFonts w:ascii="Times New Roman" w:eastAsia="Times New Roman" w:hAnsi="Times New Roman" w:cs="Times New Roman"/>
          <w:color w:val="000000"/>
          <w:sz w:val="28"/>
          <w:szCs w:val="28"/>
          <w:shd w:val="clear" w:color="auto" w:fill="F8F9FA"/>
        </w:rPr>
        <w:t>)</w:t>
      </w:r>
      <w:r w:rsidR="00525C6B" w:rsidRPr="00F1476D">
        <w:rPr>
          <w:rStyle w:val="user-highlighted-active"/>
          <w:rFonts w:ascii="Times New Roman" w:eastAsia="Times New Roman" w:hAnsi="Times New Roman" w:cs="Times New Roman"/>
          <w:color w:val="000000"/>
          <w:sz w:val="28"/>
          <w:szCs w:val="28"/>
          <w:shd w:val="clear" w:color="auto" w:fill="FFFFFF"/>
        </w:rPr>
        <w:t>).</w:t>
      </w:r>
      <w:r w:rsidR="00525C6B" w:rsidRPr="00F1476D">
        <w:rPr>
          <w:rStyle w:val="user-highlighted-active"/>
          <w:rFonts w:ascii="Times New Roman" w:eastAsia="Times New Roman" w:hAnsi="Times New Roman" w:cs="Times New Roman"/>
          <w:sz w:val="28"/>
          <w:szCs w:val="28"/>
        </w:rPr>
        <w:t xml:space="preserve"> Plaintiffs in summary forcible entry and detainer actions governed by statute </w:t>
      </w:r>
      <w:r w:rsidR="00525C6B" w:rsidRPr="00F1476D">
        <w:rPr>
          <w:rStyle w:val="user-highlighted-active"/>
          <w:rFonts w:ascii="Times New Roman" w:eastAsia="Times New Roman" w:hAnsi="Times New Roman" w:cs="Times New Roman"/>
          <w:b/>
          <w:bCs/>
          <w:i/>
          <w:iCs/>
          <w:sz w:val="28"/>
          <w:szCs w:val="28"/>
        </w:rPr>
        <w:t>must comply strictly with the statutory procedures outlined</w:t>
      </w:r>
      <w:r w:rsidR="00525C6B" w:rsidRPr="00F1476D">
        <w:rPr>
          <w:rStyle w:val="user-highlighted-active"/>
          <w:rFonts w:ascii="Times New Roman" w:eastAsia="Times New Roman" w:hAnsi="Times New Roman" w:cs="Times New Roman"/>
          <w:sz w:val="28"/>
          <w:szCs w:val="28"/>
        </w:rPr>
        <w:t>.</w:t>
      </w:r>
      <w:r w:rsidR="00B632EC">
        <w:rPr>
          <w:rStyle w:val="user-highlighted-active"/>
          <w:rFonts w:ascii="Times New Roman" w:eastAsia="Times New Roman" w:hAnsi="Times New Roman" w:cs="Times New Roman"/>
          <w:sz w:val="28"/>
          <w:szCs w:val="28"/>
        </w:rPr>
        <w:t xml:space="preserve"> </w:t>
      </w:r>
      <w:r w:rsidR="00525C6B" w:rsidRPr="00F1476D">
        <w:rPr>
          <w:rStyle w:val="user-highlighted-active"/>
          <w:rFonts w:ascii="Times New Roman" w:eastAsia="Times New Roman" w:hAnsi="Times New Roman" w:cs="Times New Roman"/>
          <w:i/>
          <w:iCs/>
          <w:sz w:val="28"/>
          <w:szCs w:val="28"/>
        </w:rPr>
        <w:t>Tweed v. Guild</w:t>
      </w:r>
      <w:r w:rsidR="00525C6B" w:rsidRPr="00F1476D">
        <w:rPr>
          <w:rStyle w:val="user-highlighted-active"/>
          <w:rFonts w:ascii="Times New Roman" w:eastAsia="Times New Roman" w:hAnsi="Times New Roman" w:cs="Times New Roman"/>
          <w:sz w:val="28"/>
          <w:szCs w:val="28"/>
        </w:rPr>
        <w:t>, 2 Ariz. 207 (Ariz. 1886).</w:t>
      </w:r>
      <w:r w:rsidR="00B632EC">
        <w:rPr>
          <w:rStyle w:val="user-highlighted-active"/>
          <w:rFonts w:ascii="Times New Roman" w:eastAsia="Times New Roman" w:hAnsi="Times New Roman" w:cs="Times New Roman"/>
          <w:sz w:val="28"/>
          <w:szCs w:val="28"/>
        </w:rPr>
        <w:t xml:space="preserve"> </w:t>
      </w:r>
      <w:r w:rsidR="00525C6B" w:rsidRPr="00F1476D">
        <w:rPr>
          <w:rStyle w:val="user-highlighted-active"/>
          <w:rFonts w:ascii="Times New Roman" w:eastAsia="Times New Roman" w:hAnsi="Times New Roman" w:cs="Times New Roman"/>
          <w:sz w:val="28"/>
          <w:szCs w:val="28"/>
        </w:rPr>
        <w:t xml:space="preserve"> In </w:t>
      </w:r>
      <w:r w:rsidR="00525C6B" w:rsidRPr="00F1476D">
        <w:rPr>
          <w:rStyle w:val="user-highlighted-active"/>
          <w:rFonts w:ascii="Times New Roman" w:eastAsia="Times New Roman" w:hAnsi="Times New Roman" w:cs="Times New Roman"/>
          <w:i/>
          <w:iCs/>
          <w:sz w:val="28"/>
          <w:szCs w:val="28"/>
        </w:rPr>
        <w:t>Tweed v. Guild</w:t>
      </w:r>
      <w:r w:rsidR="00525C6B" w:rsidRPr="00F1476D">
        <w:rPr>
          <w:rStyle w:val="user-highlighted-active"/>
          <w:rFonts w:ascii="Times New Roman" w:eastAsia="Times New Roman" w:hAnsi="Times New Roman" w:cs="Times New Roman"/>
          <w:sz w:val="28"/>
          <w:szCs w:val="28"/>
        </w:rPr>
        <w:t>, the Arizona Supreme Court ruled that state eviction courts may not render judgments unless there has been strict compliance with statutory procedures.</w:t>
      </w:r>
      <w:r w:rsidR="00B632EC">
        <w:rPr>
          <w:rStyle w:val="user-highlighted-active"/>
          <w:rFonts w:ascii="Times New Roman" w:eastAsia="Times New Roman" w:hAnsi="Times New Roman" w:cs="Times New Roman"/>
          <w:sz w:val="28"/>
          <w:szCs w:val="28"/>
        </w:rPr>
        <w:t xml:space="preserve"> </w:t>
      </w:r>
      <w:r w:rsidR="00601BB7" w:rsidRPr="00493F24">
        <w:rPr>
          <w:rStyle w:val="user-highlighted-active"/>
          <w:rFonts w:ascii="Times New Roman" w:eastAsia="Times New Roman" w:hAnsi="Times New Roman" w:cs="Times New Roman"/>
          <w:i/>
          <w:iCs/>
          <w:sz w:val="28"/>
          <w:szCs w:val="28"/>
        </w:rPr>
        <w:t>Tweed</w:t>
      </w:r>
      <w:r w:rsidR="00601BB7">
        <w:rPr>
          <w:rStyle w:val="user-highlighted-active"/>
          <w:rFonts w:ascii="Times New Roman" w:eastAsia="Times New Roman" w:hAnsi="Times New Roman" w:cs="Times New Roman"/>
          <w:sz w:val="28"/>
          <w:szCs w:val="28"/>
        </w:rPr>
        <w:t>, 2 Ariz. 207.</w:t>
      </w:r>
      <w:r w:rsidR="00525C6B" w:rsidRPr="00F1476D">
        <w:rPr>
          <w:rStyle w:val="user-highlighted-active"/>
          <w:rFonts w:ascii="Times New Roman" w:eastAsia="Times New Roman" w:hAnsi="Times New Roman" w:cs="Times New Roman"/>
          <w:sz w:val="28"/>
          <w:szCs w:val="28"/>
        </w:rPr>
        <w:t xml:space="preserve"> Arguably, any scenario in which an eviction plaintiff did not comply strictly with statutory procedures renders a resulting judgment void. </w:t>
      </w:r>
    </w:p>
    <w:p w14:paraId="29A3E52B" w14:textId="704BA39F" w:rsidR="00AA4D26" w:rsidRPr="00F1476D" w:rsidRDefault="007C1FCD" w:rsidP="00493F24">
      <w:pPr>
        <w:pStyle w:val="ListParagraph"/>
        <w:spacing w:line="480" w:lineRule="auto"/>
        <w:ind w:left="0" w:firstLine="360"/>
        <w:jc w:val="both"/>
        <w:rPr>
          <w:rFonts w:ascii="Times New Roman" w:eastAsia="Times New Roman" w:hAnsi="Times New Roman" w:cs="Times New Roman"/>
          <w:sz w:val="28"/>
          <w:szCs w:val="28"/>
        </w:rPr>
      </w:pPr>
      <w:r w:rsidRPr="00F1476D">
        <w:rPr>
          <w:rFonts w:ascii="Times New Roman" w:eastAsia="Times New Roman" w:hAnsi="Times New Roman" w:cs="Times New Roman"/>
          <w:sz w:val="28"/>
          <w:szCs w:val="28"/>
        </w:rPr>
        <w:t xml:space="preserve">   </w:t>
      </w:r>
      <w:r w:rsidR="001B0F0A" w:rsidRPr="00F1476D">
        <w:rPr>
          <w:rFonts w:ascii="Times New Roman" w:eastAsia="Times New Roman" w:hAnsi="Times New Roman" w:cs="Times New Roman"/>
          <w:sz w:val="28"/>
          <w:szCs w:val="28"/>
        </w:rPr>
        <w:t>For example</w:t>
      </w:r>
      <w:proofErr w:type="gramStart"/>
      <w:r w:rsidR="001B0F0A" w:rsidRPr="00F1476D">
        <w:rPr>
          <w:rFonts w:ascii="Times New Roman" w:eastAsia="Times New Roman" w:hAnsi="Times New Roman" w:cs="Times New Roman"/>
          <w:sz w:val="28"/>
          <w:szCs w:val="28"/>
        </w:rPr>
        <w:t>,</w:t>
      </w:r>
      <w:r w:rsidR="00B632EC">
        <w:rPr>
          <w:rFonts w:ascii="Times New Roman" w:eastAsia="Times New Roman" w:hAnsi="Times New Roman" w:cs="Times New Roman"/>
          <w:sz w:val="28"/>
          <w:szCs w:val="28"/>
        </w:rPr>
        <w:t xml:space="preserve"> </w:t>
      </w:r>
      <w:r w:rsidR="001B0F0A" w:rsidRPr="00F1476D">
        <w:rPr>
          <w:rFonts w:ascii="Times New Roman" w:eastAsia="Times New Roman" w:hAnsi="Times New Roman" w:cs="Times New Roman"/>
          <w:sz w:val="28"/>
          <w:szCs w:val="28"/>
        </w:rPr>
        <w:t>assume</w:t>
      </w:r>
      <w:proofErr w:type="gramEnd"/>
      <w:r w:rsidR="001B0F0A" w:rsidRPr="00F1476D">
        <w:rPr>
          <w:rFonts w:ascii="Times New Roman" w:eastAsia="Times New Roman" w:hAnsi="Times New Roman" w:cs="Times New Roman"/>
          <w:sz w:val="28"/>
          <w:szCs w:val="28"/>
        </w:rPr>
        <w:t xml:space="preserve"> a</w:t>
      </w:r>
      <w:r w:rsidR="00525C6B" w:rsidRPr="00F1476D">
        <w:rPr>
          <w:rFonts w:ascii="Times New Roman" w:eastAsia="Times New Roman" w:hAnsi="Times New Roman" w:cs="Times New Roman"/>
          <w:sz w:val="28"/>
          <w:szCs w:val="28"/>
        </w:rPr>
        <w:t xml:space="preserve">n eviction plaintiff files a special detainer complaint alleging nonpayment of rent under a rental agreement.  In fact, the plaintiff has a contract for deed with the defendant, who is purchasing the real estate with installment payments and a balloon payment due at the end of the contract’s term.  The defendant knows about the proceeding but does not attend the hearing, believing they have no legal defense for nonpayment under the contract.  The court enters judgment in the special </w:t>
      </w:r>
      <w:r w:rsidR="00525C6B" w:rsidRPr="00FE5B79">
        <w:rPr>
          <w:rFonts w:ascii="Times New Roman" w:eastAsia="Times New Roman" w:hAnsi="Times New Roman" w:cs="Times New Roman"/>
          <w:sz w:val="28"/>
          <w:szCs w:val="28"/>
        </w:rPr>
        <w:t>detainer</w:t>
      </w:r>
      <w:r w:rsidR="00525C6B" w:rsidRPr="00493F24">
        <w:rPr>
          <w:rFonts w:ascii="Times New Roman" w:eastAsia="Times New Roman" w:hAnsi="Times New Roman" w:cs="Times New Roman"/>
          <w:sz w:val="28"/>
          <w:szCs w:val="28"/>
        </w:rPr>
        <w:t xml:space="preserve"> action</w:t>
      </w:r>
      <w:r w:rsidR="00525C6B" w:rsidRPr="00F1476D">
        <w:rPr>
          <w:rFonts w:ascii="Times New Roman" w:eastAsia="Times New Roman" w:hAnsi="Times New Roman" w:cs="Times New Roman"/>
          <w:sz w:val="26"/>
          <w:szCs w:val="26"/>
        </w:rPr>
        <w:t xml:space="preserve">.  </w:t>
      </w:r>
      <w:r w:rsidR="00525C6B" w:rsidRPr="00493F24">
        <w:rPr>
          <w:rFonts w:ascii="Times New Roman" w:eastAsia="Times New Roman" w:hAnsi="Times New Roman" w:cs="Times New Roman"/>
          <w:sz w:val="28"/>
          <w:szCs w:val="28"/>
        </w:rPr>
        <w:t>The defendant later gets legal</w:t>
      </w:r>
      <w:r w:rsidR="00525C6B" w:rsidRPr="00F1476D">
        <w:rPr>
          <w:rFonts w:ascii="Times New Roman" w:eastAsia="Times New Roman" w:hAnsi="Times New Roman" w:cs="Times New Roman"/>
          <w:sz w:val="26"/>
          <w:szCs w:val="26"/>
        </w:rPr>
        <w:t xml:space="preserve"> </w:t>
      </w:r>
      <w:r w:rsidR="00525C6B" w:rsidRPr="00F1476D">
        <w:rPr>
          <w:rFonts w:ascii="Times New Roman" w:eastAsia="Times New Roman" w:hAnsi="Times New Roman" w:cs="Times New Roman"/>
          <w:sz w:val="28"/>
          <w:szCs w:val="28"/>
        </w:rPr>
        <w:t xml:space="preserve">advice and learns that they have an equity interest in the real estate that the contract seller </w:t>
      </w:r>
      <w:r w:rsidR="00525C6B" w:rsidRPr="00F1476D">
        <w:rPr>
          <w:rFonts w:ascii="Times New Roman" w:eastAsia="Times New Roman" w:hAnsi="Times New Roman" w:cs="Times New Roman"/>
          <w:sz w:val="28"/>
          <w:szCs w:val="28"/>
        </w:rPr>
        <w:lastRenderedPageBreak/>
        <w:t>did not legally terminate.  In this scenario, the defendant could move for relief from the eviction judgment as void and unenforceable</w:t>
      </w:r>
      <w:r w:rsidR="00AA4D26" w:rsidRPr="00F1476D">
        <w:rPr>
          <w:rFonts w:ascii="Times New Roman" w:eastAsia="Times New Roman" w:hAnsi="Times New Roman" w:cs="Times New Roman"/>
          <w:sz w:val="28"/>
          <w:szCs w:val="28"/>
        </w:rPr>
        <w:t xml:space="preserve"> because the</w:t>
      </w:r>
      <w:r w:rsidR="00525C6B" w:rsidRPr="00F1476D">
        <w:rPr>
          <w:rFonts w:ascii="Times New Roman" w:eastAsia="Times New Roman" w:hAnsi="Times New Roman" w:cs="Times New Roman"/>
          <w:sz w:val="28"/>
          <w:szCs w:val="28"/>
        </w:rPr>
        <w:t xml:space="preserve"> court did not have authority to render the </w:t>
      </w:r>
      <w:proofErr w:type="gramStart"/>
      <w:r w:rsidR="00525C6B" w:rsidRPr="00F1476D">
        <w:rPr>
          <w:rFonts w:ascii="Times New Roman" w:eastAsia="Times New Roman" w:hAnsi="Times New Roman" w:cs="Times New Roman"/>
          <w:sz w:val="28"/>
          <w:szCs w:val="28"/>
        </w:rPr>
        <w:t>particular judgment</w:t>
      </w:r>
      <w:proofErr w:type="gramEnd"/>
      <w:r w:rsidR="00525C6B" w:rsidRPr="00F1476D">
        <w:rPr>
          <w:rFonts w:ascii="Times New Roman" w:eastAsia="Times New Roman" w:hAnsi="Times New Roman" w:cs="Times New Roman"/>
          <w:sz w:val="28"/>
          <w:szCs w:val="28"/>
        </w:rPr>
        <w:t xml:space="preserve">. </w:t>
      </w:r>
    </w:p>
    <w:p w14:paraId="12702238" w14:textId="77777777" w:rsidR="00A32FC3" w:rsidRPr="00F1476D" w:rsidRDefault="00BB3C28" w:rsidP="00493F24">
      <w:pPr>
        <w:pStyle w:val="ListParagraph"/>
        <w:spacing w:line="480" w:lineRule="auto"/>
        <w:ind w:left="0" w:firstLine="360"/>
        <w:jc w:val="both"/>
        <w:rPr>
          <w:rFonts w:ascii="Times New Roman" w:eastAsia="Times New Roman" w:hAnsi="Times New Roman" w:cs="Times New Roman"/>
          <w:sz w:val="28"/>
          <w:szCs w:val="28"/>
        </w:rPr>
      </w:pPr>
      <w:r w:rsidRPr="00F1476D">
        <w:rPr>
          <w:rFonts w:ascii="Times New Roman" w:eastAsia="Times New Roman" w:hAnsi="Times New Roman" w:cs="Times New Roman"/>
          <w:sz w:val="28"/>
          <w:szCs w:val="28"/>
        </w:rPr>
        <w:t xml:space="preserve"> </w:t>
      </w:r>
      <w:r w:rsidR="004837FA" w:rsidRPr="00F1476D">
        <w:rPr>
          <w:rFonts w:ascii="Times New Roman" w:eastAsia="Times New Roman" w:hAnsi="Times New Roman" w:cs="Times New Roman"/>
          <w:sz w:val="28"/>
          <w:szCs w:val="28"/>
        </w:rPr>
        <w:t xml:space="preserve">  </w:t>
      </w:r>
      <w:r w:rsidRPr="00F1476D">
        <w:rPr>
          <w:rFonts w:ascii="Times New Roman" w:eastAsia="Times New Roman" w:hAnsi="Times New Roman" w:cs="Times New Roman"/>
          <w:sz w:val="28"/>
          <w:szCs w:val="28"/>
        </w:rPr>
        <w:t>Or assume a</w:t>
      </w:r>
      <w:r w:rsidR="00525C6B" w:rsidRPr="00F1476D">
        <w:rPr>
          <w:rFonts w:ascii="Times New Roman" w:eastAsia="Times New Roman" w:hAnsi="Times New Roman" w:cs="Times New Roman"/>
          <w:sz w:val="28"/>
          <w:szCs w:val="28"/>
        </w:rPr>
        <w:t xml:space="preserve">n eviction plaintiff secures an eviction judgment in a special detainer action for nonpayment of rent.  The court enters the eviction judgment, establishing an enforceable monetary judgment and legally delivering possession to the plaintiff and ending the parties’ lease and tenancy.  </w:t>
      </w:r>
      <w:r w:rsidRPr="00F1476D">
        <w:rPr>
          <w:rFonts w:ascii="Times New Roman" w:eastAsia="Times New Roman" w:hAnsi="Times New Roman" w:cs="Times New Roman"/>
          <w:sz w:val="28"/>
          <w:szCs w:val="28"/>
        </w:rPr>
        <w:t>Then assume that, a</w:t>
      </w:r>
      <w:r w:rsidR="00525C6B" w:rsidRPr="00F1476D">
        <w:rPr>
          <w:rFonts w:ascii="Times New Roman" w:eastAsia="Times New Roman" w:hAnsi="Times New Roman" w:cs="Times New Roman"/>
          <w:sz w:val="28"/>
          <w:szCs w:val="28"/>
        </w:rPr>
        <w:t xml:space="preserve">fter entry of judgment, the defendant makes rent payments to the plaintiff.  The plaintiff accepts payments and allows the defendant to reside at the premises.  The defendant </w:t>
      </w:r>
      <w:r w:rsidR="00AC1B29" w:rsidRPr="00F1476D">
        <w:rPr>
          <w:rFonts w:ascii="Times New Roman" w:eastAsia="Times New Roman" w:hAnsi="Times New Roman" w:cs="Times New Roman"/>
          <w:sz w:val="28"/>
          <w:szCs w:val="28"/>
        </w:rPr>
        <w:t xml:space="preserve">then </w:t>
      </w:r>
      <w:r w:rsidR="00525C6B" w:rsidRPr="00F1476D">
        <w:rPr>
          <w:rFonts w:ascii="Times New Roman" w:eastAsia="Times New Roman" w:hAnsi="Times New Roman" w:cs="Times New Roman"/>
          <w:sz w:val="28"/>
          <w:szCs w:val="28"/>
        </w:rPr>
        <w:t xml:space="preserve">pays rent for the next month, which the plaintiff accepts, legally creating a new tenancy and right to possession for the defendant.  </w:t>
      </w:r>
    </w:p>
    <w:p w14:paraId="605E4466" w14:textId="547F9A14" w:rsidR="00525C6B" w:rsidRPr="00F1476D" w:rsidRDefault="00A32FC3" w:rsidP="00493F24">
      <w:pPr>
        <w:pStyle w:val="ListParagraph"/>
        <w:spacing w:line="480" w:lineRule="auto"/>
        <w:ind w:left="0" w:firstLine="360"/>
        <w:jc w:val="both"/>
        <w:rPr>
          <w:rFonts w:eastAsia="Times New Roman"/>
          <w:sz w:val="28"/>
          <w:szCs w:val="28"/>
        </w:rPr>
      </w:pPr>
      <w:r w:rsidRPr="00F1476D">
        <w:rPr>
          <w:rFonts w:ascii="Times New Roman" w:eastAsia="Times New Roman" w:hAnsi="Times New Roman" w:cs="Times New Roman"/>
          <w:sz w:val="28"/>
          <w:szCs w:val="28"/>
        </w:rPr>
        <w:t xml:space="preserve">   </w:t>
      </w:r>
      <w:r w:rsidR="00AC1B29" w:rsidRPr="00F1476D">
        <w:rPr>
          <w:rFonts w:ascii="Times New Roman" w:eastAsia="Times New Roman" w:hAnsi="Times New Roman" w:cs="Times New Roman"/>
          <w:sz w:val="28"/>
          <w:szCs w:val="28"/>
        </w:rPr>
        <w:t xml:space="preserve">Assume, further, that </w:t>
      </w:r>
      <w:r w:rsidR="00C16E47" w:rsidRPr="00F1476D">
        <w:rPr>
          <w:rFonts w:ascii="Times New Roman" w:eastAsia="Times New Roman" w:hAnsi="Times New Roman" w:cs="Times New Roman"/>
          <w:sz w:val="28"/>
          <w:szCs w:val="28"/>
        </w:rPr>
        <w:t>t</w:t>
      </w:r>
      <w:r w:rsidR="00525C6B" w:rsidRPr="00F1476D">
        <w:rPr>
          <w:rFonts w:ascii="Times New Roman" w:eastAsia="Times New Roman" w:hAnsi="Times New Roman" w:cs="Times New Roman"/>
          <w:sz w:val="28"/>
          <w:szCs w:val="28"/>
        </w:rPr>
        <w:t>he parties disregard the legal eviction judgment and the legally terminated landlord-tenant relationship</w:t>
      </w:r>
      <w:r w:rsidR="00C16E47" w:rsidRPr="00F1476D">
        <w:rPr>
          <w:rFonts w:ascii="Times New Roman" w:eastAsia="Times New Roman" w:hAnsi="Times New Roman" w:cs="Times New Roman"/>
          <w:sz w:val="28"/>
          <w:szCs w:val="28"/>
        </w:rPr>
        <w:t xml:space="preserve"> and</w:t>
      </w:r>
      <w:r w:rsidR="00525C6B" w:rsidRPr="00F1476D">
        <w:rPr>
          <w:rFonts w:ascii="Times New Roman" w:eastAsia="Times New Roman" w:hAnsi="Times New Roman" w:cs="Times New Roman"/>
          <w:sz w:val="28"/>
          <w:szCs w:val="28"/>
        </w:rPr>
        <w:t xml:space="preserve"> reaffirm commitments under the terminated rental agreement. </w:t>
      </w:r>
      <w:r w:rsidR="004837FA" w:rsidRPr="00F1476D">
        <w:rPr>
          <w:rFonts w:ascii="Times New Roman" w:eastAsia="Times New Roman" w:hAnsi="Times New Roman" w:cs="Times New Roman"/>
          <w:sz w:val="28"/>
          <w:szCs w:val="28"/>
        </w:rPr>
        <w:t>I</w:t>
      </w:r>
      <w:r w:rsidR="00525C6B" w:rsidRPr="00F1476D">
        <w:rPr>
          <w:rFonts w:ascii="Times New Roman" w:eastAsia="Times New Roman" w:hAnsi="Times New Roman" w:cs="Times New Roman"/>
          <w:sz w:val="28"/>
          <w:szCs w:val="28"/>
        </w:rPr>
        <w:t xml:space="preserve">n this scenario, the defendant could move for relief from the judgment as void and unenforceable.  The parties created a new landlord-tenant relationship, and the plaintiff could no longer lawfully enforce the judgment for possession against the tenant.  The judgment is a nullity and void by operation of law.  </w:t>
      </w:r>
    </w:p>
    <w:p w14:paraId="3CA9537F" w14:textId="77777777" w:rsidR="00FE5B79" w:rsidRDefault="00FE5B79" w:rsidP="00F74872">
      <w:pPr>
        <w:pStyle w:val="ListParagraph"/>
        <w:ind w:left="0"/>
        <w:jc w:val="center"/>
        <w:rPr>
          <w:rFonts w:ascii="Times New Roman" w:eastAsia="Times New Roman" w:hAnsi="Times New Roman" w:cs="Times New Roman"/>
          <w:b/>
          <w:bCs/>
          <w:sz w:val="28"/>
          <w:szCs w:val="28"/>
        </w:rPr>
      </w:pPr>
    </w:p>
    <w:p w14:paraId="34DD45D7" w14:textId="77777777" w:rsidR="00A209F2" w:rsidRDefault="00A209F2" w:rsidP="00F74872">
      <w:pPr>
        <w:pStyle w:val="ListParagraph"/>
        <w:ind w:left="0"/>
        <w:jc w:val="center"/>
        <w:rPr>
          <w:rFonts w:ascii="Times New Roman" w:eastAsia="Times New Roman" w:hAnsi="Times New Roman" w:cs="Times New Roman"/>
          <w:b/>
          <w:bCs/>
          <w:sz w:val="28"/>
          <w:szCs w:val="28"/>
        </w:rPr>
      </w:pPr>
    </w:p>
    <w:p w14:paraId="036F1357" w14:textId="77777777" w:rsidR="00A209F2" w:rsidRDefault="00A209F2" w:rsidP="00F74872">
      <w:pPr>
        <w:pStyle w:val="ListParagraph"/>
        <w:ind w:left="0"/>
        <w:jc w:val="center"/>
        <w:rPr>
          <w:rFonts w:ascii="Times New Roman" w:eastAsia="Times New Roman" w:hAnsi="Times New Roman" w:cs="Times New Roman"/>
          <w:b/>
          <w:bCs/>
          <w:sz w:val="28"/>
          <w:szCs w:val="28"/>
        </w:rPr>
      </w:pPr>
    </w:p>
    <w:p w14:paraId="2C7CE8C1" w14:textId="77777777" w:rsidR="00A209F2" w:rsidRDefault="00BA7D62" w:rsidP="00A209F2">
      <w:pPr>
        <w:pStyle w:val="ListParagraph"/>
        <w:ind w:left="0"/>
        <w:jc w:val="center"/>
        <w:rPr>
          <w:rFonts w:ascii="Times New Roman" w:eastAsia="Times New Roman" w:hAnsi="Times New Roman" w:cs="Times New Roman"/>
          <w:b/>
          <w:bCs/>
          <w:sz w:val="28"/>
          <w:szCs w:val="28"/>
        </w:rPr>
      </w:pPr>
      <w:r w:rsidRPr="00F1476D">
        <w:rPr>
          <w:rFonts w:ascii="Times New Roman" w:eastAsia="Times New Roman" w:hAnsi="Times New Roman" w:cs="Times New Roman"/>
          <w:b/>
          <w:bCs/>
          <w:sz w:val="28"/>
          <w:szCs w:val="28"/>
        </w:rPr>
        <w:lastRenderedPageBreak/>
        <w:t xml:space="preserve">Examples of need for proposed Rule 15(12) [Source: </w:t>
      </w:r>
      <w:r w:rsidR="00525C6B" w:rsidRPr="00F1476D">
        <w:rPr>
          <w:rFonts w:ascii="Times New Roman" w:eastAsia="Times New Roman" w:hAnsi="Times New Roman" w:cs="Times New Roman"/>
          <w:b/>
          <w:bCs/>
          <w:sz w:val="28"/>
          <w:szCs w:val="28"/>
        </w:rPr>
        <w:t>Rule 60(b)(5)</w:t>
      </w:r>
      <w:r w:rsidRPr="00F1476D">
        <w:rPr>
          <w:rFonts w:ascii="Times New Roman" w:eastAsia="Times New Roman" w:hAnsi="Times New Roman" w:cs="Times New Roman"/>
          <w:b/>
          <w:bCs/>
          <w:sz w:val="28"/>
          <w:szCs w:val="28"/>
        </w:rPr>
        <w:t>]</w:t>
      </w:r>
    </w:p>
    <w:p w14:paraId="652D9267" w14:textId="77777777" w:rsidR="00A209F2" w:rsidRDefault="00A209F2" w:rsidP="00A209F2">
      <w:pPr>
        <w:pStyle w:val="ListParagraph"/>
        <w:ind w:left="0"/>
        <w:jc w:val="center"/>
        <w:rPr>
          <w:rFonts w:ascii="Times New Roman" w:eastAsia="Times New Roman" w:hAnsi="Times New Roman" w:cs="Times New Roman"/>
          <w:b/>
          <w:bCs/>
          <w:sz w:val="28"/>
          <w:szCs w:val="28"/>
        </w:rPr>
      </w:pPr>
    </w:p>
    <w:p w14:paraId="76C953A7" w14:textId="3FE790AB" w:rsidR="00525C6B" w:rsidRPr="00A209F2" w:rsidRDefault="00AA3961" w:rsidP="00A209F2">
      <w:pPr>
        <w:pStyle w:val="ListParagraph"/>
        <w:spacing w:line="480" w:lineRule="auto"/>
        <w:ind w:left="0" w:firstLine="720"/>
        <w:jc w:val="both"/>
        <w:rPr>
          <w:rFonts w:ascii="Times New Roman" w:eastAsia="Times New Roman" w:hAnsi="Times New Roman" w:cs="Times New Roman"/>
          <w:b/>
          <w:bCs/>
          <w:sz w:val="28"/>
          <w:szCs w:val="28"/>
        </w:rPr>
      </w:pPr>
      <w:r w:rsidRPr="00A209F2">
        <w:rPr>
          <w:rFonts w:ascii="Times New Roman" w:hAnsi="Times New Roman" w:cs="Times New Roman"/>
          <w:sz w:val="28"/>
          <w:szCs w:val="28"/>
        </w:rPr>
        <w:t xml:space="preserve">As a first example: </w:t>
      </w:r>
      <w:r w:rsidR="00FE5B79" w:rsidRPr="00A209F2">
        <w:rPr>
          <w:rFonts w:ascii="Times New Roman" w:hAnsi="Times New Roman" w:cs="Times New Roman"/>
          <w:sz w:val="28"/>
          <w:szCs w:val="28"/>
        </w:rPr>
        <w:t>a</w:t>
      </w:r>
      <w:r w:rsidR="00414B70" w:rsidRPr="00A209F2">
        <w:rPr>
          <w:rFonts w:ascii="Times New Roman" w:hAnsi="Times New Roman" w:cs="Times New Roman"/>
          <w:sz w:val="28"/>
          <w:szCs w:val="28"/>
        </w:rPr>
        <w:t>ssume a</w:t>
      </w:r>
      <w:r w:rsidR="00525C6B" w:rsidRPr="00A209F2">
        <w:rPr>
          <w:rFonts w:ascii="Times New Roman" w:hAnsi="Times New Roman" w:cs="Times New Roman"/>
          <w:sz w:val="28"/>
          <w:szCs w:val="28"/>
        </w:rPr>
        <w:t>n eviction defendant pays the amounts included in a judgment.  RPEA 4</w:t>
      </w:r>
      <w:r w:rsidR="00414B70" w:rsidRPr="00A209F2">
        <w:rPr>
          <w:rFonts w:ascii="Times New Roman" w:hAnsi="Times New Roman" w:cs="Times New Roman"/>
          <w:sz w:val="28"/>
          <w:szCs w:val="28"/>
        </w:rPr>
        <w:t xml:space="preserve"> </w:t>
      </w:r>
      <w:r w:rsidR="00525C6B" w:rsidRPr="00A209F2">
        <w:rPr>
          <w:rFonts w:ascii="Times New Roman" w:hAnsi="Times New Roman" w:cs="Times New Roman"/>
          <w:sz w:val="28"/>
          <w:szCs w:val="28"/>
        </w:rPr>
        <w:t xml:space="preserve">(d) requires the plaintiff to file a Satisfaction of Judgment with the court within 30 days.  This does not happen.  Meanwhile, the judgment shows up on a defendant’s credit history and serves as a barrier to credit, housing, work, and other life opportunities.  In addition to moving for satisfaction of the judgment, a defendant should be able to seek all available relief to ensure accuracy in </w:t>
      </w:r>
      <w:r w:rsidR="00B632EC" w:rsidRPr="00A209F2">
        <w:rPr>
          <w:rFonts w:ascii="Times New Roman" w:hAnsi="Times New Roman" w:cs="Times New Roman"/>
          <w:sz w:val="28"/>
          <w:szCs w:val="28"/>
        </w:rPr>
        <w:t>reporting</w:t>
      </w:r>
      <w:r w:rsidR="00525C6B" w:rsidRPr="00A209F2">
        <w:rPr>
          <w:rFonts w:ascii="Times New Roman" w:hAnsi="Times New Roman" w:cs="Times New Roman"/>
          <w:sz w:val="28"/>
          <w:szCs w:val="28"/>
        </w:rPr>
        <w:t xml:space="preserve"> information about the judgment and to clarify that it would be inequitable for the judgment to have prospective application. </w:t>
      </w:r>
    </w:p>
    <w:p w14:paraId="6EC196BA" w14:textId="65C5D2A6" w:rsidR="00525C6B" w:rsidRPr="00A209F2" w:rsidRDefault="00CC79AD" w:rsidP="00A209F2">
      <w:pPr>
        <w:spacing w:line="480" w:lineRule="auto"/>
        <w:ind w:firstLine="720"/>
        <w:jc w:val="both"/>
        <w:rPr>
          <w:sz w:val="28"/>
          <w:szCs w:val="28"/>
        </w:rPr>
      </w:pPr>
      <w:r w:rsidRPr="00A209F2">
        <w:rPr>
          <w:sz w:val="28"/>
          <w:szCs w:val="28"/>
        </w:rPr>
        <w:t>As</w:t>
      </w:r>
      <w:r w:rsidR="00FA1F96" w:rsidRPr="00A209F2">
        <w:rPr>
          <w:sz w:val="28"/>
          <w:szCs w:val="28"/>
        </w:rPr>
        <w:t xml:space="preserve"> a second example: </w:t>
      </w:r>
      <w:r w:rsidR="001013A3" w:rsidRPr="00A209F2">
        <w:rPr>
          <w:sz w:val="28"/>
          <w:szCs w:val="28"/>
        </w:rPr>
        <w:t>Community Legal Services</w:t>
      </w:r>
      <w:r w:rsidR="00525C6B" w:rsidRPr="00A209F2">
        <w:rPr>
          <w:sz w:val="28"/>
          <w:szCs w:val="28"/>
        </w:rPr>
        <w:t xml:space="preserve"> </w:t>
      </w:r>
      <w:r w:rsidR="00497749" w:rsidRPr="00A209F2">
        <w:rPr>
          <w:sz w:val="28"/>
          <w:szCs w:val="28"/>
        </w:rPr>
        <w:t xml:space="preserve">(“CLS”) </w:t>
      </w:r>
      <w:r w:rsidR="00525C6B" w:rsidRPr="00A209F2">
        <w:rPr>
          <w:sz w:val="28"/>
          <w:szCs w:val="28"/>
        </w:rPr>
        <w:t xml:space="preserve">reports frequently </w:t>
      </w:r>
      <w:r w:rsidR="00525C6B" w:rsidRPr="00F1476D">
        <w:rPr>
          <w:sz w:val="28"/>
          <w:szCs w:val="28"/>
        </w:rPr>
        <w:t xml:space="preserve">seeing landlords re-file eviction actions alleging the same amounts/periods of rent for repeated/successive months.  For example, a landlord may file an eviction action in January, and the initial appearance may not occur until early February.  Later in February, the landlord may file a second case and include the same incident or same amount as alleged in the January complaint.  Meanwhile the January case is dismissed, or the claimed debt is paid off.  However, the judgment is not satisfied formally, and a judge may issue a judgment in the February case (perhaps unaware the judgment includes the same claim or amount as the resolved January case).  CLS specifically </w:t>
      </w:r>
      <w:r w:rsidR="00044A22" w:rsidRPr="00F1476D">
        <w:rPr>
          <w:sz w:val="28"/>
          <w:szCs w:val="28"/>
        </w:rPr>
        <w:t xml:space="preserve">reports seeing </w:t>
      </w:r>
      <w:r w:rsidR="00525C6B" w:rsidRPr="00F1476D">
        <w:rPr>
          <w:sz w:val="28"/>
          <w:szCs w:val="28"/>
        </w:rPr>
        <w:t xml:space="preserve">this scenario when the first case had a lawyer represent the tenant, but the tenant is unrepresented in the second case.   </w:t>
      </w:r>
    </w:p>
    <w:p w14:paraId="7BF14EF2" w14:textId="46E05C46" w:rsidR="007C732A" w:rsidRPr="00F1476D" w:rsidRDefault="007C732A" w:rsidP="007C732A">
      <w:pPr>
        <w:pStyle w:val="ListParagraph"/>
        <w:ind w:left="0" w:firstLine="360"/>
        <w:jc w:val="center"/>
        <w:rPr>
          <w:rFonts w:ascii="Times New Roman" w:eastAsia="Times New Roman" w:hAnsi="Times New Roman" w:cs="Times New Roman"/>
          <w:b/>
          <w:bCs/>
          <w:sz w:val="28"/>
          <w:szCs w:val="28"/>
        </w:rPr>
      </w:pPr>
      <w:r w:rsidRPr="00F1476D">
        <w:rPr>
          <w:rFonts w:ascii="Times New Roman" w:eastAsia="Times New Roman" w:hAnsi="Times New Roman" w:cs="Times New Roman"/>
          <w:b/>
          <w:bCs/>
          <w:sz w:val="28"/>
          <w:szCs w:val="28"/>
        </w:rPr>
        <w:lastRenderedPageBreak/>
        <w:t xml:space="preserve">Due process need for </w:t>
      </w:r>
      <w:r w:rsidR="0062278B" w:rsidRPr="00F1476D">
        <w:rPr>
          <w:rFonts w:ascii="Times New Roman" w:eastAsia="Times New Roman" w:hAnsi="Times New Roman" w:cs="Times New Roman"/>
          <w:b/>
          <w:bCs/>
          <w:sz w:val="28"/>
          <w:szCs w:val="28"/>
        </w:rPr>
        <w:t xml:space="preserve">proposed </w:t>
      </w:r>
      <w:r w:rsidR="00525C6B" w:rsidRPr="00F1476D">
        <w:rPr>
          <w:rFonts w:ascii="Times New Roman" w:eastAsia="Times New Roman" w:hAnsi="Times New Roman" w:cs="Times New Roman"/>
          <w:b/>
          <w:bCs/>
          <w:sz w:val="28"/>
          <w:szCs w:val="28"/>
        </w:rPr>
        <w:t xml:space="preserve">Rule </w:t>
      </w:r>
      <w:r w:rsidRPr="00F1476D">
        <w:rPr>
          <w:rFonts w:ascii="Times New Roman" w:eastAsia="Times New Roman" w:hAnsi="Times New Roman" w:cs="Times New Roman"/>
          <w:b/>
          <w:bCs/>
          <w:sz w:val="28"/>
          <w:szCs w:val="28"/>
        </w:rPr>
        <w:t xml:space="preserve">15(13) [Source: Rule </w:t>
      </w:r>
      <w:r w:rsidR="00525C6B" w:rsidRPr="00F1476D">
        <w:rPr>
          <w:rFonts w:ascii="Times New Roman" w:eastAsia="Times New Roman" w:hAnsi="Times New Roman" w:cs="Times New Roman"/>
          <w:b/>
          <w:bCs/>
          <w:sz w:val="28"/>
          <w:szCs w:val="28"/>
        </w:rPr>
        <w:t>60(b)(6)</w:t>
      </w:r>
      <w:r w:rsidRPr="00F1476D">
        <w:rPr>
          <w:rFonts w:ascii="Times New Roman" w:eastAsia="Times New Roman" w:hAnsi="Times New Roman" w:cs="Times New Roman"/>
          <w:b/>
          <w:bCs/>
          <w:sz w:val="28"/>
          <w:szCs w:val="28"/>
        </w:rPr>
        <w:t>]</w:t>
      </w:r>
    </w:p>
    <w:p w14:paraId="74E1C53B" w14:textId="77777777" w:rsidR="007C732A" w:rsidRPr="00F1476D" w:rsidRDefault="007C732A" w:rsidP="007C732A">
      <w:pPr>
        <w:pStyle w:val="ListParagraph"/>
        <w:ind w:left="360" w:firstLine="360"/>
        <w:rPr>
          <w:rFonts w:ascii="Times New Roman" w:eastAsia="Times New Roman" w:hAnsi="Times New Roman" w:cs="Times New Roman"/>
          <w:b/>
          <w:bCs/>
          <w:sz w:val="26"/>
          <w:szCs w:val="26"/>
        </w:rPr>
      </w:pPr>
    </w:p>
    <w:p w14:paraId="3E58AFB4" w14:textId="1B45676F" w:rsidR="005A0050" w:rsidRPr="00F1476D" w:rsidRDefault="00525C6B" w:rsidP="005078E7">
      <w:pPr>
        <w:pStyle w:val="ListParagraph"/>
        <w:spacing w:line="480" w:lineRule="auto"/>
        <w:ind w:left="0" w:firstLine="360"/>
        <w:jc w:val="both"/>
        <w:rPr>
          <w:rFonts w:ascii="Times New Roman" w:eastAsia="Times New Roman" w:hAnsi="Times New Roman" w:cs="Times New Roman"/>
          <w:sz w:val="28"/>
          <w:szCs w:val="28"/>
        </w:rPr>
      </w:pPr>
      <w:r w:rsidRPr="00F1476D">
        <w:rPr>
          <w:rFonts w:ascii="Times New Roman" w:eastAsia="Times New Roman" w:hAnsi="Times New Roman" w:cs="Times New Roman"/>
          <w:sz w:val="28"/>
          <w:szCs w:val="28"/>
        </w:rPr>
        <w:t xml:space="preserve">In eviction cases, both parties have property interests.  The plaintiff-landlord has an equity/ownership interest.  The defendant-tenant has a possessory interest, acquired by a conveyance of an interest in real estate and a contract rental agreement.  Tenants’ property interests in rental agreements are protected by the Due Process Clause of the Fourteenth Amendment.  </w:t>
      </w:r>
      <w:r w:rsidRPr="00F1476D">
        <w:rPr>
          <w:rFonts w:ascii="Times New Roman" w:eastAsia="Times New Roman" w:hAnsi="Times New Roman" w:cs="Times New Roman"/>
          <w:i/>
          <w:iCs/>
          <w:sz w:val="28"/>
          <w:szCs w:val="28"/>
        </w:rPr>
        <w:t>See Greene v. Lindsey</w:t>
      </w:r>
      <w:r w:rsidRPr="00493F24">
        <w:rPr>
          <w:rFonts w:ascii="Times New Roman" w:eastAsia="Times New Roman" w:hAnsi="Times New Roman" w:cs="Times New Roman"/>
          <w:sz w:val="28"/>
          <w:szCs w:val="28"/>
        </w:rPr>
        <w:t>,</w:t>
      </w:r>
      <w:r w:rsidRPr="00F1476D">
        <w:rPr>
          <w:rFonts w:ascii="Times New Roman" w:eastAsia="Times New Roman" w:hAnsi="Times New Roman" w:cs="Times New Roman"/>
          <w:i/>
          <w:iCs/>
          <w:sz w:val="28"/>
          <w:szCs w:val="28"/>
        </w:rPr>
        <w:t xml:space="preserve"> </w:t>
      </w:r>
      <w:r w:rsidRPr="00F1476D">
        <w:rPr>
          <w:rFonts w:ascii="Times New Roman" w:eastAsia="Times New Roman" w:hAnsi="Times New Roman" w:cs="Times New Roman"/>
          <w:sz w:val="28"/>
          <w:szCs w:val="28"/>
        </w:rPr>
        <w:t xml:space="preserve">456 U.S. 444 (1982).  State law and procedure must ensure due process of law, effective notice and an opportunity to be heard in proceedings affecting property interests.  Ensuring that relief from judgments for reasons not specifically enumerated in RPEA 15 ensures due process of law and prevents the erroneous deprivation of property interests </w:t>
      </w:r>
      <w:proofErr w:type="gramStart"/>
      <w:r w:rsidRPr="00F1476D">
        <w:rPr>
          <w:rFonts w:ascii="Times New Roman" w:eastAsia="Times New Roman" w:hAnsi="Times New Roman" w:cs="Times New Roman"/>
          <w:sz w:val="28"/>
          <w:szCs w:val="28"/>
        </w:rPr>
        <w:t>to eviction</w:t>
      </w:r>
      <w:proofErr w:type="gramEnd"/>
      <w:r w:rsidRPr="00F1476D">
        <w:rPr>
          <w:rFonts w:ascii="Times New Roman" w:eastAsia="Times New Roman" w:hAnsi="Times New Roman" w:cs="Times New Roman"/>
          <w:sz w:val="28"/>
          <w:szCs w:val="28"/>
        </w:rPr>
        <w:t xml:space="preserve"> litigants. </w:t>
      </w:r>
      <w:r w:rsidRPr="00F1476D">
        <w:rPr>
          <w:rFonts w:ascii="Times New Roman" w:eastAsia="Times New Roman" w:hAnsi="Times New Roman" w:cs="Times New Roman"/>
          <w:i/>
          <w:iCs/>
          <w:sz w:val="28"/>
          <w:szCs w:val="28"/>
        </w:rPr>
        <w:t>Skydive Arizona, Inc. v. Hogue</w:t>
      </w:r>
      <w:r w:rsidRPr="00F1476D">
        <w:rPr>
          <w:rFonts w:ascii="Times New Roman" w:eastAsia="Times New Roman" w:hAnsi="Times New Roman" w:cs="Times New Roman"/>
          <w:sz w:val="28"/>
          <w:szCs w:val="28"/>
        </w:rPr>
        <w:t xml:space="preserve">, 238 Ariz. 357 (App. 2015) </w:t>
      </w:r>
      <w:r w:rsidR="002D321C" w:rsidRPr="00F1476D">
        <w:rPr>
          <w:rFonts w:ascii="Times New Roman" w:eastAsia="Times New Roman" w:hAnsi="Times New Roman" w:cs="Times New Roman"/>
          <w:sz w:val="28"/>
          <w:szCs w:val="28"/>
        </w:rPr>
        <w:t>(holding that, u</w:t>
      </w:r>
      <w:r w:rsidRPr="00F1476D">
        <w:rPr>
          <w:rFonts w:ascii="Times New Roman" w:eastAsia="Times New Roman" w:hAnsi="Times New Roman" w:cs="Times New Roman"/>
          <w:sz w:val="28"/>
          <w:szCs w:val="28"/>
        </w:rPr>
        <w:t>nder Rule 60(c)(6), a court may relieve a party from a final judgment for any reason justifying relief, provided that the movant can show “extraordinary circumstances of hardship or injustice justifying relief” and “a reason for setting aside the judgment other than one of the reasons set forth in the preceding five clauses of rule 60(c)”</w:t>
      </w:r>
      <w:r w:rsidR="0089795C" w:rsidRPr="00F1476D">
        <w:rPr>
          <w:rFonts w:ascii="Times New Roman" w:eastAsia="Times New Roman" w:hAnsi="Times New Roman" w:cs="Times New Roman"/>
          <w:sz w:val="28"/>
          <w:szCs w:val="28"/>
        </w:rPr>
        <w:t xml:space="preserve">) </w:t>
      </w:r>
      <w:r w:rsidR="00F77D23">
        <w:rPr>
          <w:rFonts w:ascii="Times New Roman" w:eastAsia="Times New Roman" w:hAnsi="Times New Roman" w:cs="Times New Roman"/>
          <w:sz w:val="28"/>
          <w:szCs w:val="28"/>
        </w:rPr>
        <w:t>(</w:t>
      </w:r>
      <w:r w:rsidR="0089795C" w:rsidRPr="00F1476D">
        <w:rPr>
          <w:rFonts w:ascii="Times New Roman" w:eastAsia="Times New Roman" w:hAnsi="Times New Roman" w:cs="Times New Roman"/>
          <w:sz w:val="28"/>
          <w:szCs w:val="28"/>
        </w:rPr>
        <w:t xml:space="preserve">quoting </w:t>
      </w:r>
      <w:r w:rsidRPr="00F1476D">
        <w:rPr>
          <w:rFonts w:ascii="Times New Roman" w:eastAsia="Times New Roman" w:hAnsi="Times New Roman" w:cs="Times New Roman"/>
          <w:sz w:val="28"/>
          <w:szCs w:val="28"/>
        </w:rPr>
        <w:t xml:space="preserve"> </w:t>
      </w:r>
      <w:r w:rsidRPr="00F1476D">
        <w:rPr>
          <w:rFonts w:ascii="Times New Roman" w:eastAsia="Times New Roman" w:hAnsi="Times New Roman" w:cs="Times New Roman"/>
          <w:i/>
          <w:iCs/>
          <w:sz w:val="28"/>
          <w:szCs w:val="28"/>
        </w:rPr>
        <w:t xml:space="preserve">Hilgeman v. Am. </w:t>
      </w:r>
      <w:proofErr w:type="spellStart"/>
      <w:r w:rsidRPr="00F1476D">
        <w:rPr>
          <w:rFonts w:ascii="Times New Roman" w:eastAsia="Times New Roman" w:hAnsi="Times New Roman" w:cs="Times New Roman"/>
          <w:i/>
          <w:iCs/>
          <w:sz w:val="28"/>
          <w:szCs w:val="28"/>
        </w:rPr>
        <w:t>Mortg</w:t>
      </w:r>
      <w:proofErr w:type="spellEnd"/>
      <w:r w:rsidRPr="00F1476D">
        <w:rPr>
          <w:rFonts w:ascii="Times New Roman" w:eastAsia="Times New Roman" w:hAnsi="Times New Roman" w:cs="Times New Roman"/>
          <w:i/>
          <w:iCs/>
          <w:sz w:val="28"/>
          <w:szCs w:val="28"/>
        </w:rPr>
        <w:t>. Sec., Inc</w:t>
      </w:r>
      <w:r w:rsidRPr="00F1476D">
        <w:rPr>
          <w:rFonts w:ascii="Times New Roman" w:eastAsia="Times New Roman" w:hAnsi="Times New Roman" w:cs="Times New Roman"/>
          <w:sz w:val="28"/>
          <w:szCs w:val="28"/>
        </w:rPr>
        <w:t>.,</w:t>
      </w:r>
      <w:r w:rsidR="00F77D23">
        <w:rPr>
          <w:rFonts w:ascii="Times New Roman" w:eastAsia="Times New Roman" w:hAnsi="Times New Roman" w:cs="Times New Roman"/>
          <w:sz w:val="28"/>
          <w:szCs w:val="28"/>
        </w:rPr>
        <w:t xml:space="preserve"> </w:t>
      </w:r>
      <w:r w:rsidRPr="00F1476D">
        <w:rPr>
          <w:rFonts w:ascii="Times New Roman" w:eastAsia="Times New Roman" w:hAnsi="Times New Roman" w:cs="Times New Roman"/>
          <w:sz w:val="28"/>
          <w:szCs w:val="28"/>
        </w:rPr>
        <w:t>196 Ariz. 215, 220 (App.</w:t>
      </w:r>
      <w:r w:rsidR="00B632EC">
        <w:rPr>
          <w:rFonts w:ascii="Times New Roman" w:eastAsia="Times New Roman" w:hAnsi="Times New Roman" w:cs="Times New Roman"/>
          <w:sz w:val="28"/>
          <w:szCs w:val="28"/>
        </w:rPr>
        <w:t xml:space="preserve"> </w:t>
      </w:r>
      <w:proofErr w:type="gramStart"/>
      <w:r w:rsidRPr="00F1476D">
        <w:rPr>
          <w:rFonts w:ascii="Times New Roman" w:eastAsia="Times New Roman" w:hAnsi="Times New Roman" w:cs="Times New Roman"/>
          <w:sz w:val="28"/>
          <w:szCs w:val="28"/>
        </w:rPr>
        <w:t>2000)</w:t>
      </w:r>
      <w:r w:rsidR="00F77D23">
        <w:rPr>
          <w:rFonts w:ascii="Times New Roman" w:eastAsia="Times New Roman" w:hAnsi="Times New Roman" w:cs="Times New Roman"/>
          <w:sz w:val="28"/>
          <w:szCs w:val="28"/>
        </w:rPr>
        <w:t>)</w:t>
      </w:r>
      <w:proofErr w:type="gramEnd"/>
      <w:r w:rsidRPr="00F1476D">
        <w:rPr>
          <w:rFonts w:ascii="Times New Roman" w:eastAsia="Times New Roman" w:hAnsi="Times New Roman" w:cs="Times New Roman"/>
          <w:sz w:val="28"/>
          <w:szCs w:val="28"/>
        </w:rPr>
        <w:t xml:space="preserve">. Courts must consider the totality of facts and circumstances to determine whether Rule 60(c)(6) relief is appropriate. </w:t>
      </w:r>
      <w:r w:rsidRPr="00F1476D">
        <w:rPr>
          <w:rFonts w:ascii="Times New Roman" w:eastAsia="Times New Roman" w:hAnsi="Times New Roman" w:cs="Times New Roman"/>
          <w:i/>
          <w:iCs/>
          <w:sz w:val="28"/>
          <w:szCs w:val="28"/>
        </w:rPr>
        <w:t>Amanti Elec., Inc. v. Engineered Structures, Inc.</w:t>
      </w:r>
      <w:r w:rsidRPr="00F1476D">
        <w:rPr>
          <w:rFonts w:ascii="Times New Roman" w:eastAsia="Times New Roman" w:hAnsi="Times New Roman" w:cs="Times New Roman"/>
          <w:sz w:val="28"/>
          <w:szCs w:val="28"/>
        </w:rPr>
        <w:t>,</w:t>
      </w:r>
      <w:r w:rsidR="00360069" w:rsidRPr="00F1476D">
        <w:rPr>
          <w:rFonts w:ascii="Times New Roman" w:eastAsia="Times New Roman" w:hAnsi="Times New Roman" w:cs="Times New Roman"/>
          <w:sz w:val="28"/>
          <w:szCs w:val="28"/>
        </w:rPr>
        <w:t xml:space="preserve"> </w:t>
      </w:r>
      <w:r w:rsidRPr="00F1476D">
        <w:rPr>
          <w:rFonts w:ascii="Times New Roman" w:eastAsia="Times New Roman" w:hAnsi="Times New Roman" w:cs="Times New Roman"/>
          <w:sz w:val="28"/>
          <w:szCs w:val="28"/>
        </w:rPr>
        <w:t>229 Ariz. 430, 432 (App.</w:t>
      </w:r>
      <w:r w:rsidR="005078E7" w:rsidRPr="00F1476D">
        <w:rPr>
          <w:rFonts w:ascii="Times New Roman" w:eastAsia="Times New Roman" w:hAnsi="Times New Roman" w:cs="Times New Roman"/>
          <w:sz w:val="28"/>
          <w:szCs w:val="28"/>
        </w:rPr>
        <w:t xml:space="preserve"> </w:t>
      </w:r>
      <w:r w:rsidRPr="00F1476D">
        <w:rPr>
          <w:rFonts w:ascii="Times New Roman" w:eastAsia="Times New Roman" w:hAnsi="Times New Roman" w:cs="Times New Roman"/>
          <w:sz w:val="28"/>
          <w:szCs w:val="28"/>
        </w:rPr>
        <w:t xml:space="preserve">2012). </w:t>
      </w:r>
    </w:p>
    <w:p w14:paraId="0AFDA725" w14:textId="42E28522" w:rsidR="00664A43" w:rsidRPr="00F1476D" w:rsidRDefault="005A0050" w:rsidP="005078E7">
      <w:pPr>
        <w:pStyle w:val="ListParagraph"/>
        <w:spacing w:line="480" w:lineRule="auto"/>
        <w:ind w:left="0" w:firstLine="360"/>
        <w:jc w:val="both"/>
        <w:rPr>
          <w:rFonts w:ascii="Times New Roman" w:hAnsi="Times New Roman" w:cs="Times New Roman"/>
          <w:sz w:val="28"/>
          <w:szCs w:val="28"/>
        </w:rPr>
      </w:pPr>
      <w:r w:rsidRPr="00F1476D">
        <w:rPr>
          <w:rFonts w:ascii="Times New Roman" w:eastAsia="Times New Roman" w:hAnsi="Times New Roman" w:cs="Times New Roman"/>
          <w:sz w:val="28"/>
          <w:szCs w:val="28"/>
        </w:rPr>
        <w:lastRenderedPageBreak/>
        <w:t xml:space="preserve"> The State Bar believe</w:t>
      </w:r>
      <w:r w:rsidR="002A11A4">
        <w:rPr>
          <w:rFonts w:ascii="Times New Roman" w:eastAsia="Times New Roman" w:hAnsi="Times New Roman" w:cs="Times New Roman"/>
          <w:sz w:val="28"/>
          <w:szCs w:val="28"/>
        </w:rPr>
        <w:t>s</w:t>
      </w:r>
      <w:r w:rsidRPr="00F1476D">
        <w:rPr>
          <w:rFonts w:ascii="Times New Roman" w:eastAsia="Times New Roman" w:hAnsi="Times New Roman" w:cs="Times New Roman"/>
          <w:sz w:val="28"/>
          <w:szCs w:val="28"/>
        </w:rPr>
        <w:t xml:space="preserve"> that</w:t>
      </w:r>
      <w:r w:rsidR="00676415" w:rsidRPr="00F1476D">
        <w:rPr>
          <w:rFonts w:ascii="Times New Roman" w:eastAsia="Times New Roman" w:hAnsi="Times New Roman" w:cs="Times New Roman"/>
          <w:sz w:val="28"/>
          <w:szCs w:val="28"/>
        </w:rPr>
        <w:t xml:space="preserve"> </w:t>
      </w:r>
      <w:r w:rsidR="00525C6B" w:rsidRPr="00F1476D">
        <w:rPr>
          <w:rFonts w:ascii="Times New Roman" w:hAnsi="Times New Roman" w:cs="Times New Roman"/>
          <w:sz w:val="28"/>
          <w:szCs w:val="28"/>
        </w:rPr>
        <w:t xml:space="preserve">there must be pathways to relief from eviction judgments, orders, and proceedings months or years later.  Eviction case records have severe collateral consequences for tenants.  A tenant’s immediate displacement from their home in an eviction proceeding is followed by </w:t>
      </w:r>
      <w:hyperlink r:id="rId8" w:history="1">
        <w:r w:rsidR="00525C6B" w:rsidRPr="00F1476D">
          <w:rPr>
            <w:rStyle w:val="Hyperlink"/>
            <w:rFonts w:ascii="Times New Roman" w:hAnsi="Times New Roman" w:cs="Times New Roman"/>
            <w:color w:val="auto"/>
            <w:sz w:val="28"/>
            <w:szCs w:val="28"/>
            <w:u w:val="none"/>
          </w:rPr>
          <w:t>years of negative credit reporting and harm from publicly available information</w:t>
        </w:r>
      </w:hyperlink>
      <w:r w:rsidR="00525C6B" w:rsidRPr="00F1476D">
        <w:rPr>
          <w:rFonts w:ascii="Times New Roman" w:hAnsi="Times New Roman" w:cs="Times New Roman"/>
          <w:sz w:val="28"/>
          <w:szCs w:val="28"/>
        </w:rPr>
        <w:t xml:space="preserve"> about the eviction case, cutting the tenant off from future rental opportunities or limiting the market where they can rent. </w:t>
      </w:r>
    </w:p>
    <w:p w14:paraId="3FD6DF89" w14:textId="07904F43" w:rsidR="009E7AFC" w:rsidRPr="00567203" w:rsidRDefault="00525C6B" w:rsidP="00567203">
      <w:pPr>
        <w:pStyle w:val="ListParagraph"/>
        <w:spacing w:line="480" w:lineRule="auto"/>
        <w:ind w:left="0" w:firstLine="360"/>
        <w:jc w:val="both"/>
        <w:rPr>
          <w:rFonts w:eastAsia="Times New Roman"/>
          <w:sz w:val="28"/>
          <w:szCs w:val="28"/>
        </w:rPr>
      </w:pPr>
      <w:r w:rsidRPr="00F1476D">
        <w:rPr>
          <w:rFonts w:ascii="Times New Roman" w:hAnsi="Times New Roman" w:cs="Times New Roman"/>
          <w:sz w:val="28"/>
          <w:szCs w:val="28"/>
        </w:rPr>
        <w:t xml:space="preserve"> </w:t>
      </w:r>
      <w:hyperlink r:id="rId9" w:history="1">
        <w:r w:rsidRPr="00F1476D">
          <w:rPr>
            <w:rStyle w:val="Hyperlink"/>
            <w:rFonts w:ascii="Times New Roman" w:hAnsi="Times New Roman" w:cs="Times New Roman"/>
            <w:color w:val="auto"/>
            <w:sz w:val="28"/>
            <w:szCs w:val="28"/>
            <w:u w:val="none"/>
          </w:rPr>
          <w:t xml:space="preserve">Even when </w:t>
        </w:r>
        <w:r w:rsidR="00664A43" w:rsidRPr="00F1476D">
          <w:rPr>
            <w:rStyle w:val="Hyperlink"/>
            <w:rFonts w:ascii="Times New Roman" w:hAnsi="Times New Roman" w:cs="Times New Roman"/>
            <w:color w:val="auto"/>
            <w:sz w:val="28"/>
            <w:szCs w:val="28"/>
            <w:u w:val="none"/>
          </w:rPr>
          <w:t>the tenant</w:t>
        </w:r>
        <w:r w:rsidRPr="00F1476D">
          <w:rPr>
            <w:rStyle w:val="Hyperlink"/>
            <w:rFonts w:ascii="Times New Roman" w:hAnsi="Times New Roman" w:cs="Times New Roman"/>
            <w:color w:val="auto"/>
            <w:sz w:val="28"/>
            <w:szCs w:val="28"/>
            <w:u w:val="none"/>
          </w:rPr>
          <w:t xml:space="preserve"> prevail</w:t>
        </w:r>
        <w:r w:rsidR="00AF08D6" w:rsidRPr="00F1476D">
          <w:rPr>
            <w:rStyle w:val="Hyperlink"/>
            <w:rFonts w:ascii="Times New Roman" w:hAnsi="Times New Roman" w:cs="Times New Roman"/>
            <w:color w:val="auto"/>
            <w:sz w:val="28"/>
            <w:szCs w:val="28"/>
            <w:u w:val="none"/>
          </w:rPr>
          <w:t>s</w:t>
        </w:r>
        <w:r w:rsidRPr="00F1476D">
          <w:rPr>
            <w:rStyle w:val="Hyperlink"/>
            <w:rFonts w:ascii="Times New Roman" w:hAnsi="Times New Roman" w:cs="Times New Roman"/>
            <w:color w:val="auto"/>
            <w:sz w:val="28"/>
            <w:szCs w:val="28"/>
            <w:u w:val="none"/>
          </w:rPr>
          <w:t xml:space="preserve"> or do</w:t>
        </w:r>
        <w:r w:rsidR="00AF08D6" w:rsidRPr="00F1476D">
          <w:rPr>
            <w:rStyle w:val="Hyperlink"/>
            <w:rFonts w:ascii="Times New Roman" w:hAnsi="Times New Roman" w:cs="Times New Roman"/>
            <w:color w:val="auto"/>
            <w:sz w:val="28"/>
            <w:szCs w:val="28"/>
            <w:u w:val="none"/>
          </w:rPr>
          <w:t>es</w:t>
        </w:r>
        <w:r w:rsidRPr="00F1476D">
          <w:rPr>
            <w:rStyle w:val="Hyperlink"/>
            <w:rFonts w:ascii="Times New Roman" w:hAnsi="Times New Roman" w:cs="Times New Roman"/>
            <w:color w:val="auto"/>
            <w:sz w:val="28"/>
            <w:szCs w:val="28"/>
            <w:u w:val="none"/>
          </w:rPr>
          <w:t xml:space="preserve"> not face judgment</w:t>
        </w:r>
      </w:hyperlink>
      <w:r w:rsidRPr="00F1476D">
        <w:rPr>
          <w:rFonts w:ascii="Times New Roman" w:hAnsi="Times New Roman" w:cs="Times New Roman"/>
          <w:sz w:val="28"/>
          <w:szCs w:val="28"/>
        </w:rPr>
        <w:t>, the records of eviction cases harm tenants for months and years in future housing searches.  For this reason, tenants should have all the available pathways to relief from judgments, orders, and proceedings, to ensure they accurately reflect current data about the status of monetary payment, whether the judgment is necessary or further enforceable, and whether the court file data is complete and accurate in relation to the amount or viability of an eviction judgment.</w:t>
      </w:r>
      <w:r w:rsidRPr="005F4463">
        <w:rPr>
          <w:rFonts w:ascii="Times New Roman" w:hAnsi="Times New Roman" w:cs="Times New Roman"/>
          <w:sz w:val="28"/>
          <w:szCs w:val="28"/>
        </w:rPr>
        <w:t xml:space="preserve"> </w:t>
      </w:r>
    </w:p>
    <w:p w14:paraId="5AD572C1" w14:textId="712F0E1B" w:rsidR="00A209F2" w:rsidRDefault="000F0E5A" w:rsidP="00A209F2">
      <w:pPr>
        <w:pStyle w:val="Body"/>
        <w:widowControl w:val="0"/>
        <w:spacing w:line="480" w:lineRule="auto"/>
        <w:ind w:firstLine="720"/>
        <w:jc w:val="both"/>
        <w:rPr>
          <w:sz w:val="28"/>
          <w:szCs w:val="28"/>
        </w:rPr>
      </w:pPr>
      <w:r>
        <w:rPr>
          <w:sz w:val="28"/>
          <w:szCs w:val="28"/>
        </w:rPr>
        <w:t xml:space="preserve">Once again, if a party files a frivolous motion under the additional grounds, the court can readily exercise </w:t>
      </w:r>
      <w:r w:rsidR="007D0C6D">
        <w:rPr>
          <w:sz w:val="28"/>
          <w:szCs w:val="28"/>
        </w:rPr>
        <w:t>its</w:t>
      </w:r>
      <w:r>
        <w:rPr>
          <w:sz w:val="28"/>
          <w:szCs w:val="28"/>
        </w:rPr>
        <w:t xml:space="preserve"> discretion to summarily deny the motion. </w:t>
      </w:r>
    </w:p>
    <w:p w14:paraId="7C621F96" w14:textId="0485E0E4" w:rsidR="00A9258C" w:rsidRPr="005D6135" w:rsidRDefault="005D6135" w:rsidP="00C74E58">
      <w:pPr>
        <w:pStyle w:val="Body"/>
        <w:widowControl w:val="0"/>
        <w:spacing w:line="480" w:lineRule="auto"/>
        <w:ind w:firstLine="720"/>
        <w:jc w:val="center"/>
        <w:rPr>
          <w:b/>
          <w:bCs/>
          <w:sz w:val="28"/>
          <w:szCs w:val="28"/>
        </w:rPr>
      </w:pPr>
      <w:r w:rsidRPr="005D6135">
        <w:rPr>
          <w:b/>
          <w:bCs/>
          <w:sz w:val="28"/>
          <w:szCs w:val="28"/>
        </w:rPr>
        <w:t>The Eviction</w:t>
      </w:r>
      <w:r w:rsidR="00C74E58">
        <w:rPr>
          <w:b/>
          <w:bCs/>
          <w:sz w:val="28"/>
          <w:szCs w:val="28"/>
        </w:rPr>
        <w:t>/Homelessness</w:t>
      </w:r>
      <w:r w:rsidRPr="005D6135">
        <w:rPr>
          <w:b/>
          <w:bCs/>
          <w:sz w:val="28"/>
          <w:szCs w:val="28"/>
        </w:rPr>
        <w:t xml:space="preserve"> Crisis</w:t>
      </w:r>
    </w:p>
    <w:p w14:paraId="3F4272F2" w14:textId="7F4BD09A" w:rsidR="002D0120" w:rsidRPr="00561ABB" w:rsidRDefault="00561ABB" w:rsidP="002D0120">
      <w:pPr>
        <w:pStyle w:val="Body"/>
        <w:widowControl w:val="0"/>
        <w:spacing w:line="480" w:lineRule="auto"/>
        <w:ind w:firstLine="720"/>
        <w:jc w:val="both"/>
        <w:rPr>
          <w:sz w:val="28"/>
          <w:szCs w:val="28"/>
        </w:rPr>
      </w:pPr>
      <w:r w:rsidRPr="00561ABB">
        <w:rPr>
          <w:sz w:val="28"/>
          <w:szCs w:val="28"/>
        </w:rPr>
        <w:t>In supporting these amendments, t</w:t>
      </w:r>
      <w:r w:rsidR="00AC5EC7" w:rsidRPr="00561ABB">
        <w:rPr>
          <w:sz w:val="28"/>
          <w:szCs w:val="28"/>
        </w:rPr>
        <w:t xml:space="preserve">he State Bar </w:t>
      </w:r>
      <w:r w:rsidRPr="00561ABB">
        <w:rPr>
          <w:sz w:val="28"/>
          <w:szCs w:val="28"/>
        </w:rPr>
        <w:t xml:space="preserve">is </w:t>
      </w:r>
      <w:r w:rsidR="00235BFC">
        <w:rPr>
          <w:sz w:val="28"/>
          <w:szCs w:val="28"/>
        </w:rPr>
        <w:t xml:space="preserve">especially </w:t>
      </w:r>
      <w:r w:rsidRPr="00561ABB">
        <w:rPr>
          <w:sz w:val="28"/>
          <w:szCs w:val="28"/>
        </w:rPr>
        <w:t>mindful of</w:t>
      </w:r>
      <w:r w:rsidR="00AC5EC7" w:rsidRPr="00561ABB">
        <w:rPr>
          <w:sz w:val="28"/>
          <w:szCs w:val="28"/>
        </w:rPr>
        <w:t xml:space="preserve"> </w:t>
      </w:r>
      <w:r w:rsidR="00235BFC">
        <w:rPr>
          <w:sz w:val="28"/>
          <w:szCs w:val="28"/>
        </w:rPr>
        <w:t xml:space="preserve">today’s housing </w:t>
      </w:r>
      <w:r w:rsidR="009D5073">
        <w:rPr>
          <w:sz w:val="28"/>
          <w:szCs w:val="28"/>
        </w:rPr>
        <w:t xml:space="preserve">and eviction crisis. </w:t>
      </w:r>
      <w:r w:rsidR="00AC5EC7" w:rsidRPr="00561ABB">
        <w:rPr>
          <w:sz w:val="28"/>
          <w:szCs w:val="28"/>
        </w:rPr>
        <w:t xml:space="preserve">After a brief lull due to the </w:t>
      </w:r>
      <w:r w:rsidR="00C3581C">
        <w:rPr>
          <w:sz w:val="28"/>
          <w:szCs w:val="28"/>
        </w:rPr>
        <w:t xml:space="preserve">COVID-19 </w:t>
      </w:r>
      <w:r w:rsidR="00AC5EC7" w:rsidRPr="00561ABB">
        <w:rPr>
          <w:sz w:val="28"/>
          <w:szCs w:val="28"/>
        </w:rPr>
        <w:t xml:space="preserve">pandemic and federal assistance programs, evictions in Arizona over the past few years have </w:t>
      </w:r>
      <w:r w:rsidR="00AC5EC7" w:rsidRPr="00561ABB">
        <w:rPr>
          <w:sz w:val="28"/>
          <w:szCs w:val="28"/>
        </w:rPr>
        <w:lastRenderedPageBreak/>
        <w:t>returned to</w:t>
      </w:r>
      <w:r w:rsidR="002D0120" w:rsidRPr="00561ABB">
        <w:rPr>
          <w:sz w:val="28"/>
          <w:szCs w:val="28"/>
        </w:rPr>
        <w:t>,</w:t>
      </w:r>
      <w:r w:rsidR="00AC5EC7" w:rsidRPr="00561ABB">
        <w:rPr>
          <w:sz w:val="28"/>
          <w:szCs w:val="28"/>
        </w:rPr>
        <w:t xml:space="preserve"> and then exceeded</w:t>
      </w:r>
      <w:r w:rsidR="002D0120" w:rsidRPr="00561ABB">
        <w:rPr>
          <w:sz w:val="28"/>
          <w:szCs w:val="28"/>
        </w:rPr>
        <w:t>,</w:t>
      </w:r>
      <w:r w:rsidR="00AC5EC7" w:rsidRPr="00561ABB">
        <w:rPr>
          <w:sz w:val="28"/>
          <w:szCs w:val="28"/>
        </w:rPr>
        <w:t xml:space="preserve"> pre-pandemic rates.</w:t>
      </w:r>
      <w:r w:rsidR="00AC5EC7" w:rsidRPr="00561ABB">
        <w:rPr>
          <w:rStyle w:val="FootnoteReference"/>
          <w:sz w:val="28"/>
          <w:szCs w:val="28"/>
        </w:rPr>
        <w:footnoteReference w:id="1"/>
      </w:r>
      <w:r w:rsidR="00AC5EC7" w:rsidRPr="00561ABB">
        <w:rPr>
          <w:sz w:val="28"/>
          <w:szCs w:val="28"/>
        </w:rPr>
        <w:t xml:space="preserve"> In 2024, landlords in metro Phoenix filed for 87,197 evictions, which set a </w:t>
      </w:r>
      <w:proofErr w:type="gramStart"/>
      <w:r w:rsidR="00AC5EC7" w:rsidRPr="00561ABB">
        <w:rPr>
          <w:sz w:val="28"/>
          <w:szCs w:val="28"/>
        </w:rPr>
        <w:t>new record</w:t>
      </w:r>
      <w:proofErr w:type="gramEnd"/>
      <w:r w:rsidR="00AC5EC7" w:rsidRPr="00561ABB">
        <w:rPr>
          <w:sz w:val="28"/>
          <w:szCs w:val="28"/>
        </w:rPr>
        <w:t xml:space="preserve"> for evictions in a year.</w:t>
      </w:r>
      <w:r w:rsidR="00AC5EC7" w:rsidRPr="00561ABB">
        <w:rPr>
          <w:rStyle w:val="FootnoteReference"/>
          <w:sz w:val="28"/>
          <w:szCs w:val="28"/>
        </w:rPr>
        <w:footnoteReference w:id="2"/>
      </w:r>
      <w:r w:rsidR="00AC5EC7" w:rsidRPr="00561ABB">
        <w:rPr>
          <w:sz w:val="28"/>
          <w:szCs w:val="28"/>
        </w:rPr>
        <w:t xml:space="preserve"> </w:t>
      </w:r>
    </w:p>
    <w:p w14:paraId="7585C6BF" w14:textId="7AF5276A" w:rsidR="00AC5EC7" w:rsidRPr="00561ABB" w:rsidRDefault="00AC5EC7" w:rsidP="00561ABB">
      <w:pPr>
        <w:pStyle w:val="Body"/>
        <w:widowControl w:val="0"/>
        <w:spacing w:line="480" w:lineRule="auto"/>
        <w:ind w:firstLine="720"/>
        <w:jc w:val="both"/>
        <w:rPr>
          <w:sz w:val="28"/>
          <w:szCs w:val="28"/>
        </w:rPr>
      </w:pPr>
      <w:r w:rsidRPr="00561ABB">
        <w:rPr>
          <w:sz w:val="28"/>
          <w:szCs w:val="28"/>
        </w:rPr>
        <w:t>Across the entire state</w:t>
      </w:r>
      <w:r w:rsidR="00561ABB">
        <w:rPr>
          <w:sz w:val="28"/>
          <w:szCs w:val="28"/>
        </w:rPr>
        <w:t>,</w:t>
      </w:r>
      <w:r w:rsidRPr="00561ABB">
        <w:rPr>
          <w:sz w:val="28"/>
          <w:szCs w:val="28"/>
        </w:rPr>
        <w:t xml:space="preserve"> the number of evictions was most likely over 100,000, as the Arizona Eviction and Foreclosure Dashboard was able to map almost 97,000 statewide evictions in 2023 and evictions have only increased since then.</w:t>
      </w:r>
      <w:r w:rsidRPr="00561ABB">
        <w:rPr>
          <w:rStyle w:val="FootnoteReference"/>
          <w:sz w:val="28"/>
          <w:szCs w:val="28"/>
        </w:rPr>
        <w:footnoteReference w:id="3"/>
      </w:r>
      <w:r w:rsidRPr="00561ABB">
        <w:rPr>
          <w:sz w:val="28"/>
          <w:szCs w:val="28"/>
        </w:rPr>
        <w:t xml:space="preserve"> High rents have left many more people at risk for eviction, as 55% of Phoenix tenants are paying more than 30% of their income towards rent and 26% of tenants are spending more than half their income on keeping their home or apartment.</w:t>
      </w:r>
      <w:r w:rsidRPr="00561ABB">
        <w:rPr>
          <w:rStyle w:val="FootnoteReference"/>
          <w:sz w:val="28"/>
          <w:szCs w:val="28"/>
        </w:rPr>
        <w:footnoteReference w:id="4"/>
      </w:r>
      <w:r w:rsidRPr="00561ABB">
        <w:rPr>
          <w:sz w:val="28"/>
          <w:szCs w:val="28"/>
        </w:rPr>
        <w:t xml:space="preserve"> The rapid pace of Arizona eviction proceedings – renters can be locked out as quickly as three weeks after missing a payment – also contributes to these risks.</w:t>
      </w:r>
      <w:r w:rsidRPr="00561ABB">
        <w:rPr>
          <w:rStyle w:val="FootnoteReference"/>
          <w:sz w:val="28"/>
          <w:szCs w:val="28"/>
        </w:rPr>
        <w:footnoteReference w:id="5"/>
      </w:r>
      <w:r w:rsidRPr="00561ABB">
        <w:rPr>
          <w:sz w:val="28"/>
          <w:szCs w:val="28"/>
        </w:rPr>
        <w:t xml:space="preserve"> Without major changes in </w:t>
      </w:r>
      <w:r w:rsidRPr="00561ABB">
        <w:rPr>
          <w:sz w:val="28"/>
          <w:szCs w:val="28"/>
        </w:rPr>
        <w:lastRenderedPageBreak/>
        <w:t xml:space="preserve">the rental market or housing availability, there </w:t>
      </w:r>
      <w:r w:rsidR="009022EA">
        <w:rPr>
          <w:sz w:val="28"/>
          <w:szCs w:val="28"/>
        </w:rPr>
        <w:t xml:space="preserve">is </w:t>
      </w:r>
      <w:r w:rsidRPr="00561ABB">
        <w:rPr>
          <w:sz w:val="28"/>
          <w:szCs w:val="28"/>
        </w:rPr>
        <w:t>every reason to expect that eviction numbers will continue to climb.</w:t>
      </w:r>
      <w:r w:rsidR="00660C65">
        <w:rPr>
          <w:sz w:val="28"/>
          <w:szCs w:val="28"/>
        </w:rPr>
        <w:t xml:space="preserve"> </w:t>
      </w:r>
    </w:p>
    <w:p w14:paraId="28268280" w14:textId="2C9C9A70" w:rsidR="00AC5EC7" w:rsidRPr="00C0420F" w:rsidRDefault="00746649" w:rsidP="00561ABB">
      <w:pPr>
        <w:spacing w:line="480" w:lineRule="auto"/>
        <w:ind w:firstLine="720"/>
        <w:jc w:val="both"/>
        <w:rPr>
          <w:sz w:val="28"/>
          <w:szCs w:val="28"/>
        </w:rPr>
      </w:pPr>
      <w:r>
        <w:rPr>
          <w:sz w:val="28"/>
          <w:szCs w:val="28"/>
        </w:rPr>
        <w:t>Studies have demon</w:t>
      </w:r>
      <w:r w:rsidR="009C4CCD">
        <w:rPr>
          <w:sz w:val="28"/>
          <w:szCs w:val="28"/>
        </w:rPr>
        <w:t>s</w:t>
      </w:r>
      <w:r>
        <w:rPr>
          <w:sz w:val="28"/>
          <w:szCs w:val="28"/>
        </w:rPr>
        <w:t>trated a clear connection</w:t>
      </w:r>
      <w:r w:rsidR="00AC5EC7" w:rsidRPr="00561ABB">
        <w:rPr>
          <w:sz w:val="28"/>
          <w:szCs w:val="28"/>
        </w:rPr>
        <w:t xml:space="preserve"> between evictions and homelessness. A Yale study found that evicted individuals were more than 300% more likely to visit a homeless shelter in the year after their eviction than non-evicted individuals, and that this risk of homelessness </w:t>
      </w:r>
      <w:r w:rsidR="009C4CCD">
        <w:rPr>
          <w:sz w:val="28"/>
          <w:szCs w:val="28"/>
        </w:rPr>
        <w:t xml:space="preserve">also </w:t>
      </w:r>
      <w:r w:rsidR="00AC5EC7" w:rsidRPr="00561ABB">
        <w:rPr>
          <w:sz w:val="28"/>
          <w:szCs w:val="28"/>
        </w:rPr>
        <w:t>remained increased for the second year after eviction.</w:t>
      </w:r>
      <w:r w:rsidR="00AC5EC7" w:rsidRPr="00561ABB">
        <w:rPr>
          <w:rStyle w:val="FootnoteReference"/>
          <w:sz w:val="28"/>
          <w:szCs w:val="28"/>
        </w:rPr>
        <w:footnoteReference w:id="6"/>
      </w:r>
      <w:r w:rsidR="00AC5EC7" w:rsidRPr="00561ABB">
        <w:rPr>
          <w:sz w:val="28"/>
          <w:szCs w:val="28"/>
        </w:rPr>
        <w:t xml:space="preserve"> This homelessness risk is not limited to losing an eviction judgment, as other researchers have found a correlation between the eviction filing rate and the rate of sheltered homelessness.</w:t>
      </w:r>
      <w:r w:rsidR="00AC5EC7" w:rsidRPr="00561ABB">
        <w:rPr>
          <w:rStyle w:val="FootnoteReference"/>
          <w:sz w:val="28"/>
          <w:szCs w:val="28"/>
        </w:rPr>
        <w:footnoteReference w:id="7"/>
      </w:r>
      <w:r w:rsidR="00AC5EC7" w:rsidRPr="00561ABB">
        <w:rPr>
          <w:sz w:val="28"/>
          <w:szCs w:val="28"/>
        </w:rPr>
        <w:t xml:space="preserve"> </w:t>
      </w:r>
      <w:r w:rsidR="005E7A12">
        <w:rPr>
          <w:sz w:val="28"/>
          <w:szCs w:val="28"/>
        </w:rPr>
        <w:t>As previously noted,</w:t>
      </w:r>
      <w:r w:rsidR="00AC5EC7" w:rsidRPr="00760B9F">
        <w:rPr>
          <w:sz w:val="28"/>
          <w:szCs w:val="28"/>
        </w:rPr>
        <w:t xml:space="preserve"> even if the proceeding does not end in an eviction, merely being subject to an eviction proceeding increases the chance of becoming homeless. These effects were also</w:t>
      </w:r>
      <w:r w:rsidR="00AC5EC7" w:rsidRPr="00C0420F">
        <w:rPr>
          <w:sz w:val="28"/>
          <w:szCs w:val="28"/>
        </w:rPr>
        <w:t xml:space="preserve"> shown to be felt more strongly among minority populations, with Black tenants and female tenants having increased chances of homelessness compared to the overall </w:t>
      </w:r>
      <w:r w:rsidR="00AC5EC7" w:rsidRPr="00C0420F">
        <w:rPr>
          <w:sz w:val="28"/>
          <w:szCs w:val="28"/>
        </w:rPr>
        <w:lastRenderedPageBreak/>
        <w:t>population.</w:t>
      </w:r>
      <w:r w:rsidR="00AC5EC7" w:rsidRPr="00C0420F">
        <w:rPr>
          <w:rStyle w:val="FootnoteReference"/>
          <w:sz w:val="28"/>
          <w:szCs w:val="28"/>
        </w:rPr>
        <w:footnoteReference w:id="8"/>
      </w:r>
      <w:r w:rsidR="00561ABB" w:rsidRPr="00C0420F">
        <w:rPr>
          <w:sz w:val="28"/>
          <w:szCs w:val="28"/>
        </w:rPr>
        <w:t xml:space="preserve"> </w:t>
      </w:r>
      <w:r w:rsidR="008E7B85" w:rsidRPr="00C0420F">
        <w:rPr>
          <w:sz w:val="28"/>
          <w:szCs w:val="28"/>
        </w:rPr>
        <w:t xml:space="preserve">This analysis does not even include the impacts, most likely long-lasting, of eviction and homelessness on </w:t>
      </w:r>
      <w:r w:rsidR="00673D66" w:rsidRPr="00C0420F">
        <w:rPr>
          <w:sz w:val="28"/>
          <w:szCs w:val="28"/>
        </w:rPr>
        <w:t xml:space="preserve">parties’ </w:t>
      </w:r>
      <w:r w:rsidR="008E7B85" w:rsidRPr="00C0420F">
        <w:rPr>
          <w:sz w:val="28"/>
          <w:szCs w:val="28"/>
        </w:rPr>
        <w:t xml:space="preserve">children. </w:t>
      </w:r>
    </w:p>
    <w:p w14:paraId="6C7F2E78" w14:textId="56E9AAFD" w:rsidR="00660C65" w:rsidRPr="009B503E" w:rsidRDefault="00673D66" w:rsidP="009B503E">
      <w:pPr>
        <w:pStyle w:val="Body"/>
        <w:widowControl w:val="0"/>
        <w:spacing w:line="480" w:lineRule="auto"/>
        <w:ind w:firstLine="720"/>
        <w:jc w:val="both"/>
        <w:rPr>
          <w:sz w:val="28"/>
          <w:szCs w:val="28"/>
        </w:rPr>
      </w:pPr>
      <w:r>
        <w:rPr>
          <w:sz w:val="28"/>
          <w:szCs w:val="28"/>
        </w:rPr>
        <w:t>Added to these far-reaching impacts is the fact that, according to the Petition, 99% of eviction defendants are unrepresented, while about 99% of plaintiffs are represented, giving rise to an inherently uneven playing field.</w:t>
      </w:r>
    </w:p>
    <w:p w14:paraId="68693EBE" w14:textId="751EE846" w:rsidR="00AC5EC7" w:rsidRPr="00561ABB" w:rsidRDefault="00235BFC" w:rsidP="00561ABB">
      <w:pPr>
        <w:spacing w:line="480" w:lineRule="auto"/>
        <w:ind w:firstLine="720"/>
        <w:jc w:val="both"/>
        <w:rPr>
          <w:sz w:val="28"/>
          <w:szCs w:val="28"/>
        </w:rPr>
      </w:pPr>
      <w:r>
        <w:rPr>
          <w:sz w:val="28"/>
          <w:szCs w:val="28"/>
        </w:rPr>
        <w:t xml:space="preserve"> In sum, </w:t>
      </w:r>
      <w:r w:rsidR="006278EC">
        <w:rPr>
          <w:sz w:val="28"/>
          <w:szCs w:val="28"/>
        </w:rPr>
        <w:t xml:space="preserve">the full </w:t>
      </w:r>
      <w:r w:rsidR="00AC5EC7" w:rsidRPr="00561ABB">
        <w:rPr>
          <w:sz w:val="28"/>
          <w:szCs w:val="28"/>
        </w:rPr>
        <w:t xml:space="preserve">protections </w:t>
      </w:r>
      <w:r w:rsidR="005B3162">
        <w:rPr>
          <w:sz w:val="28"/>
          <w:szCs w:val="28"/>
        </w:rPr>
        <w:t>rather than a truncated form of Rule 60(b) appear</w:t>
      </w:r>
      <w:r w:rsidR="00A6430C">
        <w:rPr>
          <w:sz w:val="28"/>
          <w:szCs w:val="28"/>
        </w:rPr>
        <w:t xml:space="preserve"> </w:t>
      </w:r>
      <w:r w:rsidR="00C45FAC">
        <w:rPr>
          <w:sz w:val="28"/>
          <w:szCs w:val="28"/>
        </w:rPr>
        <w:t xml:space="preserve">owed </w:t>
      </w:r>
      <w:r w:rsidR="009B503E">
        <w:rPr>
          <w:sz w:val="28"/>
          <w:szCs w:val="28"/>
        </w:rPr>
        <w:t>to</w:t>
      </w:r>
      <w:r w:rsidR="00A6430C">
        <w:rPr>
          <w:sz w:val="28"/>
          <w:szCs w:val="28"/>
        </w:rPr>
        <w:t xml:space="preserve"> </w:t>
      </w:r>
      <w:r w:rsidR="008E7B85">
        <w:rPr>
          <w:sz w:val="28"/>
          <w:szCs w:val="28"/>
        </w:rPr>
        <w:t xml:space="preserve">parties </w:t>
      </w:r>
      <w:r w:rsidR="00A6430C">
        <w:rPr>
          <w:sz w:val="28"/>
          <w:szCs w:val="28"/>
        </w:rPr>
        <w:t>s</w:t>
      </w:r>
      <w:r w:rsidR="008E7B85">
        <w:rPr>
          <w:sz w:val="28"/>
          <w:szCs w:val="28"/>
        </w:rPr>
        <w:t xml:space="preserve">eeking </w:t>
      </w:r>
      <w:r w:rsidR="00A6430C">
        <w:rPr>
          <w:sz w:val="28"/>
          <w:szCs w:val="28"/>
        </w:rPr>
        <w:t>relief from eviction judgments, orders, and proceedings</w:t>
      </w:r>
      <w:r w:rsidR="00AC5EC7" w:rsidRPr="00561ABB">
        <w:rPr>
          <w:sz w:val="28"/>
          <w:szCs w:val="28"/>
        </w:rPr>
        <w:t>.</w:t>
      </w:r>
      <w:r w:rsidR="00A6430C" w:rsidRPr="00A6430C">
        <w:rPr>
          <w:sz w:val="28"/>
          <w:szCs w:val="28"/>
        </w:rPr>
        <w:t xml:space="preserve"> </w:t>
      </w:r>
      <w:r w:rsidR="00AC5EC7" w:rsidRPr="00561ABB">
        <w:rPr>
          <w:sz w:val="28"/>
          <w:szCs w:val="28"/>
        </w:rPr>
        <w:t xml:space="preserve">The leading Supreme Court case for establishing the requirements of due process </w:t>
      </w:r>
      <w:r>
        <w:rPr>
          <w:sz w:val="28"/>
          <w:szCs w:val="28"/>
        </w:rPr>
        <w:t xml:space="preserve">in this context </w:t>
      </w:r>
      <w:r w:rsidR="00AC5EC7" w:rsidRPr="00561ABB">
        <w:rPr>
          <w:sz w:val="28"/>
          <w:szCs w:val="28"/>
        </w:rPr>
        <w:t xml:space="preserve">is </w:t>
      </w:r>
      <w:r w:rsidR="00AC5EC7" w:rsidRPr="00561ABB">
        <w:rPr>
          <w:i/>
          <w:iCs/>
          <w:sz w:val="28"/>
          <w:szCs w:val="28"/>
        </w:rPr>
        <w:t>Mathews v. Eldridge</w:t>
      </w:r>
      <w:r w:rsidR="00AC5EC7" w:rsidRPr="00561ABB">
        <w:rPr>
          <w:sz w:val="28"/>
          <w:szCs w:val="28"/>
        </w:rPr>
        <w:t xml:space="preserve">, which </w:t>
      </w:r>
      <w:r w:rsidR="00C45FAC">
        <w:rPr>
          <w:sz w:val="28"/>
          <w:szCs w:val="28"/>
        </w:rPr>
        <w:t>established</w:t>
      </w:r>
      <w:r w:rsidR="00AC5EC7" w:rsidRPr="00561ABB">
        <w:rPr>
          <w:sz w:val="28"/>
          <w:szCs w:val="28"/>
        </w:rPr>
        <w:t xml:space="preserve"> a three-factor test for determining what process is due prior to the deprivation of some property interest.</w:t>
      </w:r>
      <w:r w:rsidR="00AC5EC7" w:rsidRPr="00561ABB">
        <w:rPr>
          <w:rStyle w:val="FootnoteReference"/>
          <w:sz w:val="28"/>
          <w:szCs w:val="28"/>
        </w:rPr>
        <w:footnoteReference w:id="9"/>
      </w:r>
      <w:r w:rsidR="00AC5EC7" w:rsidRPr="00561ABB">
        <w:rPr>
          <w:sz w:val="28"/>
          <w:szCs w:val="28"/>
        </w:rPr>
        <w:t xml:space="preserve"> One of these factors is the private interest that will be affected by the official action, with a more important private interest weighing in favor of stronger due process protections.</w:t>
      </w:r>
      <w:r w:rsidR="00AC5EC7" w:rsidRPr="00561ABB">
        <w:rPr>
          <w:rStyle w:val="FootnoteReference"/>
          <w:sz w:val="28"/>
          <w:szCs w:val="28"/>
        </w:rPr>
        <w:footnoteReference w:id="10"/>
      </w:r>
      <w:r w:rsidR="00AC5EC7" w:rsidRPr="00561ABB">
        <w:rPr>
          <w:sz w:val="28"/>
          <w:szCs w:val="28"/>
        </w:rPr>
        <w:t xml:space="preserve"> </w:t>
      </w:r>
      <w:r w:rsidR="00AC5EC7" w:rsidRPr="00561ABB">
        <w:rPr>
          <w:i/>
          <w:iCs/>
          <w:sz w:val="28"/>
          <w:szCs w:val="28"/>
        </w:rPr>
        <w:t>Goldberg v. Kelly</w:t>
      </w:r>
      <w:r w:rsidR="00AC5EC7" w:rsidRPr="00561ABB">
        <w:rPr>
          <w:sz w:val="28"/>
          <w:szCs w:val="28"/>
        </w:rPr>
        <w:t xml:space="preserve"> lays out this principle explicitly, holding that “[t]he extent to which procedural due process must be afforded the recipient is influenced by the extent to which he may be ‘condemned to suffer grievous loss.’”</w:t>
      </w:r>
      <w:r w:rsidR="00AC5EC7" w:rsidRPr="00561ABB">
        <w:rPr>
          <w:rStyle w:val="FootnoteReference"/>
          <w:sz w:val="28"/>
          <w:szCs w:val="28"/>
        </w:rPr>
        <w:footnoteReference w:id="11"/>
      </w:r>
      <w:r w:rsidR="00AC5EC7" w:rsidRPr="00561ABB">
        <w:rPr>
          <w:sz w:val="28"/>
          <w:szCs w:val="28"/>
        </w:rPr>
        <w:t xml:space="preserve"> The Supreme Court has also </w:t>
      </w:r>
      <w:r w:rsidR="00B26245">
        <w:rPr>
          <w:sz w:val="28"/>
          <w:szCs w:val="28"/>
        </w:rPr>
        <w:t>held</w:t>
      </w:r>
      <w:r w:rsidR="00B452D1">
        <w:rPr>
          <w:sz w:val="28"/>
          <w:szCs w:val="28"/>
        </w:rPr>
        <w:t xml:space="preserve"> </w:t>
      </w:r>
      <w:r w:rsidR="00AC5EC7" w:rsidRPr="00561ABB">
        <w:rPr>
          <w:sz w:val="28"/>
          <w:szCs w:val="28"/>
        </w:rPr>
        <w:t xml:space="preserve">that in proceedings where the defendant would face harsher </w:t>
      </w:r>
      <w:r w:rsidR="00AC5EC7" w:rsidRPr="00561ABB">
        <w:rPr>
          <w:sz w:val="28"/>
          <w:szCs w:val="28"/>
        </w:rPr>
        <w:lastRenderedPageBreak/>
        <w:t>consequences than the plaintiff in a civil action, due process may require heightened procedural protection for that defendant.</w:t>
      </w:r>
      <w:r w:rsidR="00AC5EC7" w:rsidRPr="00561ABB">
        <w:rPr>
          <w:rStyle w:val="FootnoteReference"/>
          <w:sz w:val="28"/>
          <w:szCs w:val="28"/>
        </w:rPr>
        <w:footnoteReference w:id="12"/>
      </w:r>
    </w:p>
    <w:p w14:paraId="49A2037B" w14:textId="56980B1C" w:rsidR="00673D66" w:rsidRDefault="00AC5EC7" w:rsidP="00235BFC">
      <w:pPr>
        <w:spacing w:line="480" w:lineRule="auto"/>
        <w:ind w:firstLine="720"/>
        <w:jc w:val="both"/>
        <w:rPr>
          <w:sz w:val="28"/>
          <w:szCs w:val="28"/>
        </w:rPr>
      </w:pPr>
      <w:r w:rsidRPr="00235BFC">
        <w:rPr>
          <w:sz w:val="28"/>
          <w:szCs w:val="28"/>
        </w:rPr>
        <w:t>The Arizona Constitution has a similar due process provision to the federal Constitution</w:t>
      </w:r>
      <w:r w:rsidRPr="00235BFC">
        <w:rPr>
          <w:rStyle w:val="FootnoteReference"/>
          <w:sz w:val="28"/>
          <w:szCs w:val="28"/>
        </w:rPr>
        <w:footnoteReference w:id="13"/>
      </w:r>
      <w:r w:rsidRPr="00235BFC">
        <w:rPr>
          <w:sz w:val="28"/>
          <w:szCs w:val="28"/>
        </w:rPr>
        <w:t xml:space="preserve"> and Arizona law likewise emphasizes the increased importance of due process protections in proceedings</w:t>
      </w:r>
      <w:r w:rsidR="00235BFC">
        <w:rPr>
          <w:sz w:val="28"/>
          <w:szCs w:val="28"/>
        </w:rPr>
        <w:t xml:space="preserve"> with</w:t>
      </w:r>
      <w:r w:rsidR="000A2004">
        <w:rPr>
          <w:sz w:val="28"/>
          <w:szCs w:val="28"/>
        </w:rPr>
        <w:t xml:space="preserve"> </w:t>
      </w:r>
      <w:r w:rsidR="00DE308E">
        <w:rPr>
          <w:sz w:val="28"/>
          <w:szCs w:val="28"/>
        </w:rPr>
        <w:t>serious</w:t>
      </w:r>
      <w:r w:rsidR="00235BFC">
        <w:rPr>
          <w:sz w:val="28"/>
          <w:szCs w:val="28"/>
        </w:rPr>
        <w:t xml:space="preserve"> </w:t>
      </w:r>
      <w:r w:rsidR="00152BB2">
        <w:rPr>
          <w:sz w:val="28"/>
          <w:szCs w:val="28"/>
        </w:rPr>
        <w:t>risk of erroneous deprivation</w:t>
      </w:r>
      <w:r w:rsidRPr="00235BFC">
        <w:rPr>
          <w:sz w:val="28"/>
          <w:szCs w:val="28"/>
        </w:rPr>
        <w:t xml:space="preserve">. In cases of government deprivations, the Arizona Supreme Court has adopted and applied the </w:t>
      </w:r>
      <w:r w:rsidRPr="00235BFC">
        <w:rPr>
          <w:i/>
          <w:iCs/>
          <w:sz w:val="28"/>
          <w:szCs w:val="28"/>
        </w:rPr>
        <w:t xml:space="preserve">Mathews </w:t>
      </w:r>
      <w:r w:rsidRPr="00235BFC">
        <w:rPr>
          <w:sz w:val="28"/>
          <w:szCs w:val="28"/>
        </w:rPr>
        <w:t>test to determine what process is due.</w:t>
      </w:r>
      <w:r w:rsidRPr="00235BFC">
        <w:rPr>
          <w:rStyle w:val="FootnoteReference"/>
          <w:sz w:val="28"/>
          <w:szCs w:val="28"/>
        </w:rPr>
        <w:footnoteReference w:id="14"/>
      </w:r>
      <w:r w:rsidRPr="00235BFC">
        <w:rPr>
          <w:sz w:val="28"/>
          <w:szCs w:val="28"/>
        </w:rPr>
        <w:t xml:space="preserve"> Arizona therefore also follows the princip</w:t>
      </w:r>
      <w:r w:rsidR="00235BFC">
        <w:rPr>
          <w:sz w:val="28"/>
          <w:szCs w:val="28"/>
        </w:rPr>
        <w:t>le</w:t>
      </w:r>
      <w:r w:rsidRPr="00235BFC">
        <w:rPr>
          <w:sz w:val="28"/>
          <w:szCs w:val="28"/>
        </w:rPr>
        <w:t xml:space="preserve"> that a more important private interest will weigh in favor of stronger due process protections.</w:t>
      </w:r>
      <w:r w:rsidRPr="00235BFC">
        <w:rPr>
          <w:rStyle w:val="FootnoteReference"/>
          <w:sz w:val="28"/>
          <w:szCs w:val="28"/>
        </w:rPr>
        <w:footnoteReference w:id="15"/>
      </w:r>
      <w:r w:rsidRPr="00235BFC">
        <w:rPr>
          <w:sz w:val="28"/>
          <w:szCs w:val="28"/>
        </w:rPr>
        <w:t xml:space="preserve"> </w:t>
      </w:r>
    </w:p>
    <w:p w14:paraId="68305E27" w14:textId="0034936F" w:rsidR="002B21B3" w:rsidRDefault="00915333" w:rsidP="008E1FC4">
      <w:pPr>
        <w:spacing w:line="480" w:lineRule="auto"/>
        <w:ind w:firstLine="720"/>
        <w:jc w:val="both"/>
        <w:rPr>
          <w:sz w:val="28"/>
          <w:szCs w:val="28"/>
        </w:rPr>
      </w:pPr>
      <w:r>
        <w:rPr>
          <w:sz w:val="28"/>
          <w:szCs w:val="28"/>
        </w:rPr>
        <w:t xml:space="preserve">Despite </w:t>
      </w:r>
      <w:r w:rsidR="0093602B">
        <w:rPr>
          <w:sz w:val="28"/>
          <w:szCs w:val="28"/>
        </w:rPr>
        <w:t>the weighty consequences of a judgment against</w:t>
      </w:r>
      <w:r w:rsidR="001310B1">
        <w:rPr>
          <w:sz w:val="28"/>
          <w:szCs w:val="28"/>
        </w:rPr>
        <w:t>—</w:t>
      </w:r>
      <w:r w:rsidR="0093602B">
        <w:rPr>
          <w:sz w:val="28"/>
          <w:szCs w:val="28"/>
        </w:rPr>
        <w:t xml:space="preserve">and the </w:t>
      </w:r>
      <w:r w:rsidR="001310B1">
        <w:rPr>
          <w:sz w:val="28"/>
          <w:szCs w:val="28"/>
        </w:rPr>
        <w:t xml:space="preserve">corresponding </w:t>
      </w:r>
      <w:r w:rsidR="007D30B2">
        <w:rPr>
          <w:sz w:val="28"/>
          <w:szCs w:val="28"/>
        </w:rPr>
        <w:t>heightened importance of due process</w:t>
      </w:r>
      <w:r w:rsidR="00FE737C">
        <w:rPr>
          <w:sz w:val="28"/>
          <w:szCs w:val="28"/>
        </w:rPr>
        <w:t xml:space="preserve"> for</w:t>
      </w:r>
      <w:r w:rsidR="001310B1">
        <w:rPr>
          <w:sz w:val="28"/>
          <w:szCs w:val="28"/>
        </w:rPr>
        <w:t>—</w:t>
      </w:r>
      <w:r w:rsidR="00FE737C">
        <w:rPr>
          <w:sz w:val="28"/>
          <w:szCs w:val="28"/>
        </w:rPr>
        <w:t xml:space="preserve">a defendant </w:t>
      </w:r>
      <w:r w:rsidR="001310B1">
        <w:rPr>
          <w:sz w:val="28"/>
          <w:szCs w:val="28"/>
        </w:rPr>
        <w:t>in an eviction case,</w:t>
      </w:r>
      <w:r w:rsidR="007D30B2">
        <w:rPr>
          <w:sz w:val="28"/>
          <w:szCs w:val="28"/>
        </w:rPr>
        <w:t xml:space="preserve"> </w:t>
      </w:r>
      <w:r w:rsidR="00BC2C98">
        <w:rPr>
          <w:sz w:val="28"/>
          <w:szCs w:val="28"/>
        </w:rPr>
        <w:t xml:space="preserve">the proposed </w:t>
      </w:r>
      <w:r w:rsidR="00180218">
        <w:rPr>
          <w:sz w:val="28"/>
          <w:szCs w:val="28"/>
        </w:rPr>
        <w:t>amendments</w:t>
      </w:r>
      <w:r w:rsidR="00A74EA7">
        <w:rPr>
          <w:sz w:val="28"/>
          <w:szCs w:val="28"/>
        </w:rPr>
        <w:t xml:space="preserve"> </w:t>
      </w:r>
      <w:r w:rsidR="00543BF3">
        <w:rPr>
          <w:sz w:val="28"/>
          <w:szCs w:val="28"/>
        </w:rPr>
        <w:t xml:space="preserve">to RPEA 15 </w:t>
      </w:r>
      <w:r w:rsidR="002375CB">
        <w:rPr>
          <w:sz w:val="28"/>
          <w:szCs w:val="28"/>
        </w:rPr>
        <w:t>do not</w:t>
      </w:r>
      <w:r w:rsidR="00CD54B8">
        <w:rPr>
          <w:sz w:val="28"/>
          <w:szCs w:val="28"/>
        </w:rPr>
        <w:t xml:space="preserve"> </w:t>
      </w:r>
      <w:r w:rsidR="00A0152D">
        <w:rPr>
          <w:sz w:val="28"/>
          <w:szCs w:val="28"/>
        </w:rPr>
        <w:t xml:space="preserve">create </w:t>
      </w:r>
      <w:r w:rsidR="00CD54B8">
        <w:rPr>
          <w:sz w:val="28"/>
          <w:szCs w:val="28"/>
        </w:rPr>
        <w:t xml:space="preserve">special </w:t>
      </w:r>
      <w:r w:rsidR="00B61B35">
        <w:rPr>
          <w:sz w:val="28"/>
          <w:szCs w:val="28"/>
        </w:rPr>
        <w:t xml:space="preserve">or extra </w:t>
      </w:r>
      <w:r w:rsidR="00CD54B8">
        <w:rPr>
          <w:sz w:val="28"/>
          <w:szCs w:val="28"/>
        </w:rPr>
        <w:t>grounds for reli</w:t>
      </w:r>
      <w:r w:rsidR="00295027">
        <w:rPr>
          <w:sz w:val="28"/>
          <w:szCs w:val="28"/>
        </w:rPr>
        <w:t>ef</w:t>
      </w:r>
      <w:r w:rsidR="006B03D4">
        <w:rPr>
          <w:sz w:val="28"/>
          <w:szCs w:val="28"/>
        </w:rPr>
        <w:t xml:space="preserve"> from a judgment</w:t>
      </w:r>
      <w:r w:rsidR="00295027">
        <w:rPr>
          <w:sz w:val="28"/>
          <w:szCs w:val="28"/>
        </w:rPr>
        <w:t xml:space="preserve">. They simply </w:t>
      </w:r>
      <w:r w:rsidR="00D95144">
        <w:rPr>
          <w:sz w:val="28"/>
          <w:szCs w:val="28"/>
        </w:rPr>
        <w:t xml:space="preserve">allow </w:t>
      </w:r>
      <w:r w:rsidR="00BD5034">
        <w:rPr>
          <w:sz w:val="28"/>
          <w:szCs w:val="28"/>
        </w:rPr>
        <w:t xml:space="preserve">these defendants </w:t>
      </w:r>
      <w:r w:rsidR="007F7629">
        <w:rPr>
          <w:sz w:val="28"/>
          <w:szCs w:val="28"/>
        </w:rPr>
        <w:t xml:space="preserve">to rely on </w:t>
      </w:r>
      <w:r w:rsidR="00BD5034">
        <w:rPr>
          <w:sz w:val="28"/>
          <w:szCs w:val="28"/>
        </w:rPr>
        <w:t xml:space="preserve">the same </w:t>
      </w:r>
      <w:r w:rsidR="00204E84">
        <w:rPr>
          <w:sz w:val="28"/>
          <w:szCs w:val="28"/>
        </w:rPr>
        <w:t xml:space="preserve">grounds for </w:t>
      </w:r>
      <w:r w:rsidR="00BD5034">
        <w:rPr>
          <w:sz w:val="28"/>
          <w:szCs w:val="28"/>
        </w:rPr>
        <w:t xml:space="preserve">relief </w:t>
      </w:r>
      <w:r w:rsidR="00204E84">
        <w:rPr>
          <w:sz w:val="28"/>
          <w:szCs w:val="28"/>
        </w:rPr>
        <w:t xml:space="preserve">already available to </w:t>
      </w:r>
      <w:r w:rsidR="00EB533E">
        <w:rPr>
          <w:sz w:val="28"/>
          <w:szCs w:val="28"/>
        </w:rPr>
        <w:t>civil litigant</w:t>
      </w:r>
      <w:r w:rsidR="00775EE6">
        <w:rPr>
          <w:sz w:val="28"/>
          <w:szCs w:val="28"/>
        </w:rPr>
        <w:t>s</w:t>
      </w:r>
      <w:r w:rsidR="00FB3D0A">
        <w:rPr>
          <w:sz w:val="28"/>
          <w:szCs w:val="28"/>
        </w:rPr>
        <w:t xml:space="preserve">. </w:t>
      </w:r>
      <w:r w:rsidR="00887069">
        <w:rPr>
          <w:sz w:val="28"/>
          <w:szCs w:val="28"/>
        </w:rPr>
        <w:t>They are consistent</w:t>
      </w:r>
      <w:r w:rsidR="00B05E13">
        <w:rPr>
          <w:sz w:val="28"/>
          <w:szCs w:val="28"/>
        </w:rPr>
        <w:t xml:space="preserve"> </w:t>
      </w:r>
      <w:r w:rsidR="00215E3B">
        <w:rPr>
          <w:sz w:val="28"/>
          <w:szCs w:val="28"/>
        </w:rPr>
        <w:t xml:space="preserve">not only </w:t>
      </w:r>
      <w:r w:rsidR="00B05E13">
        <w:rPr>
          <w:sz w:val="28"/>
          <w:szCs w:val="28"/>
        </w:rPr>
        <w:t>with</w:t>
      </w:r>
      <w:r w:rsidR="00887069">
        <w:rPr>
          <w:sz w:val="28"/>
          <w:szCs w:val="28"/>
        </w:rPr>
        <w:t xml:space="preserve"> longstanding Arizona civil practice</w:t>
      </w:r>
      <w:r w:rsidR="00B05E13">
        <w:rPr>
          <w:sz w:val="28"/>
          <w:szCs w:val="28"/>
        </w:rPr>
        <w:t xml:space="preserve"> and </w:t>
      </w:r>
      <w:r w:rsidR="00D95144">
        <w:rPr>
          <w:sz w:val="28"/>
          <w:szCs w:val="28"/>
        </w:rPr>
        <w:t xml:space="preserve">due process </w:t>
      </w:r>
      <w:r w:rsidR="00215E3B">
        <w:rPr>
          <w:sz w:val="28"/>
          <w:szCs w:val="28"/>
        </w:rPr>
        <w:t>but also</w:t>
      </w:r>
      <w:r w:rsidR="00696200">
        <w:rPr>
          <w:sz w:val="28"/>
          <w:szCs w:val="28"/>
        </w:rPr>
        <w:t xml:space="preserve"> with</w:t>
      </w:r>
      <w:r w:rsidR="00215E3B">
        <w:rPr>
          <w:sz w:val="28"/>
          <w:szCs w:val="28"/>
        </w:rPr>
        <w:t xml:space="preserve"> </w:t>
      </w:r>
      <w:r w:rsidR="00233B19">
        <w:rPr>
          <w:sz w:val="28"/>
          <w:szCs w:val="28"/>
        </w:rPr>
        <w:t xml:space="preserve">Arizona’s public policy for </w:t>
      </w:r>
      <w:r w:rsidR="00787043">
        <w:rPr>
          <w:sz w:val="28"/>
          <w:szCs w:val="28"/>
        </w:rPr>
        <w:t>expeditious</w:t>
      </w:r>
      <w:r w:rsidR="00BD300A">
        <w:rPr>
          <w:sz w:val="28"/>
          <w:szCs w:val="28"/>
        </w:rPr>
        <w:t>ly</w:t>
      </w:r>
      <w:r w:rsidR="00787043">
        <w:rPr>
          <w:sz w:val="28"/>
          <w:szCs w:val="28"/>
        </w:rPr>
        <w:t xml:space="preserve"> processing evictions</w:t>
      </w:r>
      <w:r w:rsidR="00003853">
        <w:rPr>
          <w:sz w:val="28"/>
          <w:szCs w:val="28"/>
        </w:rPr>
        <w:t xml:space="preserve">. </w:t>
      </w:r>
    </w:p>
    <w:p w14:paraId="645373E3" w14:textId="67ECCC59" w:rsidR="00003853" w:rsidRDefault="00B16663" w:rsidP="008E1FC4">
      <w:pPr>
        <w:spacing w:line="480" w:lineRule="auto"/>
        <w:ind w:firstLine="720"/>
        <w:jc w:val="both"/>
        <w:rPr>
          <w:sz w:val="28"/>
          <w:szCs w:val="28"/>
        </w:rPr>
      </w:pPr>
      <w:r>
        <w:rPr>
          <w:sz w:val="28"/>
          <w:szCs w:val="28"/>
        </w:rPr>
        <w:lastRenderedPageBreak/>
        <w:t xml:space="preserve">The State Bar believes </w:t>
      </w:r>
      <w:r w:rsidR="00676B20">
        <w:rPr>
          <w:sz w:val="28"/>
          <w:szCs w:val="28"/>
        </w:rPr>
        <w:t>permitting the same grounds for relief from a</w:t>
      </w:r>
      <w:r w:rsidR="002B677F">
        <w:rPr>
          <w:sz w:val="28"/>
          <w:szCs w:val="28"/>
        </w:rPr>
        <w:t xml:space="preserve"> judgment for</w:t>
      </w:r>
      <w:r w:rsidR="00D93F15">
        <w:rPr>
          <w:sz w:val="28"/>
          <w:szCs w:val="28"/>
        </w:rPr>
        <w:t xml:space="preserve"> eviction</w:t>
      </w:r>
      <w:r w:rsidR="002F6DEF">
        <w:rPr>
          <w:sz w:val="28"/>
          <w:szCs w:val="28"/>
        </w:rPr>
        <w:t xml:space="preserve"> as for any </w:t>
      </w:r>
      <w:r w:rsidR="00C64E1A">
        <w:rPr>
          <w:sz w:val="28"/>
          <w:szCs w:val="28"/>
        </w:rPr>
        <w:t xml:space="preserve">civil </w:t>
      </w:r>
      <w:r w:rsidR="002F6DEF">
        <w:rPr>
          <w:sz w:val="28"/>
          <w:szCs w:val="28"/>
        </w:rPr>
        <w:t>judgment</w:t>
      </w:r>
      <w:r w:rsidR="00C64E1A">
        <w:rPr>
          <w:sz w:val="28"/>
          <w:szCs w:val="28"/>
        </w:rPr>
        <w:t xml:space="preserve"> </w:t>
      </w:r>
      <w:r w:rsidR="00D93F15">
        <w:rPr>
          <w:sz w:val="28"/>
          <w:szCs w:val="28"/>
        </w:rPr>
        <w:t>will increase the public’s faith in the fairness of our courts</w:t>
      </w:r>
      <w:r w:rsidR="002B677F">
        <w:rPr>
          <w:sz w:val="28"/>
          <w:szCs w:val="28"/>
        </w:rPr>
        <w:t xml:space="preserve"> </w:t>
      </w:r>
      <w:r w:rsidR="0031117C">
        <w:rPr>
          <w:sz w:val="28"/>
          <w:szCs w:val="28"/>
        </w:rPr>
        <w:t>whereas</w:t>
      </w:r>
      <w:r w:rsidR="002B677F">
        <w:rPr>
          <w:sz w:val="28"/>
          <w:szCs w:val="28"/>
        </w:rPr>
        <w:t xml:space="preserve"> </w:t>
      </w:r>
      <w:r w:rsidR="0003390D">
        <w:rPr>
          <w:sz w:val="28"/>
          <w:szCs w:val="28"/>
        </w:rPr>
        <w:t xml:space="preserve">precluding some </w:t>
      </w:r>
      <w:r w:rsidR="00410542">
        <w:rPr>
          <w:sz w:val="28"/>
          <w:szCs w:val="28"/>
        </w:rPr>
        <w:t xml:space="preserve">of those </w:t>
      </w:r>
      <w:r w:rsidR="0003390D">
        <w:rPr>
          <w:sz w:val="28"/>
          <w:szCs w:val="28"/>
        </w:rPr>
        <w:t xml:space="preserve">grounds could appear </w:t>
      </w:r>
      <w:r w:rsidR="00B632EC">
        <w:rPr>
          <w:sz w:val="28"/>
          <w:szCs w:val="28"/>
        </w:rPr>
        <w:t>arbitrary and</w:t>
      </w:r>
      <w:r w:rsidR="00C33C01">
        <w:rPr>
          <w:sz w:val="28"/>
          <w:szCs w:val="28"/>
        </w:rPr>
        <w:t xml:space="preserve"> undermine faith in the Courts</w:t>
      </w:r>
      <w:r w:rsidR="0020230F">
        <w:rPr>
          <w:sz w:val="28"/>
          <w:szCs w:val="28"/>
        </w:rPr>
        <w:t>.</w:t>
      </w:r>
      <w:r w:rsidR="00C33C01">
        <w:rPr>
          <w:sz w:val="28"/>
          <w:szCs w:val="28"/>
        </w:rPr>
        <w:t xml:space="preserve"> </w:t>
      </w:r>
    </w:p>
    <w:p w14:paraId="64722041" w14:textId="688A7F1C" w:rsidR="00A97B3C" w:rsidRPr="00FE7861" w:rsidRDefault="00673D66" w:rsidP="008E1FC4">
      <w:pPr>
        <w:spacing w:line="480" w:lineRule="auto"/>
        <w:ind w:firstLine="720"/>
        <w:jc w:val="both"/>
        <w:rPr>
          <w:rFonts w:ascii="Tahoma" w:hAnsi="Tahoma" w:cs="Tahoma"/>
          <w:sz w:val="24"/>
          <w:szCs w:val="24"/>
        </w:rPr>
      </w:pPr>
      <w:r>
        <w:rPr>
          <w:sz w:val="28"/>
          <w:szCs w:val="28"/>
        </w:rPr>
        <w:t xml:space="preserve">The </w:t>
      </w:r>
      <w:r w:rsidR="0020230F">
        <w:rPr>
          <w:sz w:val="28"/>
          <w:szCs w:val="28"/>
        </w:rPr>
        <w:t xml:space="preserve">State </w:t>
      </w:r>
      <w:r>
        <w:rPr>
          <w:sz w:val="28"/>
          <w:szCs w:val="28"/>
        </w:rPr>
        <w:t xml:space="preserve">Bar takes the following positions on </w:t>
      </w:r>
      <w:r w:rsidR="002B55BB">
        <w:rPr>
          <w:sz w:val="28"/>
          <w:szCs w:val="28"/>
        </w:rPr>
        <w:t>the Petition’s</w:t>
      </w:r>
      <w:r w:rsidR="009B503E">
        <w:rPr>
          <w:sz w:val="28"/>
          <w:szCs w:val="28"/>
        </w:rPr>
        <w:t xml:space="preserve"> </w:t>
      </w:r>
      <w:r w:rsidR="00FE7861">
        <w:rPr>
          <w:sz w:val="28"/>
          <w:szCs w:val="28"/>
        </w:rPr>
        <w:t>individual proposals</w:t>
      </w:r>
      <w:r w:rsidR="00A97B3C">
        <w:rPr>
          <w:sz w:val="28"/>
          <w:szCs w:val="28"/>
        </w:rPr>
        <w:t>:</w:t>
      </w:r>
    </w:p>
    <w:p w14:paraId="094C4DB6" w14:textId="32B3F856" w:rsidR="00A97B3C" w:rsidRDefault="004345C2" w:rsidP="00A97B3C">
      <w:pPr>
        <w:pStyle w:val="Body"/>
        <w:widowControl w:val="0"/>
        <w:numPr>
          <w:ilvl w:val="0"/>
          <w:numId w:val="16"/>
        </w:numPr>
        <w:spacing w:line="480" w:lineRule="auto"/>
        <w:jc w:val="both"/>
        <w:rPr>
          <w:sz w:val="28"/>
          <w:szCs w:val="28"/>
        </w:rPr>
      </w:pPr>
      <w:r>
        <w:rPr>
          <w:sz w:val="28"/>
          <w:szCs w:val="28"/>
        </w:rPr>
        <w:t xml:space="preserve"> </w:t>
      </w:r>
      <w:r w:rsidRPr="004345C2">
        <w:rPr>
          <w:sz w:val="28"/>
          <w:szCs w:val="28"/>
          <w:u w:val="single"/>
        </w:rPr>
        <w:t>Adding the Three Grounds</w:t>
      </w:r>
      <w:r>
        <w:rPr>
          <w:sz w:val="28"/>
          <w:szCs w:val="28"/>
        </w:rPr>
        <w:t xml:space="preserve">: </w:t>
      </w:r>
      <w:r w:rsidR="00FE7861">
        <w:rPr>
          <w:sz w:val="28"/>
          <w:szCs w:val="28"/>
        </w:rPr>
        <w:t xml:space="preserve">The </w:t>
      </w:r>
      <w:r w:rsidR="0020230F">
        <w:rPr>
          <w:sz w:val="28"/>
          <w:szCs w:val="28"/>
        </w:rPr>
        <w:t xml:space="preserve">State </w:t>
      </w:r>
      <w:r w:rsidR="00FE7861">
        <w:rPr>
          <w:sz w:val="28"/>
          <w:szCs w:val="28"/>
        </w:rPr>
        <w:t xml:space="preserve">Bar supports adding the three traditional grounds </w:t>
      </w:r>
      <w:r w:rsidR="005B3162">
        <w:rPr>
          <w:sz w:val="28"/>
          <w:szCs w:val="28"/>
        </w:rPr>
        <w:t>from</w:t>
      </w:r>
      <w:r>
        <w:rPr>
          <w:sz w:val="28"/>
          <w:szCs w:val="28"/>
        </w:rPr>
        <w:t xml:space="preserve"> paragraphs (4), (5), and (6) of Rule 60(b), Rules of Civil Procedure, thereby incorporating the body of law associated with Rule 60(b) for the benefit and guidance of bench, bar, and litigants.  </w:t>
      </w:r>
      <w:bookmarkStart w:id="15" w:name="_Hlk193696814"/>
      <w:r>
        <w:rPr>
          <w:sz w:val="28"/>
          <w:szCs w:val="28"/>
        </w:rPr>
        <w:t xml:space="preserve">However, the Bar proposes to merge paragraph (4) of Rule 60(b) (“the judgment is void”) into Rule 15(a)(3), to provide as follows: </w:t>
      </w:r>
      <w:bookmarkStart w:id="16" w:name="_Hlk193696785"/>
      <w:bookmarkEnd w:id="15"/>
      <w:r>
        <w:rPr>
          <w:sz w:val="28"/>
          <w:szCs w:val="28"/>
        </w:rPr>
        <w:t>“The judgment is void, including where the court did not have jurisdiction to hear the case or where a party did not receive proper notice or was not properly served.”</w:t>
      </w:r>
      <w:bookmarkEnd w:id="16"/>
    </w:p>
    <w:p w14:paraId="5CD049A8" w14:textId="404188BC" w:rsidR="004345C2" w:rsidRPr="001E4A02" w:rsidRDefault="004345C2" w:rsidP="00A97B3C">
      <w:pPr>
        <w:pStyle w:val="Body"/>
        <w:widowControl w:val="0"/>
        <w:numPr>
          <w:ilvl w:val="0"/>
          <w:numId w:val="16"/>
        </w:numPr>
        <w:spacing w:line="480" w:lineRule="auto"/>
        <w:jc w:val="both"/>
        <w:rPr>
          <w:sz w:val="28"/>
          <w:szCs w:val="28"/>
          <w:u w:val="single"/>
        </w:rPr>
      </w:pPr>
      <w:r w:rsidRPr="004345C2">
        <w:rPr>
          <w:sz w:val="28"/>
          <w:szCs w:val="28"/>
          <w:u w:val="single"/>
        </w:rPr>
        <w:t>Mandatory Stay</w:t>
      </w:r>
      <w:r w:rsidRPr="005B3162">
        <w:rPr>
          <w:sz w:val="28"/>
          <w:szCs w:val="28"/>
        </w:rPr>
        <w:t>:</w:t>
      </w:r>
      <w:r w:rsidR="005B3162">
        <w:rPr>
          <w:sz w:val="28"/>
          <w:szCs w:val="28"/>
        </w:rPr>
        <w:t xml:space="preserve"> In view of the minimal delay involved (three court days), the </w:t>
      </w:r>
      <w:r w:rsidR="0020230F">
        <w:rPr>
          <w:sz w:val="28"/>
          <w:szCs w:val="28"/>
        </w:rPr>
        <w:t xml:space="preserve">State </w:t>
      </w:r>
      <w:r w:rsidR="005B3162">
        <w:rPr>
          <w:sz w:val="28"/>
          <w:szCs w:val="28"/>
        </w:rPr>
        <w:t xml:space="preserve">Bar supports the proposed mandatory stay of an eviction judgment, order, or proceeding “upon the filing of a post judgment motion affecting possession, pending the court’s decision on the motion within three court days.” </w:t>
      </w:r>
      <w:bookmarkStart w:id="17" w:name="_Hlk193696854"/>
      <w:r w:rsidR="005B3162">
        <w:rPr>
          <w:sz w:val="28"/>
          <w:szCs w:val="28"/>
        </w:rPr>
        <w:t xml:space="preserve">The </w:t>
      </w:r>
      <w:r w:rsidR="0020230F">
        <w:rPr>
          <w:sz w:val="28"/>
          <w:szCs w:val="28"/>
        </w:rPr>
        <w:t xml:space="preserve">State </w:t>
      </w:r>
      <w:r w:rsidR="005B3162">
        <w:rPr>
          <w:sz w:val="28"/>
          <w:szCs w:val="28"/>
        </w:rPr>
        <w:t xml:space="preserve">Bar believes the word “and” should </w:t>
      </w:r>
      <w:r w:rsidR="005B3162">
        <w:rPr>
          <w:sz w:val="28"/>
          <w:szCs w:val="28"/>
        </w:rPr>
        <w:lastRenderedPageBreak/>
        <w:t>be</w:t>
      </w:r>
      <w:r w:rsidR="00797258">
        <w:rPr>
          <w:sz w:val="28"/>
          <w:szCs w:val="28"/>
        </w:rPr>
        <w:t xml:space="preserve"> changed to</w:t>
      </w:r>
      <w:r w:rsidR="005B3162">
        <w:rPr>
          <w:sz w:val="28"/>
          <w:szCs w:val="28"/>
        </w:rPr>
        <w:t xml:space="preserve"> “or” in “”an eviction judgment, order, and proceeding.” The Bar recommends that the phrase “shall stay” be changed to “must stay” </w:t>
      </w:r>
      <w:r w:rsidR="00B74E67">
        <w:rPr>
          <w:sz w:val="28"/>
          <w:szCs w:val="28"/>
        </w:rPr>
        <w:t>under</w:t>
      </w:r>
      <w:r w:rsidR="005B3162">
        <w:rPr>
          <w:sz w:val="28"/>
          <w:szCs w:val="28"/>
        </w:rPr>
        <w:t xml:space="preserve"> current restyling conventions. </w:t>
      </w:r>
      <w:bookmarkEnd w:id="17"/>
    </w:p>
    <w:p w14:paraId="6A5D6060" w14:textId="0F680C16" w:rsidR="001E4A02" w:rsidRPr="00C35E8A" w:rsidRDefault="00A42273" w:rsidP="00A42273">
      <w:pPr>
        <w:pStyle w:val="Body"/>
        <w:widowControl w:val="0"/>
        <w:spacing w:line="480" w:lineRule="auto"/>
        <w:ind w:left="1260" w:hanging="360"/>
        <w:jc w:val="both"/>
        <w:rPr>
          <w:sz w:val="28"/>
          <w:szCs w:val="28"/>
          <w:highlight w:val="yellow"/>
          <w:u w:val="single"/>
        </w:rPr>
      </w:pPr>
      <w:r w:rsidRPr="00A42273">
        <w:rPr>
          <w:sz w:val="28"/>
          <w:szCs w:val="28"/>
        </w:rPr>
        <w:t>3</w:t>
      </w:r>
      <w:r>
        <w:rPr>
          <w:sz w:val="28"/>
          <w:szCs w:val="28"/>
        </w:rPr>
        <w:t>.</w:t>
      </w:r>
      <w:r w:rsidRPr="00A42273">
        <w:rPr>
          <w:sz w:val="28"/>
          <w:szCs w:val="28"/>
        </w:rPr>
        <w:tab/>
      </w:r>
      <w:r w:rsidR="00B5416D" w:rsidRPr="00A42273">
        <w:rPr>
          <w:sz w:val="28"/>
          <w:szCs w:val="28"/>
          <w:u w:val="single"/>
        </w:rPr>
        <w:t>State Bar’s alternativ</w:t>
      </w:r>
      <w:r w:rsidR="00B5416D" w:rsidRPr="00BB763B">
        <w:rPr>
          <w:sz w:val="28"/>
          <w:szCs w:val="28"/>
          <w:u w:val="single"/>
        </w:rPr>
        <w:t xml:space="preserve">e proposal </w:t>
      </w:r>
      <w:r w:rsidR="00BE0264" w:rsidRPr="00BB763B">
        <w:rPr>
          <w:sz w:val="28"/>
          <w:szCs w:val="28"/>
          <w:u w:val="single"/>
        </w:rPr>
        <w:t>for an experimental</w:t>
      </w:r>
      <w:r w:rsidR="009C68F4">
        <w:rPr>
          <w:sz w:val="28"/>
          <w:szCs w:val="28"/>
          <w:u w:val="single"/>
        </w:rPr>
        <w:t xml:space="preserve"> pilot</w:t>
      </w:r>
      <w:r w:rsidR="003F392D" w:rsidRPr="00BB763B">
        <w:rPr>
          <w:sz w:val="28"/>
          <w:szCs w:val="28"/>
          <w:u w:val="single"/>
        </w:rPr>
        <w:t xml:space="preserve"> program:</w:t>
      </w:r>
      <w:r w:rsidR="003F392D" w:rsidRPr="00BB763B">
        <w:rPr>
          <w:sz w:val="28"/>
          <w:szCs w:val="28"/>
        </w:rPr>
        <w:t xml:space="preserve"> If the Arizona Supreme Court has conc</w:t>
      </w:r>
      <w:r w:rsidR="007E2161" w:rsidRPr="00BB763B">
        <w:rPr>
          <w:sz w:val="28"/>
          <w:szCs w:val="28"/>
        </w:rPr>
        <w:t xml:space="preserve">erns about implementation of the above rule amendments, </w:t>
      </w:r>
      <w:r w:rsidR="0072411D" w:rsidRPr="00BB763B">
        <w:rPr>
          <w:sz w:val="28"/>
          <w:szCs w:val="28"/>
        </w:rPr>
        <w:t xml:space="preserve">the State Bar </w:t>
      </w:r>
      <w:r w:rsidR="0072411D" w:rsidRPr="00A42273">
        <w:rPr>
          <w:sz w:val="28"/>
          <w:szCs w:val="28"/>
        </w:rPr>
        <w:t>recommends</w:t>
      </w:r>
      <w:r w:rsidR="0072411D" w:rsidRPr="00BB763B">
        <w:rPr>
          <w:sz w:val="28"/>
          <w:szCs w:val="28"/>
        </w:rPr>
        <w:t xml:space="preserve"> that </w:t>
      </w:r>
      <w:r w:rsidR="00C35E8A" w:rsidRPr="00BB763B">
        <w:rPr>
          <w:sz w:val="28"/>
          <w:szCs w:val="28"/>
        </w:rPr>
        <w:t>the Court</w:t>
      </w:r>
      <w:r w:rsidR="0072411D" w:rsidRPr="00BB763B">
        <w:rPr>
          <w:sz w:val="28"/>
          <w:szCs w:val="28"/>
        </w:rPr>
        <w:t xml:space="preserve"> adopt the amendments for a three-year trial period after which the</w:t>
      </w:r>
      <w:r w:rsidR="00543FC9" w:rsidRPr="00BB763B">
        <w:rPr>
          <w:sz w:val="28"/>
          <w:szCs w:val="28"/>
        </w:rPr>
        <w:t xml:space="preserve"> </w:t>
      </w:r>
      <w:r w:rsidR="008834E6" w:rsidRPr="00BB763B">
        <w:rPr>
          <w:sz w:val="28"/>
          <w:szCs w:val="28"/>
        </w:rPr>
        <w:t xml:space="preserve">amendments would be assessed for </w:t>
      </w:r>
      <w:r w:rsidR="00735249" w:rsidRPr="00BB763B">
        <w:rPr>
          <w:sz w:val="28"/>
          <w:szCs w:val="28"/>
        </w:rPr>
        <w:t xml:space="preserve">their impact, positive or negative, on the administration of justice in eviction cases. </w:t>
      </w:r>
      <w:r w:rsidR="0072411D" w:rsidRPr="00BB763B">
        <w:rPr>
          <w:sz w:val="28"/>
          <w:szCs w:val="28"/>
        </w:rPr>
        <w:t xml:space="preserve">                                                                                                                                                                                                                                                                                                                                                                                                                                                                                                                                                                                                                                                                                                                                                                                                                                                                                                                                                                                                                                                                                                                                                                                                                                                                                                                                                                                          </w:t>
      </w:r>
    </w:p>
    <w:p w14:paraId="28AA842A" w14:textId="77777777" w:rsidR="00A97B3C" w:rsidRPr="006F63FD" w:rsidRDefault="00A97B3C" w:rsidP="00A97B3C">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5D02FE20" w14:textId="2FB585DD" w:rsidR="000F7A7F" w:rsidRPr="00B74E67" w:rsidRDefault="00A97B3C" w:rsidP="00B74E67">
      <w:pPr>
        <w:pStyle w:val="Body"/>
        <w:widowControl w:val="0"/>
        <w:tabs>
          <w:tab w:val="left" w:pos="720"/>
        </w:tabs>
        <w:spacing w:line="480" w:lineRule="auto"/>
        <w:ind w:firstLine="0"/>
        <w:jc w:val="both"/>
        <w:rPr>
          <w:spacing w:val="-3"/>
          <w:sz w:val="28"/>
          <w:szCs w:val="28"/>
        </w:rPr>
      </w:pPr>
      <w:r w:rsidRPr="006F63FD">
        <w:rPr>
          <w:sz w:val="28"/>
          <w:szCs w:val="28"/>
        </w:rPr>
        <w:tab/>
      </w:r>
      <w:r w:rsidR="00B74E67">
        <w:rPr>
          <w:sz w:val="28"/>
          <w:szCs w:val="28"/>
        </w:rPr>
        <w:t>T</w:t>
      </w:r>
      <w:r w:rsidRPr="006F63FD">
        <w:rPr>
          <w:sz w:val="28"/>
          <w:szCs w:val="28"/>
        </w:rPr>
        <w:t>he State Bar</w:t>
      </w:r>
      <w:r>
        <w:rPr>
          <w:sz w:val="28"/>
          <w:szCs w:val="28"/>
        </w:rPr>
        <w:t xml:space="preserve"> of Arizona</w:t>
      </w:r>
      <w:r w:rsidRPr="006F63FD">
        <w:rPr>
          <w:sz w:val="28"/>
          <w:szCs w:val="28"/>
        </w:rPr>
        <w:t xml:space="preserve"> respectfully requests that </w:t>
      </w:r>
      <w:r>
        <w:rPr>
          <w:sz w:val="28"/>
          <w:szCs w:val="28"/>
        </w:rPr>
        <w:t xml:space="preserve">the Court </w:t>
      </w:r>
      <w:r w:rsidR="005B3162">
        <w:rPr>
          <w:sz w:val="28"/>
          <w:szCs w:val="28"/>
        </w:rPr>
        <w:t>approve</w:t>
      </w:r>
      <w:r>
        <w:rPr>
          <w:sz w:val="28"/>
          <w:szCs w:val="28"/>
        </w:rPr>
        <w:t xml:space="preserve"> this Petition</w:t>
      </w:r>
      <w:r w:rsidR="005B3162">
        <w:rPr>
          <w:sz w:val="28"/>
          <w:szCs w:val="28"/>
        </w:rPr>
        <w:t xml:space="preserve"> with the </w:t>
      </w:r>
      <w:r w:rsidR="009B503E">
        <w:rPr>
          <w:sz w:val="28"/>
          <w:szCs w:val="28"/>
        </w:rPr>
        <w:t xml:space="preserve">revisions </w:t>
      </w:r>
      <w:r w:rsidR="005B3162">
        <w:rPr>
          <w:sz w:val="28"/>
          <w:szCs w:val="28"/>
        </w:rPr>
        <w:t>set forth above</w:t>
      </w:r>
      <w:r>
        <w:rPr>
          <w:sz w:val="28"/>
          <w:szCs w:val="28"/>
        </w:rPr>
        <w:t xml:space="preserve">. </w:t>
      </w:r>
    </w:p>
    <w:p w14:paraId="241BC18D" w14:textId="77777777" w:rsidR="00B632EC" w:rsidRPr="006F63FD" w:rsidRDefault="00B632EC" w:rsidP="00B632EC">
      <w:pPr>
        <w:pStyle w:val="Body"/>
        <w:widowControl w:val="0"/>
        <w:tabs>
          <w:tab w:val="left" w:pos="720"/>
        </w:tabs>
        <w:ind w:firstLine="0"/>
        <w:rPr>
          <w:sz w:val="28"/>
          <w:szCs w:val="28"/>
        </w:rPr>
      </w:pPr>
      <w:r>
        <w:rPr>
          <w:szCs w:val="26"/>
        </w:rPr>
        <w:t xml:space="preserve">       </w:t>
      </w:r>
      <w:r>
        <w:rPr>
          <w:szCs w:val="26"/>
        </w:rPr>
        <w:tab/>
      </w:r>
      <w:r>
        <w:rPr>
          <w:szCs w:val="26"/>
        </w:rPr>
        <w:tab/>
      </w:r>
      <w:r>
        <w:rPr>
          <w:szCs w:val="26"/>
        </w:rPr>
        <w:tab/>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2025</w:t>
      </w:r>
      <w:r w:rsidRPr="006F63FD">
        <w:rPr>
          <w:sz w:val="28"/>
          <w:szCs w:val="28"/>
        </w:rPr>
        <w:t>.</w:t>
      </w:r>
    </w:p>
    <w:p w14:paraId="57DD12F7" w14:textId="77777777" w:rsidR="00B632EC" w:rsidRPr="000F7A7F" w:rsidRDefault="00B632EC" w:rsidP="00B632EC">
      <w:pPr>
        <w:pStyle w:val="Body"/>
        <w:widowControl w:val="0"/>
        <w:tabs>
          <w:tab w:val="left" w:pos="720"/>
        </w:tabs>
        <w:ind w:firstLine="0"/>
        <w:rPr>
          <w:szCs w:val="26"/>
        </w:rPr>
      </w:pPr>
    </w:p>
    <w:p w14:paraId="572D7847" w14:textId="77777777" w:rsidR="00B632EC" w:rsidRPr="000F7A7F" w:rsidRDefault="00B632EC" w:rsidP="00B632EC">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385DF473" wp14:editId="0777A9E3">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066C20E0" w14:textId="77777777" w:rsidR="00B632EC" w:rsidRPr="006F63FD" w:rsidRDefault="00B632EC" w:rsidP="00B632EC">
      <w:pPr>
        <w:pStyle w:val="PleadingSignature"/>
        <w:keepNext w:val="0"/>
        <w:keepLines w:val="0"/>
        <w:pBdr>
          <w:top w:val="single" w:sz="4" w:space="1" w:color="auto"/>
        </w:pBdr>
        <w:spacing w:line="240" w:lineRule="auto"/>
        <w:ind w:left="4320"/>
        <w:rPr>
          <w:sz w:val="28"/>
          <w:szCs w:val="28"/>
        </w:rPr>
      </w:pPr>
      <w:r>
        <w:rPr>
          <w:sz w:val="28"/>
          <w:szCs w:val="28"/>
        </w:rPr>
        <w:t>Lisa M. Panahi</w:t>
      </w:r>
    </w:p>
    <w:p w14:paraId="7D35E61F" w14:textId="77777777" w:rsidR="00B632EC" w:rsidRDefault="00B632EC" w:rsidP="00B632EC">
      <w:pPr>
        <w:pStyle w:val="PleadingSignature"/>
        <w:keepNext w:val="0"/>
        <w:keepLines w:val="0"/>
        <w:spacing w:line="240" w:lineRule="auto"/>
        <w:ind w:left="3600" w:firstLine="720"/>
        <w:rPr>
          <w:sz w:val="28"/>
          <w:szCs w:val="28"/>
        </w:rPr>
      </w:pPr>
      <w:r>
        <w:rPr>
          <w:sz w:val="28"/>
          <w:szCs w:val="28"/>
        </w:rPr>
        <w:t>FOR THE STATE BAR OF ARIZONA</w:t>
      </w:r>
    </w:p>
    <w:p w14:paraId="17CA2EAC" w14:textId="77777777" w:rsidR="00B632EC" w:rsidRPr="006F63FD" w:rsidRDefault="00B632EC" w:rsidP="00B632EC">
      <w:pPr>
        <w:pStyle w:val="PleadingSignature"/>
        <w:keepNext w:val="0"/>
        <w:keepLines w:val="0"/>
        <w:spacing w:line="240" w:lineRule="auto"/>
        <w:ind w:left="3600" w:firstLine="720"/>
        <w:rPr>
          <w:sz w:val="28"/>
          <w:szCs w:val="28"/>
        </w:rPr>
      </w:pPr>
    </w:p>
    <w:p w14:paraId="426D3641" w14:textId="77777777" w:rsidR="00B632EC" w:rsidRPr="000F7A7F" w:rsidRDefault="00B632EC" w:rsidP="00B632EC">
      <w:pPr>
        <w:pStyle w:val="PleadingSignature"/>
        <w:keepNext w:val="0"/>
        <w:keepLines w:val="0"/>
        <w:spacing w:line="240" w:lineRule="auto"/>
        <w:ind w:left="5070"/>
        <w:rPr>
          <w:szCs w:val="26"/>
        </w:rPr>
      </w:pPr>
    </w:p>
    <w:p w14:paraId="72C7372C" w14:textId="77777777" w:rsidR="00B632EC" w:rsidRPr="00C52E56" w:rsidRDefault="00B632EC" w:rsidP="00B632EC">
      <w:pPr>
        <w:widowControl w:val="0"/>
        <w:spacing w:line="240" w:lineRule="auto"/>
        <w:ind w:right="4140"/>
        <w:rPr>
          <w:sz w:val="28"/>
          <w:szCs w:val="28"/>
        </w:rPr>
      </w:pPr>
      <w:r w:rsidRPr="00C52E56">
        <w:rPr>
          <w:sz w:val="28"/>
          <w:szCs w:val="28"/>
        </w:rPr>
        <w:t>Electronic copy filed with the</w:t>
      </w:r>
    </w:p>
    <w:p w14:paraId="5F9C91D6" w14:textId="77777777" w:rsidR="00B632EC" w:rsidRPr="00C52E56" w:rsidRDefault="00B632EC" w:rsidP="00B632EC">
      <w:pPr>
        <w:spacing w:line="240" w:lineRule="auto"/>
        <w:ind w:right="4140"/>
        <w:rPr>
          <w:sz w:val="28"/>
          <w:szCs w:val="28"/>
        </w:rPr>
      </w:pPr>
      <w:r w:rsidRPr="00C52E56">
        <w:rPr>
          <w:sz w:val="28"/>
          <w:szCs w:val="28"/>
        </w:rPr>
        <w:t xml:space="preserve">Clerk of the </w:t>
      </w:r>
      <w:r>
        <w:rPr>
          <w:sz w:val="28"/>
          <w:szCs w:val="28"/>
        </w:rPr>
        <w:t>Supreme Court of Arizona</w:t>
      </w:r>
    </w:p>
    <w:p w14:paraId="1493AC84" w14:textId="77777777" w:rsidR="00B632EC" w:rsidRPr="00C52E56" w:rsidRDefault="00B632EC" w:rsidP="00B632EC">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2025</w:t>
      </w:r>
      <w:r w:rsidRPr="00C52E56">
        <w:rPr>
          <w:sz w:val="28"/>
          <w:szCs w:val="28"/>
        </w:rPr>
        <w:t>.</w:t>
      </w:r>
    </w:p>
    <w:p w14:paraId="004DFB67" w14:textId="77777777" w:rsidR="00B632EC" w:rsidRPr="00C52E56" w:rsidRDefault="00B632EC" w:rsidP="00B632EC">
      <w:pPr>
        <w:spacing w:line="240" w:lineRule="auto"/>
        <w:ind w:right="4572"/>
        <w:rPr>
          <w:sz w:val="28"/>
          <w:szCs w:val="28"/>
        </w:rPr>
      </w:pPr>
    </w:p>
    <w:p w14:paraId="4AB261C7" w14:textId="77777777" w:rsidR="00B632EC" w:rsidRPr="00405DAC" w:rsidRDefault="00B632EC" w:rsidP="00B632EC">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69581EED" w14:textId="77777777" w:rsidR="000F7A7F" w:rsidRPr="00C52E56" w:rsidRDefault="000F7A7F" w:rsidP="000C48A9">
      <w:pPr>
        <w:spacing w:line="240" w:lineRule="auto"/>
        <w:ind w:right="4572"/>
        <w:rPr>
          <w:sz w:val="28"/>
          <w:szCs w:val="28"/>
        </w:rPr>
      </w:pPr>
    </w:p>
    <w:sectPr w:rsidR="000F7A7F" w:rsidRPr="00C52E56" w:rsidSect="006F63FD">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625E" w14:textId="77777777" w:rsidR="00DB71B0" w:rsidRDefault="00DB71B0">
      <w:r>
        <w:separator/>
      </w:r>
    </w:p>
  </w:endnote>
  <w:endnote w:type="continuationSeparator" w:id="0">
    <w:p w14:paraId="3F03C3D5" w14:textId="77777777" w:rsidR="00DB71B0" w:rsidRDefault="00DB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331C" w14:textId="77777777" w:rsidR="00DB71B0" w:rsidRDefault="00DB71B0">
      <w:r>
        <w:separator/>
      </w:r>
    </w:p>
  </w:footnote>
  <w:footnote w:type="continuationSeparator" w:id="0">
    <w:p w14:paraId="3EC15EFA" w14:textId="77777777" w:rsidR="00DB71B0" w:rsidRDefault="00DB71B0">
      <w:r>
        <w:continuationSeparator/>
      </w:r>
    </w:p>
  </w:footnote>
  <w:footnote w:id="1">
    <w:p w14:paraId="0B29036F" w14:textId="77777777"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Kunle </w:t>
      </w:r>
      <w:proofErr w:type="spellStart"/>
      <w:r w:rsidRPr="00A209F2">
        <w:rPr>
          <w:sz w:val="28"/>
          <w:szCs w:val="28"/>
        </w:rPr>
        <w:t>Falayi</w:t>
      </w:r>
      <w:proofErr w:type="spellEnd"/>
      <w:r w:rsidRPr="00A209F2">
        <w:rPr>
          <w:sz w:val="28"/>
          <w:szCs w:val="28"/>
        </w:rPr>
        <w:t xml:space="preserve"> and Catherine Reagor, </w:t>
      </w:r>
      <w:r w:rsidRPr="00A209F2">
        <w:rPr>
          <w:i/>
          <w:iCs/>
          <w:sz w:val="28"/>
          <w:szCs w:val="28"/>
        </w:rPr>
        <w:t>Three evictions, three stories. Why the Phoenix area eviction crisis is only getting worse</w:t>
      </w:r>
      <w:r w:rsidRPr="00A209F2">
        <w:rPr>
          <w:sz w:val="28"/>
          <w:szCs w:val="28"/>
        </w:rPr>
        <w:t>, azcentral (Nov. 25, 2023, 12:04 p.m.), https://www.azcentral.com/in-depth/news/local/arizona/2023/04/17/eviction-filings-are-on-the-rise-in-metro-phoenix-what-can-be-done/69907643007/.</w:t>
      </w:r>
    </w:p>
  </w:footnote>
  <w:footnote w:id="2">
    <w:p w14:paraId="3F757591" w14:textId="77777777"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Catherine Reagor, </w:t>
      </w:r>
      <w:r w:rsidRPr="00A209F2">
        <w:rPr>
          <w:i/>
          <w:iCs/>
          <w:sz w:val="28"/>
          <w:szCs w:val="28"/>
        </w:rPr>
        <w:t>Metro Phoenix eviction filings set record in 2024, despite lower rents, more apartments</w:t>
      </w:r>
      <w:r w:rsidRPr="00A209F2">
        <w:rPr>
          <w:sz w:val="28"/>
          <w:szCs w:val="28"/>
        </w:rPr>
        <w:t>, azcentral (Jan. 8, 2024, 6:00 a.m.), https://www.azcentral.com/story/money/real-estate/2025/01/08/metro-phoenix-eviction-filings-set-record-in-2024-despite-lower-rents/77504989007/.</w:t>
      </w:r>
    </w:p>
  </w:footnote>
  <w:footnote w:id="3">
    <w:p w14:paraId="182C1704" w14:textId="77777777"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Shea Lemar, et al., </w:t>
      </w:r>
      <w:r w:rsidRPr="00A209F2">
        <w:rPr>
          <w:i/>
          <w:iCs/>
          <w:sz w:val="28"/>
          <w:szCs w:val="28"/>
        </w:rPr>
        <w:t>Arizona Eviction and Foreclosure Dashboard</w:t>
      </w:r>
      <w:r w:rsidRPr="00A209F2">
        <w:rPr>
          <w:sz w:val="28"/>
          <w:szCs w:val="28"/>
        </w:rPr>
        <w:t>, Arizona State University, https://storymaps.arcgis.com/collections/89946f2d8ad74812a5fa10da4ae5ba58?item=1 (last visited Feb. 10, 2025). The dashboard notes that their number for 2023 is an undercount, as they only included evictions that were mappable, so the number may have been over 100,000 even in 2023.</w:t>
      </w:r>
    </w:p>
  </w:footnote>
  <w:footnote w:id="4">
    <w:p w14:paraId="6E7BB809" w14:textId="77777777"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w:t>
      </w:r>
      <w:r w:rsidRPr="00A209F2">
        <w:rPr>
          <w:i/>
          <w:iCs/>
          <w:sz w:val="28"/>
          <w:szCs w:val="28"/>
        </w:rPr>
        <w:t>Id.</w:t>
      </w:r>
    </w:p>
  </w:footnote>
  <w:footnote w:id="5">
    <w:p w14:paraId="1B502B55" w14:textId="14A989DE"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Kunle </w:t>
      </w:r>
      <w:proofErr w:type="spellStart"/>
      <w:r w:rsidRPr="00A209F2">
        <w:rPr>
          <w:sz w:val="28"/>
          <w:szCs w:val="28"/>
        </w:rPr>
        <w:t>Falayi</w:t>
      </w:r>
      <w:proofErr w:type="spellEnd"/>
      <w:r w:rsidRPr="00A209F2">
        <w:rPr>
          <w:sz w:val="28"/>
          <w:szCs w:val="28"/>
        </w:rPr>
        <w:t xml:space="preserve"> and Catherine Reagor, </w:t>
      </w:r>
      <w:r w:rsidR="0020230F" w:rsidRPr="00A209F2">
        <w:rPr>
          <w:i/>
          <w:iCs/>
          <w:sz w:val="28"/>
          <w:szCs w:val="28"/>
        </w:rPr>
        <w:t>supra</w:t>
      </w:r>
      <w:r w:rsidR="0020230F" w:rsidRPr="00A209F2">
        <w:rPr>
          <w:sz w:val="28"/>
          <w:szCs w:val="28"/>
        </w:rPr>
        <w:t xml:space="preserve"> note 1. </w:t>
      </w:r>
    </w:p>
  </w:footnote>
  <w:footnote w:id="6">
    <w:p w14:paraId="6D9B0B4E" w14:textId="77777777"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Henri </w:t>
      </w:r>
      <w:proofErr w:type="spellStart"/>
      <w:r w:rsidRPr="00A209F2">
        <w:rPr>
          <w:sz w:val="28"/>
          <w:szCs w:val="28"/>
        </w:rPr>
        <w:t>Cornec</w:t>
      </w:r>
      <w:proofErr w:type="spellEnd"/>
      <w:r w:rsidRPr="00A209F2">
        <w:rPr>
          <w:sz w:val="28"/>
          <w:szCs w:val="28"/>
        </w:rPr>
        <w:t xml:space="preserve">, </w:t>
      </w:r>
      <w:r w:rsidRPr="00A209F2">
        <w:rPr>
          <w:i/>
          <w:iCs/>
          <w:sz w:val="28"/>
          <w:szCs w:val="28"/>
        </w:rPr>
        <w:t>New Research Sheds Light on the Economic Consequences of Evictions</w:t>
      </w:r>
      <w:r w:rsidRPr="00A209F2">
        <w:rPr>
          <w:sz w:val="28"/>
          <w:szCs w:val="28"/>
        </w:rPr>
        <w:t>, Yale Department of Economics (Sept. 26, 2023), https://economics.yale.edu/news/230926/new-research-sheds-light-economic-consequences-evictions.</w:t>
      </w:r>
    </w:p>
  </w:footnote>
  <w:footnote w:id="7">
    <w:p w14:paraId="700DAEB6" w14:textId="77777777" w:rsidR="00AC5EC7" w:rsidRPr="00C84BBD" w:rsidRDefault="00AC5EC7" w:rsidP="00A209F2">
      <w:pPr>
        <w:pStyle w:val="FootnoteText"/>
        <w:jc w:val="both"/>
      </w:pPr>
      <w:r w:rsidRPr="00A209F2">
        <w:rPr>
          <w:rStyle w:val="FootnoteReference"/>
          <w:sz w:val="28"/>
          <w:szCs w:val="28"/>
        </w:rPr>
        <w:footnoteRef/>
      </w:r>
      <w:r w:rsidRPr="00A209F2">
        <w:rPr>
          <w:sz w:val="28"/>
          <w:szCs w:val="28"/>
        </w:rPr>
        <w:t xml:space="preserve"> </w:t>
      </w:r>
      <w:r w:rsidRPr="00A209F2">
        <w:rPr>
          <w:i/>
          <w:iCs/>
          <w:sz w:val="28"/>
          <w:szCs w:val="28"/>
        </w:rPr>
        <w:t>Eviction Filings Associated with Increases in Homelessness</w:t>
      </w:r>
      <w:r w:rsidRPr="00A209F2">
        <w:rPr>
          <w:sz w:val="28"/>
          <w:szCs w:val="28"/>
        </w:rPr>
        <w:t>, National Low Income Housing Coalition (Apr. 10, 2023), https://nlihc.org/resource/eviction-filings-associated-increases-homelessness.</w:t>
      </w:r>
    </w:p>
  </w:footnote>
  <w:footnote w:id="8">
    <w:p w14:paraId="57F4743A" w14:textId="509DD182"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Henri </w:t>
      </w:r>
      <w:proofErr w:type="spellStart"/>
      <w:r w:rsidRPr="00A209F2">
        <w:rPr>
          <w:sz w:val="28"/>
          <w:szCs w:val="28"/>
        </w:rPr>
        <w:t>Cornec</w:t>
      </w:r>
      <w:proofErr w:type="spellEnd"/>
      <w:r w:rsidRPr="00A209F2">
        <w:rPr>
          <w:sz w:val="28"/>
          <w:szCs w:val="28"/>
        </w:rPr>
        <w:t>,</w:t>
      </w:r>
      <w:r w:rsidR="00A209F2">
        <w:rPr>
          <w:sz w:val="28"/>
          <w:szCs w:val="28"/>
        </w:rPr>
        <w:t xml:space="preserve"> </w:t>
      </w:r>
      <w:r w:rsidR="0020230F" w:rsidRPr="00A209F2">
        <w:rPr>
          <w:i/>
          <w:iCs/>
          <w:sz w:val="28"/>
          <w:szCs w:val="28"/>
        </w:rPr>
        <w:t xml:space="preserve">supra </w:t>
      </w:r>
      <w:r w:rsidR="0020230F" w:rsidRPr="00A209F2">
        <w:rPr>
          <w:sz w:val="28"/>
          <w:szCs w:val="28"/>
        </w:rPr>
        <w:t xml:space="preserve">note 6. </w:t>
      </w:r>
    </w:p>
  </w:footnote>
  <w:footnote w:id="9">
    <w:p w14:paraId="581BB580" w14:textId="24B71ADA"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w:t>
      </w:r>
      <w:bookmarkStart w:id="6" w:name="dabmci_72e04278b59c4a528193e227a9505075"/>
      <w:r w:rsidR="009356AC" w:rsidRPr="00A209F2">
        <w:rPr>
          <w:sz w:val="28"/>
          <w:szCs w:val="28"/>
        </w:rPr>
        <w:fldChar w:fldCharType="begin"/>
      </w:r>
      <w:r w:rsidR="009356AC" w:rsidRPr="00A209F2">
        <w:rPr>
          <w:sz w:val="28"/>
          <w:szCs w:val="28"/>
        </w:rPr>
        <w:instrText>HYPERLINK "https://www.westlaw.com/Document/Ic1e7189c9c1e11d991d0cc6b54f12d4d/View/FullText.html?transitionType=Default&amp;contextData=(sc.Default)&amp;VR=3.0&amp;RS=da3.0&amp;fragmentIdentifier=co_pp_sp_780_335" \o "https://www.westlaw.com/Document/Ic1e7189c9c1e11d991d0cc6b54f12d4d/View/FullText.html?transitionType=Default&amp;contextData=(sc.Default)&amp;VR=3.0&amp;RS=da3.0&amp;fragmentIdentifier=co_pp_sp_780_335"</w:instrText>
      </w:r>
      <w:r w:rsidR="009356AC" w:rsidRPr="00A209F2">
        <w:rPr>
          <w:sz w:val="28"/>
          <w:szCs w:val="28"/>
        </w:rPr>
      </w:r>
      <w:r w:rsidR="009356AC" w:rsidRPr="00A209F2">
        <w:rPr>
          <w:sz w:val="28"/>
          <w:szCs w:val="28"/>
        </w:rPr>
        <w:fldChar w:fldCharType="separate"/>
      </w:r>
      <w:r w:rsidRPr="00A209F2">
        <w:rPr>
          <w:rStyle w:val="Hyperlink"/>
          <w:color w:val="auto"/>
          <w:sz w:val="28"/>
          <w:szCs w:val="28"/>
          <w:u w:val="none"/>
        </w:rPr>
        <w:t>Mathews v. Eldridge, 424 U.S. 319, 335 (1976)</w:t>
      </w:r>
      <w:bookmarkEnd w:id="6"/>
      <w:r w:rsidR="009356AC" w:rsidRPr="00A209F2">
        <w:rPr>
          <w:sz w:val="28"/>
          <w:szCs w:val="28"/>
        </w:rPr>
        <w:fldChar w:fldCharType="end"/>
      </w:r>
      <w:r w:rsidRPr="00A209F2">
        <w:rPr>
          <w:sz w:val="28"/>
          <w:szCs w:val="28"/>
        </w:rPr>
        <w:t xml:space="preserve">. </w:t>
      </w:r>
    </w:p>
  </w:footnote>
  <w:footnote w:id="10">
    <w:p w14:paraId="3A0EE6F0" w14:textId="53D910BF"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w:t>
      </w:r>
      <w:bookmarkStart w:id="7" w:name="dabmci_10c0576ecd674ac5862878e7c301ac85"/>
      <w:r w:rsidR="009356AC" w:rsidRPr="00A209F2">
        <w:rPr>
          <w:i/>
          <w:iCs/>
          <w:sz w:val="28"/>
          <w:szCs w:val="28"/>
        </w:rPr>
        <w:fldChar w:fldCharType="begin"/>
      </w:r>
      <w:r w:rsidR="009356AC" w:rsidRPr="00A209F2">
        <w:rPr>
          <w:i/>
          <w:iCs/>
          <w:sz w:val="28"/>
          <w:szCs w:val="28"/>
        </w:rPr>
        <w:instrText>HYPERLINK "https://www.westlaw.com/Document/Ic1e7189c9c1e11d991d0cc6b54f12d4d/View/FullText.html?transitionType=Default&amp;contextData=(sc.Default)&amp;VR=3.0&amp;RS=da3.0" \o "https://www.westlaw.com/Document/Ic1e7189c9c1e11d991d0cc6b54f12d4d/View/FullText.html?transitionType=Default&amp;contextData=(sc.Default)&amp;VR=3.0&amp;RS=da3.0"</w:instrText>
      </w:r>
      <w:r w:rsidR="009356AC" w:rsidRPr="00A209F2">
        <w:rPr>
          <w:i/>
          <w:iCs/>
          <w:sz w:val="28"/>
          <w:szCs w:val="28"/>
        </w:rPr>
      </w:r>
      <w:r w:rsidR="009356AC" w:rsidRPr="00A209F2">
        <w:rPr>
          <w:i/>
          <w:iCs/>
          <w:sz w:val="28"/>
          <w:szCs w:val="28"/>
        </w:rPr>
        <w:fldChar w:fldCharType="separate"/>
      </w:r>
      <w:r w:rsidRPr="00A209F2">
        <w:rPr>
          <w:rStyle w:val="Hyperlink"/>
          <w:i/>
          <w:iCs/>
          <w:color w:val="auto"/>
          <w:sz w:val="28"/>
          <w:szCs w:val="28"/>
          <w:u w:val="none"/>
        </w:rPr>
        <w:t>Id.</w:t>
      </w:r>
      <w:bookmarkEnd w:id="7"/>
      <w:r w:rsidR="009356AC" w:rsidRPr="00A209F2">
        <w:rPr>
          <w:i/>
          <w:iCs/>
          <w:sz w:val="28"/>
          <w:szCs w:val="28"/>
        </w:rPr>
        <w:fldChar w:fldCharType="end"/>
      </w:r>
    </w:p>
  </w:footnote>
  <w:footnote w:id="11">
    <w:p w14:paraId="68BE4D31" w14:textId="5192D21B"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w:t>
      </w:r>
      <w:bookmarkStart w:id="8" w:name="dabmci_ed3fe4aa0c9248dabcae3ae3594aeef4"/>
      <w:r w:rsidR="009356AC" w:rsidRPr="00A209F2">
        <w:rPr>
          <w:sz w:val="28"/>
          <w:szCs w:val="28"/>
        </w:rPr>
        <w:fldChar w:fldCharType="begin"/>
      </w:r>
      <w:r w:rsidR="009356AC" w:rsidRPr="00A209F2">
        <w:rPr>
          <w:sz w:val="28"/>
          <w:szCs w:val="28"/>
        </w:rPr>
        <w:instrText>HYPERLINK "https://www.westlaw.com/Document/I2361955a9c1e11d9bdd1cfdd544ca3a4/View/FullText.html?transitionType=Default&amp;contextData=(sc.Default)&amp;VR=3.0&amp;RS=da3.0&amp;fragmentIdentifier=co_pp_sp_780_262" \o "https://www.westlaw.com/Document/I2361955a9c1e11d9bdd1cfdd544ca3a4/View/FullText.html?transitionType=Default&amp;contextData=(sc.Default)&amp;VR=3.0&amp;RS=da3.0&amp;fragmentIdentifier=co_pp_sp_780_262"</w:instrText>
      </w:r>
      <w:r w:rsidR="009356AC" w:rsidRPr="00A209F2">
        <w:rPr>
          <w:sz w:val="28"/>
          <w:szCs w:val="28"/>
        </w:rPr>
      </w:r>
      <w:r w:rsidR="009356AC" w:rsidRPr="00A209F2">
        <w:rPr>
          <w:sz w:val="28"/>
          <w:szCs w:val="28"/>
        </w:rPr>
        <w:fldChar w:fldCharType="separate"/>
      </w:r>
      <w:r w:rsidRPr="00A209F2">
        <w:rPr>
          <w:rStyle w:val="Hyperlink"/>
          <w:color w:val="auto"/>
          <w:sz w:val="28"/>
          <w:szCs w:val="28"/>
          <w:u w:val="none"/>
        </w:rPr>
        <w:t>Goldberg v. Kelly, 397 U.S. 254, 262-63 (1970)</w:t>
      </w:r>
      <w:bookmarkEnd w:id="8"/>
      <w:r w:rsidR="009356AC" w:rsidRPr="00A209F2">
        <w:rPr>
          <w:sz w:val="28"/>
          <w:szCs w:val="28"/>
        </w:rPr>
        <w:fldChar w:fldCharType="end"/>
      </w:r>
      <w:r w:rsidRPr="00A209F2">
        <w:rPr>
          <w:sz w:val="28"/>
          <w:szCs w:val="28"/>
        </w:rPr>
        <w:t xml:space="preserve"> (quoting </w:t>
      </w:r>
      <w:bookmarkStart w:id="9" w:name="dabmci_a5e4a43c3c314440949eac78a4ba1b95"/>
      <w:r w:rsidR="009356AC" w:rsidRPr="00A209F2">
        <w:rPr>
          <w:sz w:val="28"/>
          <w:szCs w:val="28"/>
        </w:rPr>
        <w:fldChar w:fldCharType="begin"/>
      </w:r>
      <w:r w:rsidR="009356AC" w:rsidRPr="00A209F2">
        <w:rPr>
          <w:sz w:val="28"/>
          <w:szCs w:val="28"/>
        </w:rPr>
        <w:instrText>HYPERLINK "https://www.westlaw.com/Document/Id4cb7b009c1d11d991d0cc6b54f12d4d/View/FullText.html?transitionType=Default&amp;contextData=(sc.Default)&amp;VR=3.0&amp;RS=da3.0&amp;fragmentIdentifier=co_pp_sp_780_168" \o "https://www.westlaw.com/Document/Id4cb7b009c1d11d991d0cc6b54f12d4d/View/FullText.html?transitionType=Default&amp;contextData=(sc.Default)&amp;VR=3.0&amp;RS=da3.0&amp;fragmentIdentifier=co_pp_sp_780_168"</w:instrText>
      </w:r>
      <w:r w:rsidR="009356AC" w:rsidRPr="00A209F2">
        <w:rPr>
          <w:sz w:val="28"/>
          <w:szCs w:val="28"/>
        </w:rPr>
      </w:r>
      <w:r w:rsidR="009356AC" w:rsidRPr="00A209F2">
        <w:rPr>
          <w:sz w:val="28"/>
          <w:szCs w:val="28"/>
        </w:rPr>
        <w:fldChar w:fldCharType="separate"/>
      </w:r>
      <w:r w:rsidRPr="00A209F2">
        <w:rPr>
          <w:rStyle w:val="Hyperlink"/>
          <w:color w:val="auto"/>
          <w:sz w:val="28"/>
          <w:szCs w:val="28"/>
          <w:u w:val="none"/>
        </w:rPr>
        <w:t>Joint Anti-Fascist Refugee Committee v. McGrath, 341 U.S. 123, 168 (1951)</w:t>
      </w:r>
      <w:bookmarkEnd w:id="9"/>
      <w:r w:rsidR="009356AC" w:rsidRPr="00A209F2">
        <w:rPr>
          <w:sz w:val="28"/>
          <w:szCs w:val="28"/>
        </w:rPr>
        <w:fldChar w:fldCharType="end"/>
      </w:r>
      <w:r w:rsidRPr="00A209F2">
        <w:rPr>
          <w:sz w:val="28"/>
          <w:szCs w:val="28"/>
        </w:rPr>
        <w:t>).</w:t>
      </w:r>
    </w:p>
  </w:footnote>
  <w:footnote w:id="12">
    <w:p w14:paraId="67A43FFE" w14:textId="3FDFE8FB"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w:t>
      </w:r>
      <w:bookmarkStart w:id="10" w:name="dabmci_b592c7b6c1294dfab6414b34079b5485"/>
      <w:r w:rsidR="009356AC" w:rsidRPr="00A209F2">
        <w:rPr>
          <w:sz w:val="28"/>
          <w:szCs w:val="28"/>
        </w:rPr>
        <w:fldChar w:fldCharType="begin"/>
      </w:r>
      <w:r w:rsidR="009356AC" w:rsidRPr="00A209F2">
        <w:rPr>
          <w:sz w:val="28"/>
          <w:szCs w:val="28"/>
        </w:rPr>
        <w:instrText>HYPERLINK "https://www.westlaw.com/Document/Ic1d342769c1e11d991d0cc6b54f12d4d/View/FullText.html?transitionType=Default&amp;contextData=(sc.Default)&amp;VR=3.0&amp;RS=da3.0&amp;fragmentIdentifier=co_pp_sp_780_761" \o "https://www.westlaw.com/Document/Ic1d342769c1e11d991d0cc6b54f12d4d/View/FullText.html?transitionType=Default&amp;contextData=(sc.Default)&amp;VR=3.0&amp;RS=da3.0&amp;fragmentIdentifier=co_pp_sp_780_761"</w:instrText>
      </w:r>
      <w:r w:rsidR="009356AC" w:rsidRPr="00A209F2">
        <w:rPr>
          <w:sz w:val="28"/>
          <w:szCs w:val="28"/>
        </w:rPr>
      </w:r>
      <w:r w:rsidR="009356AC" w:rsidRPr="00A209F2">
        <w:rPr>
          <w:sz w:val="28"/>
          <w:szCs w:val="28"/>
        </w:rPr>
        <w:fldChar w:fldCharType="separate"/>
      </w:r>
      <w:proofErr w:type="spellStart"/>
      <w:r w:rsidRPr="00A209F2">
        <w:rPr>
          <w:rStyle w:val="Hyperlink"/>
          <w:color w:val="auto"/>
          <w:sz w:val="28"/>
          <w:szCs w:val="28"/>
          <w:u w:val="none"/>
        </w:rPr>
        <w:t>Santosky</w:t>
      </w:r>
      <w:proofErr w:type="spellEnd"/>
      <w:r w:rsidRPr="00A209F2">
        <w:rPr>
          <w:rStyle w:val="Hyperlink"/>
          <w:color w:val="auto"/>
          <w:sz w:val="28"/>
          <w:szCs w:val="28"/>
          <w:u w:val="none"/>
        </w:rPr>
        <w:t xml:space="preserve"> v. Kramer, 455 U.S. 745, 761 (1982)</w:t>
      </w:r>
      <w:bookmarkEnd w:id="10"/>
      <w:r w:rsidR="009356AC" w:rsidRPr="00A209F2">
        <w:rPr>
          <w:sz w:val="28"/>
          <w:szCs w:val="28"/>
        </w:rPr>
        <w:fldChar w:fldCharType="end"/>
      </w:r>
      <w:r w:rsidRPr="00A209F2">
        <w:rPr>
          <w:sz w:val="28"/>
          <w:szCs w:val="28"/>
        </w:rPr>
        <w:t>.</w:t>
      </w:r>
    </w:p>
  </w:footnote>
  <w:footnote w:id="13">
    <w:p w14:paraId="2337E265" w14:textId="3DEDB011"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w:t>
      </w:r>
      <w:bookmarkStart w:id="11" w:name="dabmci_a5942e9d947741df96497618abfd2afe"/>
      <w:r w:rsidR="009356AC" w:rsidRPr="00A209F2">
        <w:rPr>
          <w:sz w:val="28"/>
          <w:szCs w:val="28"/>
        </w:rPr>
        <w:fldChar w:fldCharType="begin"/>
      </w:r>
      <w:r w:rsidR="009356AC" w:rsidRPr="00A209F2">
        <w:rPr>
          <w:sz w:val="28"/>
          <w:szCs w:val="28"/>
        </w:rPr>
        <w:instrText>HYPERLINK "https://www.westlaw.com/Document/N9E8635109DFA11D8A63DAA9EBCE8FE5A/View/FullText.html?transitionType=Default&amp;contextData=(sc.Default)&amp;VR=3.0&amp;RS=da3.0" \o "https://www.westlaw.com/Document/N9E8635109DFA11D8A63DAA9EBCE8FE5A/View/FullText.html?transitionType=Default&amp;contextData=(sc.Default)&amp;VR=3.0&amp;RS=da3.0"</w:instrText>
      </w:r>
      <w:r w:rsidR="009356AC" w:rsidRPr="00A209F2">
        <w:rPr>
          <w:sz w:val="28"/>
          <w:szCs w:val="28"/>
        </w:rPr>
      </w:r>
      <w:r w:rsidR="009356AC" w:rsidRPr="00A209F2">
        <w:rPr>
          <w:sz w:val="28"/>
          <w:szCs w:val="28"/>
        </w:rPr>
        <w:fldChar w:fldCharType="separate"/>
      </w:r>
      <w:r w:rsidRPr="00A209F2">
        <w:rPr>
          <w:rStyle w:val="Hyperlink"/>
          <w:color w:val="auto"/>
          <w:sz w:val="28"/>
          <w:szCs w:val="28"/>
          <w:u w:val="none"/>
        </w:rPr>
        <w:t xml:space="preserve">U.S. Const. amend XIV, </w:t>
      </w:r>
      <w:r w:rsidRPr="00A209F2">
        <w:rPr>
          <w:rStyle w:val="Hyperlink"/>
          <w:rFonts w:cs="Tahoma"/>
          <w:color w:val="auto"/>
          <w:sz w:val="28"/>
          <w:szCs w:val="28"/>
          <w:u w:val="none"/>
        </w:rPr>
        <w:t>§ 1</w:t>
      </w:r>
      <w:bookmarkEnd w:id="11"/>
      <w:r w:rsidR="009356AC" w:rsidRPr="00A209F2">
        <w:rPr>
          <w:sz w:val="28"/>
          <w:szCs w:val="28"/>
        </w:rPr>
        <w:fldChar w:fldCharType="end"/>
      </w:r>
      <w:r w:rsidRPr="00A209F2">
        <w:rPr>
          <w:rFonts w:cs="Tahoma"/>
          <w:sz w:val="28"/>
          <w:szCs w:val="28"/>
        </w:rPr>
        <w:t xml:space="preserve">; </w:t>
      </w:r>
      <w:bookmarkStart w:id="12" w:name="dabmci_2b7f177c83d04457abae13ae98044194"/>
      <w:r w:rsidR="009356AC" w:rsidRPr="00A209F2">
        <w:rPr>
          <w:rFonts w:cs="Tahoma"/>
          <w:sz w:val="28"/>
          <w:szCs w:val="28"/>
        </w:rPr>
        <w:fldChar w:fldCharType="begin"/>
      </w:r>
      <w:r w:rsidR="009356AC" w:rsidRPr="00A209F2">
        <w:rPr>
          <w:rFonts w:cs="Tahoma"/>
          <w:sz w:val="28"/>
          <w:szCs w:val="28"/>
        </w:rPr>
        <w:instrText>HYPERLINK "https://www.westlaw.com/Document/NE5A9362070BE11DAA16E8D4AC7636430/View/FullText.html?transitionType=Default&amp;contextData=(sc.Default)&amp;VR=3.0&amp;RS=da3.0" \o "https://www.westlaw.com/Document/NE5A9362070BE11DAA16E8D4AC7636430/View/FullText.html?transitionType=Default&amp;contextData=(sc.Default)&amp;VR=3.0&amp;RS=da3.0"</w:instrText>
      </w:r>
      <w:r w:rsidR="009356AC" w:rsidRPr="00A209F2">
        <w:rPr>
          <w:rFonts w:cs="Tahoma"/>
          <w:sz w:val="28"/>
          <w:szCs w:val="28"/>
        </w:rPr>
      </w:r>
      <w:r w:rsidR="009356AC" w:rsidRPr="00A209F2">
        <w:rPr>
          <w:rFonts w:cs="Tahoma"/>
          <w:sz w:val="28"/>
          <w:szCs w:val="28"/>
        </w:rPr>
        <w:fldChar w:fldCharType="separate"/>
      </w:r>
      <w:r w:rsidRPr="00A209F2">
        <w:rPr>
          <w:rStyle w:val="Hyperlink"/>
          <w:rFonts w:cs="Tahoma"/>
          <w:color w:val="auto"/>
          <w:sz w:val="28"/>
          <w:szCs w:val="28"/>
          <w:u w:val="none"/>
        </w:rPr>
        <w:t>Ariz. Const. art. 2, § 4</w:t>
      </w:r>
      <w:bookmarkEnd w:id="12"/>
      <w:r w:rsidR="009356AC" w:rsidRPr="00A209F2">
        <w:rPr>
          <w:rFonts w:cs="Tahoma"/>
          <w:sz w:val="28"/>
          <w:szCs w:val="28"/>
        </w:rPr>
        <w:fldChar w:fldCharType="end"/>
      </w:r>
    </w:p>
  </w:footnote>
  <w:footnote w:id="14">
    <w:p w14:paraId="31F4FE7B" w14:textId="209F0A89" w:rsidR="00AC5EC7" w:rsidRPr="00A209F2" w:rsidRDefault="00AC5EC7" w:rsidP="00A209F2">
      <w:pPr>
        <w:pStyle w:val="FootnoteText"/>
        <w:jc w:val="both"/>
        <w:rPr>
          <w:sz w:val="28"/>
          <w:szCs w:val="28"/>
        </w:rPr>
      </w:pPr>
      <w:r w:rsidRPr="00A209F2">
        <w:rPr>
          <w:rStyle w:val="FootnoteReference"/>
          <w:sz w:val="28"/>
          <w:szCs w:val="28"/>
        </w:rPr>
        <w:footnoteRef/>
      </w:r>
      <w:r w:rsidRPr="00A209F2">
        <w:rPr>
          <w:sz w:val="28"/>
          <w:szCs w:val="28"/>
        </w:rPr>
        <w:t xml:space="preserve"> </w:t>
      </w:r>
      <w:r w:rsidRPr="00A209F2">
        <w:rPr>
          <w:i/>
          <w:iCs/>
          <w:sz w:val="28"/>
          <w:szCs w:val="28"/>
        </w:rPr>
        <w:t>See, e.g.</w:t>
      </w:r>
      <w:r w:rsidRPr="00A209F2">
        <w:rPr>
          <w:sz w:val="28"/>
          <w:szCs w:val="28"/>
        </w:rPr>
        <w:t xml:space="preserve">, </w:t>
      </w:r>
      <w:bookmarkStart w:id="13" w:name="dabmci_4df75cb0fbf64a65b1455d7590401a76"/>
      <w:r w:rsidR="009356AC" w:rsidRPr="00A209F2">
        <w:rPr>
          <w:sz w:val="28"/>
          <w:szCs w:val="28"/>
        </w:rPr>
        <w:fldChar w:fldCharType="begin"/>
      </w:r>
      <w:r w:rsidR="009356AC" w:rsidRPr="00A209F2">
        <w:rPr>
          <w:sz w:val="28"/>
          <w:szCs w:val="28"/>
        </w:rPr>
        <w:instrText>HYPERLINK "https://www.westlaw.com/Document/I8a7afda0a07811df896a9debfa48a185/View/FullText.html?transitionType=Default&amp;contextData=(sc.Default)&amp;VR=3.0&amp;RS=da3.0" \o "https://www.westlaw.com/Document/I8a7afda0a07811df896a9debfa48a185/View/FullText.html?transitionType=Default&amp;contextData=(sc.Default)&amp;VR=3.0&amp;RS=da3.0"</w:instrText>
      </w:r>
      <w:r w:rsidR="009356AC" w:rsidRPr="00A209F2">
        <w:rPr>
          <w:sz w:val="28"/>
          <w:szCs w:val="28"/>
        </w:rPr>
      </w:r>
      <w:r w:rsidR="009356AC" w:rsidRPr="00A209F2">
        <w:rPr>
          <w:sz w:val="28"/>
          <w:szCs w:val="28"/>
        </w:rPr>
        <w:fldChar w:fldCharType="separate"/>
      </w:r>
      <w:r w:rsidRPr="00A209F2">
        <w:rPr>
          <w:rStyle w:val="Hyperlink"/>
          <w:color w:val="auto"/>
          <w:sz w:val="28"/>
          <w:szCs w:val="28"/>
          <w:u w:val="none"/>
        </w:rPr>
        <w:t>In re MH-2008-000867, 225 Ariz. 178 (2010)</w:t>
      </w:r>
      <w:bookmarkEnd w:id="13"/>
      <w:r w:rsidR="009356AC" w:rsidRPr="00A209F2">
        <w:rPr>
          <w:sz w:val="28"/>
          <w:szCs w:val="28"/>
        </w:rPr>
        <w:fldChar w:fldCharType="end"/>
      </w:r>
      <w:r w:rsidRPr="00A209F2">
        <w:rPr>
          <w:sz w:val="28"/>
          <w:szCs w:val="28"/>
        </w:rPr>
        <w:t>.</w:t>
      </w:r>
    </w:p>
  </w:footnote>
  <w:footnote w:id="15">
    <w:p w14:paraId="1ED37A98" w14:textId="24529568" w:rsidR="00AC5EC7" w:rsidRPr="00110951" w:rsidRDefault="00AC5EC7" w:rsidP="00A209F2">
      <w:pPr>
        <w:pStyle w:val="FootnoteText"/>
        <w:jc w:val="both"/>
      </w:pPr>
      <w:r w:rsidRPr="00A209F2">
        <w:rPr>
          <w:rStyle w:val="FootnoteReference"/>
          <w:sz w:val="28"/>
          <w:szCs w:val="28"/>
        </w:rPr>
        <w:footnoteRef/>
      </w:r>
      <w:r w:rsidRPr="00A209F2">
        <w:rPr>
          <w:sz w:val="28"/>
          <w:szCs w:val="28"/>
        </w:rPr>
        <w:t xml:space="preserve"> </w:t>
      </w:r>
      <w:bookmarkStart w:id="14" w:name="dabmci_afc613b89cdd4a019f709c8abcb4c30d"/>
      <w:r w:rsidR="009356AC" w:rsidRPr="00A209F2">
        <w:rPr>
          <w:i/>
          <w:iCs/>
          <w:sz w:val="28"/>
          <w:szCs w:val="28"/>
        </w:rPr>
        <w:fldChar w:fldCharType="begin"/>
      </w:r>
      <w:r w:rsidR="009356AC" w:rsidRPr="00A209F2">
        <w:rPr>
          <w:i/>
          <w:iCs/>
          <w:sz w:val="28"/>
          <w:szCs w:val="28"/>
        </w:rPr>
        <w:instrText>HYPERLINK "https://www.westlaw.com/Document/I8a7afda0a07811df896a9debfa48a185/View/FullText.html?transitionType=Default&amp;contextData=(sc.Default)&amp;VR=3.0&amp;RS=da3.0" \o "https://www.westlaw.com/Document/I8a7afda0a07811df896a9debfa48a185/View/FullText.html?transitionType=Default&amp;contextData=(sc.Default)&amp;VR=3.0&amp;RS=da3.0"</w:instrText>
      </w:r>
      <w:r w:rsidR="009356AC" w:rsidRPr="00A209F2">
        <w:rPr>
          <w:i/>
          <w:iCs/>
          <w:sz w:val="28"/>
          <w:szCs w:val="28"/>
        </w:rPr>
      </w:r>
      <w:r w:rsidR="009356AC" w:rsidRPr="00A209F2">
        <w:rPr>
          <w:i/>
          <w:iCs/>
          <w:sz w:val="28"/>
          <w:szCs w:val="28"/>
        </w:rPr>
        <w:fldChar w:fldCharType="separate"/>
      </w:r>
      <w:r w:rsidRPr="00A209F2">
        <w:rPr>
          <w:rStyle w:val="Hyperlink"/>
          <w:i/>
          <w:iCs/>
          <w:color w:val="auto"/>
          <w:sz w:val="28"/>
          <w:szCs w:val="28"/>
          <w:u w:val="none"/>
        </w:rPr>
        <w:t>Id.</w:t>
      </w:r>
      <w:bookmarkEnd w:id="14"/>
      <w:r w:rsidR="009356AC" w:rsidRPr="00A209F2">
        <w:rPr>
          <w:i/>
          <w:iCs/>
          <w:sz w:val="28"/>
          <w:szCs w:val="2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FCB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107E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D78A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60D"/>
    <w:multiLevelType w:val="hybridMultilevel"/>
    <w:tmpl w:val="BC3CBC42"/>
    <w:lvl w:ilvl="0" w:tplc="EE54B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659CA"/>
    <w:multiLevelType w:val="hybridMultilevel"/>
    <w:tmpl w:val="72D60CF6"/>
    <w:lvl w:ilvl="0" w:tplc="2FA05782">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130"/>
    <w:multiLevelType w:val="hybridMultilevel"/>
    <w:tmpl w:val="73C0EC3A"/>
    <w:lvl w:ilvl="0" w:tplc="0B0ABCA4">
      <w:start w:val="3"/>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96930"/>
    <w:multiLevelType w:val="hybridMultilevel"/>
    <w:tmpl w:val="598E055A"/>
    <w:lvl w:ilvl="0" w:tplc="E104DF20">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5"/>
  </w:num>
  <w:num w:numId="2" w16cid:durableId="1338851655">
    <w:abstractNumId w:val="16"/>
  </w:num>
  <w:num w:numId="3" w16cid:durableId="1296182094">
    <w:abstractNumId w:val="1"/>
  </w:num>
  <w:num w:numId="4" w16cid:durableId="736973399">
    <w:abstractNumId w:val="7"/>
  </w:num>
  <w:num w:numId="5" w16cid:durableId="1994602185">
    <w:abstractNumId w:val="9"/>
  </w:num>
  <w:num w:numId="6" w16cid:durableId="705905435">
    <w:abstractNumId w:val="10"/>
  </w:num>
  <w:num w:numId="7" w16cid:durableId="1829319839">
    <w:abstractNumId w:val="2"/>
  </w:num>
  <w:num w:numId="8" w16cid:durableId="1136950692">
    <w:abstractNumId w:val="17"/>
  </w:num>
  <w:num w:numId="9" w16cid:durableId="1542329543">
    <w:abstractNumId w:val="11"/>
  </w:num>
  <w:num w:numId="10" w16cid:durableId="451173854">
    <w:abstractNumId w:val="14"/>
  </w:num>
  <w:num w:numId="11" w16cid:durableId="21368526">
    <w:abstractNumId w:val="12"/>
  </w:num>
  <w:num w:numId="12" w16cid:durableId="1141196481">
    <w:abstractNumId w:val="8"/>
  </w:num>
  <w:num w:numId="13" w16cid:durableId="984310016">
    <w:abstractNumId w:val="4"/>
  </w:num>
  <w:num w:numId="14" w16cid:durableId="102000703">
    <w:abstractNumId w:val="5"/>
  </w:num>
  <w:num w:numId="15" w16cid:durableId="972254644">
    <w:abstractNumId w:val="0"/>
  </w:num>
  <w:num w:numId="16" w16cid:durableId="1763722669">
    <w:abstractNumId w:val="3"/>
  </w:num>
  <w:num w:numId="17" w16cid:durableId="1116676778">
    <w:abstractNumId w:val="13"/>
  </w:num>
  <w:num w:numId="18" w16cid:durableId="1662730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3853"/>
    <w:rsid w:val="00011957"/>
    <w:rsid w:val="0003390D"/>
    <w:rsid w:val="000410B3"/>
    <w:rsid w:val="00043D4D"/>
    <w:rsid w:val="00044A22"/>
    <w:rsid w:val="00046644"/>
    <w:rsid w:val="000476A1"/>
    <w:rsid w:val="00052372"/>
    <w:rsid w:val="00065987"/>
    <w:rsid w:val="000666D1"/>
    <w:rsid w:val="000743C6"/>
    <w:rsid w:val="0007640F"/>
    <w:rsid w:val="0008003D"/>
    <w:rsid w:val="000917C0"/>
    <w:rsid w:val="000A1D6B"/>
    <w:rsid w:val="000A2004"/>
    <w:rsid w:val="000A4293"/>
    <w:rsid w:val="000B7A85"/>
    <w:rsid w:val="000C1DBF"/>
    <w:rsid w:val="000C48A9"/>
    <w:rsid w:val="000C4CB3"/>
    <w:rsid w:val="000C58E9"/>
    <w:rsid w:val="000D7FA0"/>
    <w:rsid w:val="000F0E5A"/>
    <w:rsid w:val="000F5B9C"/>
    <w:rsid w:val="000F7A7F"/>
    <w:rsid w:val="000F7C13"/>
    <w:rsid w:val="001013A3"/>
    <w:rsid w:val="001310B1"/>
    <w:rsid w:val="00135268"/>
    <w:rsid w:val="00135326"/>
    <w:rsid w:val="00144B46"/>
    <w:rsid w:val="00152BB2"/>
    <w:rsid w:val="001550C9"/>
    <w:rsid w:val="00180218"/>
    <w:rsid w:val="00184703"/>
    <w:rsid w:val="001965FB"/>
    <w:rsid w:val="001A2520"/>
    <w:rsid w:val="001B0742"/>
    <w:rsid w:val="001B0F0A"/>
    <w:rsid w:val="001B6D81"/>
    <w:rsid w:val="001D123F"/>
    <w:rsid w:val="001E0ACA"/>
    <w:rsid w:val="001E4A02"/>
    <w:rsid w:val="001E7C48"/>
    <w:rsid w:val="001F4FFE"/>
    <w:rsid w:val="001F591C"/>
    <w:rsid w:val="0020230F"/>
    <w:rsid w:val="00204E84"/>
    <w:rsid w:val="00207336"/>
    <w:rsid w:val="00215E3B"/>
    <w:rsid w:val="00224F7F"/>
    <w:rsid w:val="00233694"/>
    <w:rsid w:val="00233B19"/>
    <w:rsid w:val="00235BFC"/>
    <w:rsid w:val="002375CB"/>
    <w:rsid w:val="00243A54"/>
    <w:rsid w:val="002468FB"/>
    <w:rsid w:val="002647F1"/>
    <w:rsid w:val="00271AB4"/>
    <w:rsid w:val="00274D6A"/>
    <w:rsid w:val="002773AE"/>
    <w:rsid w:val="00282927"/>
    <w:rsid w:val="002921A5"/>
    <w:rsid w:val="00295027"/>
    <w:rsid w:val="002A11A4"/>
    <w:rsid w:val="002A608C"/>
    <w:rsid w:val="002B189B"/>
    <w:rsid w:val="002B21B3"/>
    <w:rsid w:val="002B55BB"/>
    <w:rsid w:val="002B677F"/>
    <w:rsid w:val="002C579C"/>
    <w:rsid w:val="002D0120"/>
    <w:rsid w:val="002D321C"/>
    <w:rsid w:val="002F6DEF"/>
    <w:rsid w:val="003008C3"/>
    <w:rsid w:val="0031117C"/>
    <w:rsid w:val="00322C24"/>
    <w:rsid w:val="00334B42"/>
    <w:rsid w:val="003410C6"/>
    <w:rsid w:val="00345BC4"/>
    <w:rsid w:val="00352347"/>
    <w:rsid w:val="003566D6"/>
    <w:rsid w:val="00357F4D"/>
    <w:rsid w:val="00360069"/>
    <w:rsid w:val="003602DD"/>
    <w:rsid w:val="003617D1"/>
    <w:rsid w:val="00375928"/>
    <w:rsid w:val="00376B23"/>
    <w:rsid w:val="00377199"/>
    <w:rsid w:val="00394BD9"/>
    <w:rsid w:val="003A28AC"/>
    <w:rsid w:val="003A6903"/>
    <w:rsid w:val="003A70C2"/>
    <w:rsid w:val="003B7AC8"/>
    <w:rsid w:val="003C6CF0"/>
    <w:rsid w:val="003E1443"/>
    <w:rsid w:val="003E5220"/>
    <w:rsid w:val="003F392D"/>
    <w:rsid w:val="003F4F8D"/>
    <w:rsid w:val="00407E2D"/>
    <w:rsid w:val="00410542"/>
    <w:rsid w:val="00414B70"/>
    <w:rsid w:val="0042608F"/>
    <w:rsid w:val="004331B2"/>
    <w:rsid w:val="004345C2"/>
    <w:rsid w:val="00435035"/>
    <w:rsid w:val="00440E4C"/>
    <w:rsid w:val="00463734"/>
    <w:rsid w:val="004716E2"/>
    <w:rsid w:val="00480DEE"/>
    <w:rsid w:val="004837FA"/>
    <w:rsid w:val="004873BE"/>
    <w:rsid w:val="00493F24"/>
    <w:rsid w:val="00494BDF"/>
    <w:rsid w:val="00494E78"/>
    <w:rsid w:val="00497749"/>
    <w:rsid w:val="004C3AE3"/>
    <w:rsid w:val="004C62EF"/>
    <w:rsid w:val="00504E1E"/>
    <w:rsid w:val="00506859"/>
    <w:rsid w:val="005078E7"/>
    <w:rsid w:val="00507FD6"/>
    <w:rsid w:val="00520F93"/>
    <w:rsid w:val="00525C6B"/>
    <w:rsid w:val="005309DF"/>
    <w:rsid w:val="00542F8E"/>
    <w:rsid w:val="00543BF3"/>
    <w:rsid w:val="00543FC9"/>
    <w:rsid w:val="00546ADC"/>
    <w:rsid w:val="00546BF9"/>
    <w:rsid w:val="00547D78"/>
    <w:rsid w:val="00561ABB"/>
    <w:rsid w:val="00566856"/>
    <w:rsid w:val="00567203"/>
    <w:rsid w:val="005759B5"/>
    <w:rsid w:val="005845AE"/>
    <w:rsid w:val="00584F39"/>
    <w:rsid w:val="005A0050"/>
    <w:rsid w:val="005A21B0"/>
    <w:rsid w:val="005A4586"/>
    <w:rsid w:val="005A56DB"/>
    <w:rsid w:val="005B3162"/>
    <w:rsid w:val="005B5161"/>
    <w:rsid w:val="005D6135"/>
    <w:rsid w:val="005D6AD4"/>
    <w:rsid w:val="005E05C3"/>
    <w:rsid w:val="005E7A12"/>
    <w:rsid w:val="005F2571"/>
    <w:rsid w:val="005F4463"/>
    <w:rsid w:val="005F55FE"/>
    <w:rsid w:val="00601BB7"/>
    <w:rsid w:val="00612BD9"/>
    <w:rsid w:val="0062278B"/>
    <w:rsid w:val="006278EC"/>
    <w:rsid w:val="006338C1"/>
    <w:rsid w:val="0063465A"/>
    <w:rsid w:val="00636F5E"/>
    <w:rsid w:val="00660C65"/>
    <w:rsid w:val="00664A43"/>
    <w:rsid w:val="00665CCF"/>
    <w:rsid w:val="006666D1"/>
    <w:rsid w:val="006712F7"/>
    <w:rsid w:val="006721EC"/>
    <w:rsid w:val="00673D66"/>
    <w:rsid w:val="00676415"/>
    <w:rsid w:val="006766BF"/>
    <w:rsid w:val="00676B20"/>
    <w:rsid w:val="00683482"/>
    <w:rsid w:val="00692391"/>
    <w:rsid w:val="006932BA"/>
    <w:rsid w:val="0069583E"/>
    <w:rsid w:val="00696200"/>
    <w:rsid w:val="006A370D"/>
    <w:rsid w:val="006A7A5F"/>
    <w:rsid w:val="006B03D4"/>
    <w:rsid w:val="006B4F9A"/>
    <w:rsid w:val="006C4CEC"/>
    <w:rsid w:val="006E4770"/>
    <w:rsid w:val="006F59C8"/>
    <w:rsid w:val="006F63FD"/>
    <w:rsid w:val="0072411D"/>
    <w:rsid w:val="00725FE3"/>
    <w:rsid w:val="00732169"/>
    <w:rsid w:val="00735249"/>
    <w:rsid w:val="00735659"/>
    <w:rsid w:val="007427C6"/>
    <w:rsid w:val="00746649"/>
    <w:rsid w:val="00755281"/>
    <w:rsid w:val="00757016"/>
    <w:rsid w:val="0075723D"/>
    <w:rsid w:val="00760B9F"/>
    <w:rsid w:val="0077110E"/>
    <w:rsid w:val="007715C8"/>
    <w:rsid w:val="00775EE6"/>
    <w:rsid w:val="00787043"/>
    <w:rsid w:val="007870CB"/>
    <w:rsid w:val="00797258"/>
    <w:rsid w:val="007A3F0F"/>
    <w:rsid w:val="007C06C0"/>
    <w:rsid w:val="007C1FCD"/>
    <w:rsid w:val="007C37B7"/>
    <w:rsid w:val="007C5E13"/>
    <w:rsid w:val="007C732A"/>
    <w:rsid w:val="007C7DA8"/>
    <w:rsid w:val="007D0C6D"/>
    <w:rsid w:val="007D30B2"/>
    <w:rsid w:val="007D5C49"/>
    <w:rsid w:val="007D73FF"/>
    <w:rsid w:val="007E2161"/>
    <w:rsid w:val="007E3CCB"/>
    <w:rsid w:val="007F48D9"/>
    <w:rsid w:val="007F7629"/>
    <w:rsid w:val="008006ED"/>
    <w:rsid w:val="00803BF7"/>
    <w:rsid w:val="00822598"/>
    <w:rsid w:val="0082447B"/>
    <w:rsid w:val="00826F1C"/>
    <w:rsid w:val="0083143E"/>
    <w:rsid w:val="008360A1"/>
    <w:rsid w:val="00836AF2"/>
    <w:rsid w:val="0084616C"/>
    <w:rsid w:val="00861563"/>
    <w:rsid w:val="00871AAA"/>
    <w:rsid w:val="00876F57"/>
    <w:rsid w:val="0088115C"/>
    <w:rsid w:val="008834E6"/>
    <w:rsid w:val="00887069"/>
    <w:rsid w:val="00891AAA"/>
    <w:rsid w:val="0089795C"/>
    <w:rsid w:val="008A4EB3"/>
    <w:rsid w:val="008B4244"/>
    <w:rsid w:val="008D1F83"/>
    <w:rsid w:val="008D55AB"/>
    <w:rsid w:val="008E1FC4"/>
    <w:rsid w:val="008E7B85"/>
    <w:rsid w:val="009022EA"/>
    <w:rsid w:val="00915333"/>
    <w:rsid w:val="0093133D"/>
    <w:rsid w:val="00931561"/>
    <w:rsid w:val="00931F34"/>
    <w:rsid w:val="00933EA1"/>
    <w:rsid w:val="009356AC"/>
    <w:rsid w:val="0093602B"/>
    <w:rsid w:val="0094134A"/>
    <w:rsid w:val="00951416"/>
    <w:rsid w:val="00954A5E"/>
    <w:rsid w:val="00956BFD"/>
    <w:rsid w:val="00960D21"/>
    <w:rsid w:val="009707B9"/>
    <w:rsid w:val="00981D29"/>
    <w:rsid w:val="00981E11"/>
    <w:rsid w:val="00984C86"/>
    <w:rsid w:val="009B503E"/>
    <w:rsid w:val="009C4CCD"/>
    <w:rsid w:val="009C68F4"/>
    <w:rsid w:val="009D3628"/>
    <w:rsid w:val="009D5073"/>
    <w:rsid w:val="009D52FB"/>
    <w:rsid w:val="009E3F52"/>
    <w:rsid w:val="009E7AFC"/>
    <w:rsid w:val="00A0152D"/>
    <w:rsid w:val="00A1564B"/>
    <w:rsid w:val="00A209F2"/>
    <w:rsid w:val="00A32FC3"/>
    <w:rsid w:val="00A35D98"/>
    <w:rsid w:val="00A42273"/>
    <w:rsid w:val="00A4249C"/>
    <w:rsid w:val="00A5194F"/>
    <w:rsid w:val="00A602E1"/>
    <w:rsid w:val="00A6430C"/>
    <w:rsid w:val="00A7114D"/>
    <w:rsid w:val="00A74EA7"/>
    <w:rsid w:val="00A8656F"/>
    <w:rsid w:val="00A871D6"/>
    <w:rsid w:val="00A9258C"/>
    <w:rsid w:val="00A93A7C"/>
    <w:rsid w:val="00A94CF6"/>
    <w:rsid w:val="00A97B3C"/>
    <w:rsid w:val="00AA3961"/>
    <w:rsid w:val="00AA4D26"/>
    <w:rsid w:val="00AC1B29"/>
    <w:rsid w:val="00AC5EC7"/>
    <w:rsid w:val="00AD3F81"/>
    <w:rsid w:val="00AD70E9"/>
    <w:rsid w:val="00AD711C"/>
    <w:rsid w:val="00AE3668"/>
    <w:rsid w:val="00AF08D6"/>
    <w:rsid w:val="00AF282C"/>
    <w:rsid w:val="00AF3C3D"/>
    <w:rsid w:val="00AF3FF7"/>
    <w:rsid w:val="00AF61A1"/>
    <w:rsid w:val="00B05580"/>
    <w:rsid w:val="00B05E13"/>
    <w:rsid w:val="00B062E2"/>
    <w:rsid w:val="00B12D1F"/>
    <w:rsid w:val="00B1491D"/>
    <w:rsid w:val="00B16663"/>
    <w:rsid w:val="00B26245"/>
    <w:rsid w:val="00B365F0"/>
    <w:rsid w:val="00B41FFD"/>
    <w:rsid w:val="00B452D1"/>
    <w:rsid w:val="00B47B7D"/>
    <w:rsid w:val="00B50490"/>
    <w:rsid w:val="00B5416D"/>
    <w:rsid w:val="00B57478"/>
    <w:rsid w:val="00B61B35"/>
    <w:rsid w:val="00B632EC"/>
    <w:rsid w:val="00B716D0"/>
    <w:rsid w:val="00B74E67"/>
    <w:rsid w:val="00B77114"/>
    <w:rsid w:val="00B936E3"/>
    <w:rsid w:val="00BA6793"/>
    <w:rsid w:val="00BA7D62"/>
    <w:rsid w:val="00BB3C28"/>
    <w:rsid w:val="00BB763B"/>
    <w:rsid w:val="00BC2C98"/>
    <w:rsid w:val="00BC4553"/>
    <w:rsid w:val="00BC5216"/>
    <w:rsid w:val="00BD068F"/>
    <w:rsid w:val="00BD300A"/>
    <w:rsid w:val="00BD3D46"/>
    <w:rsid w:val="00BD5034"/>
    <w:rsid w:val="00BE0264"/>
    <w:rsid w:val="00BE28FC"/>
    <w:rsid w:val="00BF01CE"/>
    <w:rsid w:val="00C03E0F"/>
    <w:rsid w:val="00C0420F"/>
    <w:rsid w:val="00C110F5"/>
    <w:rsid w:val="00C16E47"/>
    <w:rsid w:val="00C33C01"/>
    <w:rsid w:val="00C3581C"/>
    <w:rsid w:val="00C35E8A"/>
    <w:rsid w:val="00C45FAC"/>
    <w:rsid w:val="00C52E56"/>
    <w:rsid w:val="00C5407A"/>
    <w:rsid w:val="00C608A6"/>
    <w:rsid w:val="00C6211D"/>
    <w:rsid w:val="00C64E1A"/>
    <w:rsid w:val="00C662B0"/>
    <w:rsid w:val="00C67F8A"/>
    <w:rsid w:val="00C74E58"/>
    <w:rsid w:val="00C84FD4"/>
    <w:rsid w:val="00C958EE"/>
    <w:rsid w:val="00CA37BC"/>
    <w:rsid w:val="00CB4289"/>
    <w:rsid w:val="00CB7342"/>
    <w:rsid w:val="00CC6F30"/>
    <w:rsid w:val="00CC79AD"/>
    <w:rsid w:val="00CD21FB"/>
    <w:rsid w:val="00CD36BB"/>
    <w:rsid w:val="00CD54B8"/>
    <w:rsid w:val="00CE21D2"/>
    <w:rsid w:val="00D049CA"/>
    <w:rsid w:val="00D1303B"/>
    <w:rsid w:val="00D13A3A"/>
    <w:rsid w:val="00D2297E"/>
    <w:rsid w:val="00D25BD4"/>
    <w:rsid w:val="00D423FE"/>
    <w:rsid w:val="00D442E4"/>
    <w:rsid w:val="00D60D9B"/>
    <w:rsid w:val="00D80EDC"/>
    <w:rsid w:val="00D86551"/>
    <w:rsid w:val="00D93F15"/>
    <w:rsid w:val="00D95144"/>
    <w:rsid w:val="00DA0394"/>
    <w:rsid w:val="00DA64B4"/>
    <w:rsid w:val="00DB14CF"/>
    <w:rsid w:val="00DB71B0"/>
    <w:rsid w:val="00DD214A"/>
    <w:rsid w:val="00DD3A36"/>
    <w:rsid w:val="00DE308E"/>
    <w:rsid w:val="00DF4F15"/>
    <w:rsid w:val="00DF57D6"/>
    <w:rsid w:val="00DF7AEA"/>
    <w:rsid w:val="00E011D4"/>
    <w:rsid w:val="00E03940"/>
    <w:rsid w:val="00E047D3"/>
    <w:rsid w:val="00E16A8B"/>
    <w:rsid w:val="00E23898"/>
    <w:rsid w:val="00E266B7"/>
    <w:rsid w:val="00E318EB"/>
    <w:rsid w:val="00E321C5"/>
    <w:rsid w:val="00E42F03"/>
    <w:rsid w:val="00E435A8"/>
    <w:rsid w:val="00E5165B"/>
    <w:rsid w:val="00E5772B"/>
    <w:rsid w:val="00E67511"/>
    <w:rsid w:val="00E81026"/>
    <w:rsid w:val="00E82D0F"/>
    <w:rsid w:val="00E85A0F"/>
    <w:rsid w:val="00E86B74"/>
    <w:rsid w:val="00E950B5"/>
    <w:rsid w:val="00EB097E"/>
    <w:rsid w:val="00EB1271"/>
    <w:rsid w:val="00EB4DC2"/>
    <w:rsid w:val="00EB533E"/>
    <w:rsid w:val="00EC08AA"/>
    <w:rsid w:val="00EE6687"/>
    <w:rsid w:val="00F05879"/>
    <w:rsid w:val="00F06F5B"/>
    <w:rsid w:val="00F146DA"/>
    <w:rsid w:val="00F1476D"/>
    <w:rsid w:val="00F15E03"/>
    <w:rsid w:val="00F2485D"/>
    <w:rsid w:val="00F31B8B"/>
    <w:rsid w:val="00F33926"/>
    <w:rsid w:val="00F37BC9"/>
    <w:rsid w:val="00F414E9"/>
    <w:rsid w:val="00F53BAE"/>
    <w:rsid w:val="00F573FD"/>
    <w:rsid w:val="00F60C61"/>
    <w:rsid w:val="00F64B52"/>
    <w:rsid w:val="00F74872"/>
    <w:rsid w:val="00F77D23"/>
    <w:rsid w:val="00F850BE"/>
    <w:rsid w:val="00FA1F96"/>
    <w:rsid w:val="00FB3D0A"/>
    <w:rsid w:val="00FB5291"/>
    <w:rsid w:val="00FB5E84"/>
    <w:rsid w:val="00FB6FF0"/>
    <w:rsid w:val="00FE5B79"/>
    <w:rsid w:val="00FE737C"/>
    <w:rsid w:val="00FE7861"/>
    <w:rsid w:val="00FF40EC"/>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9356AC"/>
    <w:rPr>
      <w:color w:val="605E5C"/>
      <w:shd w:val="clear" w:color="auto" w:fill="E1DFDD"/>
    </w:rPr>
  </w:style>
  <w:style w:type="paragraph" w:styleId="Revision">
    <w:name w:val="Revision"/>
    <w:hidden/>
    <w:uiPriority w:val="99"/>
    <w:semiHidden/>
    <w:rsid w:val="001B6D81"/>
  </w:style>
  <w:style w:type="paragraph" w:styleId="ListParagraph">
    <w:name w:val="List Paragraph"/>
    <w:basedOn w:val="Normal"/>
    <w:uiPriority w:val="34"/>
    <w:qFormat/>
    <w:rsid w:val="00525C6B"/>
    <w:pPr>
      <w:spacing w:line="240" w:lineRule="auto"/>
      <w:ind w:left="720"/>
      <w:contextualSpacing/>
    </w:pPr>
    <w:rPr>
      <w:rFonts w:ascii="Aptos" w:eastAsiaTheme="minorHAnsi" w:hAnsi="Aptos" w:cs="Calibri"/>
      <w:sz w:val="24"/>
      <w:szCs w:val="24"/>
      <w14:ligatures w14:val="standardContextual"/>
    </w:rPr>
  </w:style>
  <w:style w:type="character" w:customStyle="1" w:styleId="user-highlighted-active">
    <w:name w:val="user-highlighted-active"/>
    <w:basedOn w:val="DefaultParagraphFont"/>
    <w:rsid w:val="00525C6B"/>
  </w:style>
  <w:style w:type="character" w:customStyle="1" w:styleId="ldml-quotation">
    <w:name w:val="ldml-quotation"/>
    <w:basedOn w:val="DefaultParagraphFont"/>
    <w:rsid w:val="00525C6B"/>
  </w:style>
  <w:style w:type="character" w:customStyle="1" w:styleId="ldml-entity">
    <w:name w:val="ldml-entity"/>
    <w:basedOn w:val="DefaultParagraphFont"/>
    <w:rsid w:val="00525C6B"/>
  </w:style>
  <w:style w:type="character" w:customStyle="1" w:styleId="ldml-parenthetical">
    <w:name w:val="ldml-parenthetical"/>
    <w:basedOn w:val="DefaultParagraphFont"/>
    <w:rsid w:val="00525C6B"/>
  </w:style>
  <w:style w:type="character" w:customStyle="1" w:styleId="ldml-refname">
    <w:name w:val="ldml-refname"/>
    <w:basedOn w:val="DefaultParagraphFont"/>
    <w:rsid w:val="00525C6B"/>
  </w:style>
  <w:style w:type="character" w:customStyle="1" w:styleId="ldml-cite">
    <w:name w:val="ldml-cite"/>
    <w:basedOn w:val="DefaultParagraphFont"/>
    <w:rsid w:val="00525C6B"/>
  </w:style>
  <w:style w:type="character" w:customStyle="1" w:styleId="ldml-date">
    <w:name w:val="ldml-date"/>
    <w:basedOn w:val="DefaultParagraphFont"/>
    <w:rsid w:val="00525C6B"/>
  </w:style>
  <w:style w:type="character" w:styleId="CommentReference">
    <w:name w:val="annotation reference"/>
    <w:basedOn w:val="DefaultParagraphFont"/>
    <w:rsid w:val="00757016"/>
    <w:rPr>
      <w:sz w:val="16"/>
      <w:szCs w:val="16"/>
    </w:rPr>
  </w:style>
  <w:style w:type="paragraph" w:styleId="CommentText">
    <w:name w:val="annotation text"/>
    <w:basedOn w:val="Normal"/>
    <w:link w:val="CommentTextChar"/>
    <w:rsid w:val="00757016"/>
    <w:pPr>
      <w:spacing w:line="240" w:lineRule="auto"/>
    </w:pPr>
  </w:style>
  <w:style w:type="character" w:customStyle="1" w:styleId="CommentTextChar">
    <w:name w:val="Comment Text Char"/>
    <w:basedOn w:val="DefaultParagraphFont"/>
    <w:link w:val="CommentText"/>
    <w:rsid w:val="00757016"/>
  </w:style>
  <w:style w:type="paragraph" w:styleId="CommentSubject">
    <w:name w:val="annotation subject"/>
    <w:basedOn w:val="CommentText"/>
    <w:next w:val="CommentText"/>
    <w:link w:val="CommentSubjectChar"/>
    <w:rsid w:val="00757016"/>
    <w:rPr>
      <w:b/>
      <w:bCs/>
    </w:rPr>
  </w:style>
  <w:style w:type="character" w:customStyle="1" w:styleId="CommentSubjectChar">
    <w:name w:val="Comment Subject Char"/>
    <w:basedOn w:val="CommentTextChar"/>
    <w:link w:val="CommentSubject"/>
    <w:rsid w:val="00757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1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west-2.protection.sophos.com?d=publicsource.org&amp;u=aHR0cHM6Ly93d3cucHVibGljc291cmNlLm9yZy9ldmljdGlvbi1jb2xsYXRlcmFsLWltcGFjdC1kaXNwbGFjZW1lbnQtZW1wbG95bWVudC10cmFuc2l0LXNjaG9vbC1tZW50YWwtaGVhbHRoLw==&amp;i=NjU5YWU2OGNiZWVjNTcwNGM5MjQ4MmRj&amp;t=TXB2M1hiTzBQL21ZbFE5d3crZWx6VGdNemxGV0hGbldFSjRnam9DbXRQbz0=&amp;h=67585ed4ff75450bbe758fe6ccd15a90&amp;s=AVNPUEhUT0NFTkNSWVBUSVb3HiSM5B2AyWDWAzk9cW_H7Tot1ElEHtD4nO9lgSciK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us-west-2.protection.sophos.com?d=umich.edu&amp;u=aHR0cHM6Ly9zcGgudW1pY2guZWR1L3B1cnN1aXQvMjAyNHBvc3RzL2V2aWN0aW9uLWZpbGluZ3MtY2FuLWRlc3RhYmlsaXplLXRlbmFudHMtbGl2ZXMtZXZlbi13aGVuLXRoZXktd2luLXRoZWlyLWNhc2UuaHRtbA==&amp;i=NjU5YWU2OGNiZWVjNTcwNGM5MjQ4MmRj&amp;t=VVpBOHNZL0d4QnF5eUhOYWNoZnNJL3VVNGNRK1EzZ0Uzd1Jab205NHJCdz0=&amp;h=67585ed4ff75450bbe758fe6ccd15a90&amp;s=AVNPUEhUT0NFTkNSWVBUSVb3HiSM5B2AyWDWAzk9cW_H7Tot1ElEHtD4nO9lgSciK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3463</Words>
  <Characters>18148</Characters>
  <Application>Microsoft Office Word</Application>
  <DocSecurity>4</DocSecurity>
  <Lines>412</Lines>
  <Paragraphs>121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2025-05-01T17:09:00Z</dcterms:created>
  <dcterms:modified xsi:type="dcterms:W3CDTF">2025-05-01T17:09:00Z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