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66CC" w14:textId="5ABC40D7" w:rsidR="00E97172" w:rsidRPr="007A6EC7" w:rsidRDefault="00E97172" w:rsidP="00321F9E">
      <w:pPr>
        <w:pStyle w:val="NoSpacing"/>
        <w:jc w:val="center"/>
        <w:rPr>
          <w:rFonts w:ascii="Times New Roman" w:hAnsi="Times New Roman" w:cs="Times New Roman"/>
          <w:b/>
          <w:bCs/>
          <w:color w:val="000000" w:themeColor="text1"/>
          <w:sz w:val="28"/>
          <w:szCs w:val="28"/>
        </w:rPr>
      </w:pPr>
      <w:r w:rsidRPr="007A6EC7">
        <w:rPr>
          <w:rFonts w:ascii="Times New Roman" w:hAnsi="Times New Roman" w:cs="Times New Roman"/>
          <w:b/>
          <w:bCs/>
          <w:color w:val="000000" w:themeColor="text1"/>
          <w:sz w:val="28"/>
          <w:szCs w:val="28"/>
        </w:rPr>
        <w:t>IN THE ARIZONA SUPREME COURT</w:t>
      </w:r>
    </w:p>
    <w:p w14:paraId="28EF62DF" w14:textId="77777777" w:rsidR="00E97172" w:rsidRPr="007A6EC7" w:rsidRDefault="00E97172" w:rsidP="00321F9E">
      <w:pPr>
        <w:pStyle w:val="NoSpacing"/>
        <w:jc w:val="both"/>
        <w:rPr>
          <w:rFonts w:ascii="Times New Roman" w:hAnsi="Times New Roman" w:cs="Times New Roman"/>
          <w:color w:val="000000" w:themeColor="text1"/>
          <w:sz w:val="28"/>
          <w:szCs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8"/>
        <w:gridCol w:w="236"/>
        <w:gridCol w:w="4026"/>
      </w:tblGrid>
      <w:tr w:rsidR="00437F6D" w14:paraId="776810EF" w14:textId="77777777" w:rsidTr="00A00E0F">
        <w:tc>
          <w:tcPr>
            <w:tcW w:w="5188" w:type="dxa"/>
            <w:tcBorders>
              <w:bottom w:val="single" w:sz="4" w:space="0" w:color="auto"/>
            </w:tcBorders>
          </w:tcPr>
          <w:p w14:paraId="6197B9C2" w14:textId="77777777" w:rsidR="00437F6D" w:rsidRDefault="00437F6D" w:rsidP="00321F9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the Matter of:</w:t>
            </w:r>
          </w:p>
          <w:p w14:paraId="5F66D732" w14:textId="77777777" w:rsidR="00437F6D" w:rsidRDefault="00437F6D" w:rsidP="00321F9E">
            <w:pPr>
              <w:pStyle w:val="NoSpacing"/>
              <w:jc w:val="both"/>
              <w:rPr>
                <w:rFonts w:ascii="Times New Roman" w:hAnsi="Times New Roman" w:cs="Times New Roman"/>
                <w:color w:val="000000" w:themeColor="text1"/>
                <w:sz w:val="28"/>
                <w:szCs w:val="28"/>
              </w:rPr>
            </w:pPr>
          </w:p>
          <w:p w14:paraId="37AF545C" w14:textId="77777777" w:rsidR="00437F6D" w:rsidRDefault="00437F6D" w:rsidP="00321F9E">
            <w:pPr>
              <w:pStyle w:val="NoSpacing"/>
              <w:jc w:val="both"/>
              <w:rPr>
                <w:rFonts w:ascii="Times New Roman" w:hAnsi="Times New Roman" w:cs="Times New Roman"/>
                <w:color w:val="000000" w:themeColor="text1"/>
                <w:sz w:val="28"/>
                <w:szCs w:val="28"/>
              </w:rPr>
            </w:pPr>
          </w:p>
          <w:p w14:paraId="3AFCA589" w14:textId="77777777" w:rsidR="00437F6D" w:rsidRDefault="00437F6D" w:rsidP="00321F9E">
            <w:pPr>
              <w:pStyle w:val="NoSpacing"/>
              <w:jc w:val="both"/>
              <w:rPr>
                <w:rFonts w:ascii="Times New Roman" w:hAnsi="Times New Roman" w:cs="Times New Roman"/>
                <w:color w:val="000000" w:themeColor="text1"/>
                <w:sz w:val="28"/>
                <w:szCs w:val="28"/>
              </w:rPr>
            </w:pPr>
          </w:p>
          <w:p w14:paraId="739CF8FF" w14:textId="77777777" w:rsidR="00437F6D" w:rsidRDefault="00437F6D" w:rsidP="00321F9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PETITION TO AMEND</w:t>
            </w:r>
          </w:p>
          <w:p w14:paraId="49D1AF4B" w14:textId="77777777" w:rsidR="00437F6D" w:rsidRDefault="00437F6D" w:rsidP="00321F9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RULE 39(b)(12) OF THE RULES </w:t>
            </w:r>
          </w:p>
          <w:p w14:paraId="7E1806E0" w14:textId="77777777" w:rsidR="00437F6D" w:rsidRDefault="00437F6D" w:rsidP="00321F9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OF CRIMINAL PROCEDURE</w:t>
            </w:r>
          </w:p>
          <w:p w14:paraId="106DE9D4" w14:textId="47DB916D" w:rsidR="00437F6D" w:rsidRDefault="00437F6D" w:rsidP="00321F9E">
            <w:pPr>
              <w:pStyle w:val="NoSpacing"/>
              <w:jc w:val="both"/>
              <w:rPr>
                <w:rFonts w:ascii="Times New Roman" w:hAnsi="Times New Roman" w:cs="Times New Roman"/>
                <w:color w:val="000000" w:themeColor="text1"/>
                <w:sz w:val="28"/>
                <w:szCs w:val="28"/>
              </w:rPr>
            </w:pPr>
          </w:p>
        </w:tc>
        <w:tc>
          <w:tcPr>
            <w:tcW w:w="236" w:type="dxa"/>
          </w:tcPr>
          <w:p w14:paraId="00E8F8CA"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3F7305D4"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2D6120AA"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58FE4752"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3BEC6938"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67CCF97C"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B363C19" w14:textId="77777777" w:rsidR="00437F6D"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63D69F3" w14:textId="26E997F7" w:rsidR="00437F6D" w:rsidRPr="007A6EC7" w:rsidRDefault="00437F6D" w:rsidP="0028780F">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4026" w:type="dxa"/>
          </w:tcPr>
          <w:p w14:paraId="63B02428" w14:textId="77154678" w:rsidR="00437F6D" w:rsidRDefault="00437F6D" w:rsidP="00321F9E">
            <w:pPr>
              <w:pStyle w:val="NoSpacing"/>
              <w:jc w:val="both"/>
              <w:rPr>
                <w:rFonts w:ascii="Times New Roman" w:hAnsi="Times New Roman" w:cs="Times New Roman"/>
                <w:color w:val="000000" w:themeColor="text1"/>
                <w:sz w:val="28"/>
                <w:szCs w:val="28"/>
              </w:rPr>
            </w:pPr>
            <w:r w:rsidRPr="007A6EC7">
              <w:rPr>
                <w:rFonts w:ascii="Times New Roman" w:hAnsi="Times New Roman" w:cs="Times New Roman"/>
                <w:color w:val="000000" w:themeColor="text1"/>
                <w:sz w:val="28"/>
                <w:szCs w:val="28"/>
              </w:rPr>
              <w:t>Supreme Court No. R-25-0035</w:t>
            </w:r>
          </w:p>
        </w:tc>
      </w:tr>
    </w:tbl>
    <w:p w14:paraId="02B0D8C9" w14:textId="77777777" w:rsidR="00E97172" w:rsidRPr="007A6EC7" w:rsidRDefault="00E97172" w:rsidP="00321F9E">
      <w:pPr>
        <w:pStyle w:val="NoSpacing"/>
        <w:jc w:val="both"/>
        <w:rPr>
          <w:rFonts w:ascii="Times New Roman" w:hAnsi="Times New Roman" w:cs="Times New Roman"/>
          <w:color w:val="000000" w:themeColor="text1"/>
          <w:sz w:val="28"/>
          <w:szCs w:val="28"/>
        </w:rPr>
      </w:pPr>
    </w:p>
    <w:p w14:paraId="671B190D" w14:textId="77777777" w:rsidR="00E97172" w:rsidRPr="007A6EC7" w:rsidRDefault="00E97172" w:rsidP="00321F9E">
      <w:pPr>
        <w:pStyle w:val="NoSpacing"/>
        <w:jc w:val="both"/>
        <w:rPr>
          <w:rFonts w:ascii="Times New Roman" w:hAnsi="Times New Roman" w:cs="Times New Roman"/>
          <w:color w:val="000000" w:themeColor="text1"/>
          <w:sz w:val="28"/>
          <w:szCs w:val="28"/>
        </w:rPr>
      </w:pPr>
    </w:p>
    <w:p w14:paraId="159CF040" w14:textId="77777777" w:rsidR="00E97172" w:rsidRPr="007A6EC7" w:rsidRDefault="00E97172" w:rsidP="00321F9E">
      <w:pPr>
        <w:pStyle w:val="NoSpacing"/>
        <w:spacing w:line="480" w:lineRule="auto"/>
        <w:jc w:val="center"/>
        <w:rPr>
          <w:rFonts w:ascii="Times New Roman" w:hAnsi="Times New Roman" w:cs="Times New Roman"/>
          <w:b/>
          <w:bCs/>
          <w:color w:val="000000" w:themeColor="text1"/>
          <w:sz w:val="28"/>
          <w:szCs w:val="28"/>
        </w:rPr>
      </w:pPr>
    </w:p>
    <w:p w14:paraId="1DB5C636" w14:textId="77777777" w:rsidR="003C5783" w:rsidRPr="007A6EC7" w:rsidRDefault="00E97172" w:rsidP="0074424F">
      <w:pPr>
        <w:pStyle w:val="NoSpacing"/>
        <w:jc w:val="center"/>
        <w:rPr>
          <w:rFonts w:ascii="Times New Roman" w:hAnsi="Times New Roman" w:cs="Times New Roman"/>
          <w:b/>
          <w:bCs/>
          <w:color w:val="000000" w:themeColor="text1"/>
          <w:sz w:val="28"/>
          <w:szCs w:val="28"/>
        </w:rPr>
      </w:pPr>
      <w:r w:rsidRPr="007A6EC7">
        <w:rPr>
          <w:rFonts w:ascii="Times New Roman" w:hAnsi="Times New Roman" w:cs="Times New Roman"/>
          <w:b/>
          <w:bCs/>
          <w:color w:val="000000" w:themeColor="text1"/>
          <w:sz w:val="28"/>
          <w:szCs w:val="28"/>
        </w:rPr>
        <w:t xml:space="preserve">Comment of </w:t>
      </w:r>
      <w:r w:rsidR="003C5783" w:rsidRPr="007A6EC7">
        <w:rPr>
          <w:rFonts w:ascii="Times New Roman" w:hAnsi="Times New Roman" w:cs="Times New Roman"/>
          <w:b/>
          <w:bCs/>
          <w:color w:val="000000" w:themeColor="text1"/>
          <w:sz w:val="28"/>
          <w:szCs w:val="28"/>
        </w:rPr>
        <w:t>Arizona Attorneys for Criminal Justice and</w:t>
      </w:r>
    </w:p>
    <w:p w14:paraId="0CF05362" w14:textId="045A77E2" w:rsidR="00E87445" w:rsidRPr="007A6EC7" w:rsidRDefault="00E97172" w:rsidP="0074424F">
      <w:pPr>
        <w:pStyle w:val="NoSpacing"/>
        <w:jc w:val="center"/>
        <w:rPr>
          <w:rFonts w:ascii="Times New Roman" w:hAnsi="Times New Roman" w:cs="Times New Roman"/>
          <w:b/>
          <w:bCs/>
          <w:color w:val="000000" w:themeColor="text1"/>
          <w:sz w:val="28"/>
          <w:szCs w:val="28"/>
        </w:rPr>
      </w:pPr>
      <w:r w:rsidRPr="007A6EC7">
        <w:rPr>
          <w:rFonts w:ascii="Times New Roman" w:hAnsi="Times New Roman" w:cs="Times New Roman"/>
          <w:b/>
          <w:bCs/>
          <w:color w:val="000000" w:themeColor="text1"/>
          <w:sz w:val="28"/>
          <w:szCs w:val="28"/>
        </w:rPr>
        <w:t>American Civil Liberties Union Foundation of Arizona</w:t>
      </w:r>
    </w:p>
    <w:p w14:paraId="28E20982" w14:textId="77777777" w:rsidR="00E97172" w:rsidRPr="007A6EC7" w:rsidRDefault="00E97172" w:rsidP="00321F9E">
      <w:pPr>
        <w:pStyle w:val="NoSpacing"/>
        <w:rPr>
          <w:rFonts w:ascii="Times New Roman" w:hAnsi="Times New Roman" w:cs="Times New Roman"/>
          <w:b/>
          <w:bCs/>
          <w:color w:val="000000" w:themeColor="text1"/>
          <w:sz w:val="28"/>
          <w:szCs w:val="28"/>
        </w:rPr>
      </w:pPr>
    </w:p>
    <w:p w14:paraId="02938B29" w14:textId="77777777" w:rsidR="00E97172" w:rsidRPr="007A6EC7" w:rsidRDefault="00E97172" w:rsidP="00321F9E">
      <w:pPr>
        <w:pStyle w:val="NoSpacing"/>
        <w:jc w:val="both"/>
        <w:rPr>
          <w:rFonts w:ascii="Times New Roman" w:hAnsi="Times New Roman" w:cs="Times New Roman"/>
          <w:b/>
          <w:bCs/>
          <w:color w:val="000000" w:themeColor="text1"/>
          <w:sz w:val="28"/>
          <w:szCs w:val="28"/>
        </w:rPr>
      </w:pPr>
    </w:p>
    <w:p w14:paraId="714E4995" w14:textId="77777777" w:rsidR="00E97172" w:rsidRPr="007A6EC7" w:rsidRDefault="00E97172" w:rsidP="00321F9E">
      <w:pPr>
        <w:pStyle w:val="NoSpacing"/>
        <w:jc w:val="both"/>
        <w:rPr>
          <w:rFonts w:ascii="Times New Roman" w:hAnsi="Times New Roman" w:cs="Times New Roman"/>
          <w:b/>
          <w:bCs/>
          <w:color w:val="000000" w:themeColor="text1"/>
          <w:sz w:val="28"/>
          <w:szCs w:val="28"/>
        </w:rPr>
      </w:pPr>
    </w:p>
    <w:p w14:paraId="6369C0FB" w14:textId="77777777" w:rsidR="00E97172" w:rsidRPr="007A6EC7" w:rsidRDefault="00E97172" w:rsidP="00321F9E">
      <w:pPr>
        <w:pStyle w:val="NoSpacing"/>
        <w:jc w:val="both"/>
        <w:rPr>
          <w:rFonts w:ascii="Times New Roman" w:hAnsi="Times New Roman" w:cs="Times New Roman"/>
          <w:b/>
          <w:bCs/>
          <w:color w:val="000000" w:themeColor="text1"/>
          <w:sz w:val="28"/>
          <w:szCs w:val="28"/>
        </w:rPr>
      </w:pPr>
    </w:p>
    <w:p w14:paraId="6B1D44A8" w14:textId="77777777" w:rsidR="00E97172" w:rsidRPr="007A6EC7" w:rsidRDefault="00E97172" w:rsidP="00321F9E">
      <w:pPr>
        <w:pStyle w:val="NoSpacing"/>
        <w:jc w:val="both"/>
        <w:rPr>
          <w:rFonts w:ascii="Times New Roman" w:hAnsi="Times New Roman" w:cs="Times New Roman"/>
          <w:b/>
          <w:bCs/>
          <w:color w:val="000000" w:themeColor="text1"/>
          <w:sz w:val="28"/>
          <w:szCs w:val="28"/>
        </w:rPr>
      </w:pPr>
    </w:p>
    <w:p w14:paraId="5CDFDB50" w14:textId="77777777" w:rsidR="00E97172" w:rsidRPr="007A6EC7" w:rsidRDefault="00E97172" w:rsidP="00321F9E">
      <w:pPr>
        <w:pStyle w:val="NoSpacing"/>
        <w:jc w:val="both"/>
        <w:rPr>
          <w:rFonts w:ascii="Times New Roman" w:hAnsi="Times New Roman" w:cs="Times New Roman"/>
          <w:b/>
          <w:bCs/>
          <w:color w:val="000000" w:themeColor="text1"/>
          <w:sz w:val="28"/>
          <w:szCs w:val="28"/>
        </w:rPr>
      </w:pPr>
    </w:p>
    <w:p w14:paraId="12ED76B0" w14:textId="5D118461" w:rsidR="00E97172" w:rsidRPr="007A6EC7" w:rsidRDefault="00E97172" w:rsidP="00321F9E">
      <w:pPr>
        <w:pStyle w:val="NoSpacing"/>
        <w:jc w:val="both"/>
        <w:rPr>
          <w:rFonts w:ascii="Times New Roman" w:hAnsi="Times New Roman" w:cs="Times New Roman"/>
          <w:b/>
          <w:bCs/>
          <w:color w:val="000000" w:themeColor="text1"/>
          <w:sz w:val="28"/>
          <w:szCs w:val="28"/>
        </w:rPr>
      </w:pPr>
      <w:r w:rsidRPr="007A6EC7">
        <w:rPr>
          <w:rFonts w:ascii="Times New Roman" w:hAnsi="Times New Roman" w:cs="Times New Roman"/>
          <w:b/>
          <w:bCs/>
          <w:color w:val="000000" w:themeColor="text1"/>
          <w:sz w:val="28"/>
          <w:szCs w:val="28"/>
        </w:rPr>
        <w:t>Jared</w:t>
      </w:r>
      <w:r w:rsidR="003C5783" w:rsidRPr="007A6EC7">
        <w:rPr>
          <w:rFonts w:ascii="Times New Roman" w:hAnsi="Times New Roman" w:cs="Times New Roman"/>
          <w:b/>
          <w:bCs/>
          <w:color w:val="000000" w:themeColor="text1"/>
          <w:sz w:val="28"/>
          <w:szCs w:val="28"/>
        </w:rPr>
        <w:t xml:space="preserve"> G.</w:t>
      </w:r>
      <w:r w:rsidRPr="007A6EC7">
        <w:rPr>
          <w:rFonts w:ascii="Times New Roman" w:hAnsi="Times New Roman" w:cs="Times New Roman"/>
          <w:b/>
          <w:bCs/>
          <w:color w:val="000000" w:themeColor="text1"/>
          <w:sz w:val="28"/>
          <w:szCs w:val="28"/>
        </w:rPr>
        <w:t xml:space="preserve"> Keenan</w:t>
      </w:r>
    </w:p>
    <w:p w14:paraId="3AEF039F" w14:textId="49CEC417" w:rsidR="00E97172" w:rsidRPr="007A6EC7" w:rsidRDefault="00E97172" w:rsidP="003C5783">
      <w:pPr>
        <w:pStyle w:val="NoSpacing"/>
        <w:jc w:val="both"/>
        <w:rPr>
          <w:rFonts w:ascii="Times New Roman" w:hAnsi="Times New Roman" w:cs="Times New Roman"/>
          <w:color w:val="000000" w:themeColor="text1"/>
          <w:sz w:val="28"/>
          <w:szCs w:val="28"/>
        </w:rPr>
      </w:pPr>
      <w:r w:rsidRPr="007A6EC7">
        <w:rPr>
          <w:rFonts w:ascii="Times New Roman" w:hAnsi="Times New Roman" w:cs="Times New Roman"/>
          <w:color w:val="000000" w:themeColor="text1"/>
          <w:sz w:val="28"/>
          <w:szCs w:val="28"/>
        </w:rPr>
        <w:t>AZ Bar No. 02706</w:t>
      </w:r>
      <w:r w:rsidR="003C5783" w:rsidRPr="007A6EC7">
        <w:rPr>
          <w:rFonts w:ascii="Times New Roman" w:hAnsi="Times New Roman" w:cs="Times New Roman"/>
          <w:color w:val="000000" w:themeColor="text1"/>
          <w:sz w:val="28"/>
          <w:szCs w:val="28"/>
        </w:rPr>
        <w:t>8</w:t>
      </w:r>
    </w:p>
    <w:p w14:paraId="7E6AC1C0" w14:textId="275974C2" w:rsidR="00E97172" w:rsidRPr="007A6EC7" w:rsidRDefault="00E97172" w:rsidP="00321F9E">
      <w:pPr>
        <w:pStyle w:val="NoSpacing"/>
        <w:jc w:val="both"/>
        <w:rPr>
          <w:rFonts w:ascii="Times New Roman" w:hAnsi="Times New Roman" w:cs="Times New Roman"/>
          <w:color w:val="000000" w:themeColor="text1"/>
          <w:sz w:val="28"/>
          <w:szCs w:val="28"/>
        </w:rPr>
      </w:pPr>
      <w:r w:rsidRPr="007A6EC7">
        <w:rPr>
          <w:rFonts w:ascii="Times New Roman" w:hAnsi="Times New Roman" w:cs="Times New Roman"/>
          <w:color w:val="000000" w:themeColor="text1"/>
          <w:sz w:val="28"/>
          <w:szCs w:val="28"/>
        </w:rPr>
        <w:t xml:space="preserve">P.O. Box 17148 </w:t>
      </w:r>
      <w:r w:rsidR="003C5783" w:rsidRPr="007A6EC7">
        <w:rPr>
          <w:rFonts w:ascii="Times New Roman" w:hAnsi="Times New Roman" w:cs="Times New Roman"/>
          <w:color w:val="000000" w:themeColor="text1"/>
          <w:sz w:val="28"/>
          <w:szCs w:val="28"/>
        </w:rPr>
        <w:tab/>
      </w:r>
      <w:r w:rsidR="003C5783" w:rsidRPr="007A6EC7">
        <w:rPr>
          <w:rFonts w:ascii="Times New Roman" w:hAnsi="Times New Roman" w:cs="Times New Roman"/>
          <w:color w:val="000000" w:themeColor="text1"/>
          <w:sz w:val="28"/>
          <w:szCs w:val="28"/>
        </w:rPr>
        <w:tab/>
      </w:r>
      <w:r w:rsidR="003C5783" w:rsidRPr="007A6EC7">
        <w:rPr>
          <w:rFonts w:ascii="Times New Roman" w:hAnsi="Times New Roman" w:cs="Times New Roman"/>
          <w:color w:val="000000" w:themeColor="text1"/>
          <w:sz w:val="28"/>
          <w:szCs w:val="28"/>
        </w:rPr>
        <w:tab/>
      </w:r>
      <w:r w:rsidR="003C5783" w:rsidRPr="007A6EC7">
        <w:rPr>
          <w:rFonts w:ascii="Times New Roman" w:hAnsi="Times New Roman" w:cs="Times New Roman"/>
          <w:color w:val="000000" w:themeColor="text1"/>
          <w:sz w:val="28"/>
          <w:szCs w:val="28"/>
        </w:rPr>
        <w:tab/>
      </w:r>
      <w:r w:rsidR="003C5783" w:rsidRPr="007A6EC7">
        <w:rPr>
          <w:rFonts w:ascii="Times New Roman" w:hAnsi="Times New Roman" w:cs="Times New Roman"/>
          <w:color w:val="000000" w:themeColor="text1"/>
          <w:sz w:val="28"/>
          <w:szCs w:val="28"/>
        </w:rPr>
        <w:tab/>
      </w:r>
      <w:r w:rsidR="003C5783" w:rsidRPr="007A6EC7">
        <w:rPr>
          <w:rFonts w:ascii="Times New Roman" w:hAnsi="Times New Roman" w:cs="Times New Roman"/>
          <w:color w:val="000000" w:themeColor="text1"/>
          <w:sz w:val="28"/>
          <w:szCs w:val="28"/>
        </w:rPr>
        <w:tab/>
      </w:r>
    </w:p>
    <w:p w14:paraId="6097DE88" w14:textId="77777777" w:rsidR="00E97172" w:rsidRPr="007A6EC7" w:rsidRDefault="00E97172" w:rsidP="00321F9E">
      <w:pPr>
        <w:pStyle w:val="NoSpacing"/>
        <w:jc w:val="both"/>
        <w:rPr>
          <w:rFonts w:ascii="Times New Roman" w:hAnsi="Times New Roman" w:cs="Times New Roman"/>
          <w:color w:val="000000" w:themeColor="text1"/>
          <w:sz w:val="28"/>
          <w:szCs w:val="28"/>
        </w:rPr>
      </w:pPr>
      <w:r w:rsidRPr="007A6EC7">
        <w:rPr>
          <w:rFonts w:ascii="Times New Roman" w:hAnsi="Times New Roman" w:cs="Times New Roman"/>
          <w:color w:val="000000" w:themeColor="text1"/>
          <w:sz w:val="28"/>
          <w:szCs w:val="28"/>
        </w:rPr>
        <w:t>Phoenix, AZ 85011</w:t>
      </w:r>
    </w:p>
    <w:p w14:paraId="3D40E3F1" w14:textId="77777777" w:rsidR="00E97172" w:rsidRPr="007A6EC7" w:rsidRDefault="00E97172" w:rsidP="00321F9E">
      <w:pPr>
        <w:pStyle w:val="NoSpacing"/>
        <w:jc w:val="both"/>
        <w:rPr>
          <w:rFonts w:ascii="Times New Roman" w:hAnsi="Times New Roman" w:cs="Times New Roman"/>
          <w:color w:val="000000" w:themeColor="text1"/>
          <w:sz w:val="28"/>
          <w:szCs w:val="28"/>
        </w:rPr>
      </w:pPr>
      <w:r w:rsidRPr="007A6EC7">
        <w:rPr>
          <w:rFonts w:ascii="Times New Roman" w:hAnsi="Times New Roman" w:cs="Times New Roman"/>
          <w:color w:val="000000" w:themeColor="text1"/>
          <w:sz w:val="28"/>
          <w:szCs w:val="28"/>
        </w:rPr>
        <w:t>(602) 650-1854</w:t>
      </w:r>
    </w:p>
    <w:p w14:paraId="7D757AE6" w14:textId="77777777" w:rsidR="00E97172" w:rsidRPr="007A6EC7" w:rsidRDefault="00E97172" w:rsidP="00321F9E">
      <w:pPr>
        <w:pStyle w:val="NoSpacing"/>
        <w:jc w:val="both"/>
        <w:rPr>
          <w:rFonts w:ascii="Times New Roman" w:hAnsi="Times New Roman" w:cs="Times New Roman"/>
          <w:color w:val="000000" w:themeColor="text1"/>
          <w:sz w:val="28"/>
          <w:szCs w:val="28"/>
        </w:rPr>
      </w:pPr>
      <w:hyperlink r:id="rId8" w:history="1">
        <w:r w:rsidRPr="007A6EC7">
          <w:rPr>
            <w:rStyle w:val="Hyperlink"/>
            <w:rFonts w:ascii="Times New Roman" w:hAnsi="Times New Roman" w:cs="Times New Roman"/>
            <w:color w:val="000000" w:themeColor="text1"/>
            <w:sz w:val="28"/>
            <w:szCs w:val="28"/>
          </w:rPr>
          <w:t>jkeenan@acluaz.org</w:t>
        </w:r>
      </w:hyperlink>
    </w:p>
    <w:p w14:paraId="23963B22" w14:textId="77777777" w:rsidR="003C5783" w:rsidRPr="007A6EC7" w:rsidRDefault="003C5783" w:rsidP="003C5783">
      <w:pPr>
        <w:spacing w:line="240" w:lineRule="auto"/>
        <w:contextualSpacing/>
        <w:rPr>
          <w:color w:val="000000" w:themeColor="text1"/>
          <w:sz w:val="28"/>
          <w:szCs w:val="28"/>
        </w:rPr>
      </w:pPr>
    </w:p>
    <w:p w14:paraId="7D1E15C8" w14:textId="041077AD" w:rsidR="003C5783" w:rsidRPr="007A6EC7" w:rsidRDefault="003C5783" w:rsidP="003C5783">
      <w:pPr>
        <w:spacing w:line="240" w:lineRule="auto"/>
        <w:contextualSpacing/>
        <w:rPr>
          <w:b/>
          <w:bCs/>
          <w:color w:val="000000" w:themeColor="text1"/>
          <w:sz w:val="28"/>
          <w:szCs w:val="28"/>
        </w:rPr>
      </w:pPr>
      <w:r w:rsidRPr="007A6EC7">
        <w:rPr>
          <w:b/>
          <w:bCs/>
          <w:color w:val="000000" w:themeColor="text1"/>
          <w:sz w:val="28"/>
          <w:szCs w:val="28"/>
        </w:rPr>
        <w:t>Kathleen E. Brody</w:t>
      </w:r>
    </w:p>
    <w:p w14:paraId="165BE5A5" w14:textId="039C6BE1" w:rsidR="003C5783" w:rsidRPr="007A6EC7" w:rsidRDefault="003C5783" w:rsidP="003C5783">
      <w:pPr>
        <w:spacing w:line="240" w:lineRule="auto"/>
        <w:contextualSpacing/>
        <w:rPr>
          <w:color w:val="000000" w:themeColor="text1"/>
          <w:sz w:val="28"/>
          <w:szCs w:val="28"/>
        </w:rPr>
      </w:pPr>
      <w:r w:rsidRPr="007A6EC7">
        <w:rPr>
          <w:color w:val="000000" w:themeColor="text1"/>
          <w:sz w:val="28"/>
          <w:szCs w:val="28"/>
        </w:rPr>
        <w:t>AZ Bar No. 026331</w:t>
      </w:r>
    </w:p>
    <w:p w14:paraId="1482678B" w14:textId="77777777" w:rsidR="003C5783" w:rsidRPr="007A6EC7" w:rsidRDefault="003C5783" w:rsidP="003C5783">
      <w:pPr>
        <w:spacing w:line="240" w:lineRule="auto"/>
        <w:contextualSpacing/>
        <w:rPr>
          <w:color w:val="000000" w:themeColor="text1"/>
          <w:sz w:val="28"/>
          <w:szCs w:val="28"/>
        </w:rPr>
      </w:pPr>
      <w:r w:rsidRPr="007A6EC7">
        <w:rPr>
          <w:color w:val="000000" w:themeColor="text1"/>
          <w:sz w:val="28"/>
          <w:szCs w:val="28"/>
        </w:rPr>
        <w:t>MITCHELL | STEIN | CAREY | CHAPMAN</w:t>
      </w:r>
    </w:p>
    <w:p w14:paraId="60562760" w14:textId="446C81BB" w:rsidR="003C5783" w:rsidRPr="007A6EC7" w:rsidRDefault="003C5783" w:rsidP="003C5783">
      <w:pPr>
        <w:spacing w:line="240" w:lineRule="auto"/>
        <w:contextualSpacing/>
        <w:rPr>
          <w:color w:val="000000" w:themeColor="text1"/>
          <w:sz w:val="28"/>
          <w:szCs w:val="28"/>
        </w:rPr>
      </w:pPr>
      <w:r w:rsidRPr="007A6EC7">
        <w:rPr>
          <w:color w:val="000000" w:themeColor="text1"/>
          <w:sz w:val="28"/>
          <w:szCs w:val="28"/>
        </w:rPr>
        <w:t xml:space="preserve">PC 2600 </w:t>
      </w:r>
      <w:r w:rsidR="00680FD7">
        <w:rPr>
          <w:color w:val="000000" w:themeColor="text1"/>
          <w:sz w:val="28"/>
          <w:szCs w:val="28"/>
        </w:rPr>
        <w:t>N.</w:t>
      </w:r>
      <w:r w:rsidRPr="007A6EC7">
        <w:rPr>
          <w:color w:val="000000" w:themeColor="text1"/>
          <w:sz w:val="28"/>
          <w:szCs w:val="28"/>
        </w:rPr>
        <w:t xml:space="preserve"> Central Ave</w:t>
      </w:r>
      <w:r w:rsidR="00680FD7">
        <w:rPr>
          <w:color w:val="000000" w:themeColor="text1"/>
          <w:sz w:val="28"/>
          <w:szCs w:val="28"/>
        </w:rPr>
        <w:t>.</w:t>
      </w:r>
      <w:r w:rsidRPr="007A6EC7">
        <w:rPr>
          <w:color w:val="000000" w:themeColor="text1"/>
          <w:sz w:val="28"/>
          <w:szCs w:val="28"/>
        </w:rPr>
        <w:t>, Suite 1000</w:t>
      </w:r>
    </w:p>
    <w:p w14:paraId="36EBC186" w14:textId="77777777" w:rsidR="003C5783" w:rsidRPr="007A6EC7" w:rsidRDefault="003C5783" w:rsidP="003C5783">
      <w:pPr>
        <w:spacing w:line="240" w:lineRule="auto"/>
        <w:contextualSpacing/>
        <w:rPr>
          <w:color w:val="000000" w:themeColor="text1"/>
          <w:sz w:val="28"/>
          <w:szCs w:val="28"/>
        </w:rPr>
      </w:pPr>
      <w:r w:rsidRPr="007A6EC7">
        <w:rPr>
          <w:color w:val="000000" w:themeColor="text1"/>
          <w:sz w:val="28"/>
          <w:szCs w:val="28"/>
        </w:rPr>
        <w:t>Phoenix, AZ 85004</w:t>
      </w:r>
    </w:p>
    <w:p w14:paraId="5340AB05" w14:textId="11B9B6C8" w:rsidR="003C5783" w:rsidRPr="007A6EC7" w:rsidRDefault="003C5783" w:rsidP="003C5783">
      <w:pPr>
        <w:spacing w:line="240" w:lineRule="auto"/>
        <w:contextualSpacing/>
        <w:rPr>
          <w:color w:val="000000" w:themeColor="text1"/>
          <w:sz w:val="28"/>
          <w:szCs w:val="28"/>
        </w:rPr>
      </w:pPr>
      <w:r w:rsidRPr="007A6EC7">
        <w:rPr>
          <w:color w:val="000000" w:themeColor="text1"/>
          <w:sz w:val="28"/>
          <w:szCs w:val="28"/>
        </w:rPr>
        <w:t xml:space="preserve"> (602) 358-0290</w:t>
      </w:r>
    </w:p>
    <w:p w14:paraId="6D584E75" w14:textId="4D67C8D3" w:rsidR="00E97172" w:rsidRPr="007A6EC7" w:rsidRDefault="003C5783" w:rsidP="003C5783">
      <w:pPr>
        <w:spacing w:line="240" w:lineRule="auto"/>
        <w:contextualSpacing/>
        <w:rPr>
          <w:color w:val="000000" w:themeColor="text1"/>
          <w:sz w:val="28"/>
          <w:szCs w:val="28"/>
        </w:rPr>
      </w:pPr>
      <w:hyperlink r:id="rId9" w:history="1">
        <w:r w:rsidRPr="007A6EC7">
          <w:rPr>
            <w:rStyle w:val="Hyperlink"/>
            <w:color w:val="000000" w:themeColor="text1"/>
            <w:sz w:val="28"/>
            <w:szCs w:val="28"/>
          </w:rPr>
          <w:t>kathy@mscclaw.com</w:t>
        </w:r>
      </w:hyperlink>
      <w:r w:rsidRPr="007A6EC7">
        <w:rPr>
          <w:color w:val="000000" w:themeColor="text1"/>
          <w:sz w:val="28"/>
          <w:szCs w:val="28"/>
        </w:rPr>
        <w:t xml:space="preserve"> </w:t>
      </w:r>
      <w:r w:rsidR="00E97172" w:rsidRPr="007A6EC7">
        <w:rPr>
          <w:color w:val="000000" w:themeColor="text1"/>
          <w:sz w:val="28"/>
          <w:szCs w:val="28"/>
        </w:rPr>
        <w:br w:type="page"/>
      </w:r>
    </w:p>
    <w:p w14:paraId="6FDF3A1A" w14:textId="1974A0B1" w:rsidR="000751CD" w:rsidRPr="007A6EC7" w:rsidRDefault="000751CD" w:rsidP="00321F9E">
      <w:pPr>
        <w:spacing w:line="480" w:lineRule="auto"/>
        <w:ind w:firstLine="720"/>
        <w:rPr>
          <w:color w:val="000000" w:themeColor="text1"/>
          <w:sz w:val="28"/>
          <w:szCs w:val="28"/>
        </w:rPr>
      </w:pPr>
      <w:r w:rsidRPr="007A6EC7">
        <w:rPr>
          <w:color w:val="000000" w:themeColor="text1"/>
          <w:sz w:val="28"/>
          <w:szCs w:val="28"/>
        </w:rPr>
        <w:lastRenderedPageBreak/>
        <w:t xml:space="preserve">Pursuant to Rule 28(D), Rules of the Arizona Supreme Court, </w:t>
      </w:r>
      <w:r w:rsidR="00287789" w:rsidRPr="007A6EC7">
        <w:rPr>
          <w:color w:val="000000" w:themeColor="text1"/>
          <w:sz w:val="28"/>
          <w:szCs w:val="28"/>
        </w:rPr>
        <w:t xml:space="preserve">Arizona Attorneys for Criminal Justice (AACJ) and </w:t>
      </w:r>
      <w:r w:rsidRPr="007A6EC7">
        <w:rPr>
          <w:color w:val="000000" w:themeColor="text1"/>
          <w:sz w:val="28"/>
          <w:szCs w:val="28"/>
        </w:rPr>
        <w:t>the American Civil Liberties Union Foundation of Arizona (ACLU of Arizona)</w:t>
      </w:r>
      <w:r w:rsidR="00E87445" w:rsidRPr="007A6EC7">
        <w:rPr>
          <w:color w:val="000000" w:themeColor="text1"/>
          <w:sz w:val="28"/>
          <w:szCs w:val="28"/>
        </w:rPr>
        <w:t xml:space="preserve"> </w:t>
      </w:r>
      <w:r w:rsidRPr="007A6EC7">
        <w:rPr>
          <w:color w:val="000000" w:themeColor="text1"/>
          <w:sz w:val="28"/>
          <w:szCs w:val="28"/>
        </w:rPr>
        <w:t xml:space="preserve">submit this Comment in </w:t>
      </w:r>
      <w:r w:rsidR="00287789" w:rsidRPr="007A6EC7">
        <w:rPr>
          <w:color w:val="000000" w:themeColor="text1"/>
          <w:sz w:val="28"/>
          <w:szCs w:val="28"/>
        </w:rPr>
        <w:t>response</w:t>
      </w:r>
      <w:r w:rsidRPr="007A6EC7">
        <w:rPr>
          <w:color w:val="000000" w:themeColor="text1"/>
          <w:sz w:val="28"/>
          <w:szCs w:val="28"/>
        </w:rPr>
        <w:t xml:space="preserve"> </w:t>
      </w:r>
      <w:r w:rsidR="00287789" w:rsidRPr="007A6EC7">
        <w:rPr>
          <w:color w:val="000000" w:themeColor="text1"/>
          <w:sz w:val="28"/>
          <w:szCs w:val="28"/>
        </w:rPr>
        <w:t>to</w:t>
      </w:r>
      <w:r w:rsidRPr="007A6EC7">
        <w:rPr>
          <w:color w:val="000000" w:themeColor="text1"/>
          <w:sz w:val="28"/>
          <w:szCs w:val="28"/>
        </w:rPr>
        <w:t xml:space="preserve"> the </w:t>
      </w:r>
      <w:r w:rsidR="00390058" w:rsidRPr="007A6EC7">
        <w:rPr>
          <w:color w:val="000000" w:themeColor="text1"/>
          <w:sz w:val="28"/>
          <w:szCs w:val="28"/>
        </w:rPr>
        <w:t xml:space="preserve">State Bar of Arizona’s </w:t>
      </w:r>
      <w:r w:rsidRPr="007A6EC7">
        <w:rPr>
          <w:color w:val="000000" w:themeColor="text1"/>
          <w:sz w:val="28"/>
          <w:szCs w:val="28"/>
        </w:rPr>
        <w:t>Petition to Amend Rule</w:t>
      </w:r>
      <w:r w:rsidR="00390058" w:rsidRPr="007A6EC7">
        <w:rPr>
          <w:color w:val="000000" w:themeColor="text1"/>
          <w:sz w:val="28"/>
          <w:szCs w:val="28"/>
        </w:rPr>
        <w:t xml:space="preserve"> 39(b)(12)</w:t>
      </w:r>
      <w:r w:rsidRPr="007A6EC7">
        <w:rPr>
          <w:color w:val="000000" w:themeColor="text1"/>
          <w:sz w:val="28"/>
          <w:szCs w:val="28"/>
        </w:rPr>
        <w:t xml:space="preserve"> of the Arizona Rules of Criminal Procedure</w:t>
      </w:r>
      <w:r w:rsidR="00CE2275" w:rsidRPr="007A6EC7">
        <w:rPr>
          <w:color w:val="000000" w:themeColor="text1"/>
          <w:sz w:val="28"/>
          <w:szCs w:val="28"/>
        </w:rPr>
        <w:t>.</w:t>
      </w:r>
    </w:p>
    <w:p w14:paraId="75F67521" w14:textId="1FD78BB9" w:rsidR="00AA00FC" w:rsidRPr="007A6EC7" w:rsidRDefault="001827F4" w:rsidP="00A00E0F">
      <w:pPr>
        <w:pStyle w:val="ListParagraph"/>
        <w:numPr>
          <w:ilvl w:val="0"/>
          <w:numId w:val="2"/>
        </w:numPr>
        <w:spacing w:after="0" w:line="480" w:lineRule="auto"/>
        <w:contextualSpacing w:val="0"/>
        <w:rPr>
          <w:b/>
          <w:bCs/>
          <w:color w:val="000000" w:themeColor="text1"/>
          <w:sz w:val="28"/>
          <w:szCs w:val="28"/>
          <w:u w:val="single"/>
        </w:rPr>
      </w:pPr>
      <w:r w:rsidRPr="007A6EC7">
        <w:rPr>
          <w:b/>
          <w:bCs/>
          <w:color w:val="000000" w:themeColor="text1"/>
          <w:sz w:val="28"/>
          <w:szCs w:val="28"/>
          <w:u w:val="single"/>
        </w:rPr>
        <w:t>Introduction</w:t>
      </w:r>
    </w:p>
    <w:p w14:paraId="39D03D45" w14:textId="2B1FDEE1" w:rsidR="00AA00FC" w:rsidRPr="007A6EC7" w:rsidRDefault="00177CF7" w:rsidP="00177CF7">
      <w:pPr>
        <w:spacing w:line="480" w:lineRule="auto"/>
        <w:ind w:firstLine="720"/>
        <w:contextualSpacing/>
        <w:rPr>
          <w:color w:val="000000" w:themeColor="text1"/>
          <w:sz w:val="28"/>
          <w:szCs w:val="28"/>
        </w:rPr>
      </w:pPr>
      <w:r w:rsidRPr="007A6EC7">
        <w:rPr>
          <w:color w:val="000000" w:themeColor="text1"/>
          <w:sz w:val="28"/>
          <w:szCs w:val="28"/>
        </w:rPr>
        <w:t>Arizona is unique</w:t>
      </w:r>
      <w:r w:rsidR="00A20474" w:rsidRPr="007A6EC7">
        <w:rPr>
          <w:color w:val="000000" w:themeColor="text1"/>
          <w:sz w:val="28"/>
          <w:szCs w:val="28"/>
        </w:rPr>
        <w:t xml:space="preserve"> among U.S. jurisdictions</w:t>
      </w:r>
      <w:r w:rsidRPr="007A6EC7">
        <w:rPr>
          <w:color w:val="000000" w:themeColor="text1"/>
          <w:sz w:val="28"/>
          <w:szCs w:val="28"/>
        </w:rPr>
        <w:t xml:space="preserve"> in prohibiting </w:t>
      </w:r>
      <w:r w:rsidR="00A20474" w:rsidRPr="007A6EC7">
        <w:rPr>
          <w:color w:val="000000" w:themeColor="text1"/>
          <w:sz w:val="28"/>
          <w:szCs w:val="28"/>
        </w:rPr>
        <w:t xml:space="preserve">lawyers and other </w:t>
      </w:r>
      <w:r w:rsidRPr="007A6EC7">
        <w:rPr>
          <w:color w:val="000000" w:themeColor="text1"/>
          <w:sz w:val="28"/>
          <w:szCs w:val="28"/>
        </w:rPr>
        <w:t>members of the criminal defense team</w:t>
      </w:r>
      <w:r w:rsidR="00CF6004" w:rsidRPr="007A6EC7">
        <w:rPr>
          <w:color w:val="000000" w:themeColor="text1"/>
          <w:sz w:val="28"/>
          <w:szCs w:val="28"/>
        </w:rPr>
        <w:t>—</w:t>
      </w:r>
      <w:r w:rsidRPr="007A6EC7">
        <w:rPr>
          <w:color w:val="000000" w:themeColor="text1"/>
          <w:sz w:val="28"/>
          <w:szCs w:val="28"/>
        </w:rPr>
        <w:t>and only members of the criminal defense team</w:t>
      </w:r>
      <w:r w:rsidR="00CF6004" w:rsidRPr="007A6EC7">
        <w:rPr>
          <w:color w:val="000000" w:themeColor="text1"/>
          <w:sz w:val="28"/>
          <w:szCs w:val="28"/>
        </w:rPr>
        <w:t>—</w:t>
      </w:r>
      <w:r w:rsidRPr="007A6EC7">
        <w:rPr>
          <w:color w:val="000000" w:themeColor="text1"/>
          <w:sz w:val="28"/>
          <w:szCs w:val="28"/>
        </w:rPr>
        <w:t xml:space="preserve">from initiating contact with statutory crime victims. In </w:t>
      </w:r>
      <w:r w:rsidR="00A20474" w:rsidRPr="007A6EC7">
        <w:rPr>
          <w:color w:val="000000" w:themeColor="text1"/>
          <w:sz w:val="28"/>
          <w:szCs w:val="28"/>
        </w:rPr>
        <w:t xml:space="preserve">the three decades that the restriction has been in place in the form of Rule 39(b)(12) and </w:t>
      </w:r>
      <w:r w:rsidRPr="007A6EC7">
        <w:rPr>
          <w:color w:val="000000" w:themeColor="text1"/>
          <w:sz w:val="28"/>
          <w:szCs w:val="28"/>
        </w:rPr>
        <w:t xml:space="preserve">A.R.S. </w:t>
      </w:r>
      <w:r w:rsidR="001D3B8D" w:rsidRPr="007A6EC7">
        <w:rPr>
          <w:color w:val="000000" w:themeColor="text1"/>
          <w:sz w:val="28"/>
          <w:szCs w:val="28"/>
        </w:rPr>
        <w:t xml:space="preserve">§ </w:t>
      </w:r>
      <w:r w:rsidRPr="007A6EC7">
        <w:rPr>
          <w:color w:val="000000" w:themeColor="text1"/>
          <w:sz w:val="28"/>
          <w:szCs w:val="28"/>
        </w:rPr>
        <w:t>13-4433</w:t>
      </w:r>
      <w:r w:rsidR="00A20474" w:rsidRPr="007A6EC7">
        <w:rPr>
          <w:color w:val="000000" w:themeColor="text1"/>
          <w:sz w:val="28"/>
          <w:szCs w:val="28"/>
        </w:rPr>
        <w:t>(B), practice has shown that the statute and rule</w:t>
      </w:r>
      <w:r w:rsidRPr="007A6EC7">
        <w:rPr>
          <w:color w:val="000000" w:themeColor="text1"/>
          <w:sz w:val="28"/>
          <w:szCs w:val="28"/>
        </w:rPr>
        <w:t xml:space="preserve"> work together to prevent virtually all communication</w:t>
      </w:r>
      <w:r w:rsidR="00A20474" w:rsidRPr="007A6EC7">
        <w:rPr>
          <w:color w:val="000000" w:themeColor="text1"/>
          <w:sz w:val="28"/>
          <w:szCs w:val="28"/>
        </w:rPr>
        <w:t>s</w:t>
      </w:r>
      <w:r w:rsidRPr="007A6EC7">
        <w:rPr>
          <w:color w:val="000000" w:themeColor="text1"/>
          <w:sz w:val="28"/>
          <w:szCs w:val="28"/>
        </w:rPr>
        <w:t xml:space="preserve"> between the criminal defense team and crime victims. </w:t>
      </w:r>
      <w:r w:rsidR="00B816CE" w:rsidRPr="007A6EC7">
        <w:rPr>
          <w:i/>
          <w:iCs/>
          <w:color w:val="000000" w:themeColor="text1"/>
          <w:sz w:val="28"/>
          <w:szCs w:val="28"/>
        </w:rPr>
        <w:t>A</w:t>
      </w:r>
      <w:r w:rsidR="00680FD7">
        <w:rPr>
          <w:i/>
          <w:iCs/>
          <w:color w:val="000000" w:themeColor="text1"/>
          <w:sz w:val="28"/>
          <w:szCs w:val="28"/>
        </w:rPr>
        <w:t xml:space="preserve">riz. </w:t>
      </w:r>
      <w:proofErr w:type="spellStart"/>
      <w:r w:rsidR="00680FD7">
        <w:rPr>
          <w:i/>
          <w:iCs/>
          <w:color w:val="000000" w:themeColor="text1"/>
          <w:sz w:val="28"/>
          <w:szCs w:val="28"/>
        </w:rPr>
        <w:t>A</w:t>
      </w:r>
      <w:r w:rsidR="00B816CE" w:rsidRPr="007A6EC7">
        <w:rPr>
          <w:i/>
          <w:iCs/>
          <w:color w:val="000000" w:themeColor="text1"/>
          <w:sz w:val="28"/>
          <w:szCs w:val="28"/>
        </w:rPr>
        <w:t>tt’ys</w:t>
      </w:r>
      <w:proofErr w:type="spellEnd"/>
      <w:r w:rsidR="00B816CE" w:rsidRPr="007A6EC7">
        <w:rPr>
          <w:i/>
          <w:iCs/>
          <w:color w:val="000000" w:themeColor="text1"/>
          <w:sz w:val="28"/>
          <w:szCs w:val="28"/>
        </w:rPr>
        <w:t xml:space="preserve"> for Crim. Just. v. Ducey</w:t>
      </w:r>
      <w:r w:rsidR="00B816CE" w:rsidRPr="007A6EC7">
        <w:rPr>
          <w:color w:val="000000" w:themeColor="text1"/>
          <w:sz w:val="28"/>
          <w:szCs w:val="28"/>
        </w:rPr>
        <w:t>, 638 F. Supp. 3d 1048, 1063 (D. Ariz. 2022)</w:t>
      </w:r>
      <w:r w:rsidR="00680FD7" w:rsidRPr="00680FD7">
        <w:rPr>
          <w:color w:val="000000" w:themeColor="text1"/>
          <w:sz w:val="28"/>
          <w:szCs w:val="28"/>
        </w:rPr>
        <w:t xml:space="preserve"> </w:t>
      </w:r>
      <w:r w:rsidR="00680FD7" w:rsidRPr="007A6EC7">
        <w:rPr>
          <w:color w:val="000000" w:themeColor="text1"/>
          <w:sz w:val="28"/>
          <w:szCs w:val="28"/>
        </w:rPr>
        <w:t>(“</w:t>
      </w:r>
      <w:r w:rsidR="00680FD7" w:rsidRPr="007A6EC7">
        <w:rPr>
          <w:i/>
          <w:iCs/>
          <w:color w:val="000000" w:themeColor="text1"/>
          <w:sz w:val="28"/>
          <w:szCs w:val="28"/>
        </w:rPr>
        <w:t>AACJ</w:t>
      </w:r>
      <w:r w:rsidR="00680FD7">
        <w:rPr>
          <w:i/>
          <w:iCs/>
          <w:color w:val="000000" w:themeColor="text1"/>
          <w:sz w:val="28"/>
          <w:szCs w:val="28"/>
        </w:rPr>
        <w:t xml:space="preserve"> II</w:t>
      </w:r>
      <w:r w:rsidR="00680FD7" w:rsidRPr="007A6EC7">
        <w:rPr>
          <w:color w:val="000000" w:themeColor="text1"/>
          <w:sz w:val="28"/>
          <w:szCs w:val="28"/>
        </w:rPr>
        <w:t>”)</w:t>
      </w:r>
      <w:r w:rsidR="00B816CE" w:rsidRPr="007A6EC7">
        <w:rPr>
          <w:color w:val="000000" w:themeColor="text1"/>
          <w:sz w:val="28"/>
          <w:szCs w:val="28"/>
        </w:rPr>
        <w:t>.</w:t>
      </w:r>
      <w:r w:rsidR="00680FD7">
        <w:rPr>
          <w:rStyle w:val="FootnoteReference"/>
          <w:color w:val="000000" w:themeColor="text1"/>
          <w:sz w:val="28"/>
          <w:szCs w:val="28"/>
        </w:rPr>
        <w:footnoteReference w:id="1"/>
      </w:r>
      <w:r w:rsidR="00B816CE" w:rsidRPr="007A6EC7">
        <w:rPr>
          <w:color w:val="000000" w:themeColor="text1"/>
          <w:sz w:val="28"/>
          <w:szCs w:val="28"/>
        </w:rPr>
        <w:t xml:space="preserve"> </w:t>
      </w:r>
      <w:r w:rsidR="00A20474" w:rsidRPr="007A6EC7">
        <w:rPr>
          <w:color w:val="000000" w:themeColor="text1"/>
          <w:sz w:val="28"/>
          <w:szCs w:val="28"/>
        </w:rPr>
        <w:t>In contrast, p</w:t>
      </w:r>
      <w:r w:rsidR="000A2CAF" w:rsidRPr="007A6EC7">
        <w:rPr>
          <w:color w:val="000000" w:themeColor="text1"/>
          <w:sz w:val="28"/>
          <w:szCs w:val="28"/>
        </w:rPr>
        <w:t>rosecutors</w:t>
      </w:r>
      <w:r w:rsidR="00A20474" w:rsidRPr="007A6EC7">
        <w:rPr>
          <w:color w:val="000000" w:themeColor="text1"/>
          <w:sz w:val="28"/>
          <w:szCs w:val="28"/>
        </w:rPr>
        <w:t xml:space="preserve"> </w:t>
      </w:r>
      <w:r w:rsidR="00CF6004" w:rsidRPr="007A6EC7">
        <w:rPr>
          <w:color w:val="000000" w:themeColor="text1"/>
          <w:sz w:val="28"/>
          <w:szCs w:val="28"/>
        </w:rPr>
        <w:t>are allowed</w:t>
      </w:r>
      <w:r w:rsidRPr="007A6EC7">
        <w:rPr>
          <w:color w:val="000000" w:themeColor="text1"/>
          <w:sz w:val="28"/>
          <w:szCs w:val="28"/>
        </w:rPr>
        <w:t xml:space="preserve"> unfettered communication with crime victims</w:t>
      </w:r>
      <w:r w:rsidR="000A2CAF" w:rsidRPr="007A6EC7">
        <w:rPr>
          <w:color w:val="000000" w:themeColor="text1"/>
          <w:sz w:val="28"/>
          <w:szCs w:val="28"/>
        </w:rPr>
        <w:t xml:space="preserve">, despite evidence that </w:t>
      </w:r>
      <w:r w:rsidR="00A20474" w:rsidRPr="007A6EC7">
        <w:rPr>
          <w:color w:val="000000" w:themeColor="text1"/>
          <w:sz w:val="28"/>
          <w:szCs w:val="28"/>
        </w:rPr>
        <w:t xml:space="preserve">a victim’s contact with participants in the criminal legal system </w:t>
      </w:r>
      <w:r w:rsidR="000A2CAF" w:rsidRPr="007A6EC7">
        <w:rPr>
          <w:color w:val="000000" w:themeColor="text1"/>
          <w:sz w:val="28"/>
          <w:szCs w:val="28"/>
        </w:rPr>
        <w:t xml:space="preserve">can </w:t>
      </w:r>
      <w:r w:rsidRPr="007A6EC7">
        <w:rPr>
          <w:color w:val="000000" w:themeColor="text1"/>
          <w:sz w:val="28"/>
          <w:szCs w:val="28"/>
        </w:rPr>
        <w:t xml:space="preserve">be traumatizing </w:t>
      </w:r>
      <w:r w:rsidR="00A20474" w:rsidRPr="007A6EC7">
        <w:rPr>
          <w:color w:val="000000" w:themeColor="text1"/>
          <w:sz w:val="28"/>
          <w:szCs w:val="28"/>
        </w:rPr>
        <w:t>regardless of who contacts them</w:t>
      </w:r>
      <w:r w:rsidR="000A2CAF" w:rsidRPr="007A6EC7">
        <w:rPr>
          <w:color w:val="000000" w:themeColor="text1"/>
          <w:sz w:val="28"/>
          <w:szCs w:val="28"/>
        </w:rPr>
        <w:t xml:space="preserve">. </w:t>
      </w:r>
      <w:r w:rsidR="00B816CE" w:rsidRPr="007A6EC7">
        <w:rPr>
          <w:i/>
          <w:iCs/>
          <w:color w:val="000000" w:themeColor="text1"/>
          <w:sz w:val="28"/>
          <w:szCs w:val="28"/>
        </w:rPr>
        <w:t xml:space="preserve">Id. </w:t>
      </w:r>
      <w:r w:rsidR="00B816CE" w:rsidRPr="007A6EC7">
        <w:rPr>
          <w:color w:val="000000" w:themeColor="text1"/>
          <w:sz w:val="28"/>
          <w:szCs w:val="28"/>
        </w:rPr>
        <w:t xml:space="preserve">at </w:t>
      </w:r>
      <w:r w:rsidR="00B816CE" w:rsidRPr="007A6EC7">
        <w:rPr>
          <w:color w:val="000000" w:themeColor="text1"/>
          <w:sz w:val="28"/>
          <w:szCs w:val="28"/>
        </w:rPr>
        <w:lastRenderedPageBreak/>
        <w:t xml:space="preserve">1068-69. </w:t>
      </w:r>
      <w:r w:rsidR="00E93EA3" w:rsidRPr="007A6EC7">
        <w:rPr>
          <w:color w:val="000000" w:themeColor="text1"/>
          <w:sz w:val="28"/>
          <w:szCs w:val="28"/>
        </w:rPr>
        <w:t>This</w:t>
      </w:r>
      <w:r w:rsidR="000A2CAF" w:rsidRPr="007A6EC7">
        <w:rPr>
          <w:color w:val="000000" w:themeColor="text1"/>
          <w:sz w:val="28"/>
          <w:szCs w:val="28"/>
        </w:rPr>
        <w:t xml:space="preserve"> unequal </w:t>
      </w:r>
      <w:r w:rsidR="00E93EA3" w:rsidRPr="007A6EC7">
        <w:rPr>
          <w:color w:val="000000" w:themeColor="text1"/>
          <w:sz w:val="28"/>
          <w:szCs w:val="28"/>
        </w:rPr>
        <w:t xml:space="preserve">speech </w:t>
      </w:r>
      <w:r w:rsidR="000A2CAF" w:rsidRPr="007A6EC7">
        <w:rPr>
          <w:color w:val="000000" w:themeColor="text1"/>
          <w:sz w:val="28"/>
          <w:szCs w:val="28"/>
        </w:rPr>
        <w:t xml:space="preserve">prohibition by statute and </w:t>
      </w:r>
      <w:r w:rsidR="00E93EA3" w:rsidRPr="007A6EC7">
        <w:rPr>
          <w:color w:val="000000" w:themeColor="text1"/>
          <w:sz w:val="28"/>
          <w:szCs w:val="28"/>
        </w:rPr>
        <w:t>r</w:t>
      </w:r>
      <w:r w:rsidR="000A2CAF" w:rsidRPr="007A6EC7">
        <w:rPr>
          <w:color w:val="000000" w:themeColor="text1"/>
          <w:sz w:val="28"/>
          <w:szCs w:val="28"/>
        </w:rPr>
        <w:t>ule unfairly skews the adversarial system</w:t>
      </w:r>
      <w:r w:rsidR="00E93EA3" w:rsidRPr="007A6EC7">
        <w:rPr>
          <w:color w:val="000000" w:themeColor="text1"/>
          <w:sz w:val="28"/>
          <w:szCs w:val="28"/>
        </w:rPr>
        <w:t xml:space="preserve"> in criminal cases in Arizona</w:t>
      </w:r>
      <w:r w:rsidR="00FF585F" w:rsidRPr="007A6EC7">
        <w:rPr>
          <w:color w:val="000000" w:themeColor="text1"/>
          <w:sz w:val="28"/>
          <w:szCs w:val="28"/>
        </w:rPr>
        <w:t xml:space="preserve"> by “inhibiting the defense team</w:t>
      </w:r>
      <w:r w:rsidR="00E93EA3" w:rsidRPr="007A6EC7">
        <w:rPr>
          <w:color w:val="000000" w:themeColor="text1"/>
          <w:sz w:val="28"/>
          <w:szCs w:val="28"/>
        </w:rPr>
        <w:t>’</w:t>
      </w:r>
      <w:r w:rsidR="00FF585F" w:rsidRPr="007A6EC7">
        <w:rPr>
          <w:color w:val="000000" w:themeColor="text1"/>
          <w:sz w:val="28"/>
          <w:szCs w:val="28"/>
        </w:rPr>
        <w:t xml:space="preserve">s ability to investigate the relevant facts,” thereby </w:t>
      </w:r>
      <w:r w:rsidR="000A2CAF" w:rsidRPr="007A6EC7">
        <w:rPr>
          <w:color w:val="000000" w:themeColor="text1"/>
          <w:sz w:val="28"/>
          <w:szCs w:val="28"/>
        </w:rPr>
        <w:t>undermining the truth-seeking function of the criminal legal system, while preventing crime victims from receiving</w:t>
      </w:r>
      <w:r w:rsidR="00CF6004" w:rsidRPr="007A6EC7">
        <w:rPr>
          <w:color w:val="000000" w:themeColor="text1"/>
          <w:sz w:val="28"/>
          <w:szCs w:val="28"/>
        </w:rPr>
        <w:t xml:space="preserve"> helpful</w:t>
      </w:r>
      <w:r w:rsidR="000A2CAF" w:rsidRPr="007A6EC7">
        <w:rPr>
          <w:color w:val="000000" w:themeColor="text1"/>
          <w:sz w:val="28"/>
          <w:szCs w:val="28"/>
        </w:rPr>
        <w:t xml:space="preserve"> information from the defense.</w:t>
      </w:r>
      <w:r w:rsidR="00B816CE" w:rsidRPr="007A6EC7">
        <w:rPr>
          <w:color w:val="000000" w:themeColor="text1"/>
          <w:sz w:val="28"/>
          <w:szCs w:val="28"/>
        </w:rPr>
        <w:t xml:space="preserve"> </w:t>
      </w:r>
      <w:r w:rsidR="00B816CE" w:rsidRPr="007A6EC7">
        <w:rPr>
          <w:i/>
          <w:iCs/>
          <w:color w:val="000000" w:themeColor="text1"/>
          <w:sz w:val="28"/>
          <w:szCs w:val="28"/>
        </w:rPr>
        <w:t xml:space="preserve">Id. </w:t>
      </w:r>
      <w:r w:rsidR="00B816CE" w:rsidRPr="007A6EC7">
        <w:rPr>
          <w:color w:val="000000" w:themeColor="text1"/>
          <w:sz w:val="28"/>
          <w:szCs w:val="28"/>
        </w:rPr>
        <w:t xml:space="preserve">at </w:t>
      </w:r>
      <w:r w:rsidR="00440B92" w:rsidRPr="007A6EC7">
        <w:rPr>
          <w:color w:val="000000" w:themeColor="text1"/>
          <w:sz w:val="28"/>
          <w:szCs w:val="28"/>
        </w:rPr>
        <w:t xml:space="preserve">1062; </w:t>
      </w:r>
      <w:r w:rsidR="00B816CE" w:rsidRPr="007A6EC7">
        <w:rPr>
          <w:color w:val="000000" w:themeColor="text1"/>
          <w:sz w:val="28"/>
          <w:szCs w:val="28"/>
        </w:rPr>
        <w:t>1067.</w:t>
      </w:r>
    </w:p>
    <w:p w14:paraId="2AFA82A2" w14:textId="77777777" w:rsidR="0072398A" w:rsidRDefault="001D3B8D" w:rsidP="0072398A">
      <w:pPr>
        <w:spacing w:line="480" w:lineRule="auto"/>
        <w:ind w:firstLine="720"/>
        <w:contextualSpacing/>
        <w:rPr>
          <w:color w:val="000000" w:themeColor="text1"/>
          <w:sz w:val="28"/>
          <w:szCs w:val="28"/>
        </w:rPr>
      </w:pPr>
      <w:r w:rsidRPr="0072398A">
        <w:rPr>
          <w:color w:val="000000" w:themeColor="text1"/>
          <w:sz w:val="28"/>
          <w:szCs w:val="28"/>
        </w:rPr>
        <w:t xml:space="preserve">By prohibiting defense team speech, both A.R.S. § 13-4433(B) and Rule 39(b)(12) violate the First Amendment </w:t>
      </w:r>
      <w:r w:rsidR="001A0B87" w:rsidRPr="0072398A">
        <w:rPr>
          <w:color w:val="000000" w:themeColor="text1"/>
          <w:sz w:val="28"/>
          <w:szCs w:val="28"/>
        </w:rPr>
        <w:t>to</w:t>
      </w:r>
      <w:r w:rsidRPr="0072398A">
        <w:rPr>
          <w:color w:val="000000" w:themeColor="text1"/>
          <w:sz w:val="28"/>
          <w:szCs w:val="28"/>
        </w:rPr>
        <w:t xml:space="preserve"> the U.S. Constitution and Article II, section 6 of the Arizona Constitution. </w:t>
      </w:r>
      <w:r w:rsidR="006B2E7D" w:rsidRPr="0072398A">
        <w:rPr>
          <w:color w:val="000000" w:themeColor="text1"/>
          <w:sz w:val="28"/>
          <w:szCs w:val="28"/>
        </w:rPr>
        <w:t>While the statute prohibits all speech initiated by the defense team; the Rule is limited, requiring that “the defense must communicate requests to interview a victim to the prosecutor, not the victim” and, similarly, that “a victim's response to such requests must be communicated through the prosecutor.”</w:t>
      </w:r>
      <w:r w:rsidR="0072398A">
        <w:rPr>
          <w:color w:val="000000" w:themeColor="text1"/>
          <w:sz w:val="28"/>
          <w:szCs w:val="28"/>
        </w:rPr>
        <w:t xml:space="preserve"> But even the rule’s more limited restriction on speech is unconstitutional.</w:t>
      </w:r>
    </w:p>
    <w:p w14:paraId="6A92EF2A" w14:textId="799C5C55" w:rsidR="001D3B8D" w:rsidRPr="007A6EC7" w:rsidRDefault="0072398A" w:rsidP="0072398A">
      <w:pPr>
        <w:spacing w:line="480" w:lineRule="auto"/>
        <w:ind w:firstLine="720"/>
        <w:contextualSpacing/>
        <w:rPr>
          <w:color w:val="000000" w:themeColor="text1"/>
          <w:sz w:val="28"/>
          <w:szCs w:val="28"/>
        </w:rPr>
      </w:pPr>
      <w:r>
        <w:rPr>
          <w:color w:val="000000" w:themeColor="text1"/>
          <w:sz w:val="28"/>
          <w:szCs w:val="28"/>
        </w:rPr>
        <w:t xml:space="preserve">On its face, the rule is limited to “interviews,” which are part of the formal discovery process under the Arizona Rules of Criminal Procedure. </w:t>
      </w:r>
      <w:r w:rsidRPr="0072398A">
        <w:rPr>
          <w:i/>
          <w:iCs/>
          <w:color w:val="000000" w:themeColor="text1"/>
          <w:sz w:val="28"/>
          <w:szCs w:val="28"/>
        </w:rPr>
        <w:t>J.D. v. Hegyi</w:t>
      </w:r>
      <w:r w:rsidRPr="0072398A">
        <w:rPr>
          <w:color w:val="000000" w:themeColor="text1"/>
          <w:sz w:val="28"/>
          <w:szCs w:val="28"/>
        </w:rPr>
        <w:t xml:space="preserve">, </w:t>
      </w:r>
      <w:r w:rsidR="000A7F62">
        <w:rPr>
          <w:color w:val="000000" w:themeColor="text1"/>
          <w:sz w:val="28"/>
          <w:szCs w:val="28"/>
        </w:rPr>
        <w:t>236 Ariz. 39</w:t>
      </w:r>
      <w:r w:rsidRPr="0072398A">
        <w:rPr>
          <w:color w:val="000000" w:themeColor="text1"/>
          <w:sz w:val="28"/>
          <w:szCs w:val="28"/>
        </w:rPr>
        <w:t xml:space="preserve">, </w:t>
      </w:r>
      <w:r w:rsidR="000A7F62">
        <w:rPr>
          <w:color w:val="000000" w:themeColor="text1"/>
          <w:sz w:val="28"/>
          <w:szCs w:val="28"/>
        </w:rPr>
        <w:t>40</w:t>
      </w:r>
      <w:r w:rsidRPr="0072398A">
        <w:rPr>
          <w:color w:val="000000" w:themeColor="text1"/>
          <w:sz w:val="28"/>
          <w:szCs w:val="28"/>
        </w:rPr>
        <w:t xml:space="preserve"> ¶ 1 (2014). In </w:t>
      </w:r>
      <w:r w:rsidRPr="0072398A">
        <w:rPr>
          <w:i/>
          <w:iCs/>
          <w:color w:val="000000" w:themeColor="text1"/>
          <w:sz w:val="28"/>
          <w:szCs w:val="28"/>
        </w:rPr>
        <w:t>J.D.</w:t>
      </w:r>
      <w:r w:rsidRPr="0072398A">
        <w:rPr>
          <w:color w:val="000000" w:themeColor="text1"/>
          <w:sz w:val="28"/>
          <w:szCs w:val="28"/>
        </w:rPr>
        <w:t>, the court explained that, in Arizona, “[p]</w:t>
      </w:r>
      <w:proofErr w:type="spellStart"/>
      <w:r w:rsidRPr="0072398A">
        <w:rPr>
          <w:color w:val="000000" w:themeColor="text1"/>
          <w:sz w:val="28"/>
          <w:szCs w:val="28"/>
        </w:rPr>
        <w:t>arties</w:t>
      </w:r>
      <w:proofErr w:type="spellEnd"/>
      <w:r w:rsidRPr="0072398A">
        <w:rPr>
          <w:color w:val="000000" w:themeColor="text1"/>
          <w:sz w:val="28"/>
          <w:szCs w:val="28"/>
        </w:rPr>
        <w:t xml:space="preserve"> in criminal cases generally are allowed to </w:t>
      </w:r>
      <w:r w:rsidRPr="0072398A">
        <w:rPr>
          <w:b/>
          <w:bCs/>
          <w:color w:val="000000" w:themeColor="text1"/>
          <w:sz w:val="28"/>
          <w:szCs w:val="28"/>
        </w:rPr>
        <w:t>request interviews</w:t>
      </w:r>
      <w:r w:rsidRPr="0072398A">
        <w:rPr>
          <w:color w:val="000000" w:themeColor="text1"/>
          <w:sz w:val="28"/>
          <w:szCs w:val="28"/>
        </w:rPr>
        <w:t xml:space="preserve"> from witnesses other than the defendant.” </w:t>
      </w:r>
      <w:r w:rsidRPr="00735DBA">
        <w:rPr>
          <w:i/>
          <w:iCs/>
          <w:color w:val="000000" w:themeColor="text1"/>
          <w:sz w:val="28"/>
          <w:szCs w:val="28"/>
        </w:rPr>
        <w:t>Id.</w:t>
      </w:r>
      <w:r w:rsidRPr="0072398A">
        <w:rPr>
          <w:color w:val="000000" w:themeColor="text1"/>
          <w:sz w:val="28"/>
          <w:szCs w:val="28"/>
        </w:rPr>
        <w:t xml:space="preserve"> at </w:t>
      </w:r>
      <w:r w:rsidR="00735DBA">
        <w:rPr>
          <w:color w:val="000000" w:themeColor="text1"/>
          <w:sz w:val="28"/>
          <w:szCs w:val="28"/>
        </w:rPr>
        <w:t>41</w:t>
      </w:r>
      <w:r w:rsidRPr="0072398A">
        <w:rPr>
          <w:color w:val="000000" w:themeColor="text1"/>
          <w:sz w:val="28"/>
          <w:szCs w:val="28"/>
        </w:rPr>
        <w:t xml:space="preserve"> ¶ 11 (citing Ariz. R. Crim. P. 15.3(a)) (emphasis added). “In some circumstances [under Rule 15.3], including when a material witness </w:t>
      </w:r>
      <w:r w:rsidRPr="0072398A">
        <w:rPr>
          <w:b/>
          <w:bCs/>
          <w:color w:val="000000" w:themeColor="text1"/>
          <w:sz w:val="28"/>
          <w:szCs w:val="28"/>
        </w:rPr>
        <w:t>refuses to grant an interview</w:t>
      </w:r>
      <w:r w:rsidRPr="0072398A">
        <w:rPr>
          <w:color w:val="000000" w:themeColor="text1"/>
          <w:sz w:val="28"/>
          <w:szCs w:val="28"/>
        </w:rPr>
        <w:t xml:space="preserve">, the trial court may order a witness to submit </w:t>
      </w:r>
      <w:r w:rsidRPr="0072398A">
        <w:rPr>
          <w:color w:val="000000" w:themeColor="text1"/>
          <w:sz w:val="28"/>
          <w:szCs w:val="28"/>
        </w:rPr>
        <w:lastRenderedPageBreak/>
        <w:t xml:space="preserve">to questioning at a deposition.” </w:t>
      </w:r>
      <w:r w:rsidRPr="0072398A">
        <w:rPr>
          <w:i/>
          <w:iCs/>
          <w:color w:val="000000" w:themeColor="text1"/>
          <w:sz w:val="28"/>
          <w:szCs w:val="28"/>
        </w:rPr>
        <w:t>Id.</w:t>
      </w:r>
      <w:r w:rsidRPr="0072398A">
        <w:rPr>
          <w:color w:val="000000" w:themeColor="text1"/>
          <w:sz w:val="28"/>
          <w:szCs w:val="28"/>
        </w:rPr>
        <w:t xml:space="preserve"> (emphasis added). Consistent with understanding an “interview” under Rule 39(b)(12) to mean an interview that is part of the formal discovery process in Arizona criminal cases, the provision in the Arizona Victims’ Bill of Rights that provides the constitutional underpinnings for both the statute and the rule states that “a victim of crime has a right: . . . To refuse an interview, deposition, or </w:t>
      </w:r>
      <w:r w:rsidRPr="0072398A">
        <w:rPr>
          <w:b/>
          <w:bCs/>
          <w:color w:val="000000" w:themeColor="text1"/>
          <w:sz w:val="28"/>
          <w:szCs w:val="28"/>
        </w:rPr>
        <w:t>other discovery request</w:t>
      </w:r>
      <w:r w:rsidRPr="0072398A">
        <w:rPr>
          <w:color w:val="000000" w:themeColor="text1"/>
          <w:sz w:val="28"/>
          <w:szCs w:val="28"/>
        </w:rPr>
        <w:t xml:space="preserve"> by . . . the defendant’s attorney, or other person acting on behalf of the </w:t>
      </w:r>
      <w:proofErr w:type="gramStart"/>
      <w:r w:rsidRPr="0072398A">
        <w:rPr>
          <w:color w:val="000000" w:themeColor="text1"/>
          <w:sz w:val="28"/>
          <w:szCs w:val="28"/>
        </w:rPr>
        <w:t>defendant.”</w:t>
      </w:r>
      <w:proofErr w:type="gramEnd"/>
      <w:r w:rsidRPr="0072398A">
        <w:rPr>
          <w:color w:val="000000" w:themeColor="text1"/>
          <w:sz w:val="28"/>
          <w:szCs w:val="28"/>
        </w:rPr>
        <w:t xml:space="preserve"> Ariz. Const. art. II, § 2.1(A)(5) (emphasis added); </w:t>
      </w:r>
      <w:r w:rsidRPr="0072398A">
        <w:rPr>
          <w:i/>
          <w:iCs/>
          <w:color w:val="000000" w:themeColor="text1"/>
          <w:sz w:val="28"/>
          <w:szCs w:val="28"/>
        </w:rPr>
        <w:t>see also State v. Draper</w:t>
      </w:r>
      <w:r w:rsidRPr="0072398A">
        <w:rPr>
          <w:color w:val="000000" w:themeColor="text1"/>
          <w:sz w:val="28"/>
          <w:szCs w:val="28"/>
        </w:rPr>
        <w:t xml:space="preserve">, </w:t>
      </w:r>
      <w:r w:rsidR="00CF3F08">
        <w:rPr>
          <w:color w:val="000000" w:themeColor="text1"/>
          <w:sz w:val="28"/>
          <w:szCs w:val="28"/>
        </w:rPr>
        <w:t>162 Ariz. 433</w:t>
      </w:r>
      <w:r w:rsidRPr="0072398A">
        <w:rPr>
          <w:color w:val="000000" w:themeColor="text1"/>
          <w:sz w:val="28"/>
          <w:szCs w:val="28"/>
        </w:rPr>
        <w:t xml:space="preserve">, </w:t>
      </w:r>
      <w:r w:rsidR="00CF3F08">
        <w:rPr>
          <w:color w:val="000000" w:themeColor="text1"/>
          <w:sz w:val="28"/>
          <w:szCs w:val="28"/>
        </w:rPr>
        <w:t>437</w:t>
      </w:r>
      <w:r w:rsidRPr="0072398A">
        <w:rPr>
          <w:color w:val="000000" w:themeColor="text1"/>
          <w:sz w:val="28"/>
          <w:szCs w:val="28"/>
        </w:rPr>
        <w:t xml:space="preserve"> (1989) (in case predating Arizona Victims’ Bill of Rights stating: “If a victim refuses to cooperate with the defense’s request for an interview, the defendant may file a motion to depose the victim, pursuant to rule 15.3.”).</w:t>
      </w:r>
      <w:r>
        <w:rPr>
          <w:color w:val="000000" w:themeColor="text1"/>
          <w:sz w:val="28"/>
          <w:szCs w:val="28"/>
        </w:rPr>
        <w:t xml:space="preserve"> </w:t>
      </w:r>
      <w:r w:rsidR="006B2E7D" w:rsidRPr="0072398A">
        <w:rPr>
          <w:color w:val="000000" w:themeColor="text1"/>
          <w:sz w:val="28"/>
          <w:szCs w:val="28"/>
        </w:rPr>
        <w:t xml:space="preserve">The </w:t>
      </w:r>
      <w:r w:rsidR="00D819D6">
        <w:rPr>
          <w:color w:val="000000" w:themeColor="text1"/>
          <w:sz w:val="28"/>
          <w:szCs w:val="28"/>
        </w:rPr>
        <w:t xml:space="preserve">Ninth Circuit’s fundamental misunderstanding of the Arizona </w:t>
      </w:r>
      <w:r w:rsidR="006B2E7D" w:rsidRPr="0072398A">
        <w:rPr>
          <w:color w:val="000000" w:themeColor="text1"/>
          <w:sz w:val="28"/>
          <w:szCs w:val="28"/>
        </w:rPr>
        <w:t>Rule</w:t>
      </w:r>
      <w:r w:rsidR="00D819D6">
        <w:rPr>
          <w:color w:val="000000" w:themeColor="text1"/>
          <w:sz w:val="28"/>
          <w:szCs w:val="28"/>
        </w:rPr>
        <w:t>s of Criminal Procedure has injected further uncertainty into</w:t>
      </w:r>
      <w:r w:rsidR="0072308A" w:rsidRPr="0072398A">
        <w:rPr>
          <w:color w:val="000000" w:themeColor="text1"/>
          <w:sz w:val="28"/>
          <w:szCs w:val="28"/>
        </w:rPr>
        <w:t xml:space="preserve"> </w:t>
      </w:r>
      <w:r w:rsidR="00440BB5" w:rsidRPr="0072398A">
        <w:rPr>
          <w:color w:val="000000" w:themeColor="text1"/>
          <w:sz w:val="28"/>
          <w:szCs w:val="28"/>
        </w:rPr>
        <w:t xml:space="preserve">what </w:t>
      </w:r>
      <w:r w:rsidR="0072308A" w:rsidRPr="0072398A">
        <w:rPr>
          <w:color w:val="000000" w:themeColor="text1"/>
          <w:sz w:val="28"/>
          <w:szCs w:val="28"/>
        </w:rPr>
        <w:t>constitutes a “requests to interview” or even what constitutes an “interview” in th</w:t>
      </w:r>
      <w:r w:rsidR="001A0B87" w:rsidRPr="0072398A">
        <w:rPr>
          <w:color w:val="000000" w:themeColor="text1"/>
          <w:sz w:val="28"/>
          <w:szCs w:val="28"/>
        </w:rPr>
        <w:t>e pretrial</w:t>
      </w:r>
      <w:r w:rsidR="0072308A" w:rsidRPr="0072398A">
        <w:rPr>
          <w:color w:val="000000" w:themeColor="text1"/>
          <w:sz w:val="28"/>
          <w:szCs w:val="28"/>
        </w:rPr>
        <w:t xml:space="preserve"> context</w:t>
      </w:r>
      <w:r w:rsidR="009B3D6D">
        <w:rPr>
          <w:color w:val="000000" w:themeColor="text1"/>
          <w:sz w:val="28"/>
          <w:szCs w:val="28"/>
        </w:rPr>
        <w:t>,</w:t>
      </w:r>
      <w:r w:rsidR="0072308A" w:rsidRPr="0072398A">
        <w:rPr>
          <w:color w:val="000000" w:themeColor="text1"/>
          <w:sz w:val="28"/>
          <w:szCs w:val="28"/>
        </w:rPr>
        <w:t xml:space="preserve"> </w:t>
      </w:r>
      <w:r w:rsidR="00D352A9" w:rsidRPr="0072398A">
        <w:rPr>
          <w:i/>
          <w:iCs/>
          <w:color w:val="000000" w:themeColor="text1"/>
          <w:sz w:val="28"/>
          <w:szCs w:val="28"/>
        </w:rPr>
        <w:t>See Ariz</w:t>
      </w:r>
      <w:r w:rsidR="00236C0A">
        <w:rPr>
          <w:i/>
          <w:iCs/>
          <w:color w:val="000000" w:themeColor="text1"/>
          <w:sz w:val="28"/>
          <w:szCs w:val="28"/>
        </w:rPr>
        <w:t>.</w:t>
      </w:r>
      <w:r w:rsidR="00D352A9" w:rsidRPr="0072398A">
        <w:rPr>
          <w:i/>
          <w:iCs/>
          <w:color w:val="000000" w:themeColor="text1"/>
          <w:sz w:val="28"/>
          <w:szCs w:val="28"/>
        </w:rPr>
        <w:t xml:space="preserve"> </w:t>
      </w:r>
      <w:proofErr w:type="spellStart"/>
      <w:r w:rsidR="00D352A9" w:rsidRPr="0072398A">
        <w:rPr>
          <w:i/>
          <w:iCs/>
          <w:color w:val="000000" w:themeColor="text1"/>
          <w:sz w:val="28"/>
          <w:szCs w:val="28"/>
        </w:rPr>
        <w:t>Att’ys</w:t>
      </w:r>
      <w:proofErr w:type="spellEnd"/>
      <w:r w:rsidR="00D352A9" w:rsidRPr="0072398A">
        <w:rPr>
          <w:i/>
          <w:iCs/>
          <w:color w:val="000000" w:themeColor="text1"/>
          <w:sz w:val="28"/>
          <w:szCs w:val="28"/>
        </w:rPr>
        <w:t xml:space="preserve"> for Crim. Just. v. Mayes</w:t>
      </w:r>
      <w:r w:rsidR="00A51CA0" w:rsidRPr="0072398A">
        <w:rPr>
          <w:i/>
          <w:iCs/>
          <w:color w:val="000000" w:themeColor="text1"/>
          <w:sz w:val="28"/>
          <w:szCs w:val="28"/>
        </w:rPr>
        <w:t xml:space="preserve"> </w:t>
      </w:r>
      <w:r w:rsidR="00A51CA0" w:rsidRPr="0072398A">
        <w:rPr>
          <w:color w:val="000000" w:themeColor="text1"/>
          <w:sz w:val="28"/>
          <w:szCs w:val="28"/>
        </w:rPr>
        <w:t>(“</w:t>
      </w:r>
      <w:r w:rsidR="00A51CA0" w:rsidRPr="0072398A">
        <w:rPr>
          <w:i/>
          <w:iCs/>
          <w:color w:val="000000" w:themeColor="text1"/>
          <w:sz w:val="28"/>
          <w:szCs w:val="28"/>
        </w:rPr>
        <w:t>AACJ II</w:t>
      </w:r>
      <w:r w:rsidR="00236C0A">
        <w:rPr>
          <w:i/>
          <w:iCs/>
          <w:color w:val="000000" w:themeColor="text1"/>
          <w:sz w:val="28"/>
          <w:szCs w:val="28"/>
        </w:rPr>
        <w:t>I</w:t>
      </w:r>
      <w:r w:rsidR="00A51CA0" w:rsidRPr="0072398A">
        <w:rPr>
          <w:color w:val="000000" w:themeColor="text1"/>
          <w:sz w:val="28"/>
          <w:szCs w:val="28"/>
        </w:rPr>
        <w:t>”)</w:t>
      </w:r>
      <w:r w:rsidR="00D352A9" w:rsidRPr="0072398A">
        <w:rPr>
          <w:color w:val="000000" w:themeColor="text1"/>
          <w:sz w:val="28"/>
          <w:szCs w:val="28"/>
        </w:rPr>
        <w:t>, 127 F.4th 105, 111</w:t>
      </w:r>
      <w:r w:rsidR="002F635C" w:rsidRPr="0072398A">
        <w:rPr>
          <w:color w:val="000000" w:themeColor="text1"/>
          <w:sz w:val="28"/>
          <w:szCs w:val="28"/>
        </w:rPr>
        <w:t>, n. 2 (9th Cir. 2025)</w:t>
      </w:r>
      <w:r w:rsidR="009B3D6D">
        <w:rPr>
          <w:color w:val="000000" w:themeColor="text1"/>
          <w:sz w:val="28"/>
          <w:szCs w:val="28"/>
        </w:rPr>
        <w:t>. This uncertainty necessitates action from this Court.</w:t>
      </w:r>
    </w:p>
    <w:p w14:paraId="62F4C59F" w14:textId="1811C6D3" w:rsidR="00C44650" w:rsidRPr="007A6EC7" w:rsidRDefault="0005250E" w:rsidP="0005250E">
      <w:pPr>
        <w:spacing w:line="480" w:lineRule="auto"/>
        <w:ind w:firstLine="720"/>
        <w:contextualSpacing/>
        <w:rPr>
          <w:color w:val="000000" w:themeColor="text1"/>
          <w:sz w:val="28"/>
          <w:szCs w:val="28"/>
        </w:rPr>
      </w:pPr>
      <w:r w:rsidRPr="007A6EC7">
        <w:rPr>
          <w:color w:val="000000" w:themeColor="text1"/>
          <w:sz w:val="28"/>
          <w:szCs w:val="28"/>
        </w:rPr>
        <w:t>T</w:t>
      </w:r>
      <w:r w:rsidR="000A2CAF" w:rsidRPr="007A6EC7">
        <w:rPr>
          <w:color w:val="000000" w:themeColor="text1"/>
          <w:sz w:val="28"/>
          <w:szCs w:val="28"/>
        </w:rPr>
        <w:t xml:space="preserve">he State Bar of Arizona is correct that its proposed rule change </w:t>
      </w:r>
      <w:r w:rsidR="003B6004" w:rsidRPr="007A6EC7">
        <w:rPr>
          <w:color w:val="000000" w:themeColor="text1"/>
          <w:sz w:val="28"/>
          <w:szCs w:val="28"/>
        </w:rPr>
        <w:t>“</w:t>
      </w:r>
      <w:r w:rsidR="000A2CAF" w:rsidRPr="007A6EC7">
        <w:rPr>
          <w:color w:val="000000" w:themeColor="text1"/>
          <w:sz w:val="28"/>
          <w:szCs w:val="28"/>
        </w:rPr>
        <w:t>would advance transparency, accountability, and timeliness</w:t>
      </w:r>
      <w:r w:rsidR="00EE19C9" w:rsidRPr="007A6EC7">
        <w:rPr>
          <w:color w:val="000000" w:themeColor="text1"/>
          <w:sz w:val="28"/>
          <w:szCs w:val="28"/>
        </w:rPr>
        <w:t>”</w:t>
      </w:r>
      <w:r w:rsidR="00E93EA3" w:rsidRPr="007A6EC7">
        <w:rPr>
          <w:color w:val="000000" w:themeColor="text1"/>
          <w:sz w:val="28"/>
          <w:szCs w:val="28"/>
        </w:rPr>
        <w:t xml:space="preserve"> under</w:t>
      </w:r>
      <w:r w:rsidR="00AC17E1" w:rsidRPr="007A6EC7">
        <w:rPr>
          <w:color w:val="000000" w:themeColor="text1"/>
          <w:sz w:val="28"/>
          <w:szCs w:val="28"/>
        </w:rPr>
        <w:t xml:space="preserve"> the rule “requiring interview requests be made part of the record.” </w:t>
      </w:r>
      <w:r w:rsidRPr="007A6EC7">
        <w:rPr>
          <w:color w:val="000000" w:themeColor="text1"/>
          <w:sz w:val="28"/>
          <w:szCs w:val="28"/>
        </w:rPr>
        <w:t>R-25-0035 at 8.</w:t>
      </w:r>
      <w:r w:rsidR="003B6004" w:rsidRPr="007A6EC7">
        <w:rPr>
          <w:color w:val="000000" w:themeColor="text1"/>
          <w:sz w:val="28"/>
          <w:szCs w:val="28"/>
        </w:rPr>
        <w:t xml:space="preserve"> </w:t>
      </w:r>
      <w:r w:rsidR="00AC17E1" w:rsidRPr="007A6EC7">
        <w:rPr>
          <w:color w:val="000000" w:themeColor="text1"/>
          <w:sz w:val="28"/>
          <w:szCs w:val="28"/>
        </w:rPr>
        <w:t>Even under the proposed rule</w:t>
      </w:r>
      <w:r w:rsidRPr="007A6EC7">
        <w:rPr>
          <w:color w:val="000000" w:themeColor="text1"/>
          <w:sz w:val="28"/>
          <w:szCs w:val="28"/>
        </w:rPr>
        <w:t>, however,</w:t>
      </w:r>
      <w:r w:rsidR="003B6004" w:rsidRPr="007A6EC7">
        <w:rPr>
          <w:color w:val="000000" w:themeColor="text1"/>
          <w:sz w:val="28"/>
          <w:szCs w:val="28"/>
        </w:rPr>
        <w:t xml:space="preserve"> </w:t>
      </w:r>
      <w:r w:rsidR="00AC17E1" w:rsidRPr="007A6EC7">
        <w:rPr>
          <w:color w:val="000000" w:themeColor="text1"/>
          <w:sz w:val="28"/>
          <w:szCs w:val="28"/>
        </w:rPr>
        <w:t xml:space="preserve">members of the defense team would continue to face discriminatory and unconstitutional restrictions on their </w:t>
      </w:r>
      <w:r w:rsidR="00EA795A" w:rsidRPr="007A6EC7">
        <w:rPr>
          <w:color w:val="000000" w:themeColor="text1"/>
          <w:sz w:val="28"/>
          <w:szCs w:val="28"/>
        </w:rPr>
        <w:t>speech</w:t>
      </w:r>
      <w:r w:rsidR="00AC17E1" w:rsidRPr="007A6EC7">
        <w:rPr>
          <w:color w:val="000000" w:themeColor="text1"/>
          <w:sz w:val="28"/>
          <w:szCs w:val="28"/>
        </w:rPr>
        <w:t xml:space="preserve"> because the rule </w:t>
      </w:r>
      <w:r w:rsidR="00AC17E1" w:rsidRPr="007A6EC7">
        <w:rPr>
          <w:color w:val="000000" w:themeColor="text1"/>
          <w:sz w:val="28"/>
          <w:szCs w:val="28"/>
        </w:rPr>
        <w:lastRenderedPageBreak/>
        <w:t>would restrict their speech but not prosecutors’ speech</w:t>
      </w:r>
      <w:r w:rsidR="00EE19C9" w:rsidRPr="007A6EC7">
        <w:rPr>
          <w:color w:val="000000" w:themeColor="text1"/>
          <w:sz w:val="28"/>
          <w:szCs w:val="28"/>
        </w:rPr>
        <w:t>,</w:t>
      </w:r>
      <w:r w:rsidR="00AC17E1" w:rsidRPr="007A6EC7">
        <w:rPr>
          <w:color w:val="000000" w:themeColor="text1"/>
          <w:sz w:val="28"/>
          <w:szCs w:val="28"/>
        </w:rPr>
        <w:t xml:space="preserve"> perpetuating the unfair skewing of </w:t>
      </w:r>
      <w:r w:rsidR="003B6004" w:rsidRPr="007A6EC7">
        <w:rPr>
          <w:color w:val="000000" w:themeColor="text1"/>
          <w:sz w:val="28"/>
          <w:szCs w:val="28"/>
        </w:rPr>
        <w:t>the adversarial system</w:t>
      </w:r>
      <w:r w:rsidRPr="007A6EC7">
        <w:rPr>
          <w:color w:val="000000" w:themeColor="text1"/>
          <w:sz w:val="28"/>
          <w:szCs w:val="28"/>
        </w:rPr>
        <w:t xml:space="preserve"> </w:t>
      </w:r>
      <w:r w:rsidR="00AC17E1" w:rsidRPr="007A6EC7">
        <w:rPr>
          <w:color w:val="000000" w:themeColor="text1"/>
          <w:sz w:val="28"/>
          <w:szCs w:val="28"/>
        </w:rPr>
        <w:t>in criminal cases</w:t>
      </w:r>
      <w:r w:rsidR="003B6004" w:rsidRPr="007A6EC7">
        <w:rPr>
          <w:color w:val="000000" w:themeColor="text1"/>
          <w:sz w:val="28"/>
          <w:szCs w:val="28"/>
        </w:rPr>
        <w:t>.</w:t>
      </w:r>
      <w:r w:rsidR="00EE19C9" w:rsidRPr="007A6EC7">
        <w:rPr>
          <w:color w:val="000000" w:themeColor="text1"/>
          <w:sz w:val="28"/>
          <w:szCs w:val="28"/>
        </w:rPr>
        <w:t xml:space="preserve"> In contrast,</w:t>
      </w:r>
      <w:r w:rsidR="003B6004" w:rsidRPr="007A6EC7">
        <w:rPr>
          <w:color w:val="000000" w:themeColor="text1"/>
          <w:sz w:val="28"/>
          <w:szCs w:val="28"/>
        </w:rPr>
        <w:t xml:space="preserve"> AACJ’s competing rule change petition, R-22-0045,</w:t>
      </w:r>
      <w:r w:rsidR="00AC17E1" w:rsidRPr="007A6EC7">
        <w:rPr>
          <w:color w:val="000000" w:themeColor="text1"/>
          <w:sz w:val="28"/>
          <w:szCs w:val="28"/>
        </w:rPr>
        <w:t xml:space="preserve"> proposes to amend</w:t>
      </w:r>
      <w:r w:rsidR="003B6004" w:rsidRPr="007A6EC7">
        <w:rPr>
          <w:color w:val="000000" w:themeColor="text1"/>
          <w:sz w:val="28"/>
          <w:szCs w:val="28"/>
        </w:rPr>
        <w:t xml:space="preserve"> Rule 39 in a way that is constitutional. As argued </w:t>
      </w:r>
      <w:r w:rsidR="00236C0A">
        <w:rPr>
          <w:color w:val="000000" w:themeColor="text1"/>
          <w:sz w:val="28"/>
          <w:szCs w:val="28"/>
        </w:rPr>
        <w:t>previously</w:t>
      </w:r>
      <w:r w:rsidR="003B6004" w:rsidRPr="007A6EC7">
        <w:rPr>
          <w:color w:val="000000" w:themeColor="text1"/>
          <w:sz w:val="28"/>
          <w:szCs w:val="28"/>
        </w:rPr>
        <w:t>, this Court should adopt R-22-0045</w:t>
      </w:r>
      <w:r w:rsidR="00EA795A" w:rsidRPr="007A6EC7">
        <w:rPr>
          <w:color w:val="000000" w:themeColor="text1"/>
          <w:sz w:val="28"/>
          <w:szCs w:val="28"/>
        </w:rPr>
        <w:t xml:space="preserve"> to uphold the </w:t>
      </w:r>
      <w:r w:rsidR="00236C0A">
        <w:rPr>
          <w:color w:val="000000" w:themeColor="text1"/>
          <w:sz w:val="28"/>
          <w:szCs w:val="28"/>
        </w:rPr>
        <w:t>free-speech</w:t>
      </w:r>
      <w:r w:rsidR="00EA795A" w:rsidRPr="007A6EC7">
        <w:rPr>
          <w:color w:val="000000" w:themeColor="text1"/>
          <w:sz w:val="28"/>
          <w:szCs w:val="28"/>
        </w:rPr>
        <w:t xml:space="preserve"> rights of criminal defense attorneys</w:t>
      </w:r>
      <w:r w:rsidR="00AC17E1" w:rsidRPr="007A6EC7">
        <w:rPr>
          <w:color w:val="000000" w:themeColor="text1"/>
          <w:sz w:val="28"/>
          <w:szCs w:val="28"/>
        </w:rPr>
        <w:t xml:space="preserve"> and others on the defense team</w:t>
      </w:r>
      <w:r w:rsidR="00EA795A" w:rsidRPr="007A6EC7">
        <w:rPr>
          <w:color w:val="000000" w:themeColor="text1"/>
          <w:sz w:val="28"/>
          <w:szCs w:val="28"/>
        </w:rPr>
        <w:t xml:space="preserve">, </w:t>
      </w:r>
      <w:r w:rsidR="00AC17E1" w:rsidRPr="007A6EC7">
        <w:rPr>
          <w:color w:val="000000" w:themeColor="text1"/>
          <w:sz w:val="28"/>
          <w:szCs w:val="28"/>
        </w:rPr>
        <w:t>correct</w:t>
      </w:r>
      <w:r w:rsidR="00EA795A" w:rsidRPr="007A6EC7">
        <w:rPr>
          <w:color w:val="000000" w:themeColor="text1"/>
          <w:sz w:val="28"/>
          <w:szCs w:val="28"/>
        </w:rPr>
        <w:t xml:space="preserve"> the unfair skewing of our </w:t>
      </w:r>
      <w:r w:rsidR="00AC17E1" w:rsidRPr="007A6EC7">
        <w:rPr>
          <w:color w:val="000000" w:themeColor="text1"/>
          <w:sz w:val="28"/>
          <w:szCs w:val="28"/>
        </w:rPr>
        <w:t>criminal legal</w:t>
      </w:r>
      <w:r w:rsidR="00EA795A" w:rsidRPr="007A6EC7">
        <w:rPr>
          <w:color w:val="000000" w:themeColor="text1"/>
          <w:sz w:val="28"/>
          <w:szCs w:val="28"/>
        </w:rPr>
        <w:t xml:space="preserve"> system</w:t>
      </w:r>
      <w:r w:rsidR="00AC17E1" w:rsidRPr="007A6EC7">
        <w:rPr>
          <w:color w:val="000000" w:themeColor="text1"/>
          <w:sz w:val="28"/>
          <w:szCs w:val="28"/>
        </w:rPr>
        <w:t xml:space="preserve"> under current law</w:t>
      </w:r>
      <w:r w:rsidR="00EA795A" w:rsidRPr="007A6EC7">
        <w:rPr>
          <w:color w:val="000000" w:themeColor="text1"/>
          <w:sz w:val="28"/>
          <w:szCs w:val="28"/>
        </w:rPr>
        <w:t xml:space="preserve">, and </w:t>
      </w:r>
      <w:r w:rsidR="00AC17E1" w:rsidRPr="007A6EC7">
        <w:rPr>
          <w:color w:val="000000" w:themeColor="text1"/>
          <w:sz w:val="28"/>
          <w:szCs w:val="28"/>
        </w:rPr>
        <w:t>avoid</w:t>
      </w:r>
      <w:r w:rsidR="00EA795A" w:rsidRPr="007A6EC7">
        <w:rPr>
          <w:color w:val="000000" w:themeColor="text1"/>
          <w:sz w:val="28"/>
          <w:szCs w:val="28"/>
        </w:rPr>
        <w:t xml:space="preserve"> further time</w:t>
      </w:r>
      <w:r w:rsidR="00AC17E1" w:rsidRPr="007A6EC7">
        <w:rPr>
          <w:color w:val="000000" w:themeColor="text1"/>
          <w:sz w:val="28"/>
          <w:szCs w:val="28"/>
        </w:rPr>
        <w:t>-</w:t>
      </w:r>
      <w:r w:rsidR="00EA795A" w:rsidRPr="007A6EC7">
        <w:rPr>
          <w:color w:val="000000" w:themeColor="text1"/>
          <w:sz w:val="28"/>
          <w:szCs w:val="28"/>
        </w:rPr>
        <w:t>consuming and costly litigation</w:t>
      </w:r>
      <w:r w:rsidR="00AC17E1" w:rsidRPr="007A6EC7">
        <w:rPr>
          <w:color w:val="000000" w:themeColor="text1"/>
          <w:sz w:val="28"/>
          <w:szCs w:val="28"/>
        </w:rPr>
        <w:t xml:space="preserve"> over the rule’s constitutionality</w:t>
      </w:r>
      <w:r w:rsidRPr="007A6EC7">
        <w:rPr>
          <w:color w:val="000000" w:themeColor="text1"/>
          <w:sz w:val="28"/>
          <w:szCs w:val="28"/>
        </w:rPr>
        <w:t>.</w:t>
      </w:r>
    </w:p>
    <w:p w14:paraId="033D18CB" w14:textId="6AED812B" w:rsidR="00A24882" w:rsidRPr="007A6EC7" w:rsidRDefault="00F14376" w:rsidP="00A24882">
      <w:pPr>
        <w:pStyle w:val="ListParagraph"/>
        <w:numPr>
          <w:ilvl w:val="0"/>
          <w:numId w:val="2"/>
        </w:numPr>
        <w:spacing w:line="240" w:lineRule="auto"/>
        <w:rPr>
          <w:b/>
          <w:bCs/>
          <w:color w:val="000000" w:themeColor="text1"/>
          <w:sz w:val="28"/>
          <w:szCs w:val="28"/>
          <w:u w:val="single"/>
        </w:rPr>
      </w:pPr>
      <w:r w:rsidRPr="007A6EC7">
        <w:rPr>
          <w:b/>
          <w:bCs/>
          <w:color w:val="000000" w:themeColor="text1"/>
          <w:sz w:val="28"/>
          <w:szCs w:val="28"/>
          <w:u w:val="single"/>
        </w:rPr>
        <w:t xml:space="preserve">Procedural History and Update on </w:t>
      </w:r>
      <w:r w:rsidRPr="007A6EC7">
        <w:rPr>
          <w:b/>
          <w:bCs/>
          <w:i/>
          <w:iCs/>
          <w:color w:val="000000" w:themeColor="text1"/>
          <w:sz w:val="28"/>
          <w:szCs w:val="28"/>
          <w:u w:val="single"/>
        </w:rPr>
        <w:t>AACJ v. Mayes</w:t>
      </w:r>
      <w:r w:rsidR="00A24882" w:rsidRPr="007A6EC7">
        <w:rPr>
          <w:b/>
          <w:bCs/>
          <w:color w:val="000000" w:themeColor="text1"/>
          <w:sz w:val="28"/>
          <w:szCs w:val="28"/>
          <w:u w:val="single"/>
        </w:rPr>
        <w:t xml:space="preserve"> and the Competing Rule Change Petitions</w:t>
      </w:r>
      <w:r w:rsidR="001A0B87" w:rsidRPr="007A6EC7">
        <w:rPr>
          <w:b/>
          <w:bCs/>
          <w:color w:val="000000" w:themeColor="text1"/>
          <w:sz w:val="28"/>
          <w:szCs w:val="28"/>
          <w:u w:val="single"/>
        </w:rPr>
        <w:t>.</w:t>
      </w:r>
    </w:p>
    <w:p w14:paraId="60F21333" w14:textId="77777777" w:rsidR="00A24882" w:rsidRPr="007A6EC7" w:rsidRDefault="00A24882" w:rsidP="00437F6D">
      <w:pPr>
        <w:spacing w:after="0" w:line="240" w:lineRule="auto"/>
        <w:rPr>
          <w:b/>
          <w:bCs/>
          <w:color w:val="000000" w:themeColor="text1"/>
          <w:sz w:val="28"/>
          <w:szCs w:val="28"/>
          <w:u w:val="single"/>
        </w:rPr>
      </w:pPr>
    </w:p>
    <w:p w14:paraId="60428B23" w14:textId="1CBF9B51" w:rsidR="00C92934" w:rsidRPr="007A6EC7" w:rsidRDefault="0005250E" w:rsidP="00A759B4">
      <w:pPr>
        <w:spacing w:line="480" w:lineRule="auto"/>
        <w:ind w:firstLine="720"/>
        <w:contextualSpacing/>
        <w:rPr>
          <w:color w:val="000000" w:themeColor="text1"/>
          <w:sz w:val="28"/>
          <w:szCs w:val="28"/>
        </w:rPr>
      </w:pPr>
      <w:r w:rsidRPr="007A6EC7">
        <w:rPr>
          <w:color w:val="000000" w:themeColor="text1"/>
          <w:sz w:val="28"/>
          <w:szCs w:val="28"/>
        </w:rPr>
        <w:t>O</w:t>
      </w:r>
      <w:r w:rsidR="00A759B4" w:rsidRPr="007A6EC7">
        <w:rPr>
          <w:color w:val="000000" w:themeColor="text1"/>
          <w:sz w:val="28"/>
          <w:szCs w:val="28"/>
        </w:rPr>
        <w:t>n November</w:t>
      </w:r>
      <w:r w:rsidRPr="007A6EC7">
        <w:rPr>
          <w:color w:val="000000" w:themeColor="text1"/>
          <w:sz w:val="28"/>
          <w:szCs w:val="28"/>
        </w:rPr>
        <w:t xml:space="preserve"> 2,</w:t>
      </w:r>
      <w:r w:rsidR="00A759B4" w:rsidRPr="007A6EC7">
        <w:rPr>
          <w:color w:val="000000" w:themeColor="text1"/>
          <w:sz w:val="28"/>
          <w:szCs w:val="28"/>
        </w:rPr>
        <w:t xml:space="preserve"> 2022, </w:t>
      </w:r>
      <w:r w:rsidR="00EE19C9" w:rsidRPr="007A6EC7">
        <w:rPr>
          <w:color w:val="000000" w:themeColor="text1"/>
          <w:sz w:val="28"/>
          <w:szCs w:val="28"/>
        </w:rPr>
        <w:t>the Federal District Court for the District of Arizona enjoined enforcement of A.R.S. § 13-4433(B)</w:t>
      </w:r>
      <w:r w:rsidR="00A759B4" w:rsidRPr="007A6EC7">
        <w:rPr>
          <w:color w:val="000000" w:themeColor="text1"/>
          <w:sz w:val="28"/>
          <w:szCs w:val="28"/>
        </w:rPr>
        <w:t xml:space="preserve"> on First Amendment ground</w:t>
      </w:r>
      <w:r w:rsidR="00EE19C9" w:rsidRPr="007A6EC7">
        <w:rPr>
          <w:color w:val="000000" w:themeColor="text1"/>
          <w:sz w:val="28"/>
          <w:szCs w:val="28"/>
        </w:rPr>
        <w:t>s</w:t>
      </w:r>
      <w:r w:rsidR="00A759B4" w:rsidRPr="007A6EC7">
        <w:rPr>
          <w:color w:val="000000" w:themeColor="text1"/>
          <w:sz w:val="28"/>
          <w:szCs w:val="28"/>
        </w:rPr>
        <w:t>.</w:t>
      </w:r>
      <w:r w:rsidR="00A51CA0" w:rsidRPr="007A6EC7">
        <w:rPr>
          <w:color w:val="000000" w:themeColor="text1"/>
          <w:sz w:val="28"/>
          <w:szCs w:val="28"/>
        </w:rPr>
        <w:t xml:space="preserve"> </w:t>
      </w:r>
      <w:r w:rsidR="00A759B4" w:rsidRPr="007A6EC7">
        <w:rPr>
          <w:i/>
          <w:iCs/>
          <w:color w:val="000000" w:themeColor="text1"/>
          <w:sz w:val="28"/>
          <w:szCs w:val="28"/>
        </w:rPr>
        <w:t>AACJ</w:t>
      </w:r>
      <w:r w:rsidR="005314DE">
        <w:rPr>
          <w:i/>
          <w:iCs/>
          <w:color w:val="000000" w:themeColor="text1"/>
          <w:sz w:val="28"/>
          <w:szCs w:val="28"/>
        </w:rPr>
        <w:t xml:space="preserve"> II</w:t>
      </w:r>
      <w:r w:rsidR="00A51CA0" w:rsidRPr="007A6EC7">
        <w:rPr>
          <w:color w:val="000000" w:themeColor="text1"/>
          <w:sz w:val="28"/>
          <w:szCs w:val="28"/>
        </w:rPr>
        <w:t>,</w:t>
      </w:r>
      <w:r w:rsidR="00A759B4" w:rsidRPr="007A6EC7">
        <w:rPr>
          <w:color w:val="000000" w:themeColor="text1"/>
          <w:sz w:val="28"/>
          <w:szCs w:val="28"/>
        </w:rPr>
        <w:t xml:space="preserve"> 638 F. Supp. 3d 1048. Following that ruling, AACJ filed a rule change petition proposing to amend Rule 39(b)(12) based upon the same </w:t>
      </w:r>
      <w:r w:rsidR="005314DE">
        <w:rPr>
          <w:color w:val="000000" w:themeColor="text1"/>
          <w:sz w:val="28"/>
          <w:szCs w:val="28"/>
        </w:rPr>
        <w:t>constitutional</w:t>
      </w:r>
      <w:r w:rsidR="00A759B4" w:rsidRPr="007A6EC7">
        <w:rPr>
          <w:color w:val="000000" w:themeColor="text1"/>
          <w:sz w:val="28"/>
          <w:szCs w:val="28"/>
        </w:rPr>
        <w:t xml:space="preserve"> principles relied upon in </w:t>
      </w:r>
      <w:r w:rsidR="00A759B4" w:rsidRPr="007A6EC7">
        <w:rPr>
          <w:i/>
          <w:iCs/>
          <w:color w:val="000000" w:themeColor="text1"/>
          <w:sz w:val="28"/>
          <w:szCs w:val="28"/>
        </w:rPr>
        <w:t>AACJ</w:t>
      </w:r>
      <w:r w:rsidR="005314DE">
        <w:rPr>
          <w:i/>
          <w:iCs/>
          <w:color w:val="000000" w:themeColor="text1"/>
          <w:sz w:val="28"/>
          <w:szCs w:val="28"/>
        </w:rPr>
        <w:t xml:space="preserve"> II</w:t>
      </w:r>
      <w:r w:rsidR="00A759B4" w:rsidRPr="007A6EC7">
        <w:rPr>
          <w:color w:val="000000" w:themeColor="text1"/>
          <w:sz w:val="28"/>
          <w:szCs w:val="28"/>
        </w:rPr>
        <w:t>.</w:t>
      </w:r>
    </w:p>
    <w:p w14:paraId="01D43CD0" w14:textId="6333792B" w:rsidR="00F14376" w:rsidRPr="007A6EC7" w:rsidRDefault="00BA4AD5" w:rsidP="00A759B4">
      <w:pPr>
        <w:spacing w:line="480" w:lineRule="auto"/>
        <w:ind w:firstLine="720"/>
        <w:contextualSpacing/>
        <w:rPr>
          <w:color w:val="000000" w:themeColor="text1"/>
          <w:sz w:val="28"/>
          <w:szCs w:val="28"/>
        </w:rPr>
      </w:pPr>
      <w:r w:rsidRPr="007A6EC7">
        <w:rPr>
          <w:color w:val="000000" w:themeColor="text1"/>
          <w:sz w:val="28"/>
          <w:szCs w:val="28"/>
        </w:rPr>
        <w:t xml:space="preserve">In a letter dated </w:t>
      </w:r>
      <w:r w:rsidR="00A759B4" w:rsidRPr="007A6EC7">
        <w:rPr>
          <w:color w:val="000000" w:themeColor="text1"/>
          <w:sz w:val="28"/>
          <w:szCs w:val="28"/>
        </w:rPr>
        <w:t xml:space="preserve">August 31, 2023, </w:t>
      </w:r>
      <w:r w:rsidRPr="007A6EC7">
        <w:rPr>
          <w:color w:val="000000" w:themeColor="text1"/>
          <w:sz w:val="28"/>
          <w:szCs w:val="28"/>
        </w:rPr>
        <w:t>regarding AACJ’s “Rule Petition R-22-0045,” then</w:t>
      </w:r>
      <w:r w:rsidR="00A759B4" w:rsidRPr="007A6EC7">
        <w:rPr>
          <w:color w:val="000000" w:themeColor="text1"/>
          <w:sz w:val="28"/>
          <w:szCs w:val="28"/>
        </w:rPr>
        <w:t xml:space="preserve"> Chief Justice </w:t>
      </w:r>
      <w:proofErr w:type="spellStart"/>
      <w:r w:rsidR="00A759B4" w:rsidRPr="007A6EC7">
        <w:rPr>
          <w:color w:val="000000" w:themeColor="text1"/>
          <w:sz w:val="28"/>
          <w:szCs w:val="28"/>
        </w:rPr>
        <w:t>Brutinel</w:t>
      </w:r>
      <w:proofErr w:type="spellEnd"/>
      <w:r w:rsidR="00A759B4" w:rsidRPr="007A6EC7">
        <w:rPr>
          <w:color w:val="000000" w:themeColor="text1"/>
          <w:sz w:val="28"/>
          <w:szCs w:val="28"/>
        </w:rPr>
        <w:t xml:space="preserve"> </w:t>
      </w:r>
      <w:r w:rsidRPr="007A6EC7">
        <w:rPr>
          <w:color w:val="000000" w:themeColor="text1"/>
          <w:sz w:val="28"/>
          <w:szCs w:val="28"/>
        </w:rPr>
        <w:t xml:space="preserve">wrote </w:t>
      </w:r>
      <w:r w:rsidR="00A759B4" w:rsidRPr="007A6EC7">
        <w:rPr>
          <w:color w:val="000000" w:themeColor="text1"/>
          <w:sz w:val="28"/>
          <w:szCs w:val="28"/>
        </w:rPr>
        <w:t xml:space="preserve">to the </w:t>
      </w:r>
      <w:r w:rsidRPr="007A6EC7">
        <w:rPr>
          <w:color w:val="000000" w:themeColor="text1"/>
          <w:sz w:val="28"/>
          <w:szCs w:val="28"/>
        </w:rPr>
        <w:t>Executive Director of the State Bar of Arizona requesting that the Bar’s Criminal Practice and Procedure Committee consider several proposed improvements related to Rule 39(b)(12)</w:t>
      </w:r>
      <w:r w:rsidR="00B83F37" w:rsidRPr="007A6EC7">
        <w:rPr>
          <w:color w:val="000000" w:themeColor="text1"/>
          <w:sz w:val="28"/>
          <w:szCs w:val="28"/>
        </w:rPr>
        <w:t>.</w:t>
      </w:r>
      <w:r w:rsidRPr="007A6EC7">
        <w:rPr>
          <w:rStyle w:val="FootnoteReference"/>
          <w:color w:val="000000" w:themeColor="text1"/>
          <w:sz w:val="28"/>
          <w:szCs w:val="28"/>
        </w:rPr>
        <w:footnoteReference w:id="2"/>
      </w:r>
      <w:r w:rsidR="00A759B4" w:rsidRPr="007A6EC7">
        <w:rPr>
          <w:color w:val="000000" w:themeColor="text1"/>
          <w:sz w:val="28"/>
          <w:szCs w:val="28"/>
        </w:rPr>
        <w:t xml:space="preserve"> </w:t>
      </w:r>
      <w:r w:rsidR="00A24882" w:rsidRPr="007A6EC7">
        <w:rPr>
          <w:color w:val="000000" w:themeColor="text1"/>
          <w:sz w:val="28"/>
          <w:szCs w:val="28"/>
        </w:rPr>
        <w:t>The letter</w:t>
      </w:r>
      <w:r w:rsidR="00A759B4" w:rsidRPr="007A6EC7">
        <w:rPr>
          <w:color w:val="000000" w:themeColor="text1"/>
          <w:sz w:val="28"/>
          <w:szCs w:val="28"/>
        </w:rPr>
        <w:t xml:space="preserve"> indicated that this Court “does not favor” amending Rule 39 as </w:t>
      </w:r>
      <w:r w:rsidR="007C3FDB" w:rsidRPr="007A6EC7">
        <w:rPr>
          <w:color w:val="000000" w:themeColor="text1"/>
          <w:sz w:val="28"/>
          <w:szCs w:val="28"/>
        </w:rPr>
        <w:t>requested by AACJ</w:t>
      </w:r>
      <w:r w:rsidR="00A24882" w:rsidRPr="007A6EC7">
        <w:rPr>
          <w:color w:val="000000" w:themeColor="text1"/>
          <w:sz w:val="28"/>
          <w:szCs w:val="28"/>
        </w:rPr>
        <w:t xml:space="preserve"> </w:t>
      </w:r>
      <w:r w:rsidR="00A24882" w:rsidRPr="007A6EC7">
        <w:rPr>
          <w:color w:val="000000" w:themeColor="text1"/>
          <w:sz w:val="28"/>
          <w:szCs w:val="28"/>
        </w:rPr>
        <w:lastRenderedPageBreak/>
        <w:t xml:space="preserve">and asked the Committee to </w:t>
      </w:r>
      <w:r w:rsidR="00A122AE" w:rsidRPr="007A6EC7">
        <w:rPr>
          <w:color w:val="000000" w:themeColor="text1"/>
          <w:sz w:val="28"/>
          <w:szCs w:val="28"/>
        </w:rPr>
        <w:t xml:space="preserve">“evaluate approaches to improving </w:t>
      </w:r>
      <w:r w:rsidR="00A24882" w:rsidRPr="007A6EC7">
        <w:rPr>
          <w:color w:val="000000" w:themeColor="text1"/>
          <w:sz w:val="28"/>
          <w:szCs w:val="28"/>
        </w:rPr>
        <w:t>Rule 39</w:t>
      </w:r>
      <w:r w:rsidR="00A122AE" w:rsidRPr="007A6EC7">
        <w:rPr>
          <w:color w:val="000000" w:themeColor="text1"/>
          <w:sz w:val="28"/>
          <w:szCs w:val="28"/>
        </w:rPr>
        <w:t>(b)(12)</w:t>
      </w:r>
      <w:r w:rsidR="00A24882" w:rsidRPr="007A6EC7">
        <w:rPr>
          <w:color w:val="000000" w:themeColor="text1"/>
          <w:sz w:val="28"/>
          <w:szCs w:val="28"/>
        </w:rPr>
        <w:t>.</w:t>
      </w:r>
      <w:r w:rsidR="00A122AE" w:rsidRPr="007A6EC7">
        <w:rPr>
          <w:color w:val="000000" w:themeColor="text1"/>
          <w:sz w:val="28"/>
          <w:szCs w:val="28"/>
        </w:rPr>
        <w:t>”</w:t>
      </w:r>
      <w:r w:rsidR="00850D9C" w:rsidRPr="007A6EC7">
        <w:rPr>
          <w:color w:val="000000" w:themeColor="text1"/>
          <w:sz w:val="28"/>
          <w:szCs w:val="28"/>
        </w:rPr>
        <w:t xml:space="preserve"> </w:t>
      </w:r>
      <w:r w:rsidR="00A122AE" w:rsidRPr="007A6EC7">
        <w:rPr>
          <w:color w:val="000000" w:themeColor="text1"/>
          <w:sz w:val="28"/>
          <w:szCs w:val="28"/>
        </w:rPr>
        <w:t>Notably</w:t>
      </w:r>
      <w:r w:rsidR="00850D9C" w:rsidRPr="007A6EC7">
        <w:rPr>
          <w:color w:val="000000" w:themeColor="text1"/>
          <w:sz w:val="28"/>
          <w:szCs w:val="28"/>
        </w:rPr>
        <w:t>,</w:t>
      </w:r>
      <w:r w:rsidR="00A122AE" w:rsidRPr="007A6EC7">
        <w:rPr>
          <w:color w:val="000000" w:themeColor="text1"/>
          <w:sz w:val="28"/>
          <w:szCs w:val="28"/>
        </w:rPr>
        <w:t xml:space="preserve"> the considerations enumerated in Justice </w:t>
      </w:r>
      <w:proofErr w:type="spellStart"/>
      <w:r w:rsidR="00A122AE" w:rsidRPr="007A6EC7">
        <w:rPr>
          <w:color w:val="000000" w:themeColor="text1"/>
          <w:sz w:val="28"/>
          <w:szCs w:val="28"/>
        </w:rPr>
        <w:t>Brutinel’s</w:t>
      </w:r>
      <w:proofErr w:type="spellEnd"/>
      <w:r w:rsidR="00A122AE" w:rsidRPr="007A6EC7">
        <w:rPr>
          <w:color w:val="000000" w:themeColor="text1"/>
          <w:sz w:val="28"/>
          <w:szCs w:val="28"/>
        </w:rPr>
        <w:t xml:space="preserve"> letter </w:t>
      </w:r>
      <w:r w:rsidR="00A122AE" w:rsidRPr="007A6EC7">
        <w:rPr>
          <w:b/>
          <w:bCs/>
          <w:color w:val="000000" w:themeColor="text1"/>
          <w:sz w:val="28"/>
          <w:szCs w:val="28"/>
        </w:rPr>
        <w:t xml:space="preserve">did not </w:t>
      </w:r>
      <w:r w:rsidR="00A122AE" w:rsidRPr="007A6EC7">
        <w:rPr>
          <w:color w:val="000000" w:themeColor="text1"/>
          <w:sz w:val="28"/>
          <w:szCs w:val="28"/>
        </w:rPr>
        <w:t xml:space="preserve">include ensuring the protection of constitutional free-speech rights of defense lawyers and others on the defense team or that our adversarial system operates fairly and in furtherance of the truth-seeking function of the courts. </w:t>
      </w:r>
      <w:r w:rsidR="002742A7" w:rsidRPr="007A6EC7">
        <w:rPr>
          <w:color w:val="000000" w:themeColor="text1"/>
          <w:sz w:val="28"/>
          <w:szCs w:val="28"/>
        </w:rPr>
        <w:t>As explained in AACJ’s Rule Change Petition, R-22-0045, such concerns were raised by the drafters of Rule 39</w:t>
      </w:r>
      <w:r w:rsidR="00A55AED">
        <w:rPr>
          <w:color w:val="000000" w:themeColor="text1"/>
          <w:sz w:val="28"/>
          <w:szCs w:val="28"/>
        </w:rPr>
        <w:t xml:space="preserve"> and should not be ignored by this Court</w:t>
      </w:r>
      <w:r w:rsidR="002742A7" w:rsidRPr="007A6EC7">
        <w:rPr>
          <w:color w:val="000000" w:themeColor="text1"/>
          <w:sz w:val="28"/>
          <w:szCs w:val="28"/>
        </w:rPr>
        <w:t>. Original Rule 39 Comment (noting that a rule prohibiting defense counsel from interviewing police officers “might constitute a considerable impediment to the truth-seeking function of the court” and that “[t]he best this Court can do is to adopt rules that balance the interests of victims in being treated with dignity and compassion with the interests of society as a whole in preserving the truth-seeking function of judicial proceedings.”)</w:t>
      </w:r>
    </w:p>
    <w:p w14:paraId="4C9A7B96" w14:textId="1A15A22D" w:rsidR="007C3FDB" w:rsidRPr="007A6EC7" w:rsidRDefault="007C3FDB" w:rsidP="00A759B4">
      <w:pPr>
        <w:spacing w:line="480" w:lineRule="auto"/>
        <w:ind w:firstLine="720"/>
        <w:contextualSpacing/>
        <w:rPr>
          <w:color w:val="000000" w:themeColor="text1"/>
          <w:sz w:val="28"/>
          <w:szCs w:val="28"/>
        </w:rPr>
      </w:pPr>
      <w:r w:rsidRPr="007A6EC7">
        <w:rPr>
          <w:color w:val="000000" w:themeColor="text1"/>
          <w:sz w:val="28"/>
          <w:szCs w:val="28"/>
        </w:rPr>
        <w:t>On January 23, 2025, the Ninth Circuit revers</w:t>
      </w:r>
      <w:r w:rsidR="00EE19C9" w:rsidRPr="007A6EC7">
        <w:rPr>
          <w:color w:val="000000" w:themeColor="text1"/>
          <w:sz w:val="28"/>
          <w:szCs w:val="28"/>
        </w:rPr>
        <w:t>ed</w:t>
      </w:r>
      <w:r w:rsidRPr="007A6EC7">
        <w:rPr>
          <w:color w:val="000000" w:themeColor="text1"/>
          <w:sz w:val="28"/>
          <w:szCs w:val="28"/>
        </w:rPr>
        <w:t xml:space="preserve"> the District Court</w:t>
      </w:r>
      <w:r w:rsidR="00B83F37" w:rsidRPr="007A6EC7">
        <w:rPr>
          <w:color w:val="000000" w:themeColor="text1"/>
          <w:sz w:val="28"/>
          <w:szCs w:val="28"/>
        </w:rPr>
        <w:t xml:space="preserve"> </w:t>
      </w:r>
      <w:r w:rsidR="000730E0" w:rsidRPr="007A6EC7">
        <w:rPr>
          <w:color w:val="000000" w:themeColor="text1"/>
          <w:sz w:val="28"/>
          <w:szCs w:val="28"/>
        </w:rPr>
        <w:t xml:space="preserve">without </w:t>
      </w:r>
      <w:r w:rsidR="00492A5F" w:rsidRPr="007A6EC7">
        <w:rPr>
          <w:color w:val="000000" w:themeColor="text1"/>
          <w:sz w:val="28"/>
          <w:szCs w:val="28"/>
        </w:rPr>
        <w:t>reaching</w:t>
      </w:r>
      <w:r w:rsidRPr="007A6EC7">
        <w:rPr>
          <w:color w:val="000000" w:themeColor="text1"/>
          <w:sz w:val="28"/>
          <w:szCs w:val="28"/>
        </w:rPr>
        <w:t xml:space="preserve"> the merits of the</w:t>
      </w:r>
      <w:r w:rsidR="00492A5F" w:rsidRPr="007A6EC7">
        <w:rPr>
          <w:color w:val="000000" w:themeColor="text1"/>
          <w:sz w:val="28"/>
          <w:szCs w:val="28"/>
        </w:rPr>
        <w:t xml:space="preserve"> Plaintiffs’</w:t>
      </w:r>
      <w:r w:rsidRPr="007A6EC7">
        <w:rPr>
          <w:color w:val="000000" w:themeColor="text1"/>
          <w:sz w:val="28"/>
          <w:szCs w:val="28"/>
        </w:rPr>
        <w:t xml:space="preserve"> First Amendment claims</w:t>
      </w:r>
      <w:r w:rsidR="00004378" w:rsidRPr="007A6EC7">
        <w:rPr>
          <w:color w:val="000000" w:themeColor="text1"/>
          <w:sz w:val="28"/>
          <w:szCs w:val="28"/>
        </w:rPr>
        <w:t>.</w:t>
      </w:r>
      <w:r w:rsidR="00A51CA0" w:rsidRPr="007A6EC7">
        <w:rPr>
          <w:color w:val="000000" w:themeColor="text1"/>
          <w:sz w:val="28"/>
          <w:szCs w:val="28"/>
        </w:rPr>
        <w:t xml:space="preserve"> </w:t>
      </w:r>
      <w:r w:rsidR="00A51CA0" w:rsidRPr="007A6EC7">
        <w:rPr>
          <w:i/>
          <w:iCs/>
          <w:color w:val="000000" w:themeColor="text1"/>
          <w:sz w:val="28"/>
          <w:szCs w:val="28"/>
        </w:rPr>
        <w:t>AACJ I</w:t>
      </w:r>
      <w:r w:rsidR="00E13508">
        <w:rPr>
          <w:i/>
          <w:iCs/>
          <w:color w:val="000000" w:themeColor="text1"/>
          <w:sz w:val="28"/>
          <w:szCs w:val="28"/>
        </w:rPr>
        <w:t>I</w:t>
      </w:r>
      <w:r w:rsidR="00A51CA0" w:rsidRPr="007A6EC7">
        <w:rPr>
          <w:i/>
          <w:iCs/>
          <w:color w:val="000000" w:themeColor="text1"/>
          <w:sz w:val="28"/>
          <w:szCs w:val="28"/>
        </w:rPr>
        <w:t>I</w:t>
      </w:r>
      <w:r w:rsidR="00A51CA0" w:rsidRPr="007A6EC7">
        <w:rPr>
          <w:color w:val="000000" w:themeColor="text1"/>
          <w:sz w:val="28"/>
          <w:szCs w:val="28"/>
        </w:rPr>
        <w:t>, 127 F.</w:t>
      </w:r>
      <w:r w:rsidR="00802BA7" w:rsidRPr="007A6EC7">
        <w:rPr>
          <w:color w:val="000000" w:themeColor="text1"/>
          <w:sz w:val="28"/>
          <w:szCs w:val="28"/>
        </w:rPr>
        <w:t>4th</w:t>
      </w:r>
      <w:r w:rsidR="00A51CA0" w:rsidRPr="007A6EC7">
        <w:rPr>
          <w:color w:val="000000" w:themeColor="text1"/>
          <w:sz w:val="28"/>
          <w:szCs w:val="28"/>
        </w:rPr>
        <w:t xml:space="preserve"> at 113</w:t>
      </w:r>
      <w:r w:rsidR="00492A5F" w:rsidRPr="007A6EC7">
        <w:rPr>
          <w:color w:val="000000" w:themeColor="text1"/>
          <w:sz w:val="28"/>
          <w:szCs w:val="28"/>
        </w:rPr>
        <w:t>.</w:t>
      </w:r>
      <w:r w:rsidR="00004378" w:rsidRPr="007A6EC7">
        <w:rPr>
          <w:color w:val="000000" w:themeColor="text1"/>
          <w:sz w:val="28"/>
          <w:szCs w:val="28"/>
        </w:rPr>
        <w:t xml:space="preserve"> </w:t>
      </w:r>
      <w:r w:rsidR="00444E7B" w:rsidRPr="007A6EC7">
        <w:rPr>
          <w:color w:val="000000" w:themeColor="text1"/>
          <w:sz w:val="28"/>
          <w:szCs w:val="28"/>
        </w:rPr>
        <w:t>Instead,</w:t>
      </w:r>
      <w:r w:rsidR="00004378" w:rsidRPr="007A6EC7">
        <w:rPr>
          <w:color w:val="000000" w:themeColor="text1"/>
          <w:sz w:val="28"/>
          <w:szCs w:val="28"/>
        </w:rPr>
        <w:t xml:space="preserve"> the Ninth Circuit </w:t>
      </w:r>
      <w:r w:rsidR="00492A5F" w:rsidRPr="007A6EC7">
        <w:rPr>
          <w:color w:val="000000" w:themeColor="text1"/>
          <w:sz w:val="28"/>
          <w:szCs w:val="28"/>
        </w:rPr>
        <w:t xml:space="preserve">held Plaintiffs </w:t>
      </w:r>
      <w:r w:rsidR="005314DE">
        <w:rPr>
          <w:color w:val="000000" w:themeColor="text1"/>
          <w:sz w:val="28"/>
          <w:szCs w:val="28"/>
        </w:rPr>
        <w:t>mis-framed their lawsuit as</w:t>
      </w:r>
      <w:r w:rsidR="00492A5F" w:rsidRPr="007A6EC7">
        <w:rPr>
          <w:color w:val="000000" w:themeColor="text1"/>
          <w:sz w:val="28"/>
          <w:szCs w:val="28"/>
        </w:rPr>
        <w:t xml:space="preserve"> a facial </w:t>
      </w:r>
      <w:r w:rsidR="00DA0015">
        <w:rPr>
          <w:color w:val="000000" w:themeColor="text1"/>
          <w:sz w:val="28"/>
          <w:szCs w:val="28"/>
        </w:rPr>
        <w:t>rather than</w:t>
      </w:r>
      <w:r w:rsidR="00492A5F" w:rsidRPr="007A6EC7">
        <w:rPr>
          <w:color w:val="000000" w:themeColor="text1"/>
          <w:sz w:val="28"/>
          <w:szCs w:val="28"/>
        </w:rPr>
        <w:t xml:space="preserve"> an as-applied challenge. </w:t>
      </w:r>
      <w:r w:rsidR="00A51CA0" w:rsidRPr="007A6EC7">
        <w:rPr>
          <w:i/>
          <w:iCs/>
          <w:color w:val="000000" w:themeColor="text1"/>
          <w:sz w:val="28"/>
          <w:szCs w:val="28"/>
        </w:rPr>
        <w:t>Id</w:t>
      </w:r>
      <w:r w:rsidR="00A51CA0" w:rsidRPr="007A6EC7">
        <w:rPr>
          <w:color w:val="000000" w:themeColor="text1"/>
          <w:sz w:val="28"/>
          <w:szCs w:val="28"/>
        </w:rPr>
        <w:t>.</w:t>
      </w:r>
      <w:r w:rsidR="00492A5F" w:rsidRPr="007A6EC7">
        <w:rPr>
          <w:color w:val="000000" w:themeColor="text1"/>
          <w:sz w:val="28"/>
          <w:szCs w:val="28"/>
        </w:rPr>
        <w:t xml:space="preserve"> (“[i]n rejecting [Plaintiffs]’ facial challenge under the Speech Clause, we do not reach the constitutionality of the Victim Contact Limit”).</w:t>
      </w:r>
      <w:r w:rsidR="003E7D47">
        <w:rPr>
          <w:rStyle w:val="FootnoteReference"/>
          <w:color w:val="000000" w:themeColor="text1"/>
          <w:sz w:val="28"/>
          <w:szCs w:val="28"/>
        </w:rPr>
        <w:footnoteReference w:id="3"/>
      </w:r>
      <w:r w:rsidR="00444E7B" w:rsidRPr="007A6EC7">
        <w:rPr>
          <w:color w:val="000000" w:themeColor="text1"/>
          <w:sz w:val="28"/>
          <w:szCs w:val="28"/>
        </w:rPr>
        <w:t xml:space="preserve"> </w:t>
      </w:r>
      <w:r w:rsidR="00B83F37" w:rsidRPr="007A6EC7">
        <w:rPr>
          <w:color w:val="000000" w:themeColor="text1"/>
          <w:sz w:val="28"/>
          <w:szCs w:val="28"/>
        </w:rPr>
        <w:t xml:space="preserve">Importantly, neither the parties to the litigation nor the Ninth Circuit </w:t>
      </w:r>
      <w:r w:rsidR="005314DE">
        <w:rPr>
          <w:color w:val="000000" w:themeColor="text1"/>
          <w:sz w:val="28"/>
          <w:szCs w:val="28"/>
        </w:rPr>
        <w:lastRenderedPageBreak/>
        <w:t>indicated any</w:t>
      </w:r>
      <w:r w:rsidR="008710C3" w:rsidRPr="007A6EC7">
        <w:rPr>
          <w:color w:val="000000" w:themeColor="text1"/>
          <w:sz w:val="28"/>
          <w:szCs w:val="28"/>
        </w:rPr>
        <w:t xml:space="preserve"> error </w:t>
      </w:r>
      <w:r w:rsidR="005314DE">
        <w:rPr>
          <w:color w:val="000000" w:themeColor="text1"/>
          <w:sz w:val="28"/>
          <w:szCs w:val="28"/>
        </w:rPr>
        <w:t>in</w:t>
      </w:r>
      <w:r w:rsidR="008710C3" w:rsidRPr="007A6EC7">
        <w:rPr>
          <w:color w:val="000000" w:themeColor="text1"/>
          <w:sz w:val="28"/>
          <w:szCs w:val="28"/>
        </w:rPr>
        <w:t xml:space="preserve"> the District Court’s detailed findings of fact </w:t>
      </w:r>
      <w:r w:rsidR="005314DE">
        <w:rPr>
          <w:color w:val="000000" w:themeColor="text1"/>
          <w:sz w:val="28"/>
          <w:szCs w:val="28"/>
        </w:rPr>
        <w:t>after</w:t>
      </w:r>
      <w:r w:rsidR="008710C3" w:rsidRPr="007A6EC7">
        <w:rPr>
          <w:color w:val="000000" w:themeColor="text1"/>
          <w:sz w:val="28"/>
          <w:szCs w:val="28"/>
        </w:rPr>
        <w:t xml:space="preserve"> trial</w:t>
      </w:r>
      <w:r w:rsidR="005314DE">
        <w:rPr>
          <w:color w:val="000000" w:themeColor="text1"/>
          <w:sz w:val="28"/>
          <w:szCs w:val="28"/>
        </w:rPr>
        <w:t xml:space="preserve"> on the merits</w:t>
      </w:r>
      <w:r w:rsidR="008710C3" w:rsidRPr="007A6EC7">
        <w:rPr>
          <w:color w:val="000000" w:themeColor="text1"/>
          <w:sz w:val="28"/>
          <w:szCs w:val="28"/>
        </w:rPr>
        <w:t>.</w:t>
      </w:r>
      <w:r w:rsidR="00444E7B" w:rsidRPr="007A6EC7">
        <w:rPr>
          <w:color w:val="000000" w:themeColor="text1"/>
          <w:sz w:val="28"/>
          <w:szCs w:val="28"/>
        </w:rPr>
        <w:t xml:space="preserve"> </w:t>
      </w:r>
      <w:r w:rsidR="008710C3" w:rsidRPr="007A6EC7">
        <w:rPr>
          <w:color w:val="000000" w:themeColor="text1"/>
          <w:sz w:val="28"/>
          <w:szCs w:val="28"/>
        </w:rPr>
        <w:t xml:space="preserve">As such, </w:t>
      </w:r>
      <w:r w:rsidR="00444E7B" w:rsidRPr="007A6EC7">
        <w:rPr>
          <w:color w:val="000000" w:themeColor="text1"/>
          <w:sz w:val="28"/>
          <w:szCs w:val="28"/>
        </w:rPr>
        <w:t xml:space="preserve">new </w:t>
      </w:r>
      <w:r w:rsidR="005314DE">
        <w:rPr>
          <w:color w:val="000000" w:themeColor="text1"/>
          <w:sz w:val="28"/>
          <w:szCs w:val="28"/>
        </w:rPr>
        <w:t xml:space="preserve">litigation is anticipated </w:t>
      </w:r>
      <w:proofErr w:type="gramStart"/>
      <w:r w:rsidR="005314DE">
        <w:rPr>
          <w:color w:val="000000" w:themeColor="text1"/>
          <w:sz w:val="28"/>
          <w:szCs w:val="28"/>
        </w:rPr>
        <w:t>that</w:t>
      </w:r>
      <w:proofErr w:type="gramEnd"/>
      <w:r w:rsidR="005314DE">
        <w:rPr>
          <w:color w:val="000000" w:themeColor="text1"/>
          <w:sz w:val="28"/>
          <w:szCs w:val="28"/>
        </w:rPr>
        <w:t xml:space="preserve"> will </w:t>
      </w:r>
      <w:r w:rsidR="007D7C63" w:rsidRPr="007A6EC7">
        <w:rPr>
          <w:color w:val="000000" w:themeColor="text1"/>
          <w:sz w:val="28"/>
          <w:szCs w:val="28"/>
        </w:rPr>
        <w:t>challenge</w:t>
      </w:r>
      <w:r w:rsidR="00444E7B" w:rsidRPr="007A6EC7">
        <w:rPr>
          <w:color w:val="000000" w:themeColor="text1"/>
          <w:sz w:val="28"/>
          <w:szCs w:val="28"/>
        </w:rPr>
        <w:t xml:space="preserve"> both A.R.S. § 13-4433</w:t>
      </w:r>
      <w:r w:rsidR="005314DE">
        <w:rPr>
          <w:color w:val="000000" w:themeColor="text1"/>
          <w:sz w:val="28"/>
          <w:szCs w:val="28"/>
        </w:rPr>
        <w:t>(B)</w:t>
      </w:r>
      <w:r w:rsidR="00444E7B" w:rsidRPr="007A6EC7">
        <w:rPr>
          <w:color w:val="000000" w:themeColor="text1"/>
          <w:sz w:val="28"/>
          <w:szCs w:val="28"/>
        </w:rPr>
        <w:t xml:space="preserve"> and Rule 39</w:t>
      </w:r>
      <w:r w:rsidR="005314DE">
        <w:rPr>
          <w:color w:val="000000" w:themeColor="text1"/>
          <w:sz w:val="28"/>
          <w:szCs w:val="28"/>
        </w:rPr>
        <w:t>(b)(12)</w:t>
      </w:r>
      <w:r w:rsidR="00444E7B" w:rsidRPr="007A6EC7">
        <w:rPr>
          <w:color w:val="000000" w:themeColor="text1"/>
          <w:sz w:val="28"/>
          <w:szCs w:val="28"/>
        </w:rPr>
        <w:t xml:space="preserve"> </w:t>
      </w:r>
      <w:r w:rsidR="001A0B87" w:rsidRPr="007A6EC7">
        <w:rPr>
          <w:color w:val="000000" w:themeColor="text1"/>
          <w:sz w:val="28"/>
          <w:szCs w:val="28"/>
        </w:rPr>
        <w:t xml:space="preserve">to vindicate the </w:t>
      </w:r>
      <w:r w:rsidR="005314DE">
        <w:rPr>
          <w:color w:val="000000" w:themeColor="text1"/>
          <w:sz w:val="28"/>
          <w:szCs w:val="28"/>
        </w:rPr>
        <w:t>speech</w:t>
      </w:r>
      <w:r w:rsidR="001A0B87" w:rsidRPr="007A6EC7">
        <w:rPr>
          <w:color w:val="000000" w:themeColor="text1"/>
          <w:sz w:val="28"/>
          <w:szCs w:val="28"/>
        </w:rPr>
        <w:t xml:space="preserve"> rights of criminal defense attorneys and </w:t>
      </w:r>
      <w:r w:rsidR="005314DE">
        <w:rPr>
          <w:color w:val="000000" w:themeColor="text1"/>
          <w:sz w:val="28"/>
          <w:szCs w:val="28"/>
        </w:rPr>
        <w:t>others working with them</w:t>
      </w:r>
      <w:r w:rsidR="001A0B87" w:rsidRPr="007A6EC7">
        <w:rPr>
          <w:color w:val="000000" w:themeColor="text1"/>
          <w:sz w:val="28"/>
          <w:szCs w:val="28"/>
        </w:rPr>
        <w:t>.</w:t>
      </w:r>
    </w:p>
    <w:p w14:paraId="4EE387AA" w14:textId="42B42D12" w:rsidR="00C44650" w:rsidRPr="007A6EC7" w:rsidRDefault="001A0B87" w:rsidP="00C44650">
      <w:pPr>
        <w:pStyle w:val="ListParagraph"/>
        <w:numPr>
          <w:ilvl w:val="0"/>
          <w:numId w:val="2"/>
        </w:numPr>
        <w:spacing w:line="240" w:lineRule="auto"/>
        <w:rPr>
          <w:b/>
          <w:bCs/>
          <w:color w:val="000000" w:themeColor="text1"/>
          <w:sz w:val="28"/>
          <w:szCs w:val="28"/>
          <w:u w:val="single"/>
        </w:rPr>
      </w:pPr>
      <w:r w:rsidRPr="007A6EC7">
        <w:rPr>
          <w:b/>
          <w:bCs/>
          <w:color w:val="000000" w:themeColor="text1"/>
          <w:sz w:val="28"/>
          <w:szCs w:val="28"/>
          <w:u w:val="single"/>
        </w:rPr>
        <w:t xml:space="preserve">The State Bar’s Proposed Rule Change </w:t>
      </w:r>
      <w:r w:rsidR="00492A5F" w:rsidRPr="007A6EC7">
        <w:rPr>
          <w:b/>
          <w:bCs/>
          <w:color w:val="000000" w:themeColor="text1"/>
          <w:sz w:val="28"/>
          <w:szCs w:val="28"/>
          <w:u w:val="single"/>
        </w:rPr>
        <w:t>May</w:t>
      </w:r>
      <w:r w:rsidRPr="007A6EC7">
        <w:rPr>
          <w:b/>
          <w:bCs/>
          <w:color w:val="000000" w:themeColor="text1"/>
          <w:sz w:val="28"/>
          <w:szCs w:val="28"/>
          <w:u w:val="single"/>
        </w:rPr>
        <w:t xml:space="preserve"> Provide Transparency and Accountability to the Process of Seeking a Defense Interview with a Statutory Crime Victim.</w:t>
      </w:r>
    </w:p>
    <w:p w14:paraId="2DDC176A" w14:textId="77777777" w:rsidR="00C44650" w:rsidRPr="007A6EC7" w:rsidRDefault="00C44650" w:rsidP="00A00E0F">
      <w:pPr>
        <w:spacing w:after="0" w:line="240" w:lineRule="auto"/>
        <w:ind w:firstLine="720"/>
        <w:rPr>
          <w:color w:val="000000" w:themeColor="text1"/>
          <w:sz w:val="28"/>
          <w:szCs w:val="28"/>
        </w:rPr>
      </w:pPr>
    </w:p>
    <w:p w14:paraId="371EFFB5" w14:textId="797EEFA1" w:rsidR="004277FB" w:rsidRPr="007A6EC7" w:rsidRDefault="00492A5F" w:rsidP="00492A5F">
      <w:pPr>
        <w:spacing w:line="480" w:lineRule="auto"/>
        <w:ind w:firstLine="720"/>
        <w:contextualSpacing/>
        <w:rPr>
          <w:color w:val="000000" w:themeColor="text1"/>
          <w:sz w:val="28"/>
          <w:szCs w:val="28"/>
        </w:rPr>
      </w:pPr>
      <w:r w:rsidRPr="007A6EC7">
        <w:rPr>
          <w:color w:val="000000" w:themeColor="text1"/>
          <w:sz w:val="28"/>
          <w:szCs w:val="28"/>
        </w:rPr>
        <w:t xml:space="preserve">The State Bar’s proposed rule change attempts to improve Rule 39(b)(12) in three ways. </w:t>
      </w:r>
      <w:r w:rsidR="00263ADC" w:rsidRPr="007A6EC7">
        <w:rPr>
          <w:color w:val="000000" w:themeColor="text1"/>
          <w:sz w:val="28"/>
          <w:szCs w:val="28"/>
        </w:rPr>
        <w:t>First</w:t>
      </w:r>
      <w:r w:rsidR="00E77244" w:rsidRPr="007A6EC7">
        <w:rPr>
          <w:color w:val="000000" w:themeColor="text1"/>
          <w:sz w:val="28"/>
          <w:szCs w:val="28"/>
        </w:rPr>
        <w:t xml:space="preserve">, </w:t>
      </w:r>
      <w:r w:rsidR="004277FB" w:rsidRPr="007A6EC7">
        <w:rPr>
          <w:color w:val="000000" w:themeColor="text1"/>
          <w:sz w:val="28"/>
          <w:szCs w:val="28"/>
        </w:rPr>
        <w:t>the</w:t>
      </w:r>
      <w:r w:rsidR="00E77244" w:rsidRPr="007A6EC7">
        <w:rPr>
          <w:color w:val="000000" w:themeColor="text1"/>
          <w:sz w:val="28"/>
          <w:szCs w:val="28"/>
        </w:rPr>
        <w:t xml:space="preserve"> proposed rule </w:t>
      </w:r>
      <w:r w:rsidR="00DA0015">
        <w:rPr>
          <w:color w:val="000000" w:themeColor="text1"/>
          <w:sz w:val="28"/>
          <w:szCs w:val="28"/>
        </w:rPr>
        <w:t>attempts to</w:t>
      </w:r>
      <w:r w:rsidR="00E77244" w:rsidRPr="007A6EC7">
        <w:rPr>
          <w:color w:val="000000" w:themeColor="text1"/>
          <w:sz w:val="28"/>
          <w:szCs w:val="28"/>
        </w:rPr>
        <w:t xml:space="preserve"> </w:t>
      </w:r>
      <w:r w:rsidR="00B04F58" w:rsidRPr="007A6EC7">
        <w:rPr>
          <w:color w:val="000000" w:themeColor="text1"/>
          <w:sz w:val="28"/>
          <w:szCs w:val="28"/>
        </w:rPr>
        <w:t>provide</w:t>
      </w:r>
      <w:r w:rsidR="00E77244" w:rsidRPr="007A6EC7">
        <w:rPr>
          <w:color w:val="000000" w:themeColor="text1"/>
          <w:sz w:val="28"/>
          <w:szCs w:val="28"/>
        </w:rPr>
        <w:t xml:space="preserve"> transparency </w:t>
      </w:r>
      <w:r w:rsidR="005314DE">
        <w:rPr>
          <w:color w:val="000000" w:themeColor="text1"/>
          <w:sz w:val="28"/>
          <w:szCs w:val="28"/>
        </w:rPr>
        <w:t>regarding</w:t>
      </w:r>
      <w:r w:rsidR="00E77244" w:rsidRPr="007A6EC7">
        <w:rPr>
          <w:color w:val="000000" w:themeColor="text1"/>
          <w:sz w:val="28"/>
          <w:szCs w:val="28"/>
        </w:rPr>
        <w:t xml:space="preserve"> a prosecutor’s diligence </w:t>
      </w:r>
      <w:r w:rsidR="005314DE">
        <w:rPr>
          <w:color w:val="000000" w:themeColor="text1"/>
          <w:sz w:val="28"/>
          <w:szCs w:val="28"/>
        </w:rPr>
        <w:t>in</w:t>
      </w:r>
      <w:r w:rsidR="00E77244" w:rsidRPr="007A6EC7">
        <w:rPr>
          <w:color w:val="000000" w:themeColor="text1"/>
          <w:sz w:val="28"/>
          <w:szCs w:val="28"/>
        </w:rPr>
        <w:t xml:space="preserve"> conveying interview requests, </w:t>
      </w:r>
      <w:r w:rsidR="00B04F58" w:rsidRPr="007A6EC7">
        <w:rPr>
          <w:color w:val="000000" w:themeColor="text1"/>
          <w:sz w:val="28"/>
          <w:szCs w:val="28"/>
        </w:rPr>
        <w:t>by</w:t>
      </w:r>
      <w:r w:rsidR="00E77244" w:rsidRPr="007A6EC7">
        <w:rPr>
          <w:color w:val="000000" w:themeColor="text1"/>
          <w:sz w:val="28"/>
          <w:szCs w:val="28"/>
        </w:rPr>
        <w:t xml:space="preserve"> “help</w:t>
      </w:r>
      <w:r w:rsidR="00B04F58" w:rsidRPr="007A6EC7">
        <w:rPr>
          <w:color w:val="000000" w:themeColor="text1"/>
          <w:sz w:val="28"/>
          <w:szCs w:val="28"/>
        </w:rPr>
        <w:t>ing</w:t>
      </w:r>
      <w:r w:rsidR="00E77244" w:rsidRPr="007A6EC7">
        <w:rPr>
          <w:color w:val="000000" w:themeColor="text1"/>
          <w:sz w:val="28"/>
          <w:szCs w:val="28"/>
        </w:rPr>
        <w:t xml:space="preserve"> to ensure the [defense] request is not forgotten or overlooked”</w:t>
      </w:r>
      <w:r w:rsidR="00B04F58" w:rsidRPr="007A6EC7">
        <w:rPr>
          <w:color w:val="000000" w:themeColor="text1"/>
          <w:sz w:val="28"/>
          <w:szCs w:val="28"/>
        </w:rPr>
        <w:t xml:space="preserve"> and “the court is alerted to it.”</w:t>
      </w:r>
      <w:r w:rsidR="00E77244" w:rsidRPr="007A6EC7">
        <w:rPr>
          <w:color w:val="000000" w:themeColor="text1"/>
          <w:sz w:val="28"/>
          <w:szCs w:val="28"/>
        </w:rPr>
        <w:t xml:space="preserve"> </w:t>
      </w:r>
      <w:r w:rsidR="00B04F58" w:rsidRPr="007A6EC7">
        <w:rPr>
          <w:color w:val="000000" w:themeColor="text1"/>
          <w:sz w:val="28"/>
          <w:szCs w:val="28"/>
        </w:rPr>
        <w:t>R-25-0035 at 8. B</w:t>
      </w:r>
      <w:r w:rsidR="00E77244" w:rsidRPr="007A6EC7">
        <w:rPr>
          <w:color w:val="000000" w:themeColor="text1"/>
          <w:sz w:val="28"/>
          <w:szCs w:val="28"/>
        </w:rPr>
        <w:t xml:space="preserve">y requiring the prosecutor </w:t>
      </w:r>
      <w:r w:rsidR="00B04F58" w:rsidRPr="007A6EC7">
        <w:rPr>
          <w:color w:val="000000" w:themeColor="text1"/>
          <w:sz w:val="28"/>
          <w:szCs w:val="28"/>
        </w:rPr>
        <w:t xml:space="preserve">to </w:t>
      </w:r>
      <w:r w:rsidR="00E77244" w:rsidRPr="007A6EC7">
        <w:rPr>
          <w:color w:val="000000" w:themeColor="text1"/>
          <w:sz w:val="28"/>
          <w:szCs w:val="28"/>
        </w:rPr>
        <w:t xml:space="preserve">diligently convey the request to interview unrepresented victims and file notice of the victims’ response or the prosecutors failed efforts to obtain a response within 30 days, the proposed rule amendment creates </w:t>
      </w:r>
      <w:proofErr w:type="gramStart"/>
      <w:r w:rsidR="00E77244" w:rsidRPr="007A6EC7">
        <w:rPr>
          <w:color w:val="000000" w:themeColor="text1"/>
          <w:sz w:val="28"/>
          <w:szCs w:val="28"/>
        </w:rPr>
        <w:t>process</w:t>
      </w:r>
      <w:proofErr w:type="gramEnd"/>
      <w:r w:rsidR="00E77244" w:rsidRPr="007A6EC7">
        <w:rPr>
          <w:color w:val="000000" w:themeColor="text1"/>
          <w:sz w:val="28"/>
          <w:szCs w:val="28"/>
        </w:rPr>
        <w:t xml:space="preserve"> where none existed before.</w:t>
      </w:r>
      <w:r w:rsidR="005314DE">
        <w:rPr>
          <w:color w:val="000000" w:themeColor="text1"/>
          <w:sz w:val="28"/>
          <w:szCs w:val="28"/>
        </w:rPr>
        <w:t xml:space="preserve"> </w:t>
      </w:r>
      <w:r w:rsidR="00E77244" w:rsidRPr="007A6EC7">
        <w:rPr>
          <w:color w:val="000000" w:themeColor="text1"/>
          <w:sz w:val="28"/>
          <w:szCs w:val="28"/>
        </w:rPr>
        <w:t xml:space="preserve">Such a change </w:t>
      </w:r>
      <w:r w:rsidR="00BE52B9" w:rsidRPr="007A6EC7">
        <w:rPr>
          <w:color w:val="000000" w:themeColor="text1"/>
          <w:sz w:val="28"/>
          <w:szCs w:val="28"/>
        </w:rPr>
        <w:t>may</w:t>
      </w:r>
      <w:r w:rsidR="00E77244" w:rsidRPr="007A6EC7">
        <w:rPr>
          <w:color w:val="000000" w:themeColor="text1"/>
          <w:sz w:val="28"/>
          <w:szCs w:val="28"/>
        </w:rPr>
        <w:t xml:space="preserve"> alleviate the concerns of defense counsel who “do not believe that prosecutors always communicate their requests for victim contact to the victim.” </w:t>
      </w:r>
      <w:r w:rsidR="005314DE" w:rsidRPr="007A6EC7">
        <w:rPr>
          <w:i/>
          <w:iCs/>
          <w:color w:val="000000" w:themeColor="text1"/>
          <w:sz w:val="28"/>
          <w:szCs w:val="28"/>
        </w:rPr>
        <w:t>AACJ</w:t>
      </w:r>
      <w:r w:rsidR="005314DE" w:rsidRPr="007A6EC7">
        <w:rPr>
          <w:color w:val="000000" w:themeColor="text1"/>
          <w:sz w:val="28"/>
          <w:szCs w:val="28"/>
        </w:rPr>
        <w:t xml:space="preserve">, 638 F. Supp. 3d at 1060. </w:t>
      </w:r>
      <w:r w:rsidR="005314DE">
        <w:rPr>
          <w:color w:val="000000" w:themeColor="text1"/>
          <w:sz w:val="28"/>
          <w:szCs w:val="28"/>
        </w:rPr>
        <w:t xml:space="preserve">&amp; </w:t>
      </w:r>
      <w:r w:rsidR="00E77244" w:rsidRPr="007A6EC7">
        <w:rPr>
          <w:color w:val="000000" w:themeColor="text1"/>
          <w:sz w:val="28"/>
          <w:szCs w:val="28"/>
        </w:rPr>
        <w:t>n.3.</w:t>
      </w:r>
    </w:p>
    <w:p w14:paraId="57352F0E" w14:textId="701AEFCC" w:rsidR="004277FB" w:rsidRPr="007A6EC7" w:rsidRDefault="00263ADC" w:rsidP="004277FB">
      <w:pPr>
        <w:spacing w:line="480" w:lineRule="auto"/>
        <w:ind w:firstLine="720"/>
        <w:contextualSpacing/>
        <w:rPr>
          <w:color w:val="000000" w:themeColor="text1"/>
          <w:sz w:val="28"/>
          <w:szCs w:val="28"/>
        </w:rPr>
      </w:pPr>
      <w:r w:rsidRPr="007A6EC7">
        <w:rPr>
          <w:color w:val="000000" w:themeColor="text1"/>
          <w:sz w:val="28"/>
          <w:szCs w:val="28"/>
        </w:rPr>
        <w:lastRenderedPageBreak/>
        <w:t xml:space="preserve">Second, </w:t>
      </w:r>
      <w:r w:rsidR="004277FB" w:rsidRPr="007A6EC7">
        <w:rPr>
          <w:color w:val="000000" w:themeColor="text1"/>
          <w:sz w:val="28"/>
          <w:szCs w:val="28"/>
        </w:rPr>
        <w:t xml:space="preserve">the proposed rule </w:t>
      </w:r>
      <w:r w:rsidR="00DA0015">
        <w:rPr>
          <w:color w:val="000000" w:themeColor="text1"/>
          <w:sz w:val="28"/>
          <w:szCs w:val="28"/>
        </w:rPr>
        <w:t>attempts to</w:t>
      </w:r>
      <w:r w:rsidR="004277FB" w:rsidRPr="007A6EC7">
        <w:rPr>
          <w:color w:val="000000" w:themeColor="text1"/>
          <w:sz w:val="28"/>
          <w:szCs w:val="28"/>
        </w:rPr>
        <w:t xml:space="preserve"> increase transparency in the prosecutor’s communications with victims when conveying interview requests. By requiring that the prosecutor convey the defense request to the victim “in full,” R-25-0035 at 10, the State Bar’s proposed amendments </w:t>
      </w:r>
      <w:r w:rsidR="008A4392">
        <w:rPr>
          <w:color w:val="000000" w:themeColor="text1"/>
          <w:sz w:val="28"/>
          <w:szCs w:val="28"/>
        </w:rPr>
        <w:t>should</w:t>
      </w:r>
      <w:r w:rsidR="004277FB" w:rsidRPr="007A6EC7">
        <w:rPr>
          <w:color w:val="000000" w:themeColor="text1"/>
          <w:sz w:val="28"/>
          <w:szCs w:val="28"/>
        </w:rPr>
        <w:t xml:space="preserve"> end the existing practice of prosecutors using “a standard template when sending a letter notifying a victim of a request for an interview.” 638 F. Supp. 3d at 1060. </w:t>
      </w:r>
      <w:r w:rsidR="005E6424" w:rsidRPr="007A6EC7">
        <w:rPr>
          <w:color w:val="000000" w:themeColor="text1"/>
          <w:sz w:val="28"/>
          <w:szCs w:val="28"/>
        </w:rPr>
        <w:t xml:space="preserve">The use of these form letters forces criminal defense lawyers and their agents to “speak a particular message” in the form of a “government-drafted script” in violation of the First Amendment. </w:t>
      </w:r>
      <w:r w:rsidR="005E6424" w:rsidRPr="007A6EC7">
        <w:rPr>
          <w:i/>
          <w:iCs/>
          <w:color w:val="000000" w:themeColor="text1"/>
          <w:sz w:val="28"/>
          <w:szCs w:val="28"/>
        </w:rPr>
        <w:t xml:space="preserve">Nat’l Inst. Of Fam. &amp; Life Advocs. v. Becerra </w:t>
      </w:r>
      <w:r w:rsidR="005E6424" w:rsidRPr="007A6EC7">
        <w:rPr>
          <w:color w:val="000000" w:themeColor="text1"/>
          <w:sz w:val="28"/>
          <w:szCs w:val="28"/>
        </w:rPr>
        <w:t>(“</w:t>
      </w:r>
      <w:r w:rsidR="005E6424" w:rsidRPr="007A6EC7">
        <w:rPr>
          <w:i/>
          <w:iCs/>
          <w:color w:val="000000" w:themeColor="text1"/>
          <w:sz w:val="28"/>
          <w:szCs w:val="28"/>
        </w:rPr>
        <w:t>NIFLA</w:t>
      </w:r>
      <w:r w:rsidR="005E6424" w:rsidRPr="007A6EC7">
        <w:rPr>
          <w:color w:val="000000" w:themeColor="text1"/>
          <w:sz w:val="28"/>
          <w:szCs w:val="28"/>
        </w:rPr>
        <w:t xml:space="preserve">”), </w:t>
      </w:r>
      <w:r w:rsidR="00E63BBD" w:rsidRPr="007A6EC7">
        <w:rPr>
          <w:color w:val="000000" w:themeColor="text1"/>
          <w:sz w:val="28"/>
          <w:szCs w:val="28"/>
        </w:rPr>
        <w:t>585 U.S. 755</w:t>
      </w:r>
      <w:r w:rsidR="005E6424" w:rsidRPr="007A6EC7">
        <w:rPr>
          <w:color w:val="000000" w:themeColor="text1"/>
          <w:sz w:val="28"/>
          <w:szCs w:val="28"/>
        </w:rPr>
        <w:t xml:space="preserve">, </w:t>
      </w:r>
      <w:r w:rsidR="00E63BBD" w:rsidRPr="007A6EC7">
        <w:rPr>
          <w:color w:val="000000" w:themeColor="text1"/>
          <w:sz w:val="28"/>
          <w:szCs w:val="28"/>
        </w:rPr>
        <w:t>766</w:t>
      </w:r>
      <w:r w:rsidR="005E6424" w:rsidRPr="007A6EC7">
        <w:rPr>
          <w:color w:val="000000" w:themeColor="text1"/>
          <w:sz w:val="28"/>
          <w:szCs w:val="28"/>
        </w:rPr>
        <w:t xml:space="preserve"> (2018)</w:t>
      </w:r>
      <w:r w:rsidR="00E63BBD" w:rsidRPr="007A6EC7">
        <w:rPr>
          <w:color w:val="000000" w:themeColor="text1"/>
          <w:sz w:val="28"/>
          <w:szCs w:val="28"/>
        </w:rPr>
        <w:t>.</w:t>
      </w:r>
      <w:r w:rsidR="005E6424" w:rsidRPr="007A6EC7">
        <w:rPr>
          <w:color w:val="000000" w:themeColor="text1"/>
          <w:sz w:val="28"/>
          <w:szCs w:val="28"/>
        </w:rPr>
        <w:t xml:space="preserve"> The State Bar’s proposed rule changes </w:t>
      </w:r>
      <w:r w:rsidR="008A4392">
        <w:rPr>
          <w:color w:val="000000" w:themeColor="text1"/>
          <w:sz w:val="28"/>
          <w:szCs w:val="28"/>
        </w:rPr>
        <w:t>sh</w:t>
      </w:r>
      <w:r w:rsidR="004277FB" w:rsidRPr="007A6EC7">
        <w:rPr>
          <w:color w:val="000000" w:themeColor="text1"/>
          <w:sz w:val="28"/>
          <w:szCs w:val="28"/>
        </w:rPr>
        <w:t xml:space="preserve">ould, at a minimum, allow the defense to know </w:t>
      </w:r>
      <w:r w:rsidR="007230CD">
        <w:rPr>
          <w:color w:val="000000" w:themeColor="text1"/>
          <w:sz w:val="28"/>
          <w:szCs w:val="28"/>
        </w:rPr>
        <w:t xml:space="preserve">that </w:t>
      </w:r>
      <w:r w:rsidR="004277FB" w:rsidRPr="007A6EC7">
        <w:rPr>
          <w:color w:val="000000" w:themeColor="text1"/>
          <w:sz w:val="28"/>
          <w:szCs w:val="28"/>
        </w:rPr>
        <w:t xml:space="preserve">the content of their message was </w:t>
      </w:r>
      <w:r w:rsidR="007230CD">
        <w:rPr>
          <w:color w:val="000000" w:themeColor="text1"/>
          <w:sz w:val="28"/>
          <w:szCs w:val="28"/>
        </w:rPr>
        <w:t>delivered</w:t>
      </w:r>
      <w:r w:rsidR="004277FB" w:rsidRPr="007A6EC7">
        <w:rPr>
          <w:color w:val="000000" w:themeColor="text1"/>
          <w:sz w:val="28"/>
          <w:szCs w:val="28"/>
        </w:rPr>
        <w:t xml:space="preserve"> to a victim.</w:t>
      </w:r>
    </w:p>
    <w:p w14:paraId="4368261A" w14:textId="2413E6FF" w:rsidR="005543E0" w:rsidRPr="007A6EC7" w:rsidRDefault="004277FB" w:rsidP="00C44650">
      <w:pPr>
        <w:spacing w:line="480" w:lineRule="auto"/>
        <w:ind w:firstLine="720"/>
        <w:contextualSpacing/>
        <w:rPr>
          <w:color w:val="000000" w:themeColor="text1"/>
          <w:sz w:val="28"/>
          <w:szCs w:val="28"/>
        </w:rPr>
      </w:pPr>
      <w:r w:rsidRPr="007A6EC7">
        <w:rPr>
          <w:color w:val="000000" w:themeColor="text1"/>
          <w:sz w:val="28"/>
          <w:szCs w:val="28"/>
        </w:rPr>
        <w:t xml:space="preserve">Finally, the proposed rule </w:t>
      </w:r>
      <w:r w:rsidR="008A4392">
        <w:rPr>
          <w:color w:val="000000" w:themeColor="text1"/>
          <w:sz w:val="28"/>
          <w:szCs w:val="28"/>
        </w:rPr>
        <w:t>attempts to</w:t>
      </w:r>
      <w:r w:rsidRPr="007A6EC7">
        <w:rPr>
          <w:color w:val="000000" w:themeColor="text1"/>
          <w:sz w:val="28"/>
          <w:szCs w:val="28"/>
        </w:rPr>
        <w:t xml:space="preserve"> increase government accountability by requiring court notice of defense interview requests and </w:t>
      </w:r>
      <w:proofErr w:type="gramStart"/>
      <w:r w:rsidRPr="007A6EC7">
        <w:rPr>
          <w:color w:val="000000" w:themeColor="text1"/>
          <w:sz w:val="28"/>
          <w:szCs w:val="28"/>
        </w:rPr>
        <w:t>setting</w:t>
      </w:r>
      <w:proofErr w:type="gramEnd"/>
      <w:r w:rsidRPr="007A6EC7">
        <w:rPr>
          <w:color w:val="000000" w:themeColor="text1"/>
          <w:sz w:val="28"/>
          <w:szCs w:val="28"/>
        </w:rPr>
        <w:t xml:space="preserve"> concrete deadlines for the prosecutor to fulfill their duties. R-25-0035 at 8. </w:t>
      </w:r>
      <w:r w:rsidR="00CC53B9" w:rsidRPr="007A6EC7">
        <w:rPr>
          <w:color w:val="000000" w:themeColor="text1"/>
          <w:sz w:val="28"/>
          <w:szCs w:val="28"/>
        </w:rPr>
        <w:t>The c</w:t>
      </w:r>
      <w:r w:rsidRPr="007A6EC7">
        <w:rPr>
          <w:color w:val="000000" w:themeColor="text1"/>
          <w:sz w:val="28"/>
          <w:szCs w:val="28"/>
        </w:rPr>
        <w:t>ourt and parties, including any “successor counsel,” would be able to “determine whether a request has been made,” when it was made, whether the prosecutor diligently conveyed the request to the victim, and whether the prosecutor timely provided notice of the victim’s response or lack thereof. R-25-0035 at 8.</w:t>
      </w:r>
    </w:p>
    <w:p w14:paraId="6C32641E" w14:textId="16DB8C1F" w:rsidR="00B92298" w:rsidRPr="007A6EC7" w:rsidRDefault="00B92298" w:rsidP="00C44650">
      <w:pPr>
        <w:spacing w:line="480" w:lineRule="auto"/>
        <w:ind w:firstLine="720"/>
        <w:contextualSpacing/>
        <w:rPr>
          <w:color w:val="000000" w:themeColor="text1"/>
          <w:sz w:val="28"/>
          <w:szCs w:val="28"/>
        </w:rPr>
      </w:pPr>
      <w:r w:rsidRPr="007A6EC7">
        <w:rPr>
          <w:color w:val="000000" w:themeColor="text1"/>
          <w:sz w:val="28"/>
          <w:szCs w:val="28"/>
        </w:rPr>
        <w:t xml:space="preserve">Despite the Committee’s attention to detail in crafting an amended rule that improves transparency and accountability into a process that currently has none, the </w:t>
      </w:r>
      <w:r w:rsidRPr="007A6EC7">
        <w:rPr>
          <w:color w:val="000000" w:themeColor="text1"/>
          <w:sz w:val="28"/>
          <w:szCs w:val="28"/>
        </w:rPr>
        <w:lastRenderedPageBreak/>
        <w:t xml:space="preserve">Arizona Prosecuting Attorneys’ Advisory Council (APAAC) nonetheless claims in its Comment that the State Bar’s Rule Change Petition “appears to create confusion and will have an unintended negative impact on a victim’s right to confer with prosecutor </w:t>
      </w:r>
      <w:r w:rsidR="00CC53B9" w:rsidRPr="007A6EC7">
        <w:rPr>
          <w:color w:val="000000" w:themeColor="text1"/>
          <w:sz w:val="28"/>
          <w:szCs w:val="28"/>
        </w:rPr>
        <w:t xml:space="preserve">[sic] </w:t>
      </w:r>
      <w:r w:rsidRPr="007A6EC7">
        <w:rPr>
          <w:color w:val="000000" w:themeColor="text1"/>
          <w:sz w:val="28"/>
          <w:szCs w:val="28"/>
        </w:rPr>
        <w:t>about all aspects of a case, including the right to refuse interview requests.” Such assertions are supported by no authority and should be rejected by this Court.</w:t>
      </w:r>
    </w:p>
    <w:p w14:paraId="3A101374" w14:textId="7113A5D3" w:rsidR="0065699F" w:rsidRPr="007A6EC7" w:rsidRDefault="00F14376" w:rsidP="00F14376">
      <w:pPr>
        <w:pStyle w:val="ListParagraph"/>
        <w:numPr>
          <w:ilvl w:val="0"/>
          <w:numId w:val="2"/>
        </w:numPr>
        <w:spacing w:line="240" w:lineRule="auto"/>
        <w:rPr>
          <w:b/>
          <w:bCs/>
          <w:color w:val="000000" w:themeColor="text1"/>
          <w:sz w:val="28"/>
          <w:szCs w:val="28"/>
          <w:u w:val="single"/>
        </w:rPr>
      </w:pPr>
      <w:r w:rsidRPr="007A6EC7">
        <w:rPr>
          <w:b/>
          <w:bCs/>
          <w:color w:val="000000" w:themeColor="text1"/>
          <w:sz w:val="28"/>
          <w:szCs w:val="28"/>
          <w:u w:val="single"/>
        </w:rPr>
        <w:t xml:space="preserve">The State Bar of Arizona’s </w:t>
      </w:r>
      <w:r w:rsidR="007230CD">
        <w:rPr>
          <w:b/>
          <w:bCs/>
          <w:color w:val="000000" w:themeColor="text1"/>
          <w:sz w:val="28"/>
          <w:szCs w:val="28"/>
          <w:u w:val="single"/>
        </w:rPr>
        <w:t xml:space="preserve">Proposed </w:t>
      </w:r>
      <w:r w:rsidRPr="007A6EC7">
        <w:rPr>
          <w:b/>
          <w:bCs/>
          <w:color w:val="000000" w:themeColor="text1"/>
          <w:sz w:val="28"/>
          <w:szCs w:val="28"/>
          <w:u w:val="single"/>
        </w:rPr>
        <w:t xml:space="preserve">Rule Change Still Violates </w:t>
      </w:r>
      <w:r w:rsidR="007230CD">
        <w:rPr>
          <w:b/>
          <w:bCs/>
          <w:color w:val="000000" w:themeColor="text1"/>
          <w:sz w:val="28"/>
          <w:szCs w:val="28"/>
          <w:u w:val="single"/>
        </w:rPr>
        <w:t>Free-Speech Protections</w:t>
      </w:r>
      <w:r w:rsidRPr="007A6EC7">
        <w:rPr>
          <w:b/>
          <w:bCs/>
          <w:color w:val="000000" w:themeColor="text1"/>
          <w:sz w:val="28"/>
          <w:szCs w:val="28"/>
          <w:u w:val="single"/>
        </w:rPr>
        <w:t xml:space="preserve"> and Will Continue to Skew the Adversarial System by Restricting the Speech of Criminal Defense Attorneys While Allowing Prosecutors Unfettered Speech with Statutory Crime Victims</w:t>
      </w:r>
      <w:r w:rsidR="001A0B87" w:rsidRPr="007A6EC7">
        <w:rPr>
          <w:b/>
          <w:bCs/>
          <w:color w:val="000000" w:themeColor="text1"/>
          <w:sz w:val="28"/>
          <w:szCs w:val="28"/>
          <w:u w:val="single"/>
        </w:rPr>
        <w:t>.</w:t>
      </w:r>
    </w:p>
    <w:p w14:paraId="2A155915" w14:textId="77777777" w:rsidR="00C44650" w:rsidRPr="007A6EC7" w:rsidRDefault="00C44650" w:rsidP="00A00E0F">
      <w:pPr>
        <w:spacing w:after="0" w:line="240" w:lineRule="auto"/>
        <w:rPr>
          <w:color w:val="000000" w:themeColor="text1"/>
          <w:sz w:val="28"/>
          <w:szCs w:val="28"/>
        </w:rPr>
      </w:pPr>
    </w:p>
    <w:p w14:paraId="7AFBE218" w14:textId="3735073A" w:rsidR="000D25C5" w:rsidRPr="007A6EC7" w:rsidRDefault="00C44650" w:rsidP="000D25C5">
      <w:pPr>
        <w:spacing w:line="480" w:lineRule="auto"/>
        <w:ind w:firstLine="720"/>
        <w:contextualSpacing/>
        <w:rPr>
          <w:color w:val="000000" w:themeColor="text1"/>
          <w:sz w:val="28"/>
          <w:szCs w:val="28"/>
        </w:rPr>
      </w:pPr>
      <w:r w:rsidRPr="007A6EC7">
        <w:rPr>
          <w:color w:val="000000" w:themeColor="text1"/>
          <w:sz w:val="28"/>
          <w:szCs w:val="28"/>
        </w:rPr>
        <w:t xml:space="preserve">The State Bar of Arizona’s proposed rule does not effectively address the constitutional issues identified in </w:t>
      </w:r>
      <w:r w:rsidRPr="007A6EC7">
        <w:rPr>
          <w:i/>
          <w:iCs/>
          <w:color w:val="000000" w:themeColor="text1"/>
          <w:sz w:val="28"/>
          <w:szCs w:val="28"/>
        </w:rPr>
        <w:t>AACJ</w:t>
      </w:r>
      <w:r w:rsidR="007230CD">
        <w:rPr>
          <w:i/>
          <w:iCs/>
          <w:color w:val="000000" w:themeColor="text1"/>
          <w:sz w:val="28"/>
          <w:szCs w:val="28"/>
        </w:rPr>
        <w:t xml:space="preserve"> II</w:t>
      </w:r>
      <w:r w:rsidRPr="007A6EC7">
        <w:rPr>
          <w:color w:val="000000" w:themeColor="text1"/>
          <w:sz w:val="28"/>
          <w:szCs w:val="28"/>
        </w:rPr>
        <w:t xml:space="preserve">, the merits of which were left undisturbed by the Ninth Circuit. While it is true, as noted in this Court’s August 31, 2023 letter, that “AACJ did not explicitly challenge Rule 39(b)(12) in </w:t>
      </w:r>
      <w:r w:rsidRPr="007A6EC7">
        <w:rPr>
          <w:i/>
          <w:iCs/>
          <w:color w:val="000000" w:themeColor="text1"/>
          <w:sz w:val="28"/>
          <w:szCs w:val="28"/>
        </w:rPr>
        <w:t>AACJ v. Ducey</w:t>
      </w:r>
      <w:r w:rsidRPr="007A6EC7">
        <w:rPr>
          <w:color w:val="000000" w:themeColor="text1"/>
          <w:sz w:val="28"/>
          <w:szCs w:val="28"/>
        </w:rPr>
        <w:t xml:space="preserve">, CV-17-01422-PHX-SPL, when it challenged </w:t>
      </w:r>
      <w:r w:rsidR="00665A2B" w:rsidRPr="007A6EC7">
        <w:rPr>
          <w:color w:val="000000" w:themeColor="text1"/>
          <w:sz w:val="28"/>
          <w:szCs w:val="28"/>
        </w:rPr>
        <w:t xml:space="preserve">the constitutionality of A.R.S. § 13-4433(B),” defendants, including the </w:t>
      </w:r>
      <w:r w:rsidR="007230CD">
        <w:rPr>
          <w:color w:val="000000" w:themeColor="text1"/>
          <w:sz w:val="28"/>
          <w:szCs w:val="28"/>
        </w:rPr>
        <w:t xml:space="preserve">Arizona </w:t>
      </w:r>
      <w:r w:rsidR="00665A2B" w:rsidRPr="007A6EC7">
        <w:rPr>
          <w:color w:val="000000" w:themeColor="text1"/>
          <w:sz w:val="28"/>
          <w:szCs w:val="28"/>
        </w:rPr>
        <w:t xml:space="preserve">Attorney General and the Chief Bar Counsel for the State Bar of Arizona, </w:t>
      </w:r>
      <w:r w:rsidR="007230CD">
        <w:rPr>
          <w:color w:val="000000" w:themeColor="text1"/>
          <w:sz w:val="28"/>
          <w:szCs w:val="28"/>
        </w:rPr>
        <w:t>claimed from the beginning of the litigation</w:t>
      </w:r>
      <w:r w:rsidR="00665A2B" w:rsidRPr="007A6EC7">
        <w:rPr>
          <w:color w:val="000000" w:themeColor="text1"/>
          <w:sz w:val="28"/>
          <w:szCs w:val="28"/>
        </w:rPr>
        <w:t xml:space="preserve"> that Rule 39 has the same </w:t>
      </w:r>
      <w:r w:rsidR="007230CD">
        <w:rPr>
          <w:color w:val="000000" w:themeColor="text1"/>
          <w:sz w:val="28"/>
          <w:szCs w:val="28"/>
        </w:rPr>
        <w:t>prohibitory</w:t>
      </w:r>
      <w:r w:rsidR="00665A2B" w:rsidRPr="007A6EC7">
        <w:rPr>
          <w:color w:val="000000" w:themeColor="text1"/>
          <w:sz w:val="28"/>
          <w:szCs w:val="28"/>
        </w:rPr>
        <w:t xml:space="preserve"> effect on </w:t>
      </w:r>
      <w:r w:rsidR="007230CD">
        <w:rPr>
          <w:color w:val="000000" w:themeColor="text1"/>
          <w:sz w:val="28"/>
          <w:szCs w:val="28"/>
        </w:rPr>
        <w:t>criminal defense team</w:t>
      </w:r>
      <w:r w:rsidR="00665A2B" w:rsidRPr="007A6EC7">
        <w:rPr>
          <w:color w:val="000000" w:themeColor="text1"/>
          <w:sz w:val="28"/>
          <w:szCs w:val="28"/>
        </w:rPr>
        <w:t xml:space="preserve"> speech as the statute. </w:t>
      </w:r>
      <w:r w:rsidR="005E027E" w:rsidRPr="007A6EC7">
        <w:rPr>
          <w:i/>
          <w:iCs/>
          <w:color w:val="000000" w:themeColor="text1"/>
          <w:sz w:val="28"/>
          <w:szCs w:val="28"/>
        </w:rPr>
        <w:t>AACJ</w:t>
      </w:r>
      <w:r w:rsidR="007230CD">
        <w:rPr>
          <w:i/>
          <w:iCs/>
          <w:color w:val="000000" w:themeColor="text1"/>
          <w:sz w:val="28"/>
          <w:szCs w:val="28"/>
        </w:rPr>
        <w:t xml:space="preserve"> II</w:t>
      </w:r>
      <w:r w:rsidR="005E027E" w:rsidRPr="007A6EC7">
        <w:rPr>
          <w:color w:val="000000" w:themeColor="text1"/>
          <w:sz w:val="28"/>
          <w:szCs w:val="28"/>
        </w:rPr>
        <w:t xml:space="preserve">, </w:t>
      </w:r>
      <w:r w:rsidR="00665A2B" w:rsidRPr="007A6EC7">
        <w:rPr>
          <w:color w:val="000000" w:themeColor="text1"/>
          <w:sz w:val="28"/>
          <w:szCs w:val="28"/>
        </w:rPr>
        <w:t xml:space="preserve">638 F. Supp. 3d at 1060 n. 4. Even with the Bar’s proposed amendments, Rule 39 </w:t>
      </w:r>
      <w:r w:rsidR="007230CD">
        <w:rPr>
          <w:color w:val="000000" w:themeColor="text1"/>
          <w:sz w:val="28"/>
          <w:szCs w:val="28"/>
        </w:rPr>
        <w:t xml:space="preserve">will </w:t>
      </w:r>
      <w:r w:rsidR="00665A2B" w:rsidRPr="007A6EC7">
        <w:rPr>
          <w:color w:val="000000" w:themeColor="text1"/>
          <w:sz w:val="28"/>
          <w:szCs w:val="28"/>
        </w:rPr>
        <w:t xml:space="preserve">continue to restrict </w:t>
      </w:r>
      <w:r w:rsidR="007230CD">
        <w:rPr>
          <w:color w:val="000000" w:themeColor="text1"/>
          <w:sz w:val="28"/>
          <w:szCs w:val="28"/>
        </w:rPr>
        <w:t xml:space="preserve">and prevent </w:t>
      </w:r>
      <w:r w:rsidR="00665A2B" w:rsidRPr="007A6EC7">
        <w:rPr>
          <w:color w:val="000000" w:themeColor="text1"/>
          <w:sz w:val="28"/>
          <w:szCs w:val="28"/>
        </w:rPr>
        <w:t xml:space="preserve">a broad range of </w:t>
      </w:r>
      <w:r w:rsidR="007230CD">
        <w:rPr>
          <w:color w:val="000000" w:themeColor="text1"/>
          <w:sz w:val="28"/>
          <w:szCs w:val="28"/>
        </w:rPr>
        <w:t>communications between the</w:t>
      </w:r>
      <w:r w:rsidR="00665A2B" w:rsidRPr="007A6EC7">
        <w:rPr>
          <w:color w:val="000000" w:themeColor="text1"/>
          <w:sz w:val="28"/>
          <w:szCs w:val="28"/>
        </w:rPr>
        <w:t xml:space="preserve"> criminal defense </w:t>
      </w:r>
      <w:r w:rsidR="007230CD">
        <w:rPr>
          <w:color w:val="000000" w:themeColor="text1"/>
          <w:sz w:val="28"/>
          <w:szCs w:val="28"/>
        </w:rPr>
        <w:t>team and</w:t>
      </w:r>
      <w:r w:rsidR="00665A2B" w:rsidRPr="007A6EC7">
        <w:rPr>
          <w:color w:val="000000" w:themeColor="text1"/>
          <w:sz w:val="28"/>
          <w:szCs w:val="28"/>
        </w:rPr>
        <w:t xml:space="preserve"> statutory crime victims. Under the Bar’s proposed rule, </w:t>
      </w:r>
      <w:r w:rsidR="00400952" w:rsidRPr="007A6EC7">
        <w:rPr>
          <w:color w:val="000000" w:themeColor="text1"/>
          <w:sz w:val="28"/>
          <w:szCs w:val="28"/>
        </w:rPr>
        <w:t xml:space="preserve">a </w:t>
      </w:r>
      <w:r w:rsidR="00400952" w:rsidRPr="007A6EC7">
        <w:rPr>
          <w:color w:val="000000" w:themeColor="text1"/>
          <w:sz w:val="28"/>
          <w:szCs w:val="28"/>
        </w:rPr>
        <w:lastRenderedPageBreak/>
        <w:t xml:space="preserve">prosecutor </w:t>
      </w:r>
      <w:r w:rsidR="00665A2B" w:rsidRPr="007A6EC7">
        <w:rPr>
          <w:color w:val="000000" w:themeColor="text1"/>
          <w:sz w:val="28"/>
          <w:szCs w:val="28"/>
        </w:rPr>
        <w:t xml:space="preserve">would </w:t>
      </w:r>
      <w:r w:rsidR="001721E2" w:rsidRPr="007A6EC7">
        <w:rPr>
          <w:color w:val="000000" w:themeColor="text1"/>
          <w:sz w:val="28"/>
          <w:szCs w:val="28"/>
        </w:rPr>
        <w:t>continue to</w:t>
      </w:r>
      <w:r w:rsidR="00665A2B" w:rsidRPr="007A6EC7">
        <w:rPr>
          <w:color w:val="000000" w:themeColor="text1"/>
          <w:sz w:val="28"/>
          <w:szCs w:val="28"/>
        </w:rPr>
        <w:t xml:space="preserve"> </w:t>
      </w:r>
      <w:r w:rsidR="00400952" w:rsidRPr="007A6EC7">
        <w:rPr>
          <w:color w:val="000000" w:themeColor="text1"/>
          <w:sz w:val="28"/>
          <w:szCs w:val="28"/>
        </w:rPr>
        <w:t>convey</w:t>
      </w:r>
      <w:r w:rsidR="00665A2B" w:rsidRPr="007A6EC7">
        <w:rPr>
          <w:color w:val="000000" w:themeColor="text1"/>
          <w:sz w:val="28"/>
          <w:szCs w:val="28"/>
        </w:rPr>
        <w:t xml:space="preserve"> request</w:t>
      </w:r>
      <w:r w:rsidR="001721E2" w:rsidRPr="007A6EC7">
        <w:rPr>
          <w:color w:val="000000" w:themeColor="text1"/>
          <w:sz w:val="28"/>
          <w:szCs w:val="28"/>
        </w:rPr>
        <w:t>s</w:t>
      </w:r>
      <w:r w:rsidR="00665A2B" w:rsidRPr="007A6EC7">
        <w:rPr>
          <w:color w:val="000000" w:themeColor="text1"/>
          <w:sz w:val="28"/>
          <w:szCs w:val="28"/>
        </w:rPr>
        <w:t xml:space="preserve"> for a defense interview </w:t>
      </w:r>
      <w:proofErr w:type="gramStart"/>
      <w:r w:rsidR="00400952" w:rsidRPr="007A6EC7">
        <w:rPr>
          <w:color w:val="000000" w:themeColor="text1"/>
          <w:sz w:val="28"/>
          <w:szCs w:val="28"/>
        </w:rPr>
        <w:t>to</w:t>
      </w:r>
      <w:proofErr w:type="gramEnd"/>
      <w:r w:rsidR="00400952" w:rsidRPr="007A6EC7">
        <w:rPr>
          <w:color w:val="000000" w:themeColor="text1"/>
          <w:sz w:val="28"/>
          <w:szCs w:val="28"/>
        </w:rPr>
        <w:t xml:space="preserve"> crime </w:t>
      </w:r>
      <w:r w:rsidR="001721E2" w:rsidRPr="007A6EC7">
        <w:rPr>
          <w:color w:val="000000" w:themeColor="text1"/>
          <w:sz w:val="28"/>
          <w:szCs w:val="28"/>
        </w:rPr>
        <w:t>victims</w:t>
      </w:r>
      <w:r w:rsidR="00665A2B" w:rsidRPr="007A6EC7">
        <w:rPr>
          <w:color w:val="000000" w:themeColor="text1"/>
          <w:sz w:val="28"/>
          <w:szCs w:val="28"/>
        </w:rPr>
        <w:t xml:space="preserve">, a process that is still likely to make victims feel </w:t>
      </w:r>
      <w:r w:rsidR="007230CD">
        <w:rPr>
          <w:color w:val="000000" w:themeColor="text1"/>
          <w:sz w:val="28"/>
          <w:szCs w:val="28"/>
        </w:rPr>
        <w:t>like</w:t>
      </w:r>
      <w:r w:rsidR="00665A2B" w:rsidRPr="007A6EC7">
        <w:rPr>
          <w:color w:val="000000" w:themeColor="text1"/>
          <w:sz w:val="28"/>
          <w:szCs w:val="28"/>
        </w:rPr>
        <w:t xml:space="preserve"> they should not talk to the defense. This requirement is a content-based restriction on attorney speech</w:t>
      </w:r>
      <w:r w:rsidR="001721E2" w:rsidRPr="007A6EC7">
        <w:rPr>
          <w:color w:val="000000" w:themeColor="text1"/>
          <w:sz w:val="28"/>
          <w:szCs w:val="28"/>
        </w:rPr>
        <w:t>.</w:t>
      </w:r>
      <w:r w:rsidR="00665A2B" w:rsidRPr="007A6EC7">
        <w:rPr>
          <w:color w:val="000000" w:themeColor="text1"/>
          <w:sz w:val="28"/>
          <w:szCs w:val="28"/>
        </w:rPr>
        <w:t xml:space="preserve"> </w:t>
      </w:r>
      <w:r w:rsidR="001721E2" w:rsidRPr="007A6EC7">
        <w:rPr>
          <w:i/>
          <w:iCs/>
          <w:color w:val="000000" w:themeColor="text1"/>
          <w:sz w:val="28"/>
          <w:szCs w:val="28"/>
        </w:rPr>
        <w:t>AACJ</w:t>
      </w:r>
      <w:r w:rsidR="007230CD">
        <w:rPr>
          <w:i/>
          <w:iCs/>
          <w:color w:val="000000" w:themeColor="text1"/>
          <w:sz w:val="28"/>
          <w:szCs w:val="28"/>
        </w:rPr>
        <w:t xml:space="preserve"> II</w:t>
      </w:r>
      <w:r w:rsidR="001721E2" w:rsidRPr="007A6EC7">
        <w:rPr>
          <w:color w:val="000000" w:themeColor="text1"/>
          <w:sz w:val="28"/>
          <w:szCs w:val="28"/>
        </w:rPr>
        <w:t xml:space="preserve">, 638 F. Supp. 3d at 1078 (finding A.R.S. § 13-4433(B) is a content-based restriction on speech because “it singles out and disfavors the speech of a category of speakers—members of the criminal defense team”). It also unconstitutionally restricts a </w:t>
      </w:r>
      <w:r w:rsidR="00665A2B" w:rsidRPr="007A6EC7">
        <w:rPr>
          <w:color w:val="000000" w:themeColor="text1"/>
          <w:sz w:val="28"/>
          <w:szCs w:val="28"/>
        </w:rPr>
        <w:t>victim’s First Amendment right to receive information.</w:t>
      </w:r>
      <w:r w:rsidR="005E027E" w:rsidRPr="007A6EC7">
        <w:rPr>
          <w:color w:val="000000" w:themeColor="text1"/>
          <w:sz w:val="28"/>
          <w:szCs w:val="28"/>
        </w:rPr>
        <w:t xml:space="preserve"> </w:t>
      </w:r>
      <w:r w:rsidR="005E027E" w:rsidRPr="007A6EC7">
        <w:rPr>
          <w:i/>
          <w:iCs/>
          <w:color w:val="000000" w:themeColor="text1"/>
          <w:sz w:val="28"/>
          <w:szCs w:val="28"/>
        </w:rPr>
        <w:t>E.g. Bd</w:t>
      </w:r>
      <w:r w:rsidR="007230CD">
        <w:rPr>
          <w:i/>
          <w:iCs/>
          <w:color w:val="000000" w:themeColor="text1"/>
          <w:sz w:val="28"/>
          <w:szCs w:val="28"/>
        </w:rPr>
        <w:t>.</w:t>
      </w:r>
      <w:r w:rsidR="005E027E" w:rsidRPr="007A6EC7">
        <w:rPr>
          <w:i/>
          <w:iCs/>
          <w:color w:val="000000" w:themeColor="text1"/>
          <w:sz w:val="28"/>
          <w:szCs w:val="28"/>
        </w:rPr>
        <w:t xml:space="preserve"> of Educ., Island Trees Union Free Sch</w:t>
      </w:r>
      <w:r w:rsidR="007230CD">
        <w:rPr>
          <w:i/>
          <w:iCs/>
          <w:color w:val="000000" w:themeColor="text1"/>
          <w:sz w:val="28"/>
          <w:szCs w:val="28"/>
        </w:rPr>
        <w:t>.</w:t>
      </w:r>
      <w:r w:rsidR="005E027E" w:rsidRPr="007A6EC7">
        <w:rPr>
          <w:i/>
          <w:iCs/>
          <w:color w:val="000000" w:themeColor="text1"/>
          <w:sz w:val="28"/>
          <w:szCs w:val="28"/>
        </w:rPr>
        <w:t xml:space="preserve"> Dist. No. 26 v. Pico</w:t>
      </w:r>
      <w:r w:rsidR="005E027E" w:rsidRPr="007A6EC7">
        <w:rPr>
          <w:color w:val="000000" w:themeColor="text1"/>
          <w:sz w:val="28"/>
          <w:szCs w:val="28"/>
        </w:rPr>
        <w:t>, 457 U.S. 853</w:t>
      </w:r>
      <w:r w:rsidR="007230CD">
        <w:rPr>
          <w:color w:val="000000" w:themeColor="text1"/>
          <w:sz w:val="28"/>
          <w:szCs w:val="28"/>
        </w:rPr>
        <w:t>, 866-67</w:t>
      </w:r>
      <w:r w:rsidR="005E027E" w:rsidRPr="007A6EC7">
        <w:rPr>
          <w:color w:val="000000" w:themeColor="text1"/>
          <w:sz w:val="28"/>
          <w:szCs w:val="28"/>
        </w:rPr>
        <w:t xml:space="preserve"> (1982) (recognizing “the Constitution protects the right to receive information and ideas”);</w:t>
      </w:r>
      <w:r w:rsidR="002253BE" w:rsidRPr="007A6EC7">
        <w:rPr>
          <w:color w:val="000000" w:themeColor="text1"/>
          <w:sz w:val="28"/>
          <w:szCs w:val="28"/>
        </w:rPr>
        <w:t xml:space="preserve"> </w:t>
      </w:r>
      <w:r w:rsidR="002253BE" w:rsidRPr="007A6EC7">
        <w:rPr>
          <w:i/>
          <w:iCs/>
          <w:color w:val="000000" w:themeColor="text1"/>
          <w:sz w:val="28"/>
          <w:szCs w:val="28"/>
        </w:rPr>
        <w:t>Stanley v. Georgia</w:t>
      </w:r>
      <w:r w:rsidR="002253BE" w:rsidRPr="007A6EC7">
        <w:rPr>
          <w:color w:val="000000" w:themeColor="text1"/>
          <w:sz w:val="28"/>
          <w:szCs w:val="28"/>
        </w:rPr>
        <w:t>, 394 U.S. 557, 564 (1969) (Constitution protects right to receive information and ideas regardless of their social worth).</w:t>
      </w:r>
    </w:p>
    <w:p w14:paraId="6AAE9DF3" w14:textId="39EEF7C9" w:rsidR="000D25C5" w:rsidRPr="007A6EC7" w:rsidRDefault="00C531A3" w:rsidP="0074424F">
      <w:pPr>
        <w:widowControl w:val="0"/>
        <w:spacing w:line="480" w:lineRule="auto"/>
        <w:ind w:firstLine="720"/>
        <w:contextualSpacing/>
        <w:rPr>
          <w:color w:val="000000" w:themeColor="text1"/>
          <w:sz w:val="28"/>
          <w:szCs w:val="28"/>
        </w:rPr>
      </w:pPr>
      <w:r w:rsidRPr="007A6EC7">
        <w:rPr>
          <w:color w:val="000000" w:themeColor="text1"/>
          <w:sz w:val="28"/>
          <w:szCs w:val="28"/>
        </w:rPr>
        <w:t xml:space="preserve">Moreover, the State Bar’s proposed rule is not </w:t>
      </w:r>
      <w:r w:rsidR="00995D28" w:rsidRPr="007A6EC7">
        <w:rPr>
          <w:color w:val="000000" w:themeColor="text1"/>
          <w:sz w:val="28"/>
          <w:szCs w:val="28"/>
        </w:rPr>
        <w:t>appropriately</w:t>
      </w:r>
      <w:r w:rsidRPr="007A6EC7">
        <w:rPr>
          <w:color w:val="000000" w:themeColor="text1"/>
          <w:sz w:val="28"/>
          <w:szCs w:val="28"/>
        </w:rPr>
        <w:t xml:space="preserve"> tailored to serve a</w:t>
      </w:r>
      <w:r w:rsidR="00995D28" w:rsidRPr="007A6EC7">
        <w:rPr>
          <w:color w:val="000000" w:themeColor="text1"/>
          <w:sz w:val="28"/>
          <w:szCs w:val="28"/>
        </w:rPr>
        <w:t>n</w:t>
      </w:r>
      <w:r w:rsidR="00646C92">
        <w:rPr>
          <w:color w:val="000000" w:themeColor="text1"/>
          <w:sz w:val="28"/>
          <w:szCs w:val="28"/>
        </w:rPr>
        <w:t>y</w:t>
      </w:r>
      <w:r w:rsidR="00995D28" w:rsidRPr="007A6EC7">
        <w:rPr>
          <w:color w:val="000000" w:themeColor="text1"/>
          <w:sz w:val="28"/>
          <w:szCs w:val="28"/>
        </w:rPr>
        <w:t xml:space="preserve"> identified </w:t>
      </w:r>
      <w:r w:rsidRPr="007A6EC7">
        <w:rPr>
          <w:color w:val="000000" w:themeColor="text1"/>
          <w:sz w:val="28"/>
          <w:szCs w:val="28"/>
        </w:rPr>
        <w:t xml:space="preserve">government interest. In </w:t>
      </w:r>
      <w:r w:rsidRPr="007A6EC7">
        <w:rPr>
          <w:i/>
          <w:iCs/>
          <w:color w:val="000000" w:themeColor="text1"/>
          <w:sz w:val="28"/>
          <w:szCs w:val="28"/>
        </w:rPr>
        <w:t>AACJ</w:t>
      </w:r>
      <w:r w:rsidR="007230CD">
        <w:rPr>
          <w:i/>
          <w:iCs/>
          <w:color w:val="000000" w:themeColor="text1"/>
          <w:sz w:val="28"/>
          <w:szCs w:val="28"/>
        </w:rPr>
        <w:t xml:space="preserve"> II</w:t>
      </w:r>
      <w:r w:rsidRPr="007A6EC7">
        <w:rPr>
          <w:color w:val="000000" w:themeColor="text1"/>
          <w:sz w:val="28"/>
          <w:szCs w:val="28"/>
        </w:rPr>
        <w:t xml:space="preserve">, the government asserted four interests to justify restricting speech under A.R.S. § 13-4433: “(1) implementing and protecting the rights of victims set forth in the Arizona Constitution; (2) regulating the professional conduct of lawyers and their agents during ongoing proceedings; (3) protecting victims from being retraumatized; and (4) leveling the playing field between victims with the means and understanding to obtain counsel and those without counsel.” </w:t>
      </w:r>
      <w:r w:rsidRPr="007A6EC7">
        <w:rPr>
          <w:i/>
          <w:iCs/>
          <w:color w:val="000000" w:themeColor="text1"/>
          <w:sz w:val="28"/>
          <w:szCs w:val="28"/>
        </w:rPr>
        <w:t>AACJ</w:t>
      </w:r>
      <w:r w:rsidR="007230CD">
        <w:rPr>
          <w:i/>
          <w:iCs/>
          <w:color w:val="000000" w:themeColor="text1"/>
          <w:sz w:val="28"/>
          <w:szCs w:val="28"/>
        </w:rPr>
        <w:t xml:space="preserve"> II</w:t>
      </w:r>
      <w:r w:rsidRPr="007A6EC7">
        <w:rPr>
          <w:color w:val="000000" w:themeColor="text1"/>
          <w:sz w:val="28"/>
          <w:szCs w:val="28"/>
        </w:rPr>
        <w:t>, 638 F. Supp. 3d at 1064–65.</w:t>
      </w:r>
      <w:r w:rsidR="000D25C5" w:rsidRPr="007A6EC7">
        <w:rPr>
          <w:color w:val="000000" w:themeColor="text1"/>
          <w:sz w:val="28"/>
          <w:szCs w:val="28"/>
        </w:rPr>
        <w:t xml:space="preserve"> Like A.R.S. § 13-4433, Rule 39—</w:t>
      </w:r>
      <w:proofErr w:type="gramStart"/>
      <w:r w:rsidR="000D25C5" w:rsidRPr="007A6EC7">
        <w:rPr>
          <w:color w:val="000000" w:themeColor="text1"/>
          <w:sz w:val="28"/>
          <w:szCs w:val="28"/>
        </w:rPr>
        <w:t>in</w:t>
      </w:r>
      <w:proofErr w:type="gramEnd"/>
      <w:r w:rsidR="000D25C5" w:rsidRPr="007A6EC7">
        <w:rPr>
          <w:color w:val="000000" w:themeColor="text1"/>
          <w:sz w:val="28"/>
          <w:szCs w:val="28"/>
        </w:rPr>
        <w:t xml:space="preserve"> either its current form or as amended by the State Bar’s </w:t>
      </w:r>
      <w:proofErr w:type="gramStart"/>
      <w:r w:rsidR="000D25C5" w:rsidRPr="007A6EC7">
        <w:rPr>
          <w:color w:val="000000" w:themeColor="text1"/>
          <w:sz w:val="28"/>
          <w:szCs w:val="28"/>
        </w:rPr>
        <w:t>proposal—</w:t>
      </w:r>
      <w:proofErr w:type="gramEnd"/>
      <w:r w:rsidR="000D25C5" w:rsidRPr="007A6EC7">
        <w:rPr>
          <w:color w:val="000000" w:themeColor="text1"/>
          <w:sz w:val="28"/>
          <w:szCs w:val="28"/>
        </w:rPr>
        <w:t xml:space="preserve">is not </w:t>
      </w:r>
      <w:r w:rsidR="00995D28" w:rsidRPr="007A6EC7">
        <w:rPr>
          <w:color w:val="000000" w:themeColor="text1"/>
          <w:sz w:val="28"/>
          <w:szCs w:val="28"/>
        </w:rPr>
        <w:lastRenderedPageBreak/>
        <w:t>adequately</w:t>
      </w:r>
      <w:r w:rsidR="000D25C5" w:rsidRPr="007A6EC7">
        <w:rPr>
          <w:color w:val="000000" w:themeColor="text1"/>
          <w:sz w:val="28"/>
          <w:szCs w:val="28"/>
        </w:rPr>
        <w:t xml:space="preserve"> tailored to serve these interests.</w:t>
      </w:r>
    </w:p>
    <w:p w14:paraId="7C43DB7F" w14:textId="563C6AF7" w:rsidR="000D25C5" w:rsidRPr="007A6EC7" w:rsidRDefault="000D25C5" w:rsidP="000D25C5">
      <w:pPr>
        <w:spacing w:line="480" w:lineRule="auto"/>
        <w:ind w:firstLine="720"/>
        <w:contextualSpacing/>
        <w:rPr>
          <w:color w:val="000000" w:themeColor="text1"/>
          <w:sz w:val="28"/>
          <w:szCs w:val="28"/>
        </w:rPr>
      </w:pPr>
      <w:r w:rsidRPr="007A6EC7">
        <w:rPr>
          <w:color w:val="000000" w:themeColor="text1"/>
          <w:sz w:val="28"/>
          <w:szCs w:val="28"/>
        </w:rPr>
        <w:t>First,</w:t>
      </w:r>
      <w:r w:rsidR="001B4A2C" w:rsidRPr="007A6EC7">
        <w:rPr>
          <w:color w:val="000000" w:themeColor="text1"/>
          <w:sz w:val="28"/>
          <w:szCs w:val="28"/>
        </w:rPr>
        <w:t xml:space="preserve"> “victims already receive ample notice of the right to refuse an interview by the defense.” </w:t>
      </w:r>
      <w:r w:rsidR="001B4A2C" w:rsidRPr="007A6EC7">
        <w:rPr>
          <w:i/>
          <w:iCs/>
          <w:color w:val="000000" w:themeColor="text1"/>
          <w:sz w:val="28"/>
          <w:szCs w:val="28"/>
        </w:rPr>
        <w:t xml:space="preserve">Id. </w:t>
      </w:r>
      <w:r w:rsidR="001B4A2C" w:rsidRPr="007A6EC7">
        <w:rPr>
          <w:color w:val="000000" w:themeColor="text1"/>
          <w:sz w:val="28"/>
          <w:szCs w:val="28"/>
        </w:rPr>
        <w:t>at 1065. Under existing law, a prosecutor must inform victims of their rights under the Victims’ Bill of Rights, its implementing legislation, and court rules within seven days after the prosecutor charges a crime and the defendant is taken into custody or served a summons. A.R.S. § 13-4408(A)(1). Trial courts are required to “prominently post[ ]” a notice advising victims of their rights, including the right “to choose whether or not to be interviewed by the defendant or the defendant's attorney,” and superior court judges must also read the notice aloud before criminal hearings begin. A.R.S. § 13-4438. The victim may also be notified of the right to refuse an interview by law enforcement shortly after the crime is committed and by a victim advocate. A.R.S. § 13-4405(A).</w:t>
      </w:r>
      <w:r w:rsidR="00805F94" w:rsidRPr="007A6EC7">
        <w:rPr>
          <w:color w:val="000000" w:themeColor="text1"/>
          <w:sz w:val="28"/>
          <w:szCs w:val="28"/>
        </w:rPr>
        <w:t xml:space="preserve"> As such, the </w:t>
      </w:r>
      <w:r w:rsidR="002D7D62">
        <w:rPr>
          <w:color w:val="000000" w:themeColor="text1"/>
          <w:sz w:val="28"/>
          <w:szCs w:val="28"/>
        </w:rPr>
        <w:t>State Bar</w:t>
      </w:r>
      <w:r w:rsidR="00805F94" w:rsidRPr="007A6EC7">
        <w:rPr>
          <w:color w:val="000000" w:themeColor="text1"/>
          <w:sz w:val="28"/>
          <w:szCs w:val="28"/>
        </w:rPr>
        <w:t>’s “largely prophylactic provision” in proposed Rule 39(b)(12)(C) is unnecessary</w:t>
      </w:r>
      <w:r w:rsidR="00CA4EFE" w:rsidRPr="007A6EC7">
        <w:rPr>
          <w:color w:val="000000" w:themeColor="text1"/>
          <w:sz w:val="28"/>
          <w:szCs w:val="28"/>
        </w:rPr>
        <w:t xml:space="preserve"> and duplicative of other Arizona laws</w:t>
      </w:r>
      <w:r w:rsidR="00805F94" w:rsidRPr="007A6EC7">
        <w:rPr>
          <w:color w:val="000000" w:themeColor="text1"/>
          <w:sz w:val="28"/>
          <w:szCs w:val="28"/>
        </w:rPr>
        <w:t>.</w:t>
      </w:r>
    </w:p>
    <w:p w14:paraId="6AC82DAB" w14:textId="05A72AD9" w:rsidR="001D5CA8" w:rsidRPr="007A6EC7" w:rsidRDefault="001D5CA8" w:rsidP="000D25C5">
      <w:pPr>
        <w:spacing w:line="480" w:lineRule="auto"/>
        <w:ind w:firstLine="720"/>
        <w:contextualSpacing/>
        <w:rPr>
          <w:color w:val="000000" w:themeColor="text1"/>
          <w:sz w:val="28"/>
          <w:szCs w:val="28"/>
        </w:rPr>
      </w:pPr>
      <w:r w:rsidRPr="007A6EC7">
        <w:rPr>
          <w:color w:val="000000" w:themeColor="text1"/>
          <w:sz w:val="28"/>
          <w:szCs w:val="28"/>
        </w:rPr>
        <w:t xml:space="preserve">Second, there is no evidence that criminal defense attorneys will ignore their ethical duties when contacting statutory crime victims. </w:t>
      </w:r>
      <w:r w:rsidRPr="007A6EC7">
        <w:rPr>
          <w:i/>
          <w:iCs/>
          <w:color w:val="000000" w:themeColor="text1"/>
          <w:sz w:val="28"/>
          <w:szCs w:val="28"/>
        </w:rPr>
        <w:t>AACJ</w:t>
      </w:r>
      <w:r w:rsidR="007230CD">
        <w:rPr>
          <w:i/>
          <w:iCs/>
          <w:color w:val="000000" w:themeColor="text1"/>
          <w:sz w:val="28"/>
          <w:szCs w:val="28"/>
        </w:rPr>
        <w:t xml:space="preserve"> II</w:t>
      </w:r>
      <w:r w:rsidRPr="007A6EC7">
        <w:rPr>
          <w:color w:val="000000" w:themeColor="text1"/>
          <w:sz w:val="28"/>
          <w:szCs w:val="28"/>
        </w:rPr>
        <w:t xml:space="preserve">, 638 F. Supp. </w:t>
      </w:r>
      <w:r w:rsidR="00F25F96" w:rsidRPr="007A6EC7">
        <w:rPr>
          <w:color w:val="000000" w:themeColor="text1"/>
          <w:sz w:val="28"/>
          <w:szCs w:val="28"/>
        </w:rPr>
        <w:t>a</w:t>
      </w:r>
      <w:r w:rsidRPr="007A6EC7">
        <w:rPr>
          <w:color w:val="000000" w:themeColor="text1"/>
          <w:sz w:val="28"/>
          <w:szCs w:val="28"/>
        </w:rPr>
        <w:t>t 1065 (“no evidence . . . that members of the defense team were contacting victims in a disrespectful, harassing, or abusive manner”</w:t>
      </w:r>
      <w:r w:rsidR="00F25F96" w:rsidRPr="007A6EC7">
        <w:rPr>
          <w:color w:val="000000" w:themeColor="text1"/>
          <w:sz w:val="28"/>
          <w:szCs w:val="28"/>
        </w:rPr>
        <w:t xml:space="preserve"> prior to the implementation of A.R.S. § 13-4433</w:t>
      </w:r>
      <w:r w:rsidRPr="007A6EC7">
        <w:rPr>
          <w:color w:val="000000" w:themeColor="text1"/>
          <w:sz w:val="28"/>
          <w:szCs w:val="28"/>
        </w:rPr>
        <w:t xml:space="preserve">). Nor is there evidence </w:t>
      </w:r>
      <w:r w:rsidR="007230CD">
        <w:rPr>
          <w:color w:val="000000" w:themeColor="text1"/>
          <w:sz w:val="28"/>
          <w:szCs w:val="28"/>
        </w:rPr>
        <w:t xml:space="preserve">that </w:t>
      </w:r>
      <w:r w:rsidRPr="007A6EC7">
        <w:rPr>
          <w:color w:val="000000" w:themeColor="text1"/>
          <w:sz w:val="28"/>
          <w:szCs w:val="28"/>
        </w:rPr>
        <w:t xml:space="preserve">criminal defense attorneys were ignoring their ethical duties when contacting victims </w:t>
      </w:r>
      <w:r w:rsidR="007230CD">
        <w:rPr>
          <w:color w:val="000000" w:themeColor="text1"/>
          <w:sz w:val="28"/>
          <w:szCs w:val="28"/>
        </w:rPr>
        <w:t>for the more-than-one-year</w:t>
      </w:r>
      <w:r w:rsidRPr="007A6EC7">
        <w:rPr>
          <w:color w:val="000000" w:themeColor="text1"/>
          <w:sz w:val="28"/>
          <w:szCs w:val="28"/>
        </w:rPr>
        <w:t xml:space="preserve"> when </w:t>
      </w:r>
      <w:r w:rsidRPr="007A6EC7">
        <w:rPr>
          <w:color w:val="000000" w:themeColor="text1"/>
          <w:sz w:val="28"/>
          <w:szCs w:val="28"/>
        </w:rPr>
        <w:lastRenderedPageBreak/>
        <w:t>enforcement of A.R.S. § 13-4433(B) was enjoined</w:t>
      </w:r>
      <w:r w:rsidR="007230CD">
        <w:rPr>
          <w:color w:val="000000" w:themeColor="text1"/>
          <w:sz w:val="28"/>
          <w:szCs w:val="28"/>
        </w:rPr>
        <w:t xml:space="preserve"> (Nov. 2, 2022 – Jan. 23. 2025)</w:t>
      </w:r>
      <w:r w:rsidRPr="007A6EC7">
        <w:rPr>
          <w:color w:val="000000" w:themeColor="text1"/>
          <w:sz w:val="28"/>
          <w:szCs w:val="28"/>
        </w:rPr>
        <w:t xml:space="preserve">. </w:t>
      </w:r>
      <w:r w:rsidR="00F25F96" w:rsidRPr="007A6EC7">
        <w:rPr>
          <w:color w:val="000000" w:themeColor="text1"/>
          <w:sz w:val="28"/>
          <w:szCs w:val="28"/>
        </w:rPr>
        <w:t>As</w:t>
      </w:r>
      <w:r w:rsidRPr="007A6EC7">
        <w:rPr>
          <w:color w:val="000000" w:themeColor="text1"/>
          <w:sz w:val="28"/>
          <w:szCs w:val="28"/>
        </w:rPr>
        <w:t xml:space="preserve"> the State Bar</w:t>
      </w:r>
      <w:r w:rsidR="00F25F96" w:rsidRPr="007A6EC7">
        <w:rPr>
          <w:color w:val="000000" w:themeColor="text1"/>
          <w:sz w:val="28"/>
          <w:szCs w:val="28"/>
        </w:rPr>
        <w:t xml:space="preserve">’s petition notes: “The Rule 39 Workgroup </w:t>
      </w:r>
      <w:r w:rsidRPr="007A6EC7">
        <w:rPr>
          <w:color w:val="000000" w:themeColor="text1"/>
          <w:sz w:val="28"/>
          <w:szCs w:val="28"/>
        </w:rPr>
        <w:t>anticipate</w:t>
      </w:r>
      <w:r w:rsidR="00F25F96" w:rsidRPr="007A6EC7">
        <w:rPr>
          <w:color w:val="000000" w:themeColor="text1"/>
          <w:sz w:val="28"/>
          <w:szCs w:val="28"/>
        </w:rPr>
        <w:t>d</w:t>
      </w:r>
      <w:r w:rsidRPr="007A6EC7">
        <w:rPr>
          <w:color w:val="000000" w:themeColor="text1"/>
          <w:sz w:val="28"/>
          <w:szCs w:val="28"/>
        </w:rPr>
        <w:t xml:space="preserve"> that abusive interview requests would be relatively rare.” R-25-0035 at 8–9.</w:t>
      </w:r>
    </w:p>
    <w:p w14:paraId="31E1A926" w14:textId="1B1F0E5B" w:rsidR="00F25F96" w:rsidRPr="007A6EC7" w:rsidRDefault="00F25F96" w:rsidP="000D25C5">
      <w:pPr>
        <w:spacing w:line="480" w:lineRule="auto"/>
        <w:ind w:firstLine="720"/>
        <w:contextualSpacing/>
        <w:rPr>
          <w:color w:val="000000" w:themeColor="text1"/>
          <w:sz w:val="28"/>
          <w:szCs w:val="28"/>
        </w:rPr>
      </w:pPr>
      <w:r w:rsidRPr="007A6EC7">
        <w:rPr>
          <w:color w:val="000000" w:themeColor="text1"/>
          <w:sz w:val="28"/>
          <w:szCs w:val="28"/>
        </w:rPr>
        <w:t>Third, “[t]</w:t>
      </w:r>
      <w:proofErr w:type="gramStart"/>
      <w:r w:rsidRPr="007A6EC7">
        <w:rPr>
          <w:color w:val="000000" w:themeColor="text1"/>
          <w:sz w:val="28"/>
          <w:szCs w:val="28"/>
        </w:rPr>
        <w:t>he</w:t>
      </w:r>
      <w:proofErr w:type="gramEnd"/>
      <w:r w:rsidRPr="007A6EC7">
        <w:rPr>
          <w:color w:val="000000" w:themeColor="text1"/>
          <w:sz w:val="28"/>
          <w:szCs w:val="28"/>
        </w:rPr>
        <w:t xml:space="preserve"> bulk of the evidence </w:t>
      </w:r>
      <w:r w:rsidR="00992F34">
        <w:rPr>
          <w:color w:val="000000" w:themeColor="text1"/>
          <w:sz w:val="28"/>
          <w:szCs w:val="28"/>
        </w:rPr>
        <w:t>. . .</w:t>
      </w:r>
      <w:r w:rsidRPr="007A6EC7">
        <w:rPr>
          <w:color w:val="000000" w:themeColor="text1"/>
          <w:sz w:val="28"/>
          <w:szCs w:val="28"/>
        </w:rPr>
        <w:t xml:space="preserve"> shows that contact with </w:t>
      </w:r>
      <w:r w:rsidRPr="002D7D62">
        <w:rPr>
          <w:b/>
          <w:bCs/>
          <w:color w:val="000000" w:themeColor="text1"/>
          <w:sz w:val="28"/>
          <w:szCs w:val="28"/>
        </w:rPr>
        <w:t>any</w:t>
      </w:r>
      <w:r w:rsidRPr="007A6EC7">
        <w:rPr>
          <w:color w:val="000000" w:themeColor="text1"/>
          <w:sz w:val="28"/>
          <w:szCs w:val="28"/>
        </w:rPr>
        <w:t xml:space="preserve"> part or participant of the legal system can retraumatize a victim—that there is nothing particularly harmful about contact with the defense team.” </w:t>
      </w:r>
      <w:r w:rsidRPr="007A6EC7">
        <w:rPr>
          <w:i/>
          <w:iCs/>
          <w:color w:val="000000" w:themeColor="text1"/>
          <w:sz w:val="28"/>
          <w:szCs w:val="28"/>
        </w:rPr>
        <w:t>AACJ</w:t>
      </w:r>
      <w:r w:rsidR="00992F34">
        <w:rPr>
          <w:i/>
          <w:iCs/>
          <w:color w:val="000000" w:themeColor="text1"/>
          <w:sz w:val="28"/>
          <w:szCs w:val="28"/>
        </w:rPr>
        <w:t xml:space="preserve"> II</w:t>
      </w:r>
      <w:r w:rsidRPr="007A6EC7">
        <w:rPr>
          <w:color w:val="000000" w:themeColor="text1"/>
          <w:sz w:val="28"/>
          <w:szCs w:val="28"/>
        </w:rPr>
        <w:t xml:space="preserve">, 638 F. Supp. at 1068. As such, “mere contact with the criminal defense team is no more or less likely to retraumatize a victim than contact with any other participant in the legal system, including prosecutors.” </w:t>
      </w:r>
      <w:r w:rsidRPr="007A6EC7">
        <w:rPr>
          <w:i/>
          <w:iCs/>
          <w:color w:val="000000" w:themeColor="text1"/>
          <w:sz w:val="28"/>
          <w:szCs w:val="28"/>
        </w:rPr>
        <w:t xml:space="preserve">Id. </w:t>
      </w:r>
      <w:r w:rsidRPr="007A6EC7">
        <w:rPr>
          <w:color w:val="000000" w:themeColor="text1"/>
          <w:sz w:val="28"/>
          <w:szCs w:val="28"/>
        </w:rPr>
        <w:t>at 1069.</w:t>
      </w:r>
    </w:p>
    <w:p w14:paraId="5A525EA8" w14:textId="621B5B78" w:rsidR="00C44650" w:rsidRPr="007A6EC7" w:rsidRDefault="00F25F96" w:rsidP="00CE51C8">
      <w:pPr>
        <w:spacing w:line="480" w:lineRule="auto"/>
        <w:ind w:firstLine="720"/>
        <w:contextualSpacing/>
        <w:rPr>
          <w:color w:val="000000" w:themeColor="text1"/>
          <w:sz w:val="28"/>
          <w:szCs w:val="28"/>
        </w:rPr>
      </w:pPr>
      <w:r w:rsidRPr="007A6EC7">
        <w:rPr>
          <w:color w:val="000000" w:themeColor="text1"/>
          <w:sz w:val="28"/>
          <w:szCs w:val="28"/>
        </w:rPr>
        <w:t xml:space="preserve">Finally, </w:t>
      </w:r>
      <w:r w:rsidR="00805F94" w:rsidRPr="007A6EC7">
        <w:rPr>
          <w:color w:val="000000" w:themeColor="text1"/>
          <w:sz w:val="28"/>
          <w:szCs w:val="28"/>
        </w:rPr>
        <w:t>the proposed rule does not level the playing field between represented and unrepresented victims</w:t>
      </w:r>
      <w:r w:rsidR="00554660" w:rsidRPr="007A6EC7">
        <w:rPr>
          <w:color w:val="000000" w:themeColor="text1"/>
          <w:sz w:val="28"/>
          <w:szCs w:val="28"/>
        </w:rPr>
        <w:t xml:space="preserve">. As a practical matter, interview requests for victims with counsel are already effectively regulated by ER 4.2, which unlike the proposed rule, “applies even-handedly to all lawyers in a given case and ‘contributes to the proper functioning of the legal system’ by protecting the lawyer-client relationship.” </w:t>
      </w:r>
      <w:r w:rsidR="00554660" w:rsidRPr="007A6EC7">
        <w:rPr>
          <w:i/>
          <w:iCs/>
          <w:color w:val="000000" w:themeColor="text1"/>
          <w:sz w:val="28"/>
          <w:szCs w:val="28"/>
        </w:rPr>
        <w:t>Id.</w:t>
      </w:r>
      <w:r w:rsidR="00554660" w:rsidRPr="007A6EC7">
        <w:rPr>
          <w:color w:val="000000" w:themeColor="text1"/>
          <w:sz w:val="28"/>
          <w:szCs w:val="28"/>
        </w:rPr>
        <w:t xml:space="preserve"> at 1067 (citing ABA Model Rules of Professional Conduct 4.2 cmt. 1 and noting that “ABA Model Rule 4.2 is substantively identical to Arizona ER 4.2”). </w:t>
      </w:r>
      <w:r w:rsidR="00CE51C8" w:rsidRPr="007A6EC7">
        <w:rPr>
          <w:color w:val="000000" w:themeColor="text1"/>
          <w:sz w:val="28"/>
          <w:szCs w:val="28"/>
        </w:rPr>
        <w:t xml:space="preserve">A better way of leveling the playing field would be for the state to provide all victims with state-funded counsel. Such a solution “would, at minimum, allow the defense team to directly contact the victim's representative rather than going through the prosecutor, their adversary in the case who does not represent the victim.” </w:t>
      </w:r>
      <w:r w:rsidR="00CE51C8" w:rsidRPr="007A6EC7">
        <w:rPr>
          <w:i/>
          <w:iCs/>
          <w:color w:val="000000" w:themeColor="text1"/>
          <w:sz w:val="28"/>
          <w:szCs w:val="28"/>
        </w:rPr>
        <w:t xml:space="preserve">Id. </w:t>
      </w:r>
      <w:r w:rsidR="00CE51C8" w:rsidRPr="007A6EC7">
        <w:rPr>
          <w:color w:val="000000" w:themeColor="text1"/>
          <w:sz w:val="28"/>
          <w:szCs w:val="28"/>
        </w:rPr>
        <w:t xml:space="preserve">at 1070. Moreover, </w:t>
      </w:r>
      <w:r w:rsidR="00CE51C8" w:rsidRPr="007A6EC7">
        <w:rPr>
          <w:color w:val="000000" w:themeColor="text1"/>
          <w:sz w:val="28"/>
          <w:szCs w:val="28"/>
        </w:rPr>
        <w:lastRenderedPageBreak/>
        <w:t xml:space="preserve">this solution “would eliminate the discrepancy between the prosecution and defense in terms of their ability to initiate contact with the victim.” </w:t>
      </w:r>
      <w:r w:rsidR="00CE51C8" w:rsidRPr="007A6EC7">
        <w:rPr>
          <w:i/>
          <w:iCs/>
          <w:color w:val="000000" w:themeColor="text1"/>
          <w:sz w:val="28"/>
          <w:szCs w:val="28"/>
        </w:rPr>
        <w:t>Id.</w:t>
      </w:r>
      <w:r w:rsidR="00CE51C8" w:rsidRPr="007A6EC7">
        <w:rPr>
          <w:color w:val="000000" w:themeColor="text1"/>
          <w:sz w:val="28"/>
          <w:szCs w:val="28"/>
        </w:rPr>
        <w:t xml:space="preserve"> While this solution would be costly, it would level the playing field for all victims while not restricting defense attorney speech.</w:t>
      </w:r>
    </w:p>
    <w:p w14:paraId="255A53EE" w14:textId="10FCABA9" w:rsidR="000751CD" w:rsidRPr="007A6EC7" w:rsidRDefault="000751CD" w:rsidP="00321F9E">
      <w:pPr>
        <w:pStyle w:val="ListParagraph"/>
        <w:numPr>
          <w:ilvl w:val="0"/>
          <w:numId w:val="2"/>
        </w:numPr>
        <w:spacing w:line="480" w:lineRule="auto"/>
        <w:rPr>
          <w:b/>
          <w:bCs/>
          <w:color w:val="000000" w:themeColor="text1"/>
          <w:sz w:val="28"/>
          <w:szCs w:val="28"/>
          <w:u w:val="single"/>
        </w:rPr>
      </w:pPr>
      <w:r w:rsidRPr="007A6EC7">
        <w:rPr>
          <w:b/>
          <w:bCs/>
          <w:color w:val="000000" w:themeColor="text1"/>
          <w:sz w:val="28"/>
          <w:szCs w:val="28"/>
          <w:u w:val="single"/>
        </w:rPr>
        <w:t>Conclusion</w:t>
      </w:r>
    </w:p>
    <w:p w14:paraId="326C6060" w14:textId="02B171BB" w:rsidR="00F14376" w:rsidRPr="007A6EC7" w:rsidRDefault="00605564" w:rsidP="00A00E0F">
      <w:pPr>
        <w:spacing w:after="0" w:line="480" w:lineRule="auto"/>
        <w:ind w:firstLine="720"/>
        <w:rPr>
          <w:color w:val="000000" w:themeColor="text1"/>
          <w:sz w:val="28"/>
          <w:szCs w:val="28"/>
        </w:rPr>
      </w:pPr>
      <w:r w:rsidRPr="007A6EC7">
        <w:rPr>
          <w:color w:val="000000" w:themeColor="text1"/>
          <w:sz w:val="28"/>
          <w:szCs w:val="28"/>
        </w:rPr>
        <w:t xml:space="preserve">The State Bar’s proposed rule change petition is an attempt to improve Rule 39(b)(12) by increasing transparency and accountability </w:t>
      </w:r>
      <w:r w:rsidR="00992F34">
        <w:rPr>
          <w:color w:val="000000" w:themeColor="text1"/>
          <w:sz w:val="28"/>
          <w:szCs w:val="28"/>
        </w:rPr>
        <w:t>in</w:t>
      </w:r>
      <w:r w:rsidRPr="007A6EC7">
        <w:rPr>
          <w:color w:val="000000" w:themeColor="text1"/>
          <w:sz w:val="28"/>
          <w:szCs w:val="28"/>
        </w:rPr>
        <w:t xml:space="preserve"> the </w:t>
      </w:r>
      <w:r w:rsidR="00992F34">
        <w:rPr>
          <w:color w:val="000000" w:themeColor="text1"/>
          <w:sz w:val="28"/>
          <w:szCs w:val="28"/>
        </w:rPr>
        <w:t xml:space="preserve">government-restricted </w:t>
      </w:r>
      <w:r w:rsidRPr="007A6EC7">
        <w:rPr>
          <w:color w:val="000000" w:themeColor="text1"/>
          <w:sz w:val="28"/>
          <w:szCs w:val="28"/>
        </w:rPr>
        <w:t xml:space="preserve">process </w:t>
      </w:r>
      <w:r w:rsidR="00992F34">
        <w:rPr>
          <w:color w:val="000000" w:themeColor="text1"/>
          <w:sz w:val="28"/>
          <w:szCs w:val="28"/>
        </w:rPr>
        <w:t xml:space="preserve">for the </w:t>
      </w:r>
      <w:r w:rsidRPr="007A6EC7">
        <w:rPr>
          <w:color w:val="000000" w:themeColor="text1"/>
          <w:sz w:val="28"/>
          <w:szCs w:val="28"/>
        </w:rPr>
        <w:t xml:space="preserve">defense </w:t>
      </w:r>
      <w:r w:rsidR="00992F34">
        <w:rPr>
          <w:color w:val="000000" w:themeColor="text1"/>
          <w:sz w:val="28"/>
          <w:szCs w:val="28"/>
        </w:rPr>
        <w:t>team</w:t>
      </w:r>
      <w:r w:rsidRPr="007A6EC7">
        <w:rPr>
          <w:color w:val="000000" w:themeColor="text1"/>
          <w:sz w:val="28"/>
          <w:szCs w:val="28"/>
        </w:rPr>
        <w:t xml:space="preserve"> to request </w:t>
      </w:r>
      <w:r w:rsidR="0085050C" w:rsidRPr="007A6EC7">
        <w:rPr>
          <w:color w:val="000000" w:themeColor="text1"/>
          <w:sz w:val="28"/>
          <w:szCs w:val="28"/>
        </w:rPr>
        <w:t>pretrial</w:t>
      </w:r>
      <w:r w:rsidRPr="007A6EC7">
        <w:rPr>
          <w:color w:val="000000" w:themeColor="text1"/>
          <w:sz w:val="28"/>
          <w:szCs w:val="28"/>
        </w:rPr>
        <w:t xml:space="preserve"> interviews</w:t>
      </w:r>
      <w:r w:rsidR="0085050C" w:rsidRPr="007A6EC7">
        <w:rPr>
          <w:color w:val="000000" w:themeColor="text1"/>
          <w:sz w:val="28"/>
          <w:szCs w:val="28"/>
        </w:rPr>
        <w:t xml:space="preserve"> with statutory crime victims</w:t>
      </w:r>
      <w:r w:rsidRPr="007A6EC7">
        <w:rPr>
          <w:color w:val="000000" w:themeColor="text1"/>
          <w:sz w:val="28"/>
          <w:szCs w:val="28"/>
        </w:rPr>
        <w:t xml:space="preserve">. By continuing to treat defense lawyers differently from prosecutors, however, the petition </w:t>
      </w:r>
      <w:r w:rsidR="00512A63" w:rsidRPr="007A6EC7">
        <w:rPr>
          <w:color w:val="000000" w:themeColor="text1"/>
          <w:sz w:val="28"/>
          <w:szCs w:val="28"/>
        </w:rPr>
        <w:t>perpetuates the</w:t>
      </w:r>
      <w:r w:rsidRPr="007A6EC7">
        <w:rPr>
          <w:color w:val="000000" w:themeColor="text1"/>
          <w:sz w:val="28"/>
          <w:szCs w:val="28"/>
        </w:rPr>
        <w:t xml:space="preserve"> </w:t>
      </w:r>
      <w:r w:rsidR="00512A63" w:rsidRPr="007A6EC7">
        <w:rPr>
          <w:color w:val="000000" w:themeColor="text1"/>
          <w:sz w:val="28"/>
          <w:szCs w:val="28"/>
        </w:rPr>
        <w:t xml:space="preserve">unfair </w:t>
      </w:r>
      <w:r w:rsidRPr="007A6EC7">
        <w:rPr>
          <w:color w:val="000000" w:themeColor="text1"/>
          <w:sz w:val="28"/>
          <w:szCs w:val="28"/>
        </w:rPr>
        <w:t>skew</w:t>
      </w:r>
      <w:r w:rsidR="00512A63" w:rsidRPr="007A6EC7">
        <w:rPr>
          <w:color w:val="000000" w:themeColor="text1"/>
          <w:sz w:val="28"/>
          <w:szCs w:val="28"/>
        </w:rPr>
        <w:t>ing of</w:t>
      </w:r>
      <w:r w:rsidRPr="007A6EC7">
        <w:rPr>
          <w:color w:val="000000" w:themeColor="text1"/>
          <w:sz w:val="28"/>
          <w:szCs w:val="28"/>
        </w:rPr>
        <w:t xml:space="preserve"> our adversarial system, while undermining its truth-seeking function. In </w:t>
      </w:r>
      <w:r w:rsidR="00512A63" w:rsidRPr="007A6EC7">
        <w:rPr>
          <w:color w:val="000000" w:themeColor="text1"/>
          <w:sz w:val="28"/>
          <w:szCs w:val="28"/>
        </w:rPr>
        <w:t>addition,</w:t>
      </w:r>
      <w:r w:rsidRPr="007A6EC7">
        <w:rPr>
          <w:color w:val="000000" w:themeColor="text1"/>
          <w:sz w:val="28"/>
          <w:szCs w:val="28"/>
        </w:rPr>
        <w:t xml:space="preserve"> this Court is duty-bound to protect the right to free speech of everyone, including criminal defense lawyers and others working with the defense team. To do so, this Court must deny the State Bar’s petition and </w:t>
      </w:r>
      <w:r w:rsidR="002D7D62">
        <w:rPr>
          <w:color w:val="000000" w:themeColor="text1"/>
          <w:sz w:val="28"/>
          <w:szCs w:val="28"/>
        </w:rPr>
        <w:t>adopt</w:t>
      </w:r>
      <w:r w:rsidRPr="007A6EC7">
        <w:rPr>
          <w:color w:val="000000" w:themeColor="text1"/>
          <w:sz w:val="28"/>
          <w:szCs w:val="28"/>
        </w:rPr>
        <w:t xml:space="preserve"> AACJ’s petition R-</w:t>
      </w:r>
      <w:r w:rsidR="009F4237" w:rsidRPr="007A6EC7">
        <w:rPr>
          <w:color w:val="000000" w:themeColor="text1"/>
          <w:sz w:val="28"/>
          <w:szCs w:val="28"/>
        </w:rPr>
        <w:t>22-0045.</w:t>
      </w:r>
    </w:p>
    <w:p w14:paraId="48A117E1" w14:textId="4C1FA035" w:rsidR="00F4145B" w:rsidRPr="007A6EC7" w:rsidRDefault="00F4145B" w:rsidP="003831A0">
      <w:pPr>
        <w:autoSpaceDE w:val="0"/>
        <w:autoSpaceDN w:val="0"/>
        <w:adjustRightInd w:val="0"/>
        <w:ind w:firstLine="360"/>
        <w:rPr>
          <w:color w:val="000000" w:themeColor="text1"/>
          <w:sz w:val="28"/>
          <w:szCs w:val="28"/>
        </w:rPr>
      </w:pPr>
      <w:r w:rsidRPr="007A6EC7">
        <w:rPr>
          <w:color w:val="000000" w:themeColor="text1"/>
          <w:sz w:val="28"/>
          <w:szCs w:val="28"/>
        </w:rPr>
        <w:t xml:space="preserve">Respectfully submitted, this </w:t>
      </w:r>
      <w:r w:rsidR="00202349">
        <w:rPr>
          <w:color w:val="000000" w:themeColor="text1"/>
          <w:sz w:val="28"/>
          <w:szCs w:val="28"/>
        </w:rPr>
        <w:t>1st</w:t>
      </w:r>
      <w:r w:rsidRPr="007A6EC7">
        <w:rPr>
          <w:color w:val="000000" w:themeColor="text1"/>
          <w:sz w:val="28"/>
          <w:szCs w:val="28"/>
        </w:rPr>
        <w:t xml:space="preserve"> day of </w:t>
      </w:r>
      <w:r w:rsidR="00202349">
        <w:rPr>
          <w:color w:val="000000" w:themeColor="text1"/>
          <w:sz w:val="28"/>
          <w:szCs w:val="28"/>
        </w:rPr>
        <w:t>May</w:t>
      </w:r>
      <w:r w:rsidRPr="007A6EC7">
        <w:rPr>
          <w:color w:val="000000" w:themeColor="text1"/>
          <w:sz w:val="28"/>
          <w:szCs w:val="28"/>
        </w:rPr>
        <w:t xml:space="preserve"> 202</w:t>
      </w:r>
      <w:r w:rsidR="00AB28B1" w:rsidRPr="007A6EC7">
        <w:rPr>
          <w:color w:val="000000" w:themeColor="text1"/>
          <w:sz w:val="28"/>
          <w:szCs w:val="28"/>
        </w:rPr>
        <w:t>5</w:t>
      </w:r>
      <w:r w:rsidRPr="007A6EC7">
        <w:rPr>
          <w:color w:val="000000" w:themeColor="text1"/>
          <w:sz w:val="28"/>
          <w:szCs w:val="28"/>
        </w:rPr>
        <w:t>.</w:t>
      </w:r>
    </w:p>
    <w:p w14:paraId="671DDC17" w14:textId="77777777" w:rsidR="00F4145B" w:rsidRPr="007A6EC7" w:rsidRDefault="00F4145B" w:rsidP="00A00E0F">
      <w:pPr>
        <w:autoSpaceDE w:val="0"/>
        <w:autoSpaceDN w:val="0"/>
        <w:adjustRightInd w:val="0"/>
        <w:ind w:left="1440" w:firstLine="720"/>
        <w:rPr>
          <w:i/>
          <w:iCs/>
          <w:color w:val="000000" w:themeColor="text1"/>
          <w:sz w:val="28"/>
          <w:szCs w:val="28"/>
        </w:rPr>
      </w:pPr>
      <w:r w:rsidRPr="007A6EC7">
        <w:rPr>
          <w:iCs/>
          <w:color w:val="000000" w:themeColor="text1"/>
          <w:sz w:val="28"/>
          <w:szCs w:val="28"/>
        </w:rPr>
        <w:t xml:space="preserve">By </w:t>
      </w:r>
      <w:r w:rsidRPr="007A6EC7">
        <w:rPr>
          <w:iCs/>
          <w:color w:val="000000" w:themeColor="text1"/>
          <w:sz w:val="28"/>
          <w:szCs w:val="28"/>
          <w:u w:val="single"/>
        </w:rPr>
        <w:t>/s</w:t>
      </w:r>
      <w:r w:rsidRPr="007A6EC7">
        <w:rPr>
          <w:color w:val="000000" w:themeColor="text1"/>
          <w:sz w:val="28"/>
          <w:szCs w:val="28"/>
          <w:u w:val="single"/>
        </w:rPr>
        <w:t>/</w:t>
      </w:r>
      <w:r w:rsidRPr="007A6EC7">
        <w:rPr>
          <w:i/>
          <w:iCs/>
          <w:color w:val="000000" w:themeColor="text1"/>
          <w:sz w:val="28"/>
          <w:szCs w:val="28"/>
          <w:u w:val="single"/>
        </w:rPr>
        <w:t>Jared G. Keenan</w:t>
      </w:r>
    </w:p>
    <w:p w14:paraId="3BF32517" w14:textId="29E30BF3" w:rsidR="00A55AC4" w:rsidRPr="007A6EC7" w:rsidRDefault="00F4145B" w:rsidP="00A00E0F">
      <w:pPr>
        <w:autoSpaceDE w:val="0"/>
        <w:autoSpaceDN w:val="0"/>
        <w:adjustRightInd w:val="0"/>
        <w:spacing w:after="0" w:line="240" w:lineRule="auto"/>
        <w:ind w:left="1440" w:firstLine="720"/>
        <w:rPr>
          <w:color w:val="000000" w:themeColor="text1"/>
          <w:sz w:val="28"/>
          <w:szCs w:val="28"/>
        </w:rPr>
      </w:pPr>
      <w:r w:rsidRPr="007A6EC7">
        <w:rPr>
          <w:color w:val="000000" w:themeColor="text1"/>
          <w:sz w:val="28"/>
          <w:szCs w:val="28"/>
        </w:rPr>
        <w:t>Jared G. Keenan</w:t>
      </w:r>
    </w:p>
    <w:p w14:paraId="54A410B7" w14:textId="7D86EB05" w:rsidR="00636BC1" w:rsidRPr="007A6EC7" w:rsidRDefault="00F4145B" w:rsidP="00A00E0F">
      <w:pPr>
        <w:autoSpaceDE w:val="0"/>
        <w:autoSpaceDN w:val="0"/>
        <w:adjustRightInd w:val="0"/>
        <w:spacing w:after="0" w:line="240" w:lineRule="auto"/>
        <w:ind w:left="1440" w:firstLine="720"/>
        <w:rPr>
          <w:color w:val="000000" w:themeColor="text1"/>
          <w:sz w:val="28"/>
          <w:szCs w:val="28"/>
        </w:rPr>
      </w:pPr>
      <w:r w:rsidRPr="007A6EC7">
        <w:rPr>
          <w:color w:val="000000" w:themeColor="text1"/>
          <w:sz w:val="28"/>
          <w:szCs w:val="28"/>
        </w:rPr>
        <w:t>American Civil Liberties Union Foundation of Arizona</w:t>
      </w:r>
    </w:p>
    <w:p w14:paraId="52897DA7" w14:textId="77777777" w:rsidR="00A55AC4" w:rsidRPr="007A6EC7" w:rsidRDefault="00A55AC4" w:rsidP="00A00E0F">
      <w:pPr>
        <w:autoSpaceDE w:val="0"/>
        <w:autoSpaceDN w:val="0"/>
        <w:adjustRightInd w:val="0"/>
        <w:spacing w:after="0" w:line="240" w:lineRule="auto"/>
        <w:ind w:left="1440" w:firstLine="720"/>
        <w:rPr>
          <w:color w:val="000000" w:themeColor="text1"/>
          <w:sz w:val="28"/>
          <w:szCs w:val="28"/>
        </w:rPr>
      </w:pPr>
      <w:r w:rsidRPr="007A6EC7">
        <w:rPr>
          <w:color w:val="000000" w:themeColor="text1"/>
          <w:sz w:val="28"/>
          <w:szCs w:val="28"/>
        </w:rPr>
        <w:t>Arizona Attorneys for Criminal Justice</w:t>
      </w:r>
    </w:p>
    <w:p w14:paraId="1017D65A" w14:textId="77777777" w:rsidR="00A55AC4" w:rsidRPr="007A6EC7" w:rsidRDefault="00A55AC4" w:rsidP="00321F9E">
      <w:pPr>
        <w:autoSpaceDE w:val="0"/>
        <w:autoSpaceDN w:val="0"/>
        <w:adjustRightInd w:val="0"/>
        <w:spacing w:line="240" w:lineRule="exact"/>
        <w:ind w:firstLine="720"/>
        <w:rPr>
          <w:color w:val="000000" w:themeColor="text1"/>
        </w:rPr>
      </w:pPr>
    </w:p>
    <w:sectPr w:rsidR="00A55AC4" w:rsidRPr="007A6EC7" w:rsidSect="0074424F">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FAC5" w14:textId="77777777" w:rsidR="006E0022" w:rsidRDefault="006E0022" w:rsidP="00AD7FC0">
      <w:pPr>
        <w:spacing w:after="0" w:line="240" w:lineRule="auto"/>
      </w:pPr>
      <w:r>
        <w:separator/>
      </w:r>
    </w:p>
  </w:endnote>
  <w:endnote w:type="continuationSeparator" w:id="0">
    <w:p w14:paraId="197C4926" w14:textId="77777777" w:rsidR="006E0022" w:rsidRDefault="006E0022" w:rsidP="00AD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770786"/>
      <w:docPartObj>
        <w:docPartGallery w:val="Page Numbers (Bottom of Page)"/>
        <w:docPartUnique/>
      </w:docPartObj>
    </w:sdtPr>
    <w:sdtEndPr>
      <w:rPr>
        <w:noProof/>
        <w:sz w:val="28"/>
        <w:szCs w:val="28"/>
      </w:rPr>
    </w:sdtEndPr>
    <w:sdtContent>
      <w:p w14:paraId="31136F4F" w14:textId="37A509C9" w:rsidR="0065699F" w:rsidRPr="0065699F" w:rsidRDefault="0065699F">
        <w:pPr>
          <w:pStyle w:val="Footer"/>
          <w:jc w:val="center"/>
          <w:rPr>
            <w:sz w:val="28"/>
            <w:szCs w:val="28"/>
          </w:rPr>
        </w:pPr>
        <w:r w:rsidRPr="0065699F">
          <w:rPr>
            <w:sz w:val="28"/>
            <w:szCs w:val="28"/>
          </w:rPr>
          <w:fldChar w:fldCharType="begin"/>
        </w:r>
        <w:r w:rsidRPr="0065699F">
          <w:rPr>
            <w:sz w:val="28"/>
            <w:szCs w:val="28"/>
          </w:rPr>
          <w:instrText xml:space="preserve"> PAGE   \* MERGEFORMAT </w:instrText>
        </w:r>
        <w:r w:rsidRPr="0065699F">
          <w:rPr>
            <w:sz w:val="28"/>
            <w:szCs w:val="28"/>
          </w:rPr>
          <w:fldChar w:fldCharType="separate"/>
        </w:r>
        <w:r w:rsidRPr="0065699F">
          <w:rPr>
            <w:noProof/>
            <w:sz w:val="28"/>
            <w:szCs w:val="28"/>
          </w:rPr>
          <w:t>2</w:t>
        </w:r>
        <w:r w:rsidRPr="0065699F">
          <w:rPr>
            <w:noProof/>
            <w:sz w:val="28"/>
            <w:szCs w:val="28"/>
          </w:rPr>
          <w:fldChar w:fldCharType="end"/>
        </w:r>
      </w:p>
    </w:sdtContent>
  </w:sdt>
  <w:p w14:paraId="10F55013" w14:textId="77777777" w:rsidR="0065699F" w:rsidRDefault="00656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1604" w14:textId="77777777" w:rsidR="006E0022" w:rsidRDefault="006E0022" w:rsidP="00AD7FC0">
      <w:pPr>
        <w:spacing w:after="0" w:line="240" w:lineRule="auto"/>
      </w:pPr>
      <w:r>
        <w:separator/>
      </w:r>
    </w:p>
  </w:footnote>
  <w:footnote w:type="continuationSeparator" w:id="0">
    <w:p w14:paraId="2DE2BC78" w14:textId="77777777" w:rsidR="006E0022" w:rsidRDefault="006E0022" w:rsidP="00AD7FC0">
      <w:pPr>
        <w:spacing w:after="0" w:line="240" w:lineRule="auto"/>
      </w:pPr>
      <w:r>
        <w:continuationSeparator/>
      </w:r>
    </w:p>
  </w:footnote>
  <w:footnote w:id="1">
    <w:p w14:paraId="00B6174A" w14:textId="696592AE" w:rsidR="00680FD7" w:rsidRPr="00230DAC" w:rsidRDefault="00680FD7">
      <w:pPr>
        <w:pStyle w:val="FootnoteText"/>
        <w:rPr>
          <w:sz w:val="28"/>
          <w:szCs w:val="28"/>
        </w:rPr>
      </w:pPr>
      <w:r w:rsidRPr="00230DAC">
        <w:rPr>
          <w:rStyle w:val="FootnoteReference"/>
          <w:sz w:val="28"/>
          <w:szCs w:val="28"/>
        </w:rPr>
        <w:footnoteRef/>
      </w:r>
      <w:r w:rsidRPr="00230DAC">
        <w:rPr>
          <w:sz w:val="28"/>
          <w:szCs w:val="28"/>
        </w:rPr>
        <w:t xml:space="preserve"> </w:t>
      </w:r>
      <w:r w:rsidR="00236C0A" w:rsidRPr="00230DAC">
        <w:rPr>
          <w:sz w:val="28"/>
          <w:szCs w:val="28"/>
        </w:rPr>
        <w:t>During</w:t>
      </w:r>
      <w:r w:rsidR="00230DAC" w:rsidRPr="00230DAC">
        <w:rPr>
          <w:sz w:val="28"/>
          <w:szCs w:val="28"/>
        </w:rPr>
        <w:t xml:space="preserve"> the federal litigation, the Ninth Circuit issued a memorandum decision prior to </w:t>
      </w:r>
      <w:r w:rsidR="00230DAC" w:rsidRPr="00230DAC">
        <w:rPr>
          <w:i/>
          <w:iCs/>
          <w:sz w:val="28"/>
          <w:szCs w:val="28"/>
        </w:rPr>
        <w:t>AACJ II</w:t>
      </w:r>
      <w:r w:rsidR="00230DAC" w:rsidRPr="00230DAC">
        <w:rPr>
          <w:sz w:val="28"/>
          <w:szCs w:val="28"/>
        </w:rPr>
        <w:t>, which found standing against all defendants and disposing defendants’ other jurisdictional and procedural defenses</w:t>
      </w:r>
      <w:r w:rsidR="00230DAC">
        <w:rPr>
          <w:sz w:val="28"/>
          <w:szCs w:val="28"/>
        </w:rPr>
        <w:t xml:space="preserve"> and noting that the speech restrictions in A.R.S. § 13-4433(B) are “broader” than the speech restrictions in Rule 39(b)(12). </w:t>
      </w:r>
      <w:proofErr w:type="spellStart"/>
      <w:r w:rsidR="00230DAC" w:rsidRPr="00230DAC">
        <w:rPr>
          <w:i/>
          <w:iCs/>
          <w:sz w:val="28"/>
          <w:szCs w:val="28"/>
        </w:rPr>
        <w:t>Att’ys</w:t>
      </w:r>
      <w:proofErr w:type="spellEnd"/>
      <w:r w:rsidR="00230DAC" w:rsidRPr="00230DAC">
        <w:rPr>
          <w:i/>
          <w:iCs/>
          <w:sz w:val="28"/>
          <w:szCs w:val="28"/>
        </w:rPr>
        <w:t xml:space="preserve"> for Crim. Just. v. Brnovich</w:t>
      </w:r>
      <w:r w:rsidR="00230DAC" w:rsidRPr="00230DAC">
        <w:rPr>
          <w:sz w:val="28"/>
          <w:szCs w:val="28"/>
        </w:rPr>
        <w:t>, 2021 WL 3743888</w:t>
      </w:r>
      <w:r w:rsidR="00230DAC">
        <w:rPr>
          <w:sz w:val="28"/>
          <w:szCs w:val="28"/>
        </w:rPr>
        <w:t>, *5</w:t>
      </w:r>
      <w:r w:rsidR="00230DAC" w:rsidRPr="00230DAC">
        <w:rPr>
          <w:sz w:val="28"/>
          <w:szCs w:val="28"/>
        </w:rPr>
        <w:t xml:space="preserve"> (9th Cir. Aug. 24, 2021) (“</w:t>
      </w:r>
      <w:r w:rsidR="00230DAC" w:rsidRPr="00230DAC">
        <w:rPr>
          <w:i/>
          <w:iCs/>
          <w:sz w:val="28"/>
          <w:szCs w:val="28"/>
        </w:rPr>
        <w:t>AACJ I</w:t>
      </w:r>
      <w:r w:rsidR="00230DAC" w:rsidRPr="00230DAC">
        <w:rPr>
          <w:sz w:val="28"/>
          <w:szCs w:val="28"/>
        </w:rPr>
        <w:t>”)</w:t>
      </w:r>
      <w:r w:rsidR="00230DAC">
        <w:rPr>
          <w:sz w:val="28"/>
          <w:szCs w:val="28"/>
        </w:rPr>
        <w:t>.</w:t>
      </w:r>
    </w:p>
  </w:footnote>
  <w:footnote w:id="2">
    <w:p w14:paraId="717425D4" w14:textId="6ED7AC93" w:rsidR="00BA4AD5" w:rsidRPr="00BA4AD5" w:rsidRDefault="00BA4AD5">
      <w:pPr>
        <w:pStyle w:val="FootnoteText"/>
        <w:rPr>
          <w:sz w:val="28"/>
          <w:szCs w:val="28"/>
        </w:rPr>
      </w:pPr>
      <w:r w:rsidRPr="00BA4AD5">
        <w:rPr>
          <w:rStyle w:val="FootnoteReference"/>
          <w:sz w:val="28"/>
          <w:szCs w:val="28"/>
        </w:rPr>
        <w:footnoteRef/>
      </w:r>
      <w:r w:rsidRPr="00BA4AD5">
        <w:rPr>
          <w:sz w:val="28"/>
          <w:szCs w:val="28"/>
        </w:rPr>
        <w:t xml:space="preserve"> Neither AACJ nor its counsel of record were copied on Justice </w:t>
      </w:r>
      <w:proofErr w:type="spellStart"/>
      <w:r w:rsidRPr="00BA4AD5">
        <w:rPr>
          <w:sz w:val="28"/>
          <w:szCs w:val="28"/>
        </w:rPr>
        <w:t>Brutinel’s</w:t>
      </w:r>
      <w:proofErr w:type="spellEnd"/>
      <w:r w:rsidRPr="00BA4AD5">
        <w:rPr>
          <w:sz w:val="28"/>
          <w:szCs w:val="28"/>
        </w:rPr>
        <w:t xml:space="preserve"> letter</w:t>
      </w:r>
      <w:r>
        <w:rPr>
          <w:sz w:val="28"/>
          <w:szCs w:val="28"/>
        </w:rPr>
        <w:t>.</w:t>
      </w:r>
    </w:p>
  </w:footnote>
  <w:footnote w:id="3">
    <w:p w14:paraId="67EEFE88" w14:textId="6C8526DE" w:rsidR="003E7D47" w:rsidRPr="003E7D47" w:rsidRDefault="003E7D47">
      <w:pPr>
        <w:pStyle w:val="FootnoteText"/>
        <w:rPr>
          <w:b/>
          <w:bCs/>
          <w:sz w:val="28"/>
          <w:szCs w:val="28"/>
        </w:rPr>
      </w:pPr>
      <w:r w:rsidRPr="003E7D47">
        <w:rPr>
          <w:rStyle w:val="FootnoteReference"/>
          <w:sz w:val="28"/>
          <w:szCs w:val="28"/>
        </w:rPr>
        <w:footnoteRef/>
      </w:r>
      <w:r w:rsidRPr="003E7D47">
        <w:rPr>
          <w:sz w:val="28"/>
          <w:szCs w:val="28"/>
        </w:rPr>
        <w:t xml:space="preserve"> The Directors of the Maricopa County Indigent Defense Agencies claim that “at present, A.R.S. </w:t>
      </w:r>
      <w:r>
        <w:rPr>
          <w:sz w:val="28"/>
          <w:szCs w:val="28"/>
        </w:rPr>
        <w:t xml:space="preserve">§ 13-4433(B) has been found constitutional” is inaccurate. The Ninth Circuit explicitly declined to address the constitutionality of the statute. </w:t>
      </w:r>
      <w:r w:rsidRPr="0072398A">
        <w:rPr>
          <w:i/>
          <w:iCs/>
          <w:color w:val="000000" w:themeColor="text1"/>
          <w:sz w:val="28"/>
          <w:szCs w:val="28"/>
        </w:rPr>
        <w:t>AACJ II</w:t>
      </w:r>
      <w:r>
        <w:rPr>
          <w:i/>
          <w:iCs/>
          <w:color w:val="000000" w:themeColor="text1"/>
          <w:sz w:val="28"/>
          <w:szCs w:val="28"/>
        </w:rPr>
        <w:t>I</w:t>
      </w:r>
      <w:r w:rsidRPr="0072398A">
        <w:rPr>
          <w:color w:val="000000" w:themeColor="text1"/>
          <w:sz w:val="28"/>
          <w:szCs w:val="28"/>
        </w:rPr>
        <w:t xml:space="preserve">, 127 F.4th </w:t>
      </w:r>
      <w:r>
        <w:rPr>
          <w:color w:val="000000" w:themeColor="text1"/>
          <w:sz w:val="28"/>
          <w:szCs w:val="28"/>
        </w:rPr>
        <w:t>at</w:t>
      </w:r>
      <w:r w:rsidRPr="0072398A">
        <w:rPr>
          <w:color w:val="000000" w:themeColor="text1"/>
          <w:sz w:val="28"/>
          <w:szCs w:val="28"/>
        </w:rPr>
        <w:t xml:space="preserve"> 11</w:t>
      </w:r>
      <w:r>
        <w:rPr>
          <w:color w:val="000000" w:themeColor="text1"/>
          <w:sz w:val="28"/>
          <w:szCs w:val="28"/>
        </w:rPr>
        <w:t>3.</w:t>
      </w:r>
      <w:r>
        <w:rPr>
          <w:sz w:val="28"/>
          <w:szCs w:val="28"/>
        </w:rPr>
        <w:t xml:space="preserve"> The only court to address the </w:t>
      </w:r>
      <w:r w:rsidR="00FA5DAF">
        <w:rPr>
          <w:sz w:val="28"/>
          <w:szCs w:val="28"/>
        </w:rPr>
        <w:t xml:space="preserve">constitutional </w:t>
      </w:r>
      <w:r>
        <w:rPr>
          <w:sz w:val="28"/>
          <w:szCs w:val="28"/>
        </w:rPr>
        <w:t xml:space="preserve">merits – the Federal District Court for the District of Arizona – found that </w:t>
      </w:r>
      <w:r w:rsidRPr="003E7D47">
        <w:rPr>
          <w:sz w:val="28"/>
          <w:szCs w:val="28"/>
        </w:rPr>
        <w:t xml:space="preserve">A.R.S. </w:t>
      </w:r>
      <w:r>
        <w:rPr>
          <w:sz w:val="28"/>
          <w:szCs w:val="28"/>
        </w:rPr>
        <w:t xml:space="preserve">§ 13-4433(B) “violates the constitution.” </w:t>
      </w:r>
      <w:r w:rsidRPr="007A6EC7">
        <w:rPr>
          <w:i/>
          <w:iCs/>
          <w:color w:val="000000" w:themeColor="text1"/>
          <w:sz w:val="28"/>
          <w:szCs w:val="28"/>
        </w:rPr>
        <w:t>AACJ II</w:t>
      </w:r>
      <w:r w:rsidRPr="007A6EC7">
        <w:rPr>
          <w:color w:val="000000" w:themeColor="text1"/>
          <w:sz w:val="28"/>
          <w:szCs w:val="28"/>
        </w:rPr>
        <w:t xml:space="preserve">, 638 F. Supp. 3d </w:t>
      </w:r>
      <w:r>
        <w:rPr>
          <w:color w:val="000000" w:themeColor="text1"/>
          <w:sz w:val="28"/>
          <w:szCs w:val="28"/>
        </w:rPr>
        <w:t>at 1086.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12D"/>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 w15:restartNumberingAfterBreak="0">
    <w:nsid w:val="0CD742B4"/>
    <w:multiLevelType w:val="hybridMultilevel"/>
    <w:tmpl w:val="2CD06C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D072D1"/>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3" w15:restartNumberingAfterBreak="0">
    <w:nsid w:val="27633C42"/>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4" w15:restartNumberingAfterBreak="0">
    <w:nsid w:val="34CC2D17"/>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5" w15:restartNumberingAfterBreak="0">
    <w:nsid w:val="382F354E"/>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6" w15:restartNumberingAfterBreak="0">
    <w:nsid w:val="56734523"/>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7" w15:restartNumberingAfterBreak="0">
    <w:nsid w:val="5FE936CC"/>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8" w15:restartNumberingAfterBreak="0">
    <w:nsid w:val="63423419"/>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9" w15:restartNumberingAfterBreak="0">
    <w:nsid w:val="70DB485D"/>
    <w:multiLevelType w:val="multilevel"/>
    <w:tmpl w:val="02E68F04"/>
    <w:styleLink w:val="Numbere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3490705">
    <w:abstractNumId w:val="9"/>
  </w:num>
  <w:num w:numId="2" w16cid:durableId="1290286067">
    <w:abstractNumId w:val="5"/>
  </w:num>
  <w:num w:numId="3" w16cid:durableId="443691694">
    <w:abstractNumId w:val="2"/>
  </w:num>
  <w:num w:numId="4" w16cid:durableId="244918832">
    <w:abstractNumId w:val="0"/>
  </w:num>
  <w:num w:numId="5" w16cid:durableId="2085375545">
    <w:abstractNumId w:val="4"/>
  </w:num>
  <w:num w:numId="6" w16cid:durableId="1710299891">
    <w:abstractNumId w:val="3"/>
  </w:num>
  <w:num w:numId="7" w16cid:durableId="1849514533">
    <w:abstractNumId w:val="7"/>
  </w:num>
  <w:num w:numId="8" w16cid:durableId="318189391">
    <w:abstractNumId w:val="6"/>
  </w:num>
  <w:num w:numId="9" w16cid:durableId="1484858803">
    <w:abstractNumId w:val="8"/>
  </w:num>
  <w:num w:numId="10" w16cid:durableId="160079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1C"/>
    <w:rsid w:val="000035B5"/>
    <w:rsid w:val="00004378"/>
    <w:rsid w:val="00006338"/>
    <w:rsid w:val="000065F3"/>
    <w:rsid w:val="00013232"/>
    <w:rsid w:val="00014CF5"/>
    <w:rsid w:val="000174EE"/>
    <w:rsid w:val="0002185B"/>
    <w:rsid w:val="000261C0"/>
    <w:rsid w:val="0002653C"/>
    <w:rsid w:val="00027BAD"/>
    <w:rsid w:val="00027D35"/>
    <w:rsid w:val="00033B70"/>
    <w:rsid w:val="000364E9"/>
    <w:rsid w:val="000366F3"/>
    <w:rsid w:val="00037261"/>
    <w:rsid w:val="00040606"/>
    <w:rsid w:val="000457C9"/>
    <w:rsid w:val="00046075"/>
    <w:rsid w:val="0005250E"/>
    <w:rsid w:val="00053B92"/>
    <w:rsid w:val="000540C6"/>
    <w:rsid w:val="000541E1"/>
    <w:rsid w:val="000546FC"/>
    <w:rsid w:val="00060934"/>
    <w:rsid w:val="00060CFE"/>
    <w:rsid w:val="00061798"/>
    <w:rsid w:val="00064C7B"/>
    <w:rsid w:val="00064E0B"/>
    <w:rsid w:val="00065190"/>
    <w:rsid w:val="000660A2"/>
    <w:rsid w:val="000730E0"/>
    <w:rsid w:val="000751CD"/>
    <w:rsid w:val="000756EA"/>
    <w:rsid w:val="00081821"/>
    <w:rsid w:val="00084D45"/>
    <w:rsid w:val="0008522F"/>
    <w:rsid w:val="00087DC8"/>
    <w:rsid w:val="00091776"/>
    <w:rsid w:val="00093901"/>
    <w:rsid w:val="0009699A"/>
    <w:rsid w:val="000A0787"/>
    <w:rsid w:val="000A2CAF"/>
    <w:rsid w:val="000A7F62"/>
    <w:rsid w:val="000B2391"/>
    <w:rsid w:val="000B2E32"/>
    <w:rsid w:val="000B2EC3"/>
    <w:rsid w:val="000B44E5"/>
    <w:rsid w:val="000B4F5F"/>
    <w:rsid w:val="000B739D"/>
    <w:rsid w:val="000C251A"/>
    <w:rsid w:val="000C6265"/>
    <w:rsid w:val="000D1C12"/>
    <w:rsid w:val="000D1F3F"/>
    <w:rsid w:val="000D25C5"/>
    <w:rsid w:val="000D3F66"/>
    <w:rsid w:val="000E3521"/>
    <w:rsid w:val="000E3B6A"/>
    <w:rsid w:val="000E7B4F"/>
    <w:rsid w:val="000F0F5A"/>
    <w:rsid w:val="000F2570"/>
    <w:rsid w:val="000F4825"/>
    <w:rsid w:val="001032B6"/>
    <w:rsid w:val="001048F9"/>
    <w:rsid w:val="00106655"/>
    <w:rsid w:val="0011065C"/>
    <w:rsid w:val="001114F5"/>
    <w:rsid w:val="00111A5A"/>
    <w:rsid w:val="00112764"/>
    <w:rsid w:val="00114E79"/>
    <w:rsid w:val="00116BE1"/>
    <w:rsid w:val="00125159"/>
    <w:rsid w:val="001263DC"/>
    <w:rsid w:val="00127476"/>
    <w:rsid w:val="00130A7E"/>
    <w:rsid w:val="001320A8"/>
    <w:rsid w:val="001343B2"/>
    <w:rsid w:val="00135A2B"/>
    <w:rsid w:val="00137F4E"/>
    <w:rsid w:val="001429AF"/>
    <w:rsid w:val="00142AE9"/>
    <w:rsid w:val="001441A7"/>
    <w:rsid w:val="001445F6"/>
    <w:rsid w:val="001452B8"/>
    <w:rsid w:val="0014639F"/>
    <w:rsid w:val="00151360"/>
    <w:rsid w:val="00151634"/>
    <w:rsid w:val="00152263"/>
    <w:rsid w:val="00154052"/>
    <w:rsid w:val="00154FFC"/>
    <w:rsid w:val="00156D3E"/>
    <w:rsid w:val="001571B9"/>
    <w:rsid w:val="0016263F"/>
    <w:rsid w:val="0016518D"/>
    <w:rsid w:val="00165340"/>
    <w:rsid w:val="001661D1"/>
    <w:rsid w:val="00170A50"/>
    <w:rsid w:val="00171D52"/>
    <w:rsid w:val="001721E2"/>
    <w:rsid w:val="00174AA1"/>
    <w:rsid w:val="00177CF7"/>
    <w:rsid w:val="001812CA"/>
    <w:rsid w:val="001821C7"/>
    <w:rsid w:val="001827F4"/>
    <w:rsid w:val="00182D04"/>
    <w:rsid w:val="00183BDE"/>
    <w:rsid w:val="001849D2"/>
    <w:rsid w:val="00186D15"/>
    <w:rsid w:val="001872B5"/>
    <w:rsid w:val="00187DF3"/>
    <w:rsid w:val="00187EFE"/>
    <w:rsid w:val="00196514"/>
    <w:rsid w:val="00196E16"/>
    <w:rsid w:val="001A033C"/>
    <w:rsid w:val="001A0B87"/>
    <w:rsid w:val="001A35F0"/>
    <w:rsid w:val="001A5CA4"/>
    <w:rsid w:val="001A5EC8"/>
    <w:rsid w:val="001A6F38"/>
    <w:rsid w:val="001A735C"/>
    <w:rsid w:val="001B4332"/>
    <w:rsid w:val="001B4A2C"/>
    <w:rsid w:val="001B7DD9"/>
    <w:rsid w:val="001C1C7A"/>
    <w:rsid w:val="001C2738"/>
    <w:rsid w:val="001C5697"/>
    <w:rsid w:val="001D0E1A"/>
    <w:rsid w:val="001D2E7B"/>
    <w:rsid w:val="001D3B8D"/>
    <w:rsid w:val="001D3D12"/>
    <w:rsid w:val="001D5CA8"/>
    <w:rsid w:val="001D6290"/>
    <w:rsid w:val="001D7E4F"/>
    <w:rsid w:val="001E46EC"/>
    <w:rsid w:val="001F363D"/>
    <w:rsid w:val="001F437B"/>
    <w:rsid w:val="001F467B"/>
    <w:rsid w:val="001F5149"/>
    <w:rsid w:val="001F5328"/>
    <w:rsid w:val="001F71F0"/>
    <w:rsid w:val="00201526"/>
    <w:rsid w:val="002022AE"/>
    <w:rsid w:val="00202349"/>
    <w:rsid w:val="00202E02"/>
    <w:rsid w:val="002043A2"/>
    <w:rsid w:val="0020545B"/>
    <w:rsid w:val="002060F3"/>
    <w:rsid w:val="0021065E"/>
    <w:rsid w:val="00211C50"/>
    <w:rsid w:val="00211DE4"/>
    <w:rsid w:val="002125E5"/>
    <w:rsid w:val="00213753"/>
    <w:rsid w:val="00214F98"/>
    <w:rsid w:val="00215DF4"/>
    <w:rsid w:val="00216C72"/>
    <w:rsid w:val="00217F78"/>
    <w:rsid w:val="002253BE"/>
    <w:rsid w:val="002259F2"/>
    <w:rsid w:val="00230DAC"/>
    <w:rsid w:val="00232371"/>
    <w:rsid w:val="00233AA7"/>
    <w:rsid w:val="0023417F"/>
    <w:rsid w:val="002365CA"/>
    <w:rsid w:val="00236C0A"/>
    <w:rsid w:val="00243766"/>
    <w:rsid w:val="0024511C"/>
    <w:rsid w:val="00245E7A"/>
    <w:rsid w:val="0024639D"/>
    <w:rsid w:val="002505FF"/>
    <w:rsid w:val="00250C5E"/>
    <w:rsid w:val="00251F69"/>
    <w:rsid w:val="00253850"/>
    <w:rsid w:val="00253D79"/>
    <w:rsid w:val="0026186C"/>
    <w:rsid w:val="00261DE4"/>
    <w:rsid w:val="002639F3"/>
    <w:rsid w:val="00263A59"/>
    <w:rsid w:val="00263ADC"/>
    <w:rsid w:val="00266B46"/>
    <w:rsid w:val="00267446"/>
    <w:rsid w:val="002677BB"/>
    <w:rsid w:val="00270C72"/>
    <w:rsid w:val="002723C3"/>
    <w:rsid w:val="0027286A"/>
    <w:rsid w:val="002742A7"/>
    <w:rsid w:val="002750D2"/>
    <w:rsid w:val="00275CC3"/>
    <w:rsid w:val="0027624A"/>
    <w:rsid w:val="00283C87"/>
    <w:rsid w:val="00287288"/>
    <w:rsid w:val="002873D6"/>
    <w:rsid w:val="00287789"/>
    <w:rsid w:val="0028780F"/>
    <w:rsid w:val="00293C58"/>
    <w:rsid w:val="002945A2"/>
    <w:rsid w:val="0029483F"/>
    <w:rsid w:val="002A5E94"/>
    <w:rsid w:val="002A66D6"/>
    <w:rsid w:val="002A73E1"/>
    <w:rsid w:val="002B4274"/>
    <w:rsid w:val="002B43B7"/>
    <w:rsid w:val="002B4ACD"/>
    <w:rsid w:val="002B4E2A"/>
    <w:rsid w:val="002B5B8A"/>
    <w:rsid w:val="002B6004"/>
    <w:rsid w:val="002C5121"/>
    <w:rsid w:val="002C7593"/>
    <w:rsid w:val="002C78C7"/>
    <w:rsid w:val="002C7F03"/>
    <w:rsid w:val="002D00AB"/>
    <w:rsid w:val="002D069A"/>
    <w:rsid w:val="002D1FEC"/>
    <w:rsid w:val="002D227C"/>
    <w:rsid w:val="002D32F8"/>
    <w:rsid w:val="002D3A23"/>
    <w:rsid w:val="002D459C"/>
    <w:rsid w:val="002D6B01"/>
    <w:rsid w:val="002D7834"/>
    <w:rsid w:val="002D7D62"/>
    <w:rsid w:val="002E19CD"/>
    <w:rsid w:val="002E2547"/>
    <w:rsid w:val="002E2F1B"/>
    <w:rsid w:val="002E3942"/>
    <w:rsid w:val="002E53FB"/>
    <w:rsid w:val="002F3710"/>
    <w:rsid w:val="002F50AD"/>
    <w:rsid w:val="002F635C"/>
    <w:rsid w:val="00300725"/>
    <w:rsid w:val="00301F37"/>
    <w:rsid w:val="00304D4B"/>
    <w:rsid w:val="00305903"/>
    <w:rsid w:val="00307B9B"/>
    <w:rsid w:val="003161D9"/>
    <w:rsid w:val="0031684B"/>
    <w:rsid w:val="003208FB"/>
    <w:rsid w:val="00321F9E"/>
    <w:rsid w:val="00323C9F"/>
    <w:rsid w:val="00324E23"/>
    <w:rsid w:val="00325FB7"/>
    <w:rsid w:val="0033159A"/>
    <w:rsid w:val="00331735"/>
    <w:rsid w:val="003347D3"/>
    <w:rsid w:val="0033730A"/>
    <w:rsid w:val="0034135F"/>
    <w:rsid w:val="003431DE"/>
    <w:rsid w:val="003460E2"/>
    <w:rsid w:val="00346B9C"/>
    <w:rsid w:val="003471C1"/>
    <w:rsid w:val="0035120D"/>
    <w:rsid w:val="003539BA"/>
    <w:rsid w:val="00353FCB"/>
    <w:rsid w:val="00354310"/>
    <w:rsid w:val="00354BA3"/>
    <w:rsid w:val="00355535"/>
    <w:rsid w:val="00355739"/>
    <w:rsid w:val="0035760B"/>
    <w:rsid w:val="00361335"/>
    <w:rsid w:val="00365404"/>
    <w:rsid w:val="0036632C"/>
    <w:rsid w:val="00370481"/>
    <w:rsid w:val="0037284D"/>
    <w:rsid w:val="00372DFC"/>
    <w:rsid w:val="003741A9"/>
    <w:rsid w:val="003749AB"/>
    <w:rsid w:val="00375527"/>
    <w:rsid w:val="003831A0"/>
    <w:rsid w:val="003833DF"/>
    <w:rsid w:val="00387D35"/>
    <w:rsid w:val="00390058"/>
    <w:rsid w:val="00395483"/>
    <w:rsid w:val="00395900"/>
    <w:rsid w:val="00396C65"/>
    <w:rsid w:val="003A2E05"/>
    <w:rsid w:val="003A747D"/>
    <w:rsid w:val="003B110C"/>
    <w:rsid w:val="003B1DCA"/>
    <w:rsid w:val="003B4CEE"/>
    <w:rsid w:val="003B6004"/>
    <w:rsid w:val="003C0B0A"/>
    <w:rsid w:val="003C5783"/>
    <w:rsid w:val="003D189D"/>
    <w:rsid w:val="003D2D71"/>
    <w:rsid w:val="003D331A"/>
    <w:rsid w:val="003D3A5C"/>
    <w:rsid w:val="003D7358"/>
    <w:rsid w:val="003E0EEB"/>
    <w:rsid w:val="003E3038"/>
    <w:rsid w:val="003E7D47"/>
    <w:rsid w:val="003F0ACC"/>
    <w:rsid w:val="003F0E47"/>
    <w:rsid w:val="003F1D90"/>
    <w:rsid w:val="003F22F3"/>
    <w:rsid w:val="003F5907"/>
    <w:rsid w:val="003F64E2"/>
    <w:rsid w:val="003F6590"/>
    <w:rsid w:val="00400952"/>
    <w:rsid w:val="00403786"/>
    <w:rsid w:val="00410B37"/>
    <w:rsid w:val="00410F16"/>
    <w:rsid w:val="0041340F"/>
    <w:rsid w:val="00415022"/>
    <w:rsid w:val="0041726F"/>
    <w:rsid w:val="004226C7"/>
    <w:rsid w:val="00424302"/>
    <w:rsid w:val="00426136"/>
    <w:rsid w:val="004264BD"/>
    <w:rsid w:val="00426A37"/>
    <w:rsid w:val="004277FB"/>
    <w:rsid w:val="0042789B"/>
    <w:rsid w:val="0043068E"/>
    <w:rsid w:val="00434204"/>
    <w:rsid w:val="00437F6D"/>
    <w:rsid w:val="00440B92"/>
    <w:rsid w:val="00440BB5"/>
    <w:rsid w:val="00444E7B"/>
    <w:rsid w:val="00454DD2"/>
    <w:rsid w:val="004566B1"/>
    <w:rsid w:val="00456749"/>
    <w:rsid w:val="00460FC9"/>
    <w:rsid w:val="00466A71"/>
    <w:rsid w:val="00466B1F"/>
    <w:rsid w:val="00471D19"/>
    <w:rsid w:val="004722A8"/>
    <w:rsid w:val="004731BB"/>
    <w:rsid w:val="004755E0"/>
    <w:rsid w:val="00477A5B"/>
    <w:rsid w:val="004804F3"/>
    <w:rsid w:val="00480A04"/>
    <w:rsid w:val="00483F2F"/>
    <w:rsid w:val="00484882"/>
    <w:rsid w:val="004902B4"/>
    <w:rsid w:val="0049189D"/>
    <w:rsid w:val="00492A5F"/>
    <w:rsid w:val="004931C8"/>
    <w:rsid w:val="004A2C34"/>
    <w:rsid w:val="004A3178"/>
    <w:rsid w:val="004B00CA"/>
    <w:rsid w:val="004B180C"/>
    <w:rsid w:val="004C791B"/>
    <w:rsid w:val="004E7547"/>
    <w:rsid w:val="004F0755"/>
    <w:rsid w:val="004F3F40"/>
    <w:rsid w:val="004F654E"/>
    <w:rsid w:val="005000D6"/>
    <w:rsid w:val="005011E1"/>
    <w:rsid w:val="00503051"/>
    <w:rsid w:val="0050312A"/>
    <w:rsid w:val="005077E1"/>
    <w:rsid w:val="00512A63"/>
    <w:rsid w:val="00512B61"/>
    <w:rsid w:val="00514DDC"/>
    <w:rsid w:val="00515180"/>
    <w:rsid w:val="005159B1"/>
    <w:rsid w:val="005264A1"/>
    <w:rsid w:val="005314DE"/>
    <w:rsid w:val="005339AB"/>
    <w:rsid w:val="005355A0"/>
    <w:rsid w:val="00536148"/>
    <w:rsid w:val="00537BA5"/>
    <w:rsid w:val="00541866"/>
    <w:rsid w:val="0054426E"/>
    <w:rsid w:val="00547944"/>
    <w:rsid w:val="00552547"/>
    <w:rsid w:val="005543E0"/>
    <w:rsid w:val="00554660"/>
    <w:rsid w:val="00555758"/>
    <w:rsid w:val="0055671A"/>
    <w:rsid w:val="00556BAC"/>
    <w:rsid w:val="005576E8"/>
    <w:rsid w:val="0056060F"/>
    <w:rsid w:val="0056587F"/>
    <w:rsid w:val="0056595C"/>
    <w:rsid w:val="00565E2F"/>
    <w:rsid w:val="0057602D"/>
    <w:rsid w:val="005813F7"/>
    <w:rsid w:val="00583AA2"/>
    <w:rsid w:val="00583C14"/>
    <w:rsid w:val="0059001E"/>
    <w:rsid w:val="00592063"/>
    <w:rsid w:val="005A464A"/>
    <w:rsid w:val="005B44F1"/>
    <w:rsid w:val="005B47EF"/>
    <w:rsid w:val="005B7538"/>
    <w:rsid w:val="005C09F4"/>
    <w:rsid w:val="005C19C2"/>
    <w:rsid w:val="005C1D63"/>
    <w:rsid w:val="005C2B05"/>
    <w:rsid w:val="005C4D09"/>
    <w:rsid w:val="005C5967"/>
    <w:rsid w:val="005C6AFB"/>
    <w:rsid w:val="005D2BAB"/>
    <w:rsid w:val="005D3652"/>
    <w:rsid w:val="005D53D6"/>
    <w:rsid w:val="005D65F2"/>
    <w:rsid w:val="005E027E"/>
    <w:rsid w:val="005E0537"/>
    <w:rsid w:val="005E25F5"/>
    <w:rsid w:val="005E6424"/>
    <w:rsid w:val="005F001F"/>
    <w:rsid w:val="005F2162"/>
    <w:rsid w:val="005F6E6C"/>
    <w:rsid w:val="00601641"/>
    <w:rsid w:val="006039E0"/>
    <w:rsid w:val="0060416B"/>
    <w:rsid w:val="00605564"/>
    <w:rsid w:val="0060733B"/>
    <w:rsid w:val="00607923"/>
    <w:rsid w:val="00607CF7"/>
    <w:rsid w:val="0061042B"/>
    <w:rsid w:val="00613B6D"/>
    <w:rsid w:val="00614774"/>
    <w:rsid w:val="00614F6E"/>
    <w:rsid w:val="00620244"/>
    <w:rsid w:val="00623EB1"/>
    <w:rsid w:val="00625EFB"/>
    <w:rsid w:val="00634B4B"/>
    <w:rsid w:val="00634B5E"/>
    <w:rsid w:val="00636BC1"/>
    <w:rsid w:val="00637272"/>
    <w:rsid w:val="00640230"/>
    <w:rsid w:val="00643623"/>
    <w:rsid w:val="00644A6D"/>
    <w:rsid w:val="006465D3"/>
    <w:rsid w:val="00646C92"/>
    <w:rsid w:val="00654422"/>
    <w:rsid w:val="0065608B"/>
    <w:rsid w:val="0065699F"/>
    <w:rsid w:val="006605EE"/>
    <w:rsid w:val="00660F9A"/>
    <w:rsid w:val="006628D3"/>
    <w:rsid w:val="00663650"/>
    <w:rsid w:val="006643B8"/>
    <w:rsid w:val="00665A2B"/>
    <w:rsid w:val="00666CE0"/>
    <w:rsid w:val="00670BEE"/>
    <w:rsid w:val="00675427"/>
    <w:rsid w:val="0067716C"/>
    <w:rsid w:val="00680178"/>
    <w:rsid w:val="00680FD7"/>
    <w:rsid w:val="006812B9"/>
    <w:rsid w:val="00682715"/>
    <w:rsid w:val="006855FB"/>
    <w:rsid w:val="00687A52"/>
    <w:rsid w:val="00693A5F"/>
    <w:rsid w:val="00695076"/>
    <w:rsid w:val="006A07F9"/>
    <w:rsid w:val="006A12EF"/>
    <w:rsid w:val="006A3F78"/>
    <w:rsid w:val="006A6B87"/>
    <w:rsid w:val="006A78BE"/>
    <w:rsid w:val="006B17A2"/>
    <w:rsid w:val="006B2CD3"/>
    <w:rsid w:val="006B2E7D"/>
    <w:rsid w:val="006B3DA3"/>
    <w:rsid w:val="006B7406"/>
    <w:rsid w:val="006C1F0B"/>
    <w:rsid w:val="006C3149"/>
    <w:rsid w:val="006C401C"/>
    <w:rsid w:val="006C4084"/>
    <w:rsid w:val="006C47D7"/>
    <w:rsid w:val="006C4CE4"/>
    <w:rsid w:val="006D0141"/>
    <w:rsid w:val="006D043B"/>
    <w:rsid w:val="006D0603"/>
    <w:rsid w:val="006D10DF"/>
    <w:rsid w:val="006D534B"/>
    <w:rsid w:val="006D713D"/>
    <w:rsid w:val="006E0022"/>
    <w:rsid w:val="006E1744"/>
    <w:rsid w:val="006E1C11"/>
    <w:rsid w:val="006E2199"/>
    <w:rsid w:val="006E2238"/>
    <w:rsid w:val="006E2C9F"/>
    <w:rsid w:val="006E3432"/>
    <w:rsid w:val="006E5E1C"/>
    <w:rsid w:val="006E62EC"/>
    <w:rsid w:val="006E726F"/>
    <w:rsid w:val="006F0012"/>
    <w:rsid w:val="006F3DE5"/>
    <w:rsid w:val="006F7E48"/>
    <w:rsid w:val="00704329"/>
    <w:rsid w:val="00704E6D"/>
    <w:rsid w:val="00705FE6"/>
    <w:rsid w:val="007102FC"/>
    <w:rsid w:val="00710DA8"/>
    <w:rsid w:val="00715244"/>
    <w:rsid w:val="00715758"/>
    <w:rsid w:val="00720E3D"/>
    <w:rsid w:val="00722745"/>
    <w:rsid w:val="0072308A"/>
    <w:rsid w:val="007230CD"/>
    <w:rsid w:val="007230E7"/>
    <w:rsid w:val="0072398A"/>
    <w:rsid w:val="007245AE"/>
    <w:rsid w:val="007258E1"/>
    <w:rsid w:val="00726230"/>
    <w:rsid w:val="007300FA"/>
    <w:rsid w:val="00730786"/>
    <w:rsid w:val="00733799"/>
    <w:rsid w:val="00735DBA"/>
    <w:rsid w:val="0073626B"/>
    <w:rsid w:val="00740EAB"/>
    <w:rsid w:val="0074424F"/>
    <w:rsid w:val="00750425"/>
    <w:rsid w:val="007505C8"/>
    <w:rsid w:val="00750B8C"/>
    <w:rsid w:val="00751A9F"/>
    <w:rsid w:val="00752566"/>
    <w:rsid w:val="0075403E"/>
    <w:rsid w:val="0075493E"/>
    <w:rsid w:val="00755E94"/>
    <w:rsid w:val="00757180"/>
    <w:rsid w:val="007572B1"/>
    <w:rsid w:val="007574CE"/>
    <w:rsid w:val="007575BB"/>
    <w:rsid w:val="00761560"/>
    <w:rsid w:val="00761BD9"/>
    <w:rsid w:val="00763F2B"/>
    <w:rsid w:val="0077030F"/>
    <w:rsid w:val="00774251"/>
    <w:rsid w:val="00776ECD"/>
    <w:rsid w:val="0077722C"/>
    <w:rsid w:val="00780790"/>
    <w:rsid w:val="0078101C"/>
    <w:rsid w:val="00783008"/>
    <w:rsid w:val="0078545B"/>
    <w:rsid w:val="0078611C"/>
    <w:rsid w:val="007875BD"/>
    <w:rsid w:val="00790996"/>
    <w:rsid w:val="0079395B"/>
    <w:rsid w:val="00796E75"/>
    <w:rsid w:val="007A5AFF"/>
    <w:rsid w:val="007A6EC7"/>
    <w:rsid w:val="007B2085"/>
    <w:rsid w:val="007B31DD"/>
    <w:rsid w:val="007C3FDB"/>
    <w:rsid w:val="007C70F7"/>
    <w:rsid w:val="007D402D"/>
    <w:rsid w:val="007D439D"/>
    <w:rsid w:val="007D4CE1"/>
    <w:rsid w:val="007D50C9"/>
    <w:rsid w:val="007D549D"/>
    <w:rsid w:val="007D54BA"/>
    <w:rsid w:val="007D557B"/>
    <w:rsid w:val="007D6B10"/>
    <w:rsid w:val="007D7C63"/>
    <w:rsid w:val="007E113B"/>
    <w:rsid w:val="007E2B09"/>
    <w:rsid w:val="007E3ADE"/>
    <w:rsid w:val="007E6FC1"/>
    <w:rsid w:val="007F3C66"/>
    <w:rsid w:val="007F489C"/>
    <w:rsid w:val="007F73C1"/>
    <w:rsid w:val="007F76A0"/>
    <w:rsid w:val="007F7C74"/>
    <w:rsid w:val="00801D9E"/>
    <w:rsid w:val="00802BA7"/>
    <w:rsid w:val="008048D0"/>
    <w:rsid w:val="00805F94"/>
    <w:rsid w:val="0081291F"/>
    <w:rsid w:val="00815CBB"/>
    <w:rsid w:val="0082114B"/>
    <w:rsid w:val="0082431D"/>
    <w:rsid w:val="00824805"/>
    <w:rsid w:val="00827116"/>
    <w:rsid w:val="008313CA"/>
    <w:rsid w:val="00833B86"/>
    <w:rsid w:val="00840D3E"/>
    <w:rsid w:val="00842355"/>
    <w:rsid w:val="0084359F"/>
    <w:rsid w:val="008439CC"/>
    <w:rsid w:val="00846211"/>
    <w:rsid w:val="00846977"/>
    <w:rsid w:val="0085050C"/>
    <w:rsid w:val="00850D9C"/>
    <w:rsid w:val="0085222D"/>
    <w:rsid w:val="0085609B"/>
    <w:rsid w:val="00857006"/>
    <w:rsid w:val="0085759F"/>
    <w:rsid w:val="00857E72"/>
    <w:rsid w:val="00863902"/>
    <w:rsid w:val="00863E06"/>
    <w:rsid w:val="00865348"/>
    <w:rsid w:val="008679E5"/>
    <w:rsid w:val="008710C3"/>
    <w:rsid w:val="00871CFA"/>
    <w:rsid w:val="00871F41"/>
    <w:rsid w:val="00873DD2"/>
    <w:rsid w:val="00875CEB"/>
    <w:rsid w:val="0088601C"/>
    <w:rsid w:val="008878EC"/>
    <w:rsid w:val="00890229"/>
    <w:rsid w:val="00890D59"/>
    <w:rsid w:val="00892013"/>
    <w:rsid w:val="008A02CC"/>
    <w:rsid w:val="008A0A81"/>
    <w:rsid w:val="008A0FCC"/>
    <w:rsid w:val="008A4392"/>
    <w:rsid w:val="008A6FA2"/>
    <w:rsid w:val="008B0E68"/>
    <w:rsid w:val="008B4AAA"/>
    <w:rsid w:val="008B4D9B"/>
    <w:rsid w:val="008B5077"/>
    <w:rsid w:val="008C0F0E"/>
    <w:rsid w:val="008C21D1"/>
    <w:rsid w:val="008C3160"/>
    <w:rsid w:val="008C3175"/>
    <w:rsid w:val="008C3334"/>
    <w:rsid w:val="008C3E70"/>
    <w:rsid w:val="008C5D0A"/>
    <w:rsid w:val="008C6594"/>
    <w:rsid w:val="008C7B94"/>
    <w:rsid w:val="008C7E7B"/>
    <w:rsid w:val="008D331B"/>
    <w:rsid w:val="008D581B"/>
    <w:rsid w:val="008E3126"/>
    <w:rsid w:val="008E3A0E"/>
    <w:rsid w:val="008E68A5"/>
    <w:rsid w:val="008E7E5D"/>
    <w:rsid w:val="008F0753"/>
    <w:rsid w:val="009014AE"/>
    <w:rsid w:val="009026DA"/>
    <w:rsid w:val="00903937"/>
    <w:rsid w:val="00904BF1"/>
    <w:rsid w:val="0091157E"/>
    <w:rsid w:val="00913A58"/>
    <w:rsid w:val="00914245"/>
    <w:rsid w:val="009164E7"/>
    <w:rsid w:val="00917252"/>
    <w:rsid w:val="00921867"/>
    <w:rsid w:val="00922737"/>
    <w:rsid w:val="00927606"/>
    <w:rsid w:val="00933E4B"/>
    <w:rsid w:val="00933ECE"/>
    <w:rsid w:val="00936BE8"/>
    <w:rsid w:val="0095148B"/>
    <w:rsid w:val="00962C36"/>
    <w:rsid w:val="00966505"/>
    <w:rsid w:val="009704BC"/>
    <w:rsid w:val="00970F5C"/>
    <w:rsid w:val="0097121C"/>
    <w:rsid w:val="0097145B"/>
    <w:rsid w:val="009716C7"/>
    <w:rsid w:val="00971DE0"/>
    <w:rsid w:val="009725FB"/>
    <w:rsid w:val="00973535"/>
    <w:rsid w:val="009743CF"/>
    <w:rsid w:val="00982674"/>
    <w:rsid w:val="009841A2"/>
    <w:rsid w:val="009847B6"/>
    <w:rsid w:val="0098481D"/>
    <w:rsid w:val="00990795"/>
    <w:rsid w:val="00992F34"/>
    <w:rsid w:val="00994676"/>
    <w:rsid w:val="00995D28"/>
    <w:rsid w:val="0099719F"/>
    <w:rsid w:val="009976B9"/>
    <w:rsid w:val="009B19E6"/>
    <w:rsid w:val="009B2D35"/>
    <w:rsid w:val="009B3D6D"/>
    <w:rsid w:val="009B437D"/>
    <w:rsid w:val="009B6DDE"/>
    <w:rsid w:val="009C2C66"/>
    <w:rsid w:val="009C75E9"/>
    <w:rsid w:val="009D1B9E"/>
    <w:rsid w:val="009D5733"/>
    <w:rsid w:val="009D7433"/>
    <w:rsid w:val="009E0E20"/>
    <w:rsid w:val="009E1783"/>
    <w:rsid w:val="009E20B2"/>
    <w:rsid w:val="009E78FD"/>
    <w:rsid w:val="009F272B"/>
    <w:rsid w:val="009F4237"/>
    <w:rsid w:val="009F61C9"/>
    <w:rsid w:val="009F7EFE"/>
    <w:rsid w:val="00A00E0F"/>
    <w:rsid w:val="00A0152E"/>
    <w:rsid w:val="00A03077"/>
    <w:rsid w:val="00A032CF"/>
    <w:rsid w:val="00A073DC"/>
    <w:rsid w:val="00A122AE"/>
    <w:rsid w:val="00A1426F"/>
    <w:rsid w:val="00A15638"/>
    <w:rsid w:val="00A16786"/>
    <w:rsid w:val="00A20189"/>
    <w:rsid w:val="00A20474"/>
    <w:rsid w:val="00A2117B"/>
    <w:rsid w:val="00A23CB5"/>
    <w:rsid w:val="00A241BE"/>
    <w:rsid w:val="00A24882"/>
    <w:rsid w:val="00A2584F"/>
    <w:rsid w:val="00A25C84"/>
    <w:rsid w:val="00A33F6C"/>
    <w:rsid w:val="00A42525"/>
    <w:rsid w:val="00A44563"/>
    <w:rsid w:val="00A44BCB"/>
    <w:rsid w:val="00A46033"/>
    <w:rsid w:val="00A47243"/>
    <w:rsid w:val="00A4786F"/>
    <w:rsid w:val="00A478A8"/>
    <w:rsid w:val="00A51CA0"/>
    <w:rsid w:val="00A51DC4"/>
    <w:rsid w:val="00A53A76"/>
    <w:rsid w:val="00A55AC4"/>
    <w:rsid w:val="00A55AED"/>
    <w:rsid w:val="00A6096A"/>
    <w:rsid w:val="00A60B34"/>
    <w:rsid w:val="00A61054"/>
    <w:rsid w:val="00A63142"/>
    <w:rsid w:val="00A638F6"/>
    <w:rsid w:val="00A759B4"/>
    <w:rsid w:val="00A76C86"/>
    <w:rsid w:val="00A846D6"/>
    <w:rsid w:val="00A87A18"/>
    <w:rsid w:val="00A92B7E"/>
    <w:rsid w:val="00A95657"/>
    <w:rsid w:val="00AA00FC"/>
    <w:rsid w:val="00AA10C5"/>
    <w:rsid w:val="00AA3576"/>
    <w:rsid w:val="00AA38BF"/>
    <w:rsid w:val="00AA5600"/>
    <w:rsid w:val="00AA61CC"/>
    <w:rsid w:val="00AA6DAD"/>
    <w:rsid w:val="00AA704D"/>
    <w:rsid w:val="00AA7E19"/>
    <w:rsid w:val="00AB0F1C"/>
    <w:rsid w:val="00AB1324"/>
    <w:rsid w:val="00AB28B1"/>
    <w:rsid w:val="00AB3649"/>
    <w:rsid w:val="00AB7D41"/>
    <w:rsid w:val="00AC04DC"/>
    <w:rsid w:val="00AC17E1"/>
    <w:rsid w:val="00AC2F5C"/>
    <w:rsid w:val="00AC7190"/>
    <w:rsid w:val="00AC7B8A"/>
    <w:rsid w:val="00AD6B63"/>
    <w:rsid w:val="00AD7FC0"/>
    <w:rsid w:val="00AE0F64"/>
    <w:rsid w:val="00AE1B7C"/>
    <w:rsid w:val="00AE3CB3"/>
    <w:rsid w:val="00AE6518"/>
    <w:rsid w:val="00AF34AC"/>
    <w:rsid w:val="00B02ABC"/>
    <w:rsid w:val="00B039BA"/>
    <w:rsid w:val="00B04F58"/>
    <w:rsid w:val="00B054E4"/>
    <w:rsid w:val="00B067B4"/>
    <w:rsid w:val="00B11E5B"/>
    <w:rsid w:val="00B13020"/>
    <w:rsid w:val="00B15105"/>
    <w:rsid w:val="00B15DC4"/>
    <w:rsid w:val="00B15F4A"/>
    <w:rsid w:val="00B1757C"/>
    <w:rsid w:val="00B22F9F"/>
    <w:rsid w:val="00B27C80"/>
    <w:rsid w:val="00B31FD1"/>
    <w:rsid w:val="00B320DB"/>
    <w:rsid w:val="00B33EA7"/>
    <w:rsid w:val="00B3415D"/>
    <w:rsid w:val="00B35B20"/>
    <w:rsid w:val="00B35BFE"/>
    <w:rsid w:val="00B36755"/>
    <w:rsid w:val="00B47247"/>
    <w:rsid w:val="00B47AC8"/>
    <w:rsid w:val="00B54832"/>
    <w:rsid w:val="00B54E78"/>
    <w:rsid w:val="00B60F11"/>
    <w:rsid w:val="00B64493"/>
    <w:rsid w:val="00B64703"/>
    <w:rsid w:val="00B64EBA"/>
    <w:rsid w:val="00B65BCF"/>
    <w:rsid w:val="00B71222"/>
    <w:rsid w:val="00B7275A"/>
    <w:rsid w:val="00B73883"/>
    <w:rsid w:val="00B74F12"/>
    <w:rsid w:val="00B75C6B"/>
    <w:rsid w:val="00B77C5D"/>
    <w:rsid w:val="00B816CE"/>
    <w:rsid w:val="00B83F37"/>
    <w:rsid w:val="00B879CD"/>
    <w:rsid w:val="00B90423"/>
    <w:rsid w:val="00B91167"/>
    <w:rsid w:val="00B9199D"/>
    <w:rsid w:val="00B92298"/>
    <w:rsid w:val="00B932E3"/>
    <w:rsid w:val="00B933D0"/>
    <w:rsid w:val="00B93DAD"/>
    <w:rsid w:val="00B9515E"/>
    <w:rsid w:val="00B97683"/>
    <w:rsid w:val="00BA28B2"/>
    <w:rsid w:val="00BA30F6"/>
    <w:rsid w:val="00BA3E9F"/>
    <w:rsid w:val="00BA4102"/>
    <w:rsid w:val="00BA4597"/>
    <w:rsid w:val="00BA4AD5"/>
    <w:rsid w:val="00BA66FE"/>
    <w:rsid w:val="00BB287E"/>
    <w:rsid w:val="00BB5628"/>
    <w:rsid w:val="00BC1C55"/>
    <w:rsid w:val="00BC1D86"/>
    <w:rsid w:val="00BC205A"/>
    <w:rsid w:val="00BC4ACF"/>
    <w:rsid w:val="00BC63D7"/>
    <w:rsid w:val="00BC73A1"/>
    <w:rsid w:val="00BD2480"/>
    <w:rsid w:val="00BD27FC"/>
    <w:rsid w:val="00BD5A51"/>
    <w:rsid w:val="00BD6FFF"/>
    <w:rsid w:val="00BE52B9"/>
    <w:rsid w:val="00BE673C"/>
    <w:rsid w:val="00BE733B"/>
    <w:rsid w:val="00BF4476"/>
    <w:rsid w:val="00BF592D"/>
    <w:rsid w:val="00BF6C1A"/>
    <w:rsid w:val="00BF7F2E"/>
    <w:rsid w:val="00C00DE7"/>
    <w:rsid w:val="00C0250F"/>
    <w:rsid w:val="00C06A29"/>
    <w:rsid w:val="00C06EF3"/>
    <w:rsid w:val="00C145DF"/>
    <w:rsid w:val="00C207EC"/>
    <w:rsid w:val="00C208C3"/>
    <w:rsid w:val="00C213AB"/>
    <w:rsid w:val="00C22B67"/>
    <w:rsid w:val="00C2389A"/>
    <w:rsid w:val="00C24E84"/>
    <w:rsid w:val="00C25D05"/>
    <w:rsid w:val="00C26457"/>
    <w:rsid w:val="00C26CE0"/>
    <w:rsid w:val="00C27484"/>
    <w:rsid w:val="00C308F5"/>
    <w:rsid w:val="00C330E6"/>
    <w:rsid w:val="00C33C8D"/>
    <w:rsid w:val="00C33E95"/>
    <w:rsid w:val="00C412E1"/>
    <w:rsid w:val="00C44650"/>
    <w:rsid w:val="00C527CA"/>
    <w:rsid w:val="00C53000"/>
    <w:rsid w:val="00C53171"/>
    <w:rsid w:val="00C531A3"/>
    <w:rsid w:val="00C54440"/>
    <w:rsid w:val="00C55BCC"/>
    <w:rsid w:val="00C61DEE"/>
    <w:rsid w:val="00C6332D"/>
    <w:rsid w:val="00C661C6"/>
    <w:rsid w:val="00C671DB"/>
    <w:rsid w:val="00C74129"/>
    <w:rsid w:val="00C8075C"/>
    <w:rsid w:val="00C80BE6"/>
    <w:rsid w:val="00C80C54"/>
    <w:rsid w:val="00C8106C"/>
    <w:rsid w:val="00C83084"/>
    <w:rsid w:val="00C843C8"/>
    <w:rsid w:val="00C92934"/>
    <w:rsid w:val="00C92F9A"/>
    <w:rsid w:val="00C934A3"/>
    <w:rsid w:val="00C94F8C"/>
    <w:rsid w:val="00C97A34"/>
    <w:rsid w:val="00C97FA7"/>
    <w:rsid w:val="00CA2AE7"/>
    <w:rsid w:val="00CA3563"/>
    <w:rsid w:val="00CA4EFE"/>
    <w:rsid w:val="00CB241E"/>
    <w:rsid w:val="00CB29E5"/>
    <w:rsid w:val="00CB499C"/>
    <w:rsid w:val="00CC0976"/>
    <w:rsid w:val="00CC1B30"/>
    <w:rsid w:val="00CC53B9"/>
    <w:rsid w:val="00CC56B4"/>
    <w:rsid w:val="00CD2B13"/>
    <w:rsid w:val="00CD2E30"/>
    <w:rsid w:val="00CD7887"/>
    <w:rsid w:val="00CE140D"/>
    <w:rsid w:val="00CE2275"/>
    <w:rsid w:val="00CE3EFA"/>
    <w:rsid w:val="00CE4679"/>
    <w:rsid w:val="00CE51C8"/>
    <w:rsid w:val="00CE5D6A"/>
    <w:rsid w:val="00CE73EB"/>
    <w:rsid w:val="00CE7A6C"/>
    <w:rsid w:val="00CF0BF7"/>
    <w:rsid w:val="00CF2AE2"/>
    <w:rsid w:val="00CF3F08"/>
    <w:rsid w:val="00CF44FA"/>
    <w:rsid w:val="00CF6004"/>
    <w:rsid w:val="00D004F8"/>
    <w:rsid w:val="00D01016"/>
    <w:rsid w:val="00D01CC6"/>
    <w:rsid w:val="00D031F1"/>
    <w:rsid w:val="00D04A22"/>
    <w:rsid w:val="00D07607"/>
    <w:rsid w:val="00D107DE"/>
    <w:rsid w:val="00D13830"/>
    <w:rsid w:val="00D157A0"/>
    <w:rsid w:val="00D16192"/>
    <w:rsid w:val="00D16336"/>
    <w:rsid w:val="00D20CB8"/>
    <w:rsid w:val="00D22CC3"/>
    <w:rsid w:val="00D24CD7"/>
    <w:rsid w:val="00D277AC"/>
    <w:rsid w:val="00D3513C"/>
    <w:rsid w:val="00D352A9"/>
    <w:rsid w:val="00D41B40"/>
    <w:rsid w:val="00D434F9"/>
    <w:rsid w:val="00D44897"/>
    <w:rsid w:val="00D50725"/>
    <w:rsid w:val="00D536D7"/>
    <w:rsid w:val="00D54C54"/>
    <w:rsid w:val="00D55F13"/>
    <w:rsid w:val="00D572DC"/>
    <w:rsid w:val="00D6471E"/>
    <w:rsid w:val="00D66C09"/>
    <w:rsid w:val="00D70DC7"/>
    <w:rsid w:val="00D716DD"/>
    <w:rsid w:val="00D7448A"/>
    <w:rsid w:val="00D80B97"/>
    <w:rsid w:val="00D819D6"/>
    <w:rsid w:val="00D92852"/>
    <w:rsid w:val="00D959EC"/>
    <w:rsid w:val="00D96D1A"/>
    <w:rsid w:val="00D96F21"/>
    <w:rsid w:val="00DA0015"/>
    <w:rsid w:val="00DA1491"/>
    <w:rsid w:val="00DA1F69"/>
    <w:rsid w:val="00DA6111"/>
    <w:rsid w:val="00DA743E"/>
    <w:rsid w:val="00DB1143"/>
    <w:rsid w:val="00DB6605"/>
    <w:rsid w:val="00DB68BE"/>
    <w:rsid w:val="00DB7A99"/>
    <w:rsid w:val="00DC31FA"/>
    <w:rsid w:val="00DC64F1"/>
    <w:rsid w:val="00DC6FDD"/>
    <w:rsid w:val="00DD3416"/>
    <w:rsid w:val="00DD63A2"/>
    <w:rsid w:val="00DE2108"/>
    <w:rsid w:val="00DE3643"/>
    <w:rsid w:val="00DE4BCD"/>
    <w:rsid w:val="00DE5435"/>
    <w:rsid w:val="00DF0D89"/>
    <w:rsid w:val="00DF3E3D"/>
    <w:rsid w:val="00DF3FC0"/>
    <w:rsid w:val="00DF4A69"/>
    <w:rsid w:val="00DF539A"/>
    <w:rsid w:val="00DF6AE3"/>
    <w:rsid w:val="00E0117C"/>
    <w:rsid w:val="00E01DD8"/>
    <w:rsid w:val="00E02713"/>
    <w:rsid w:val="00E02B1A"/>
    <w:rsid w:val="00E06CB5"/>
    <w:rsid w:val="00E07D56"/>
    <w:rsid w:val="00E07EFF"/>
    <w:rsid w:val="00E101D0"/>
    <w:rsid w:val="00E109AE"/>
    <w:rsid w:val="00E11BFA"/>
    <w:rsid w:val="00E13508"/>
    <w:rsid w:val="00E15DBD"/>
    <w:rsid w:val="00E1611C"/>
    <w:rsid w:val="00E16AA4"/>
    <w:rsid w:val="00E2790C"/>
    <w:rsid w:val="00E30918"/>
    <w:rsid w:val="00E309C9"/>
    <w:rsid w:val="00E30AD2"/>
    <w:rsid w:val="00E31AEE"/>
    <w:rsid w:val="00E31B31"/>
    <w:rsid w:val="00E32239"/>
    <w:rsid w:val="00E359B1"/>
    <w:rsid w:val="00E406E6"/>
    <w:rsid w:val="00E4079B"/>
    <w:rsid w:val="00E40FE5"/>
    <w:rsid w:val="00E4205E"/>
    <w:rsid w:val="00E4604C"/>
    <w:rsid w:val="00E46EBA"/>
    <w:rsid w:val="00E508F6"/>
    <w:rsid w:val="00E54111"/>
    <w:rsid w:val="00E55014"/>
    <w:rsid w:val="00E5680C"/>
    <w:rsid w:val="00E56A5A"/>
    <w:rsid w:val="00E57938"/>
    <w:rsid w:val="00E57E1B"/>
    <w:rsid w:val="00E63BBD"/>
    <w:rsid w:val="00E7114F"/>
    <w:rsid w:val="00E715BB"/>
    <w:rsid w:val="00E75C75"/>
    <w:rsid w:val="00E7634A"/>
    <w:rsid w:val="00E77244"/>
    <w:rsid w:val="00E77BB5"/>
    <w:rsid w:val="00E77E64"/>
    <w:rsid w:val="00E86DB4"/>
    <w:rsid w:val="00E87445"/>
    <w:rsid w:val="00E90EF6"/>
    <w:rsid w:val="00E919CA"/>
    <w:rsid w:val="00E936EE"/>
    <w:rsid w:val="00E93EA3"/>
    <w:rsid w:val="00E9583F"/>
    <w:rsid w:val="00E9588D"/>
    <w:rsid w:val="00E97172"/>
    <w:rsid w:val="00E97ED2"/>
    <w:rsid w:val="00EA199F"/>
    <w:rsid w:val="00EA3B6A"/>
    <w:rsid w:val="00EA4ABD"/>
    <w:rsid w:val="00EA795A"/>
    <w:rsid w:val="00EB22A7"/>
    <w:rsid w:val="00EB4283"/>
    <w:rsid w:val="00EB5549"/>
    <w:rsid w:val="00EB5A63"/>
    <w:rsid w:val="00EB66CC"/>
    <w:rsid w:val="00EC134C"/>
    <w:rsid w:val="00EC2894"/>
    <w:rsid w:val="00EC4A49"/>
    <w:rsid w:val="00ED0C7D"/>
    <w:rsid w:val="00ED1A13"/>
    <w:rsid w:val="00ED2B41"/>
    <w:rsid w:val="00ED4857"/>
    <w:rsid w:val="00ED5EF0"/>
    <w:rsid w:val="00ED6BE8"/>
    <w:rsid w:val="00ED763E"/>
    <w:rsid w:val="00ED7667"/>
    <w:rsid w:val="00ED77D0"/>
    <w:rsid w:val="00EE19C9"/>
    <w:rsid w:val="00EE2E50"/>
    <w:rsid w:val="00EF0E2C"/>
    <w:rsid w:val="00EF2D5D"/>
    <w:rsid w:val="00EF4EF8"/>
    <w:rsid w:val="00EF6BCF"/>
    <w:rsid w:val="00F00549"/>
    <w:rsid w:val="00F061AC"/>
    <w:rsid w:val="00F07160"/>
    <w:rsid w:val="00F14376"/>
    <w:rsid w:val="00F1687F"/>
    <w:rsid w:val="00F16AC8"/>
    <w:rsid w:val="00F21A43"/>
    <w:rsid w:val="00F25F96"/>
    <w:rsid w:val="00F26061"/>
    <w:rsid w:val="00F26D5C"/>
    <w:rsid w:val="00F309B3"/>
    <w:rsid w:val="00F3120F"/>
    <w:rsid w:val="00F347EB"/>
    <w:rsid w:val="00F3569A"/>
    <w:rsid w:val="00F4145B"/>
    <w:rsid w:val="00F46317"/>
    <w:rsid w:val="00F479BA"/>
    <w:rsid w:val="00F516AC"/>
    <w:rsid w:val="00F52A61"/>
    <w:rsid w:val="00F53B0B"/>
    <w:rsid w:val="00F600CA"/>
    <w:rsid w:val="00F61864"/>
    <w:rsid w:val="00F61BE9"/>
    <w:rsid w:val="00F61CD9"/>
    <w:rsid w:val="00F648D9"/>
    <w:rsid w:val="00F66514"/>
    <w:rsid w:val="00F66D40"/>
    <w:rsid w:val="00F72089"/>
    <w:rsid w:val="00F720D4"/>
    <w:rsid w:val="00F758E1"/>
    <w:rsid w:val="00F76133"/>
    <w:rsid w:val="00F77354"/>
    <w:rsid w:val="00F81AAB"/>
    <w:rsid w:val="00F822FC"/>
    <w:rsid w:val="00F84801"/>
    <w:rsid w:val="00F84BAD"/>
    <w:rsid w:val="00F85D98"/>
    <w:rsid w:val="00F909C8"/>
    <w:rsid w:val="00F9333F"/>
    <w:rsid w:val="00FA0CB2"/>
    <w:rsid w:val="00FA33CC"/>
    <w:rsid w:val="00FA3E51"/>
    <w:rsid w:val="00FA4097"/>
    <w:rsid w:val="00FA4F7E"/>
    <w:rsid w:val="00FA5DAF"/>
    <w:rsid w:val="00FB0DD6"/>
    <w:rsid w:val="00FB16F9"/>
    <w:rsid w:val="00FB188D"/>
    <w:rsid w:val="00FB1C50"/>
    <w:rsid w:val="00FB5633"/>
    <w:rsid w:val="00FB779F"/>
    <w:rsid w:val="00FC18D7"/>
    <w:rsid w:val="00FD0C0A"/>
    <w:rsid w:val="00FD0E5E"/>
    <w:rsid w:val="00FD1DA9"/>
    <w:rsid w:val="00FD3303"/>
    <w:rsid w:val="00FD5E17"/>
    <w:rsid w:val="00FD6D71"/>
    <w:rsid w:val="00FE013A"/>
    <w:rsid w:val="00FE06A3"/>
    <w:rsid w:val="00FE19B1"/>
    <w:rsid w:val="00FE19E8"/>
    <w:rsid w:val="00FE56F4"/>
    <w:rsid w:val="00FF039C"/>
    <w:rsid w:val="00FF056B"/>
    <w:rsid w:val="00FF585F"/>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4C87"/>
  <w15:chartTrackingRefBased/>
  <w15:docId w15:val="{0CF37604-1843-46D3-95E3-4714D239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CD"/>
  </w:style>
  <w:style w:type="paragraph" w:styleId="Heading1">
    <w:name w:val="heading 1"/>
    <w:basedOn w:val="Normal"/>
    <w:next w:val="Normal"/>
    <w:link w:val="Heading1Char"/>
    <w:autoRedefine/>
    <w:uiPriority w:val="9"/>
    <w:qFormat/>
    <w:rsid w:val="00E31B31"/>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31B31"/>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E31B31"/>
    <w:pPr>
      <w:keepNext/>
      <w:keepLines/>
      <w:spacing w:before="40" w:after="0"/>
      <w:outlineLvl w:val="2"/>
    </w:pPr>
    <w:rPr>
      <w:rFonts w:eastAsiaTheme="majorEastAsia" w:cstheme="majorBidi"/>
      <w:color w:val="1F3763" w:themeColor="accent1" w:themeShade="7F"/>
    </w:rPr>
  </w:style>
  <w:style w:type="paragraph" w:styleId="Heading4">
    <w:name w:val="heading 4"/>
    <w:basedOn w:val="Normal"/>
    <w:next w:val="Normal"/>
    <w:link w:val="Heading4Char"/>
    <w:autoRedefine/>
    <w:uiPriority w:val="9"/>
    <w:unhideWhenUsed/>
    <w:qFormat/>
    <w:rsid w:val="00640230"/>
    <w:pPr>
      <w:keepNext/>
      <w:keepLines/>
      <w:spacing w:before="40" w:after="0"/>
      <w:outlineLvl w:val="3"/>
    </w:pPr>
    <w:rPr>
      <w:rFonts w:eastAsiaTheme="majorEastAsia" w:cstheme="majorBidi"/>
      <w:bCs/>
      <w:i/>
      <w:iCs/>
      <w:color w:val="2F5496" w:themeColor="accent1" w:themeShade="BF"/>
    </w:rPr>
  </w:style>
  <w:style w:type="paragraph" w:styleId="Heading5">
    <w:name w:val="heading 5"/>
    <w:basedOn w:val="Normal"/>
    <w:next w:val="Normal"/>
    <w:link w:val="Heading5Char"/>
    <w:autoRedefine/>
    <w:uiPriority w:val="9"/>
    <w:semiHidden/>
    <w:unhideWhenUsed/>
    <w:qFormat/>
    <w:rsid w:val="00640230"/>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31B3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1B31"/>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E31B31"/>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E31B31"/>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E31B31"/>
    <w:rPr>
      <w:rFonts w:eastAsiaTheme="majorEastAsia" w:cstheme="majorBidi"/>
      <w:color w:val="1F3763" w:themeColor="accent1" w:themeShade="7F"/>
    </w:rPr>
  </w:style>
  <w:style w:type="character" w:customStyle="1" w:styleId="Heading4Char">
    <w:name w:val="Heading 4 Char"/>
    <w:basedOn w:val="DefaultParagraphFont"/>
    <w:link w:val="Heading4"/>
    <w:uiPriority w:val="9"/>
    <w:rsid w:val="00640230"/>
    <w:rPr>
      <w:rFonts w:eastAsiaTheme="majorEastAsia" w:cstheme="majorBidi"/>
      <w:bCs/>
      <w:i/>
      <w:iCs/>
      <w:color w:val="2F5496" w:themeColor="accent1" w:themeShade="BF"/>
    </w:rPr>
  </w:style>
  <w:style w:type="character" w:customStyle="1" w:styleId="Heading5Char">
    <w:name w:val="Heading 5 Char"/>
    <w:basedOn w:val="DefaultParagraphFont"/>
    <w:link w:val="Heading5"/>
    <w:uiPriority w:val="9"/>
    <w:semiHidden/>
    <w:rsid w:val="00640230"/>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7D54BA"/>
    <w:pPr>
      <w:numPr>
        <w:ilvl w:val="1"/>
      </w:numPr>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7D54BA"/>
    <w:rPr>
      <w:rFonts w:eastAsiaTheme="minorEastAsia" w:cstheme="minorBidi"/>
      <w:color w:val="5A5A5A" w:themeColor="text1" w:themeTint="A5"/>
      <w:spacing w:val="15"/>
      <w:sz w:val="22"/>
      <w:szCs w:val="22"/>
    </w:rPr>
  </w:style>
  <w:style w:type="numbering" w:customStyle="1" w:styleId="Numbered">
    <w:name w:val="Numbered"/>
    <w:uiPriority w:val="99"/>
    <w:rsid w:val="009B6DDE"/>
    <w:pPr>
      <w:numPr>
        <w:numId w:val="1"/>
      </w:numPr>
    </w:pPr>
  </w:style>
  <w:style w:type="paragraph" w:styleId="ListParagraph">
    <w:name w:val="List Paragraph"/>
    <w:basedOn w:val="Normal"/>
    <w:uiPriority w:val="34"/>
    <w:qFormat/>
    <w:rsid w:val="00DE2108"/>
    <w:pPr>
      <w:ind w:left="720"/>
      <w:contextualSpacing/>
    </w:pPr>
  </w:style>
  <w:style w:type="paragraph" w:styleId="FootnoteText">
    <w:name w:val="footnote text"/>
    <w:basedOn w:val="Normal"/>
    <w:link w:val="FootnoteTextChar"/>
    <w:uiPriority w:val="99"/>
    <w:semiHidden/>
    <w:unhideWhenUsed/>
    <w:rsid w:val="00AD7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FC0"/>
    <w:rPr>
      <w:sz w:val="20"/>
      <w:szCs w:val="20"/>
    </w:rPr>
  </w:style>
  <w:style w:type="character" w:styleId="FootnoteReference">
    <w:name w:val="footnote reference"/>
    <w:basedOn w:val="DefaultParagraphFont"/>
    <w:uiPriority w:val="99"/>
    <w:semiHidden/>
    <w:unhideWhenUsed/>
    <w:rsid w:val="00AD7FC0"/>
    <w:rPr>
      <w:vertAlign w:val="superscript"/>
    </w:rPr>
  </w:style>
  <w:style w:type="character" w:styleId="Hyperlink">
    <w:name w:val="Hyperlink"/>
    <w:basedOn w:val="DefaultParagraphFont"/>
    <w:uiPriority w:val="99"/>
    <w:unhideWhenUsed/>
    <w:rsid w:val="001F5149"/>
    <w:rPr>
      <w:color w:val="0563C1" w:themeColor="hyperlink"/>
      <w:u w:val="single"/>
    </w:rPr>
  </w:style>
  <w:style w:type="character" w:styleId="UnresolvedMention">
    <w:name w:val="Unresolved Mention"/>
    <w:basedOn w:val="DefaultParagraphFont"/>
    <w:uiPriority w:val="99"/>
    <w:semiHidden/>
    <w:unhideWhenUsed/>
    <w:rsid w:val="001F5149"/>
    <w:rPr>
      <w:color w:val="605E5C"/>
      <w:shd w:val="clear" w:color="auto" w:fill="E1DFDD"/>
    </w:rPr>
  </w:style>
  <w:style w:type="paragraph" w:styleId="NoSpacing">
    <w:name w:val="No Spacing"/>
    <w:uiPriority w:val="1"/>
    <w:qFormat/>
    <w:rsid w:val="00E97172"/>
    <w:pPr>
      <w:spacing w:after="0" w:line="240" w:lineRule="auto"/>
      <w:jc w:val="left"/>
    </w:pPr>
    <w:rPr>
      <w:rFonts w:asciiTheme="minorHAnsi" w:hAnsiTheme="minorHAnsi" w:cstheme="minorBidi"/>
      <w:sz w:val="22"/>
    </w:rPr>
  </w:style>
  <w:style w:type="paragraph" w:styleId="Header">
    <w:name w:val="header"/>
    <w:basedOn w:val="Normal"/>
    <w:link w:val="HeaderChar"/>
    <w:uiPriority w:val="99"/>
    <w:unhideWhenUsed/>
    <w:rsid w:val="0065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99F"/>
  </w:style>
  <w:style w:type="paragraph" w:styleId="Footer">
    <w:name w:val="footer"/>
    <w:basedOn w:val="Normal"/>
    <w:link w:val="FooterChar"/>
    <w:uiPriority w:val="99"/>
    <w:unhideWhenUsed/>
    <w:rsid w:val="0065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99F"/>
  </w:style>
  <w:style w:type="paragraph" w:styleId="Revision">
    <w:name w:val="Revision"/>
    <w:hidden/>
    <w:uiPriority w:val="99"/>
    <w:semiHidden/>
    <w:rsid w:val="002B43B7"/>
    <w:pPr>
      <w:spacing w:after="0" w:line="240" w:lineRule="auto"/>
      <w:jc w:val="left"/>
    </w:pPr>
  </w:style>
  <w:style w:type="character" w:styleId="PlaceholderText">
    <w:name w:val="Placeholder Text"/>
    <w:basedOn w:val="DefaultParagraphFont"/>
    <w:uiPriority w:val="99"/>
    <w:semiHidden/>
    <w:rsid w:val="001B4A2C"/>
    <w:rPr>
      <w:color w:val="666666"/>
    </w:rPr>
  </w:style>
  <w:style w:type="table" w:styleId="TableGrid">
    <w:name w:val="Table Grid"/>
    <w:basedOn w:val="TableNormal"/>
    <w:uiPriority w:val="39"/>
    <w:rsid w:val="0043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543">
      <w:bodyDiv w:val="1"/>
      <w:marLeft w:val="0"/>
      <w:marRight w:val="0"/>
      <w:marTop w:val="0"/>
      <w:marBottom w:val="0"/>
      <w:divBdr>
        <w:top w:val="none" w:sz="0" w:space="0" w:color="auto"/>
        <w:left w:val="none" w:sz="0" w:space="0" w:color="auto"/>
        <w:bottom w:val="none" w:sz="0" w:space="0" w:color="auto"/>
        <w:right w:val="none" w:sz="0" w:space="0" w:color="auto"/>
      </w:divBdr>
    </w:div>
    <w:div w:id="1255881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130">
          <w:marLeft w:val="0"/>
          <w:marRight w:val="0"/>
          <w:marTop w:val="240"/>
          <w:marBottom w:val="0"/>
          <w:divBdr>
            <w:top w:val="none" w:sz="0" w:space="0" w:color="auto"/>
            <w:left w:val="none" w:sz="0" w:space="0" w:color="auto"/>
            <w:bottom w:val="none" w:sz="0" w:space="0" w:color="auto"/>
            <w:right w:val="none" w:sz="0" w:space="0" w:color="auto"/>
          </w:divBdr>
          <w:divsChild>
            <w:div w:id="1876305431">
              <w:marLeft w:val="0"/>
              <w:marRight w:val="0"/>
              <w:marTop w:val="0"/>
              <w:marBottom w:val="0"/>
              <w:divBdr>
                <w:top w:val="none" w:sz="0" w:space="0" w:color="auto"/>
                <w:left w:val="none" w:sz="0" w:space="0" w:color="auto"/>
                <w:bottom w:val="none" w:sz="0" w:space="0" w:color="auto"/>
                <w:right w:val="none" w:sz="0" w:space="0" w:color="auto"/>
              </w:divBdr>
              <w:divsChild>
                <w:div w:id="5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447">
          <w:marLeft w:val="0"/>
          <w:marRight w:val="0"/>
          <w:marTop w:val="240"/>
          <w:marBottom w:val="0"/>
          <w:divBdr>
            <w:top w:val="none" w:sz="0" w:space="0" w:color="auto"/>
            <w:left w:val="none" w:sz="0" w:space="0" w:color="auto"/>
            <w:bottom w:val="none" w:sz="0" w:space="0" w:color="auto"/>
            <w:right w:val="none" w:sz="0" w:space="0" w:color="auto"/>
          </w:divBdr>
          <w:divsChild>
            <w:div w:id="2080323664">
              <w:marLeft w:val="0"/>
              <w:marRight w:val="0"/>
              <w:marTop w:val="0"/>
              <w:marBottom w:val="0"/>
              <w:divBdr>
                <w:top w:val="none" w:sz="0" w:space="0" w:color="auto"/>
                <w:left w:val="none" w:sz="0" w:space="0" w:color="auto"/>
                <w:bottom w:val="none" w:sz="0" w:space="0" w:color="auto"/>
                <w:right w:val="none" w:sz="0" w:space="0" w:color="auto"/>
              </w:divBdr>
              <w:divsChild>
                <w:div w:id="13788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86884">
      <w:bodyDiv w:val="1"/>
      <w:marLeft w:val="0"/>
      <w:marRight w:val="0"/>
      <w:marTop w:val="0"/>
      <w:marBottom w:val="0"/>
      <w:divBdr>
        <w:top w:val="none" w:sz="0" w:space="0" w:color="auto"/>
        <w:left w:val="none" w:sz="0" w:space="0" w:color="auto"/>
        <w:bottom w:val="none" w:sz="0" w:space="0" w:color="auto"/>
        <w:right w:val="none" w:sz="0" w:space="0" w:color="auto"/>
      </w:divBdr>
    </w:div>
    <w:div w:id="543829514">
      <w:bodyDiv w:val="1"/>
      <w:marLeft w:val="0"/>
      <w:marRight w:val="0"/>
      <w:marTop w:val="0"/>
      <w:marBottom w:val="0"/>
      <w:divBdr>
        <w:top w:val="none" w:sz="0" w:space="0" w:color="auto"/>
        <w:left w:val="none" w:sz="0" w:space="0" w:color="auto"/>
        <w:bottom w:val="none" w:sz="0" w:space="0" w:color="auto"/>
        <w:right w:val="none" w:sz="0" w:space="0" w:color="auto"/>
      </w:divBdr>
    </w:div>
    <w:div w:id="779684536">
      <w:bodyDiv w:val="1"/>
      <w:marLeft w:val="0"/>
      <w:marRight w:val="0"/>
      <w:marTop w:val="0"/>
      <w:marBottom w:val="0"/>
      <w:divBdr>
        <w:top w:val="none" w:sz="0" w:space="0" w:color="auto"/>
        <w:left w:val="none" w:sz="0" w:space="0" w:color="auto"/>
        <w:bottom w:val="none" w:sz="0" w:space="0" w:color="auto"/>
        <w:right w:val="none" w:sz="0" w:space="0" w:color="auto"/>
      </w:divBdr>
      <w:divsChild>
        <w:div w:id="1386836049">
          <w:marLeft w:val="0"/>
          <w:marRight w:val="0"/>
          <w:marTop w:val="240"/>
          <w:marBottom w:val="0"/>
          <w:divBdr>
            <w:top w:val="none" w:sz="0" w:space="0" w:color="auto"/>
            <w:left w:val="none" w:sz="0" w:space="0" w:color="auto"/>
            <w:bottom w:val="none" w:sz="0" w:space="0" w:color="auto"/>
            <w:right w:val="none" w:sz="0" w:space="0" w:color="auto"/>
          </w:divBdr>
          <w:divsChild>
            <w:div w:id="464741655">
              <w:marLeft w:val="0"/>
              <w:marRight w:val="0"/>
              <w:marTop w:val="0"/>
              <w:marBottom w:val="0"/>
              <w:divBdr>
                <w:top w:val="none" w:sz="0" w:space="0" w:color="auto"/>
                <w:left w:val="none" w:sz="0" w:space="0" w:color="auto"/>
                <w:bottom w:val="none" w:sz="0" w:space="0" w:color="auto"/>
                <w:right w:val="none" w:sz="0" w:space="0" w:color="auto"/>
              </w:divBdr>
              <w:divsChild>
                <w:div w:id="8614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3816">
          <w:marLeft w:val="0"/>
          <w:marRight w:val="0"/>
          <w:marTop w:val="240"/>
          <w:marBottom w:val="0"/>
          <w:divBdr>
            <w:top w:val="none" w:sz="0" w:space="0" w:color="auto"/>
            <w:left w:val="none" w:sz="0" w:space="0" w:color="auto"/>
            <w:bottom w:val="none" w:sz="0" w:space="0" w:color="auto"/>
            <w:right w:val="none" w:sz="0" w:space="0" w:color="auto"/>
          </w:divBdr>
          <w:divsChild>
            <w:div w:id="1299140312">
              <w:marLeft w:val="0"/>
              <w:marRight w:val="0"/>
              <w:marTop w:val="0"/>
              <w:marBottom w:val="0"/>
              <w:divBdr>
                <w:top w:val="none" w:sz="0" w:space="0" w:color="auto"/>
                <w:left w:val="none" w:sz="0" w:space="0" w:color="auto"/>
                <w:bottom w:val="none" w:sz="0" w:space="0" w:color="auto"/>
                <w:right w:val="none" w:sz="0" w:space="0" w:color="auto"/>
              </w:divBdr>
              <w:divsChild>
                <w:div w:id="1894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08930">
      <w:bodyDiv w:val="1"/>
      <w:marLeft w:val="0"/>
      <w:marRight w:val="0"/>
      <w:marTop w:val="0"/>
      <w:marBottom w:val="0"/>
      <w:divBdr>
        <w:top w:val="none" w:sz="0" w:space="0" w:color="auto"/>
        <w:left w:val="none" w:sz="0" w:space="0" w:color="auto"/>
        <w:bottom w:val="none" w:sz="0" w:space="0" w:color="auto"/>
        <w:right w:val="none" w:sz="0" w:space="0" w:color="auto"/>
      </w:divBdr>
    </w:div>
    <w:div w:id="12917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an@acluaz.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hy@mscc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FD1A-81AC-43F9-BE9F-F3207C95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Urbina</dc:creator>
  <cp:keywords/>
  <dc:description/>
  <cp:lastModifiedBy>Gloria Torres</cp:lastModifiedBy>
  <cp:revision>4</cp:revision>
  <cp:lastPrinted>2024-04-26T15:50:00Z</cp:lastPrinted>
  <dcterms:created xsi:type="dcterms:W3CDTF">2025-05-01T16:43:00Z</dcterms:created>
  <dcterms:modified xsi:type="dcterms:W3CDTF">2025-05-01T16:51:00Z</dcterms:modified>
</cp:coreProperties>
</file>