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94A9" w14:textId="77777777" w:rsidR="00961AB1" w:rsidRDefault="00961AB1" w:rsidP="00961AB1">
      <w:pPr>
        <w:spacing w:line="240" w:lineRule="exact"/>
      </w:pPr>
      <w:bookmarkStart w:id="0" w:name="_Hlk196913739"/>
      <w:bookmarkStart w:id="1" w:name="_Hlk196913700"/>
    </w:p>
    <w:p w14:paraId="624588B1" w14:textId="3F65181B" w:rsidR="006D30D7" w:rsidRDefault="006D30D7" w:rsidP="00961AB1">
      <w:pPr>
        <w:spacing w:line="240" w:lineRule="exact"/>
      </w:pPr>
      <w:r>
        <w:t>Katherine Henrichs</w:t>
      </w:r>
      <w:r w:rsidRPr="00A677A2">
        <w:t xml:space="preserve">, AZ Bar No. </w:t>
      </w:r>
      <w:r>
        <w:t>035928</w:t>
      </w:r>
    </w:p>
    <w:p w14:paraId="2099CA8A" w14:textId="77777777" w:rsidR="006D30D7" w:rsidRDefault="006D30D7" w:rsidP="00961AB1">
      <w:pPr>
        <w:spacing w:line="240" w:lineRule="exact"/>
      </w:pPr>
      <w:r>
        <w:t>DISABILITY RIGHTS ARIZONA</w:t>
      </w:r>
    </w:p>
    <w:p w14:paraId="46FBDA9D" w14:textId="77777777" w:rsidR="006D30D7" w:rsidRDefault="006D30D7" w:rsidP="00961AB1">
      <w:pPr>
        <w:spacing w:line="240" w:lineRule="exact"/>
      </w:pPr>
      <w:r>
        <w:t>4539 E. Ft. Lowell Rd.</w:t>
      </w:r>
    </w:p>
    <w:p w14:paraId="46FE81A4" w14:textId="77777777" w:rsidR="006D30D7" w:rsidRDefault="006D30D7" w:rsidP="00961AB1">
      <w:pPr>
        <w:spacing w:line="240" w:lineRule="exact"/>
      </w:pPr>
      <w:r>
        <w:t>Tucson, AZ 85712</w:t>
      </w:r>
    </w:p>
    <w:p w14:paraId="2CC04ACB" w14:textId="77777777" w:rsidR="006D30D7" w:rsidRDefault="006D30D7" w:rsidP="00961AB1">
      <w:pPr>
        <w:spacing w:line="240" w:lineRule="exact"/>
      </w:pPr>
      <w:r>
        <w:t>520-327-9547</w:t>
      </w:r>
    </w:p>
    <w:p w14:paraId="33F50B57" w14:textId="7BA73E83" w:rsidR="006D30D7" w:rsidRDefault="008F7487" w:rsidP="00961AB1">
      <w:pPr>
        <w:spacing w:line="240" w:lineRule="exact"/>
      </w:pPr>
      <w:hyperlink r:id="rId8" w:history="1">
        <w:r w:rsidRPr="003A3704">
          <w:rPr>
            <w:rStyle w:val="Hyperlink"/>
            <w:sz w:val="28"/>
            <w:szCs w:val="28"/>
          </w:rPr>
          <w:t>khenrichs@disablityrightsaz.org</w:t>
        </w:r>
      </w:hyperlink>
    </w:p>
    <w:p w14:paraId="1AB8FF64" w14:textId="77777777" w:rsidR="00961AB1" w:rsidRPr="008F7487" w:rsidRDefault="00961AB1" w:rsidP="00961AB1">
      <w:pPr>
        <w:spacing w:line="240" w:lineRule="exact"/>
        <w:rPr>
          <w:rFonts w:eastAsiaTheme="minorHAnsi"/>
          <w:sz w:val="20"/>
          <w:szCs w:val="20"/>
          <w14:ligatures w14:val="standardContextual"/>
        </w:rPr>
      </w:pPr>
    </w:p>
    <w:p w14:paraId="5AC0D8B4" w14:textId="6DEA72E9" w:rsidR="006D30D7" w:rsidRDefault="006D30D7" w:rsidP="00961AB1">
      <w:pPr>
        <w:spacing w:line="240" w:lineRule="exact"/>
        <w:jc w:val="center"/>
        <w:rPr>
          <w:b/>
          <w:bCs/>
          <w:sz w:val="28"/>
          <w:szCs w:val="28"/>
        </w:rPr>
      </w:pPr>
      <w:r w:rsidRPr="00B0063D">
        <w:rPr>
          <w:b/>
          <w:bCs/>
          <w:sz w:val="28"/>
          <w:szCs w:val="28"/>
        </w:rPr>
        <w:t>IN TH</w:t>
      </w:r>
      <w:r w:rsidR="00961AB1">
        <w:rPr>
          <w:b/>
          <w:bCs/>
          <w:sz w:val="28"/>
          <w:szCs w:val="28"/>
        </w:rPr>
        <w:t>E</w:t>
      </w:r>
      <w:r w:rsidRPr="00B0063D">
        <w:rPr>
          <w:b/>
          <w:bCs/>
          <w:sz w:val="28"/>
          <w:szCs w:val="28"/>
        </w:rPr>
        <w:t xml:space="preserve"> SUPREME COURT</w:t>
      </w:r>
    </w:p>
    <w:p w14:paraId="20D3138B" w14:textId="77777777" w:rsidR="00961AB1" w:rsidRPr="00B0063D" w:rsidRDefault="00961AB1" w:rsidP="00961AB1">
      <w:pPr>
        <w:spacing w:line="240" w:lineRule="exact"/>
        <w:jc w:val="center"/>
        <w:rPr>
          <w:b/>
          <w:bCs/>
          <w:sz w:val="28"/>
          <w:szCs w:val="28"/>
        </w:rPr>
      </w:pPr>
    </w:p>
    <w:p w14:paraId="2BC0BC99" w14:textId="5CA18C6B" w:rsidR="006D30D7" w:rsidRPr="00A677A2" w:rsidRDefault="006D30D7" w:rsidP="00961AB1">
      <w:pPr>
        <w:tabs>
          <w:tab w:val="center" w:pos="4680"/>
          <w:tab w:val="left" w:pos="8385"/>
        </w:tabs>
        <w:spacing w:line="240" w:lineRule="exact"/>
        <w:jc w:val="center"/>
        <w:rPr>
          <w:sz w:val="28"/>
          <w:szCs w:val="28"/>
        </w:rPr>
      </w:pPr>
      <w:r w:rsidRPr="00B0063D">
        <w:rPr>
          <w:b/>
          <w:bCs/>
          <w:sz w:val="28"/>
          <w:szCs w:val="28"/>
        </w:rPr>
        <w:t>STATE OF ARIZONA</w:t>
      </w:r>
    </w:p>
    <w:p w14:paraId="1C0FFD78" w14:textId="77777777" w:rsidR="006D30D7" w:rsidRPr="00A677A2" w:rsidRDefault="006D30D7" w:rsidP="008B46C5">
      <w:pPr>
        <w:spacing w:line="240" w:lineRule="exact"/>
        <w:jc w:val="center"/>
        <w:rPr>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6D30D7" w:rsidRPr="00A677A2" w14:paraId="292C399A" w14:textId="77777777" w:rsidTr="00555A42">
        <w:trPr>
          <w:trHeight w:val="1890"/>
        </w:trPr>
        <w:tc>
          <w:tcPr>
            <w:tcW w:w="4542" w:type="dxa"/>
            <w:tcBorders>
              <w:bottom w:val="single" w:sz="4" w:space="0" w:color="auto"/>
              <w:right w:val="single" w:sz="4" w:space="0" w:color="auto"/>
            </w:tcBorders>
          </w:tcPr>
          <w:p w14:paraId="2C7BADCD" w14:textId="77777777" w:rsidR="006D30D7" w:rsidRPr="00A677A2" w:rsidRDefault="006D30D7" w:rsidP="008B46C5">
            <w:pPr>
              <w:pStyle w:val="BodyText"/>
              <w:spacing w:line="240" w:lineRule="exact"/>
              <w:rPr>
                <w:sz w:val="28"/>
                <w:szCs w:val="28"/>
              </w:rPr>
            </w:pPr>
          </w:p>
          <w:p w14:paraId="1FC756B5" w14:textId="77777777" w:rsidR="006D30D7" w:rsidRPr="00A677A2" w:rsidRDefault="006D30D7" w:rsidP="008B46C5">
            <w:pPr>
              <w:pStyle w:val="BodyText"/>
              <w:spacing w:line="240" w:lineRule="exact"/>
              <w:rPr>
                <w:sz w:val="28"/>
                <w:szCs w:val="28"/>
              </w:rPr>
            </w:pPr>
            <w:r>
              <w:rPr>
                <w:sz w:val="28"/>
                <w:szCs w:val="28"/>
              </w:rPr>
              <w:t>In the Matter of:</w:t>
            </w:r>
          </w:p>
          <w:p w14:paraId="3D56314D" w14:textId="77777777" w:rsidR="006D30D7" w:rsidRPr="00A677A2" w:rsidRDefault="006D30D7" w:rsidP="008B46C5">
            <w:pPr>
              <w:pStyle w:val="BodyText"/>
              <w:spacing w:line="240" w:lineRule="exact"/>
              <w:rPr>
                <w:sz w:val="28"/>
                <w:szCs w:val="28"/>
              </w:rPr>
            </w:pPr>
          </w:p>
          <w:p w14:paraId="2EAE1EC1" w14:textId="77777777" w:rsidR="006D30D7" w:rsidRDefault="006D30D7" w:rsidP="008B46C5">
            <w:pPr>
              <w:pStyle w:val="BodyText"/>
              <w:spacing w:line="240" w:lineRule="exact"/>
              <w:rPr>
                <w:b/>
                <w:bCs/>
                <w:sz w:val="28"/>
                <w:szCs w:val="28"/>
              </w:rPr>
            </w:pPr>
          </w:p>
          <w:p w14:paraId="4188C089" w14:textId="36F06A09" w:rsidR="006D30D7" w:rsidRPr="00A677A2" w:rsidRDefault="006D30D7" w:rsidP="00961AB1">
            <w:pPr>
              <w:pStyle w:val="BodyText"/>
              <w:spacing w:line="240" w:lineRule="exact"/>
              <w:rPr>
                <w:sz w:val="28"/>
                <w:szCs w:val="28"/>
              </w:rPr>
            </w:pPr>
            <w:r w:rsidRPr="00B55DB2">
              <w:rPr>
                <w:sz w:val="28"/>
                <w:szCs w:val="28"/>
              </w:rPr>
              <w:t>Petition to Amend Rule</w:t>
            </w:r>
            <w:r>
              <w:rPr>
                <w:sz w:val="28"/>
                <w:szCs w:val="28"/>
              </w:rPr>
              <w:t xml:space="preserve"> 15 of the</w:t>
            </w:r>
            <w:r w:rsidRPr="00B55DB2">
              <w:rPr>
                <w:sz w:val="28"/>
                <w:szCs w:val="28"/>
              </w:rPr>
              <w:t xml:space="preserve"> Arizona Rules of Procedure for Eviction Actions</w:t>
            </w:r>
          </w:p>
        </w:tc>
        <w:tc>
          <w:tcPr>
            <w:tcW w:w="276" w:type="dxa"/>
            <w:tcBorders>
              <w:left w:val="single" w:sz="4" w:space="0" w:color="auto"/>
            </w:tcBorders>
          </w:tcPr>
          <w:p w14:paraId="364F2ECC" w14:textId="77777777" w:rsidR="006D30D7" w:rsidRPr="00A677A2" w:rsidRDefault="006D30D7" w:rsidP="008B46C5">
            <w:pPr>
              <w:pStyle w:val="SingleSpacing"/>
              <w:spacing w:line="240" w:lineRule="exact"/>
              <w:rPr>
                <w:sz w:val="28"/>
                <w:szCs w:val="28"/>
              </w:rPr>
            </w:pPr>
          </w:p>
        </w:tc>
        <w:tc>
          <w:tcPr>
            <w:tcW w:w="4542" w:type="dxa"/>
          </w:tcPr>
          <w:p w14:paraId="5592E91D" w14:textId="61A73247" w:rsidR="006D30D7" w:rsidRPr="007C1504" w:rsidRDefault="006D30D7" w:rsidP="008B46C5">
            <w:pPr>
              <w:widowControl w:val="0"/>
              <w:spacing w:line="240" w:lineRule="auto"/>
              <w:rPr>
                <w:bCs/>
                <w:sz w:val="28"/>
                <w:szCs w:val="28"/>
                <w:u w:val="single"/>
              </w:rPr>
            </w:pPr>
            <w:bookmarkStart w:id="2" w:name="CaseNumber"/>
            <w:bookmarkEnd w:id="2"/>
            <w:r w:rsidRPr="00A677A2">
              <w:rPr>
                <w:bCs/>
                <w:sz w:val="28"/>
                <w:szCs w:val="28"/>
              </w:rPr>
              <w:t xml:space="preserve">Supreme Court No. </w:t>
            </w:r>
            <w:r>
              <w:rPr>
                <w:bCs/>
                <w:sz w:val="28"/>
                <w:szCs w:val="28"/>
              </w:rPr>
              <w:t>R-25-00</w:t>
            </w:r>
            <w:r w:rsidR="00617D80">
              <w:rPr>
                <w:bCs/>
                <w:sz w:val="28"/>
                <w:szCs w:val="28"/>
              </w:rPr>
              <w:t>19</w:t>
            </w:r>
            <w:r>
              <w:rPr>
                <w:bCs/>
                <w:sz w:val="28"/>
                <w:szCs w:val="28"/>
                <w:u w:val="single"/>
              </w:rPr>
              <w:t xml:space="preserve">     </w:t>
            </w:r>
          </w:p>
          <w:p w14:paraId="0005E757" w14:textId="77777777" w:rsidR="006D30D7" w:rsidRPr="00A677A2" w:rsidRDefault="006D30D7" w:rsidP="008B46C5">
            <w:pPr>
              <w:widowControl w:val="0"/>
              <w:spacing w:line="240" w:lineRule="exact"/>
              <w:rPr>
                <w:bCs/>
                <w:sz w:val="28"/>
                <w:szCs w:val="28"/>
              </w:rPr>
            </w:pPr>
            <w:r w:rsidRPr="00A677A2">
              <w:rPr>
                <w:bCs/>
                <w:sz w:val="28"/>
                <w:szCs w:val="28"/>
              </w:rPr>
              <w:t>_</w:t>
            </w:r>
          </w:p>
          <w:p w14:paraId="7D8893FF" w14:textId="31C68669" w:rsidR="006D30D7" w:rsidRPr="00A677A2" w:rsidRDefault="006D30D7" w:rsidP="008B46C5">
            <w:pPr>
              <w:widowControl w:val="0"/>
              <w:spacing w:line="240" w:lineRule="exact"/>
              <w:rPr>
                <w:bCs/>
                <w:sz w:val="28"/>
                <w:szCs w:val="28"/>
                <w:u w:val="single"/>
              </w:rPr>
            </w:pPr>
            <w:r>
              <w:rPr>
                <w:b/>
                <w:bCs/>
                <w:sz w:val="28"/>
                <w:szCs w:val="28"/>
              </w:rPr>
              <w:t>Comment to Petition to Amend Rule 15, Rules of Procedure for Eviction Actions</w:t>
            </w:r>
          </w:p>
          <w:p w14:paraId="7BA2A1F5" w14:textId="77777777" w:rsidR="006D30D7" w:rsidRPr="00A677A2" w:rsidRDefault="006D30D7" w:rsidP="008B46C5">
            <w:pPr>
              <w:widowControl w:val="0"/>
              <w:spacing w:line="240" w:lineRule="exact"/>
              <w:rPr>
                <w:bCs/>
                <w:sz w:val="28"/>
                <w:szCs w:val="28"/>
                <w:u w:val="single"/>
              </w:rPr>
            </w:pPr>
          </w:p>
        </w:tc>
      </w:tr>
    </w:tbl>
    <w:p w14:paraId="20AA9DB1" w14:textId="150A9114" w:rsidR="006D30D7" w:rsidRPr="00A677A2" w:rsidRDefault="006D30D7" w:rsidP="00961AB1">
      <w:pPr>
        <w:pStyle w:val="BodyText"/>
        <w:spacing w:line="480" w:lineRule="exact"/>
        <w:jc w:val="both"/>
        <w:rPr>
          <w:sz w:val="28"/>
          <w:szCs w:val="28"/>
        </w:rPr>
      </w:pPr>
      <w:r w:rsidRPr="00A677A2">
        <w:rPr>
          <w:sz w:val="28"/>
          <w:szCs w:val="28"/>
        </w:rPr>
        <w:tab/>
        <w:t xml:space="preserve">Pursuant to </w:t>
      </w:r>
      <w:r>
        <w:rPr>
          <w:sz w:val="28"/>
          <w:szCs w:val="28"/>
        </w:rPr>
        <w:t>Rule 28(e) of the Rules of the Supreme Court of Arizona, Disability Rights Arizona (DRAZ), formerly the Arizona Center for Disability Law, respectfully submits this comment in support of Petition R-25-00</w:t>
      </w:r>
      <w:r w:rsidR="00A4196F">
        <w:rPr>
          <w:sz w:val="28"/>
          <w:szCs w:val="28"/>
        </w:rPr>
        <w:t>19</w:t>
      </w:r>
      <w:r>
        <w:rPr>
          <w:sz w:val="28"/>
          <w:szCs w:val="28"/>
        </w:rPr>
        <w:t xml:space="preserve">, filed by Petitioners William E. Morris Institute for Justice, Community Legal Services, DNA People’s Legal Services, and Southern Arizona Legal Aid (Petitioners), which would amend </w:t>
      </w:r>
      <w:r w:rsidR="00A4196F">
        <w:rPr>
          <w:sz w:val="28"/>
          <w:szCs w:val="28"/>
        </w:rPr>
        <w:t>Rule 15 of the</w:t>
      </w:r>
      <w:r w:rsidRPr="00A677A2">
        <w:rPr>
          <w:sz w:val="28"/>
          <w:szCs w:val="28"/>
        </w:rPr>
        <w:t xml:space="preserve"> Rules of Procedure for Eviction Actions (“RPEA”)</w:t>
      </w:r>
      <w:r w:rsidR="00A4196F">
        <w:rPr>
          <w:sz w:val="28"/>
          <w:szCs w:val="28"/>
        </w:rPr>
        <w:t xml:space="preserve"> to </w:t>
      </w:r>
      <w:r w:rsidR="00DC6807">
        <w:rPr>
          <w:sz w:val="28"/>
          <w:szCs w:val="28"/>
        </w:rPr>
        <w:t>provide a three-day</w:t>
      </w:r>
      <w:r w:rsidR="00A4196F">
        <w:rPr>
          <w:sz w:val="28"/>
          <w:szCs w:val="28"/>
        </w:rPr>
        <w:t xml:space="preserve"> stay</w:t>
      </w:r>
      <w:r w:rsidR="00136751">
        <w:rPr>
          <w:sz w:val="28"/>
          <w:szCs w:val="28"/>
        </w:rPr>
        <w:t xml:space="preserve"> </w:t>
      </w:r>
      <w:r w:rsidR="005B6BFA">
        <w:rPr>
          <w:sz w:val="28"/>
          <w:szCs w:val="28"/>
        </w:rPr>
        <w:t xml:space="preserve">of an eviction judgment </w:t>
      </w:r>
      <w:r w:rsidR="00A4196F">
        <w:rPr>
          <w:sz w:val="28"/>
          <w:szCs w:val="28"/>
        </w:rPr>
        <w:t xml:space="preserve">during the decision period for </w:t>
      </w:r>
      <w:r w:rsidR="00CF240F">
        <w:rPr>
          <w:sz w:val="28"/>
          <w:szCs w:val="28"/>
        </w:rPr>
        <w:t xml:space="preserve">post-judgment </w:t>
      </w:r>
      <w:r w:rsidR="00A4196F">
        <w:rPr>
          <w:sz w:val="28"/>
          <w:szCs w:val="28"/>
        </w:rPr>
        <w:t>motions on emergency matters</w:t>
      </w:r>
      <w:r>
        <w:rPr>
          <w:sz w:val="28"/>
          <w:szCs w:val="28"/>
        </w:rPr>
        <w:t xml:space="preserve">.  </w:t>
      </w:r>
    </w:p>
    <w:p w14:paraId="4C70537C" w14:textId="42CCAF55" w:rsidR="006D30D7" w:rsidRDefault="006D30D7" w:rsidP="00961AB1">
      <w:pPr>
        <w:pStyle w:val="BodyText"/>
        <w:spacing w:line="480" w:lineRule="exact"/>
        <w:ind w:firstLine="720"/>
        <w:jc w:val="both"/>
        <w:rPr>
          <w:sz w:val="28"/>
          <w:szCs w:val="28"/>
        </w:rPr>
      </w:pPr>
      <w:r>
        <w:rPr>
          <w:sz w:val="28"/>
          <w:szCs w:val="28"/>
        </w:rPr>
        <w:t>DRAZ is a statewide non-profit law firm that provides no-cost legal advice and representation to people with disabilities. DRAZ is the designated Protection &amp; Advocacy (P&amp;A) agency for individual</w:t>
      </w:r>
      <w:r w:rsidR="006760EA">
        <w:rPr>
          <w:sz w:val="28"/>
          <w:szCs w:val="28"/>
        </w:rPr>
        <w:t>s</w:t>
      </w:r>
      <w:r>
        <w:rPr>
          <w:sz w:val="28"/>
          <w:szCs w:val="28"/>
        </w:rPr>
        <w:t xml:space="preserve"> with disabilities in Arizona. DRAZ regularly provides legal information, advice, and representation to tenants with disabilities who have faced or are facing discriminatory evictions. DRAZ has expertise in disability-related barriers that affect individuals’ abilit</w:t>
      </w:r>
      <w:r w:rsidR="00C24E63">
        <w:rPr>
          <w:sz w:val="28"/>
          <w:szCs w:val="28"/>
        </w:rPr>
        <w:t>ies</w:t>
      </w:r>
      <w:r>
        <w:rPr>
          <w:sz w:val="28"/>
          <w:szCs w:val="28"/>
        </w:rPr>
        <w:t xml:space="preserve"> to </w:t>
      </w:r>
      <w:r w:rsidR="00C24E63">
        <w:rPr>
          <w:sz w:val="28"/>
          <w:szCs w:val="28"/>
        </w:rPr>
        <w:t>maintain stable</w:t>
      </w:r>
      <w:r w:rsidR="000B1913">
        <w:rPr>
          <w:sz w:val="28"/>
          <w:szCs w:val="28"/>
        </w:rPr>
        <w:t>, accessible</w:t>
      </w:r>
      <w:r w:rsidR="00C24E63">
        <w:rPr>
          <w:sz w:val="28"/>
          <w:szCs w:val="28"/>
        </w:rPr>
        <w:t xml:space="preserve"> housing and</w:t>
      </w:r>
      <w:r w:rsidR="002A55D4">
        <w:rPr>
          <w:sz w:val="28"/>
          <w:szCs w:val="28"/>
        </w:rPr>
        <w:t>, if evicted, to relocate</w:t>
      </w:r>
      <w:r>
        <w:rPr>
          <w:sz w:val="28"/>
          <w:szCs w:val="28"/>
        </w:rPr>
        <w:t>.</w:t>
      </w:r>
    </w:p>
    <w:p w14:paraId="0C3FA121" w14:textId="340F0C16" w:rsidR="006D30D7" w:rsidRPr="00A677A2" w:rsidRDefault="006D30D7" w:rsidP="00555A42">
      <w:pPr>
        <w:pStyle w:val="BodyText"/>
        <w:spacing w:line="480" w:lineRule="exact"/>
        <w:ind w:firstLine="720"/>
        <w:jc w:val="both"/>
        <w:rPr>
          <w:sz w:val="28"/>
          <w:szCs w:val="28"/>
        </w:rPr>
      </w:pPr>
      <w:bookmarkStart w:id="3" w:name="_Hlk196913757"/>
      <w:bookmarkStart w:id="4" w:name="_Hlk196913792"/>
      <w:bookmarkEnd w:id="0"/>
      <w:r>
        <w:rPr>
          <w:sz w:val="28"/>
          <w:szCs w:val="28"/>
        </w:rPr>
        <w:t>DRAZ</w:t>
      </w:r>
      <w:r w:rsidR="00D11725">
        <w:rPr>
          <w:sz w:val="28"/>
          <w:szCs w:val="28"/>
        </w:rPr>
        <w:t xml:space="preserve"> supports the proposed rule amendment in its entirety.</w:t>
      </w:r>
      <w:r>
        <w:rPr>
          <w:sz w:val="28"/>
          <w:szCs w:val="28"/>
        </w:rPr>
        <w:t xml:space="preserve"> </w:t>
      </w:r>
      <w:r w:rsidR="00D11725">
        <w:rPr>
          <w:sz w:val="28"/>
          <w:szCs w:val="28"/>
        </w:rPr>
        <w:t>DRAZ’s comment focuses on the</w:t>
      </w:r>
      <w:r>
        <w:rPr>
          <w:sz w:val="28"/>
          <w:szCs w:val="28"/>
        </w:rPr>
        <w:t xml:space="preserve"> amendment to </w:t>
      </w:r>
      <w:r w:rsidR="00136751">
        <w:rPr>
          <w:sz w:val="28"/>
          <w:szCs w:val="28"/>
        </w:rPr>
        <w:t xml:space="preserve">require a three-day stay of an eviction </w:t>
      </w:r>
      <w:r w:rsidR="00136751">
        <w:rPr>
          <w:sz w:val="28"/>
          <w:szCs w:val="28"/>
        </w:rPr>
        <w:lastRenderedPageBreak/>
        <w:t xml:space="preserve">judgment, order, and proceeding upon the filing of a post-judgment motion affecting possession, </w:t>
      </w:r>
      <w:r w:rsidR="00CB3D79">
        <w:rPr>
          <w:sz w:val="28"/>
          <w:szCs w:val="28"/>
        </w:rPr>
        <w:t>which directly impacts the disability community DRAZ serves</w:t>
      </w:r>
      <w:r w:rsidR="00136751">
        <w:rPr>
          <w:sz w:val="28"/>
          <w:szCs w:val="28"/>
        </w:rPr>
        <w:t xml:space="preserve">. </w:t>
      </w:r>
      <w:r w:rsidR="00E152F9">
        <w:rPr>
          <w:sz w:val="28"/>
          <w:szCs w:val="28"/>
        </w:rPr>
        <w:t xml:space="preserve">Tenants with disabilities face disproportionately </w:t>
      </w:r>
      <w:r w:rsidR="0028082B">
        <w:rPr>
          <w:sz w:val="28"/>
          <w:szCs w:val="28"/>
        </w:rPr>
        <w:t>disruptive</w:t>
      </w:r>
      <w:r w:rsidR="00E152F9">
        <w:rPr>
          <w:sz w:val="28"/>
          <w:szCs w:val="28"/>
        </w:rPr>
        <w:t xml:space="preserve"> impacts </w:t>
      </w:r>
      <w:r w:rsidR="00026B69">
        <w:rPr>
          <w:sz w:val="28"/>
          <w:szCs w:val="28"/>
        </w:rPr>
        <w:t xml:space="preserve">from the erroneous deprivation of a property interest prior to resolution of a post-judgment motion. </w:t>
      </w:r>
      <w:r w:rsidR="00136751">
        <w:rPr>
          <w:sz w:val="28"/>
          <w:szCs w:val="28"/>
        </w:rPr>
        <w:t xml:space="preserve">The proposed amendment simply maintains the status quo pending the court’s resolution of a post-judgment motion. It therefore reduces the </w:t>
      </w:r>
      <w:r w:rsidR="006D069C">
        <w:rPr>
          <w:sz w:val="28"/>
          <w:szCs w:val="28"/>
        </w:rPr>
        <w:t>disproportionate</w:t>
      </w:r>
      <w:r w:rsidR="00136751">
        <w:rPr>
          <w:sz w:val="28"/>
          <w:szCs w:val="28"/>
        </w:rPr>
        <w:t xml:space="preserve"> burden</w:t>
      </w:r>
      <w:r w:rsidR="002B10E9">
        <w:rPr>
          <w:sz w:val="28"/>
          <w:szCs w:val="28"/>
        </w:rPr>
        <w:t xml:space="preserve"> placed</w:t>
      </w:r>
      <w:r w:rsidR="00136751">
        <w:rPr>
          <w:sz w:val="28"/>
          <w:szCs w:val="28"/>
        </w:rPr>
        <w:t xml:space="preserve"> on tenants with disabilities</w:t>
      </w:r>
      <w:r w:rsidR="002B10E9">
        <w:rPr>
          <w:sz w:val="28"/>
          <w:szCs w:val="28"/>
        </w:rPr>
        <w:t xml:space="preserve"> when an eviction judgment is issued and </w:t>
      </w:r>
      <w:r w:rsidR="00683271">
        <w:rPr>
          <w:sz w:val="28"/>
          <w:szCs w:val="28"/>
        </w:rPr>
        <w:t xml:space="preserve">then </w:t>
      </w:r>
      <w:r w:rsidR="00EC5C56">
        <w:rPr>
          <w:sz w:val="28"/>
          <w:szCs w:val="28"/>
        </w:rPr>
        <w:t>reversed within three days</w:t>
      </w:r>
      <w:r w:rsidR="001A2AB9">
        <w:rPr>
          <w:sz w:val="28"/>
          <w:szCs w:val="28"/>
        </w:rPr>
        <w:t>.</w:t>
      </w:r>
    </w:p>
    <w:p w14:paraId="001523BE" w14:textId="1EDD8435" w:rsidR="006D30D7" w:rsidRPr="00A677A2" w:rsidRDefault="006D30D7" w:rsidP="00555A42">
      <w:pPr>
        <w:pStyle w:val="BodyText"/>
        <w:spacing w:line="480" w:lineRule="exact"/>
        <w:ind w:left="720" w:hanging="720"/>
        <w:jc w:val="both"/>
        <w:rPr>
          <w:sz w:val="28"/>
          <w:szCs w:val="28"/>
        </w:rPr>
      </w:pPr>
      <w:r w:rsidRPr="00A677A2">
        <w:rPr>
          <w:b/>
          <w:sz w:val="28"/>
          <w:szCs w:val="28"/>
        </w:rPr>
        <w:t>I.</w:t>
      </w:r>
      <w:r w:rsidRPr="00A677A2">
        <w:rPr>
          <w:b/>
          <w:sz w:val="28"/>
          <w:szCs w:val="28"/>
        </w:rPr>
        <w:tab/>
      </w:r>
      <w:r>
        <w:rPr>
          <w:b/>
          <w:sz w:val="28"/>
          <w:szCs w:val="28"/>
        </w:rPr>
        <w:t xml:space="preserve">Individuals with disabilities face disability-related barriers that affect their </w:t>
      </w:r>
      <w:r w:rsidR="00C9286A">
        <w:rPr>
          <w:b/>
          <w:sz w:val="28"/>
          <w:szCs w:val="28"/>
        </w:rPr>
        <w:t>vulnerability</w:t>
      </w:r>
      <w:r>
        <w:rPr>
          <w:b/>
          <w:sz w:val="28"/>
          <w:szCs w:val="28"/>
        </w:rPr>
        <w:t xml:space="preserve"> to eviction.</w:t>
      </w:r>
    </w:p>
    <w:p w14:paraId="7B89E95E" w14:textId="77777777" w:rsidR="00BF2BC3" w:rsidRDefault="006D30D7" w:rsidP="00555A42">
      <w:pPr>
        <w:pStyle w:val="BodyText"/>
        <w:widowControl w:val="0"/>
        <w:spacing w:line="480" w:lineRule="exact"/>
        <w:jc w:val="both"/>
        <w:rPr>
          <w:sz w:val="28"/>
          <w:szCs w:val="28"/>
        </w:rPr>
      </w:pPr>
      <w:r w:rsidRPr="00A677A2">
        <w:rPr>
          <w:sz w:val="28"/>
          <w:szCs w:val="28"/>
        </w:rPr>
        <w:tab/>
      </w:r>
      <w:r w:rsidR="00675B2A">
        <w:rPr>
          <w:sz w:val="28"/>
          <w:szCs w:val="28"/>
        </w:rPr>
        <w:t>Title VIII of the Civil Rights Act, also known as the Fair Housing Act (FHA), prohibits discrimination in the sale, rental, and financing of housing because of disability.</w:t>
      </w:r>
      <w:r w:rsidR="00675B2A">
        <w:rPr>
          <w:rStyle w:val="FootnoteReference"/>
          <w:sz w:val="28"/>
          <w:szCs w:val="28"/>
        </w:rPr>
        <w:footnoteReference w:id="1"/>
      </w:r>
      <w:r w:rsidR="00675B2A">
        <w:rPr>
          <w:sz w:val="28"/>
          <w:szCs w:val="28"/>
        </w:rPr>
        <w:t xml:space="preserve"> </w:t>
      </w:r>
      <w:r>
        <w:rPr>
          <w:sz w:val="28"/>
          <w:szCs w:val="28"/>
        </w:rPr>
        <w:t xml:space="preserve">People with disabilities </w:t>
      </w:r>
      <w:r w:rsidR="00FC03BA">
        <w:rPr>
          <w:sz w:val="28"/>
          <w:szCs w:val="28"/>
        </w:rPr>
        <w:t xml:space="preserve">in Arizona </w:t>
      </w:r>
      <w:r>
        <w:rPr>
          <w:sz w:val="28"/>
          <w:szCs w:val="28"/>
        </w:rPr>
        <w:t xml:space="preserve">continue to face discrimination in </w:t>
      </w:r>
      <w:r w:rsidR="00C9286A">
        <w:rPr>
          <w:sz w:val="28"/>
          <w:szCs w:val="28"/>
        </w:rPr>
        <w:t xml:space="preserve">housing </w:t>
      </w:r>
      <w:r>
        <w:rPr>
          <w:sz w:val="28"/>
          <w:szCs w:val="28"/>
        </w:rPr>
        <w:t xml:space="preserve">despite </w:t>
      </w:r>
      <w:r w:rsidR="00FC03BA">
        <w:rPr>
          <w:sz w:val="28"/>
          <w:szCs w:val="28"/>
        </w:rPr>
        <w:t xml:space="preserve">state and federal </w:t>
      </w:r>
      <w:r>
        <w:rPr>
          <w:sz w:val="28"/>
          <w:szCs w:val="28"/>
        </w:rPr>
        <w:t>legislative action and intent to remedy such discrimination and ensure equal access.</w:t>
      </w:r>
      <w:r>
        <w:rPr>
          <w:rStyle w:val="FootnoteReference"/>
          <w:sz w:val="28"/>
          <w:szCs w:val="28"/>
        </w:rPr>
        <w:footnoteReference w:id="2"/>
      </w:r>
      <w:r>
        <w:rPr>
          <w:sz w:val="28"/>
          <w:szCs w:val="28"/>
        </w:rPr>
        <w:t xml:space="preserve"> </w:t>
      </w:r>
      <w:r w:rsidR="00BF2BC3">
        <w:rPr>
          <w:sz w:val="28"/>
          <w:szCs w:val="28"/>
        </w:rPr>
        <w:t>The Arizona and federal Fair Housing Acts require housing providers to, among other things:</w:t>
      </w:r>
    </w:p>
    <w:p w14:paraId="35CCBBE0" w14:textId="2E38FDAB" w:rsidR="00BF2BC3" w:rsidRDefault="00BF2BC3" w:rsidP="00555A42">
      <w:pPr>
        <w:pStyle w:val="BodyText"/>
        <w:widowControl w:val="0"/>
        <w:numPr>
          <w:ilvl w:val="0"/>
          <w:numId w:val="2"/>
        </w:numPr>
        <w:spacing w:line="480" w:lineRule="exact"/>
        <w:ind w:left="1886" w:right="1440" w:hanging="446"/>
        <w:jc w:val="both"/>
        <w:rPr>
          <w:sz w:val="28"/>
          <w:szCs w:val="28"/>
        </w:rPr>
      </w:pPr>
      <w:r>
        <w:rPr>
          <w:sz w:val="28"/>
          <w:szCs w:val="28"/>
        </w:rPr>
        <w:t>make reasonable accommodations in rules, policies, practices, or services, where such accommodations may be necessary to afford such person equal opportunity to use and enjoy a dwelling;</w:t>
      </w:r>
    </w:p>
    <w:p w14:paraId="210E8709" w14:textId="77777777" w:rsidR="00AC15B2" w:rsidRDefault="00BF2BC3" w:rsidP="00555A42">
      <w:pPr>
        <w:pStyle w:val="BodyText"/>
        <w:widowControl w:val="0"/>
        <w:numPr>
          <w:ilvl w:val="0"/>
          <w:numId w:val="2"/>
        </w:numPr>
        <w:spacing w:line="480" w:lineRule="exact"/>
        <w:ind w:left="1886" w:right="1440" w:hanging="446"/>
        <w:jc w:val="both"/>
        <w:rPr>
          <w:sz w:val="28"/>
          <w:szCs w:val="28"/>
        </w:rPr>
      </w:pPr>
      <w:r>
        <w:rPr>
          <w:sz w:val="28"/>
          <w:szCs w:val="28"/>
        </w:rPr>
        <w:t>permit reasonable modifications of existing premises where such modifications may be necessary to afford a disabled person full enjoyment of the premises</w:t>
      </w:r>
      <w:r w:rsidR="00FC2D4E">
        <w:rPr>
          <w:sz w:val="28"/>
          <w:szCs w:val="28"/>
        </w:rPr>
        <w:t xml:space="preserve">; </w:t>
      </w:r>
    </w:p>
    <w:p w14:paraId="539AB054" w14:textId="72486D0B" w:rsidR="00FC2D4E" w:rsidRDefault="00AC15B2" w:rsidP="00555A42">
      <w:pPr>
        <w:pStyle w:val="BodyText"/>
        <w:widowControl w:val="0"/>
        <w:numPr>
          <w:ilvl w:val="0"/>
          <w:numId w:val="2"/>
        </w:numPr>
        <w:spacing w:line="480" w:lineRule="exact"/>
        <w:ind w:left="1886" w:right="1440" w:hanging="446"/>
        <w:jc w:val="both"/>
        <w:rPr>
          <w:sz w:val="28"/>
          <w:szCs w:val="28"/>
        </w:rPr>
      </w:pPr>
      <w:r>
        <w:rPr>
          <w:sz w:val="28"/>
          <w:szCs w:val="28"/>
        </w:rPr>
        <w:t xml:space="preserve">construct </w:t>
      </w:r>
      <w:r w:rsidR="00013247">
        <w:rPr>
          <w:sz w:val="28"/>
          <w:szCs w:val="28"/>
        </w:rPr>
        <w:t xml:space="preserve">multifamily </w:t>
      </w:r>
      <w:r>
        <w:rPr>
          <w:sz w:val="28"/>
          <w:szCs w:val="28"/>
        </w:rPr>
        <w:t xml:space="preserve">dwellings built after a certain </w:t>
      </w:r>
      <w:r>
        <w:rPr>
          <w:sz w:val="28"/>
          <w:szCs w:val="28"/>
        </w:rPr>
        <w:lastRenderedPageBreak/>
        <w:t xml:space="preserve">date in a manner that is readily accessible to and usable </w:t>
      </w:r>
      <w:bookmarkEnd w:id="3"/>
      <w:r>
        <w:rPr>
          <w:sz w:val="28"/>
          <w:szCs w:val="28"/>
        </w:rPr>
        <w:t>by people with disabilities;</w:t>
      </w:r>
      <w:r w:rsidR="009A54FE">
        <w:rPr>
          <w:sz w:val="28"/>
          <w:szCs w:val="28"/>
        </w:rPr>
        <w:t xml:space="preserve"> and</w:t>
      </w:r>
    </w:p>
    <w:p w14:paraId="4608DEB4" w14:textId="6A7CC3F7" w:rsidR="006D30D7" w:rsidRDefault="00FC2D4E" w:rsidP="0018698D">
      <w:pPr>
        <w:pStyle w:val="BodyText"/>
        <w:widowControl w:val="0"/>
        <w:numPr>
          <w:ilvl w:val="0"/>
          <w:numId w:val="2"/>
        </w:numPr>
        <w:spacing w:after="120" w:line="480" w:lineRule="exact"/>
        <w:ind w:left="1886" w:right="1440" w:hanging="446"/>
        <w:jc w:val="both"/>
        <w:rPr>
          <w:sz w:val="28"/>
          <w:szCs w:val="28"/>
        </w:rPr>
      </w:pPr>
      <w:r>
        <w:rPr>
          <w:sz w:val="28"/>
          <w:szCs w:val="28"/>
        </w:rPr>
        <w:t>make housing equally available to disabled renters and buyers.</w:t>
      </w:r>
      <w:r>
        <w:rPr>
          <w:rStyle w:val="FootnoteReference"/>
          <w:sz w:val="28"/>
          <w:szCs w:val="28"/>
        </w:rPr>
        <w:footnoteReference w:id="3"/>
      </w:r>
      <w:r>
        <w:rPr>
          <w:sz w:val="28"/>
          <w:szCs w:val="28"/>
        </w:rPr>
        <w:t xml:space="preserve"> </w:t>
      </w:r>
    </w:p>
    <w:p w14:paraId="2FFF5F35" w14:textId="77777777" w:rsidR="0018698D" w:rsidRDefault="006D30D7" w:rsidP="0018698D">
      <w:pPr>
        <w:pStyle w:val="BodyText"/>
        <w:widowControl w:val="0"/>
        <w:spacing w:line="472" w:lineRule="exact"/>
        <w:jc w:val="both"/>
        <w:rPr>
          <w:sz w:val="28"/>
          <w:szCs w:val="28"/>
        </w:rPr>
      </w:pPr>
      <w:r>
        <w:rPr>
          <w:sz w:val="28"/>
          <w:szCs w:val="28"/>
        </w:rPr>
        <w:tab/>
      </w:r>
      <w:r w:rsidR="0018698D">
        <w:rPr>
          <w:sz w:val="28"/>
          <w:szCs w:val="28"/>
        </w:rPr>
        <w:t>The ADA defines “disability” to include “a physical or mental impairment that substantially limits one or more major life activities.”</w:t>
      </w:r>
      <w:r w:rsidR="0018698D">
        <w:rPr>
          <w:rStyle w:val="FootnoteReference"/>
          <w:sz w:val="28"/>
          <w:szCs w:val="28"/>
        </w:rPr>
        <w:footnoteReference w:id="4"/>
      </w:r>
      <w:r w:rsidR="0018698D">
        <w:rPr>
          <w:sz w:val="28"/>
          <w:szCs w:val="28"/>
        </w:rPr>
        <w:t xml:space="preserve"> “Major life activities” include, but are not limited to, seeing, hearing, walking, standing, speaking, breathing, learning, reading, concentrating, thinking, communicating, and working.</w:t>
      </w:r>
      <w:r w:rsidR="0018698D">
        <w:rPr>
          <w:rStyle w:val="FootnoteReference"/>
          <w:sz w:val="28"/>
          <w:szCs w:val="28"/>
        </w:rPr>
        <w:footnoteReference w:id="5"/>
      </w:r>
      <w:r w:rsidR="0018698D">
        <w:rPr>
          <w:sz w:val="28"/>
          <w:szCs w:val="28"/>
        </w:rPr>
        <w:t xml:space="preserve"> </w:t>
      </w:r>
      <w:r w:rsidR="0018698D" w:rsidRPr="00961DB7">
        <w:rPr>
          <w:sz w:val="28"/>
          <w:szCs w:val="28"/>
        </w:rPr>
        <w:t>“A major life activity</w:t>
      </w:r>
      <w:r w:rsidR="0018698D">
        <w:rPr>
          <w:sz w:val="28"/>
          <w:szCs w:val="28"/>
        </w:rPr>
        <w:t xml:space="preserve"> </w:t>
      </w:r>
      <w:r w:rsidR="0018698D" w:rsidRPr="00961DB7">
        <w:rPr>
          <w:sz w:val="28"/>
          <w:szCs w:val="28"/>
        </w:rPr>
        <w:t>also includes the operation of a major bodily function, including but not limited to,</w:t>
      </w:r>
      <w:r w:rsidR="0018698D">
        <w:rPr>
          <w:sz w:val="28"/>
          <w:szCs w:val="28"/>
        </w:rPr>
        <w:t xml:space="preserve"> </w:t>
      </w:r>
      <w:r w:rsidR="0018698D" w:rsidRPr="00961DB7">
        <w:rPr>
          <w:sz w:val="28"/>
          <w:szCs w:val="28"/>
        </w:rPr>
        <w:t xml:space="preserve">functions of the </w:t>
      </w:r>
      <w:r w:rsidR="0018698D" w:rsidRPr="00505BA1">
        <w:rPr>
          <w:sz w:val="28"/>
          <w:szCs w:val="28"/>
        </w:rPr>
        <w:t>immune system, normal cell growth, digestive, bowel, bladder, neurological, brain, respiratory, circulatory, endocrine, and reproductive functions</w:t>
      </w:r>
      <w:r w:rsidR="0018698D" w:rsidRPr="00961DB7">
        <w:rPr>
          <w:sz w:val="28"/>
          <w:szCs w:val="28"/>
        </w:rPr>
        <w:t>.”</w:t>
      </w:r>
      <w:r w:rsidR="0018698D">
        <w:rPr>
          <w:rStyle w:val="FootnoteReference"/>
          <w:sz w:val="28"/>
          <w:szCs w:val="28"/>
        </w:rPr>
        <w:footnoteReference w:id="6"/>
      </w:r>
      <w:r w:rsidR="0018698D" w:rsidRPr="00961DB7">
        <w:rPr>
          <w:sz w:val="28"/>
          <w:szCs w:val="28"/>
        </w:rPr>
        <w:t xml:space="preserve"> </w:t>
      </w:r>
      <w:r w:rsidR="0018698D">
        <w:rPr>
          <w:sz w:val="28"/>
          <w:szCs w:val="28"/>
        </w:rPr>
        <w:t>There is a wide variety of disabilities. Some are visible and some are not. Examples of disabilities include, but are not limited to cancer, diabetes, post-traumatic stress disorder (PTSD), HIV/AIDS, autism, cerebral palsy, deafness or hearing loss, blindness or low vision, epilepsy, mobility disabilities requiring use of a wheelchair, walker, or cane, intellectual disabilities (ID), major depressive disorder, schizophrenia, and traumatic brain injury (TBI).</w:t>
      </w:r>
      <w:r w:rsidR="0018698D">
        <w:rPr>
          <w:rStyle w:val="FootnoteReference"/>
          <w:sz w:val="28"/>
          <w:szCs w:val="28"/>
        </w:rPr>
        <w:footnoteReference w:id="7"/>
      </w:r>
      <w:r w:rsidR="0018698D">
        <w:rPr>
          <w:sz w:val="28"/>
          <w:szCs w:val="28"/>
        </w:rPr>
        <w:t xml:space="preserve"> </w:t>
      </w:r>
    </w:p>
    <w:p w14:paraId="72F449BF" w14:textId="77777777" w:rsidR="0018698D" w:rsidRDefault="0018698D" w:rsidP="0018698D">
      <w:pPr>
        <w:pStyle w:val="BodyText"/>
        <w:widowControl w:val="0"/>
        <w:spacing w:line="472" w:lineRule="exact"/>
        <w:ind w:firstLine="720"/>
        <w:jc w:val="both"/>
        <w:rPr>
          <w:sz w:val="28"/>
          <w:szCs w:val="28"/>
        </w:rPr>
      </w:pPr>
      <w:r w:rsidRPr="00961DB7">
        <w:rPr>
          <w:sz w:val="28"/>
          <w:szCs w:val="28"/>
        </w:rPr>
        <w:t>The definition of disability is</w:t>
      </w:r>
      <w:r>
        <w:rPr>
          <w:sz w:val="28"/>
          <w:szCs w:val="28"/>
        </w:rPr>
        <w:t xml:space="preserve"> </w:t>
      </w:r>
      <w:r w:rsidRPr="00961DB7">
        <w:rPr>
          <w:sz w:val="28"/>
          <w:szCs w:val="28"/>
        </w:rPr>
        <w:t>construed “in favor of broad coverage of individuals” and “to the maximum extent</w:t>
      </w:r>
      <w:r>
        <w:rPr>
          <w:sz w:val="28"/>
          <w:szCs w:val="28"/>
        </w:rPr>
        <w:t xml:space="preserve"> </w:t>
      </w:r>
      <w:r w:rsidRPr="00961DB7">
        <w:rPr>
          <w:sz w:val="28"/>
          <w:szCs w:val="28"/>
        </w:rPr>
        <w:t>permitted.”</w:t>
      </w:r>
      <w:r>
        <w:rPr>
          <w:rStyle w:val="FootnoteReference"/>
          <w:sz w:val="28"/>
          <w:szCs w:val="28"/>
        </w:rPr>
        <w:footnoteReference w:id="8"/>
      </w:r>
      <w:r w:rsidRPr="00961DB7">
        <w:rPr>
          <w:sz w:val="28"/>
          <w:szCs w:val="28"/>
        </w:rPr>
        <w:t xml:space="preserve"> Rules of construction for interpreting the ADA</w:t>
      </w:r>
      <w:r>
        <w:rPr>
          <w:sz w:val="28"/>
          <w:szCs w:val="28"/>
        </w:rPr>
        <w:t xml:space="preserve"> </w:t>
      </w:r>
      <w:r w:rsidRPr="00961DB7">
        <w:rPr>
          <w:sz w:val="28"/>
          <w:szCs w:val="28"/>
        </w:rPr>
        <w:t xml:space="preserve">definition of </w:t>
      </w:r>
      <w:r>
        <w:rPr>
          <w:sz w:val="28"/>
          <w:szCs w:val="28"/>
        </w:rPr>
        <w:t>“</w:t>
      </w:r>
      <w:r w:rsidRPr="00961DB7">
        <w:rPr>
          <w:sz w:val="28"/>
          <w:szCs w:val="28"/>
        </w:rPr>
        <w:t>substantial limitation</w:t>
      </w:r>
      <w:r>
        <w:rPr>
          <w:sz w:val="28"/>
          <w:szCs w:val="28"/>
        </w:rPr>
        <w:t>”</w:t>
      </w:r>
      <w:r w:rsidRPr="00961DB7">
        <w:rPr>
          <w:sz w:val="28"/>
          <w:szCs w:val="28"/>
        </w:rPr>
        <w:t xml:space="preserve"> </w:t>
      </w:r>
      <w:r>
        <w:rPr>
          <w:sz w:val="28"/>
          <w:szCs w:val="28"/>
        </w:rPr>
        <w:t>state</w:t>
      </w:r>
      <w:r w:rsidRPr="00961DB7">
        <w:rPr>
          <w:sz w:val="28"/>
          <w:szCs w:val="28"/>
        </w:rPr>
        <w:t xml:space="preserve"> that</w:t>
      </w:r>
      <w:r>
        <w:rPr>
          <w:sz w:val="28"/>
          <w:szCs w:val="28"/>
        </w:rPr>
        <w:t xml:space="preserve"> </w:t>
      </w:r>
      <w:r w:rsidRPr="00961DB7">
        <w:rPr>
          <w:sz w:val="28"/>
          <w:szCs w:val="28"/>
        </w:rPr>
        <w:t>episodic impairments are considered</w:t>
      </w:r>
      <w:r>
        <w:rPr>
          <w:sz w:val="28"/>
          <w:szCs w:val="28"/>
        </w:rPr>
        <w:t xml:space="preserve"> </w:t>
      </w:r>
      <w:r w:rsidRPr="00961DB7">
        <w:rPr>
          <w:sz w:val="28"/>
          <w:szCs w:val="28"/>
        </w:rPr>
        <w:t>disabilities if they substantially limit major life activities when active.</w:t>
      </w:r>
      <w:r>
        <w:rPr>
          <w:rStyle w:val="FootnoteReference"/>
          <w:sz w:val="28"/>
          <w:szCs w:val="28"/>
        </w:rPr>
        <w:footnoteReference w:id="9"/>
      </w:r>
      <w:r w:rsidRPr="00961DB7">
        <w:rPr>
          <w:sz w:val="28"/>
          <w:szCs w:val="28"/>
        </w:rPr>
        <w:t xml:space="preserve"> The determination of whether an impairment substantially limits a major</w:t>
      </w:r>
      <w:r>
        <w:rPr>
          <w:sz w:val="28"/>
          <w:szCs w:val="28"/>
        </w:rPr>
        <w:t xml:space="preserve"> </w:t>
      </w:r>
      <w:r w:rsidRPr="00961DB7">
        <w:rPr>
          <w:sz w:val="28"/>
          <w:szCs w:val="28"/>
        </w:rPr>
        <w:t xml:space="preserve">life activity is made “without regard to the ameliorative effects of mitigating </w:t>
      </w:r>
      <w:r w:rsidRPr="00961DB7">
        <w:rPr>
          <w:sz w:val="28"/>
          <w:szCs w:val="28"/>
        </w:rPr>
        <w:lastRenderedPageBreak/>
        <w:t>measures”</w:t>
      </w:r>
      <w:r>
        <w:rPr>
          <w:sz w:val="28"/>
          <w:szCs w:val="28"/>
        </w:rPr>
        <w:t xml:space="preserve"> </w:t>
      </w:r>
      <w:r w:rsidRPr="00961DB7">
        <w:rPr>
          <w:sz w:val="28"/>
          <w:szCs w:val="28"/>
        </w:rPr>
        <w:t>including medication, medical supplies, equipment, or appliances, use of assistive</w:t>
      </w:r>
      <w:r>
        <w:rPr>
          <w:sz w:val="28"/>
          <w:szCs w:val="28"/>
        </w:rPr>
        <w:t xml:space="preserve"> </w:t>
      </w:r>
      <w:r w:rsidRPr="00961DB7">
        <w:rPr>
          <w:sz w:val="28"/>
          <w:szCs w:val="28"/>
        </w:rPr>
        <w:t>technology, reasonable accommodations, or auxiliary aids or services.</w:t>
      </w:r>
      <w:r>
        <w:rPr>
          <w:rStyle w:val="FootnoteReference"/>
          <w:sz w:val="28"/>
          <w:szCs w:val="28"/>
        </w:rPr>
        <w:footnoteReference w:id="10"/>
      </w:r>
      <w:r w:rsidRPr="00961DB7">
        <w:rPr>
          <w:sz w:val="28"/>
          <w:szCs w:val="28"/>
        </w:rPr>
        <w:t xml:space="preserve"> </w:t>
      </w:r>
    </w:p>
    <w:p w14:paraId="0DAA4103" w14:textId="058AA7E1" w:rsidR="006D30D7" w:rsidRDefault="006D30D7" w:rsidP="0018698D">
      <w:pPr>
        <w:pStyle w:val="BodyText"/>
        <w:widowControl w:val="0"/>
        <w:spacing w:line="480" w:lineRule="exact"/>
        <w:jc w:val="both"/>
        <w:rPr>
          <w:sz w:val="28"/>
          <w:szCs w:val="28"/>
        </w:rPr>
      </w:pPr>
      <w:r>
        <w:rPr>
          <w:sz w:val="28"/>
          <w:szCs w:val="28"/>
        </w:rPr>
        <w:t xml:space="preserve"> </w:t>
      </w:r>
      <w:r w:rsidR="0018698D">
        <w:rPr>
          <w:sz w:val="28"/>
          <w:szCs w:val="28"/>
        </w:rPr>
        <w:tab/>
      </w:r>
      <w:r>
        <w:rPr>
          <w:sz w:val="28"/>
          <w:szCs w:val="28"/>
        </w:rPr>
        <w:t>People with disabilities fac</w:t>
      </w:r>
      <w:r w:rsidR="00E00CB9">
        <w:rPr>
          <w:sz w:val="28"/>
          <w:szCs w:val="28"/>
        </w:rPr>
        <w:t>e</w:t>
      </w:r>
      <w:r>
        <w:rPr>
          <w:sz w:val="28"/>
          <w:szCs w:val="28"/>
        </w:rPr>
        <w:t xml:space="preserve"> obstacles </w:t>
      </w:r>
      <w:r w:rsidR="00E00CB9">
        <w:rPr>
          <w:sz w:val="28"/>
          <w:szCs w:val="28"/>
        </w:rPr>
        <w:t xml:space="preserve">to </w:t>
      </w:r>
      <w:r>
        <w:rPr>
          <w:sz w:val="28"/>
          <w:szCs w:val="28"/>
        </w:rPr>
        <w:t>accessing</w:t>
      </w:r>
      <w:r w:rsidR="00E67BB0">
        <w:rPr>
          <w:sz w:val="28"/>
          <w:szCs w:val="28"/>
        </w:rPr>
        <w:t xml:space="preserve"> and maintaining stable</w:t>
      </w:r>
      <w:r>
        <w:rPr>
          <w:sz w:val="28"/>
          <w:szCs w:val="28"/>
        </w:rPr>
        <w:t xml:space="preserve"> </w:t>
      </w:r>
      <w:r w:rsidR="00E67BB0">
        <w:rPr>
          <w:sz w:val="28"/>
          <w:szCs w:val="28"/>
        </w:rPr>
        <w:t>housing</w:t>
      </w:r>
      <w:r>
        <w:rPr>
          <w:sz w:val="28"/>
          <w:szCs w:val="28"/>
        </w:rPr>
        <w:t xml:space="preserve">. These obstacles include but are not limited to: difficulties physically accessing </w:t>
      </w:r>
      <w:r w:rsidR="00E67BB0">
        <w:rPr>
          <w:sz w:val="28"/>
          <w:szCs w:val="28"/>
        </w:rPr>
        <w:t>housing</w:t>
      </w:r>
      <w:r>
        <w:rPr>
          <w:sz w:val="28"/>
          <w:szCs w:val="28"/>
        </w:rPr>
        <w:t xml:space="preserve"> for people who use walkers, wheelchairs, or other mobility devices, frequent medical appointments </w:t>
      </w:r>
      <w:r w:rsidR="00E67BB0">
        <w:rPr>
          <w:sz w:val="28"/>
          <w:szCs w:val="28"/>
        </w:rPr>
        <w:t xml:space="preserve">that </w:t>
      </w:r>
      <w:r w:rsidR="00EE2D69">
        <w:rPr>
          <w:sz w:val="28"/>
          <w:szCs w:val="28"/>
        </w:rPr>
        <w:t xml:space="preserve">can </w:t>
      </w:r>
      <w:r w:rsidR="00E67BB0">
        <w:rPr>
          <w:sz w:val="28"/>
          <w:szCs w:val="28"/>
        </w:rPr>
        <w:t>interfere with stable employment</w:t>
      </w:r>
      <w:r>
        <w:rPr>
          <w:sz w:val="28"/>
          <w:szCs w:val="28"/>
        </w:rPr>
        <w:t>,</w:t>
      </w:r>
      <w:r w:rsidR="00E67BB0">
        <w:rPr>
          <w:sz w:val="28"/>
          <w:szCs w:val="28"/>
        </w:rPr>
        <w:t xml:space="preserve"> </w:t>
      </w:r>
      <w:r w:rsidR="00EE2D69">
        <w:rPr>
          <w:sz w:val="28"/>
          <w:szCs w:val="28"/>
        </w:rPr>
        <w:t>disability-related symptoms such as chronic pain and fatigue that can re</w:t>
      </w:r>
      <w:r w:rsidR="004F58BA">
        <w:rPr>
          <w:sz w:val="28"/>
          <w:szCs w:val="28"/>
        </w:rPr>
        <w:t>duce</w:t>
      </w:r>
      <w:r w:rsidR="00EE2D69">
        <w:rPr>
          <w:sz w:val="28"/>
          <w:szCs w:val="28"/>
        </w:rPr>
        <w:t xml:space="preserve"> the number of hours an individual is able to work, overt and covert </w:t>
      </w:r>
      <w:r w:rsidR="00E67BB0">
        <w:rPr>
          <w:sz w:val="28"/>
          <w:szCs w:val="28"/>
        </w:rPr>
        <w:t>discrimination</w:t>
      </w:r>
      <w:r w:rsidR="00394D17">
        <w:rPr>
          <w:sz w:val="28"/>
          <w:szCs w:val="28"/>
        </w:rPr>
        <w:t xml:space="preserve"> by housing providers</w:t>
      </w:r>
      <w:r w:rsidR="00E67BB0">
        <w:rPr>
          <w:sz w:val="28"/>
          <w:szCs w:val="28"/>
        </w:rPr>
        <w:t xml:space="preserve">, </w:t>
      </w:r>
      <w:r w:rsidR="00394D17">
        <w:rPr>
          <w:sz w:val="28"/>
          <w:szCs w:val="28"/>
        </w:rPr>
        <w:t xml:space="preserve">unmet needs for auxiliary aids during communications with property </w:t>
      </w:r>
      <w:r w:rsidR="00A23384">
        <w:rPr>
          <w:sz w:val="28"/>
          <w:szCs w:val="28"/>
        </w:rPr>
        <w:t>managers and sellers</w:t>
      </w:r>
      <w:r w:rsidR="00394D17">
        <w:rPr>
          <w:sz w:val="28"/>
          <w:szCs w:val="28"/>
        </w:rPr>
        <w:t xml:space="preserve">, </w:t>
      </w:r>
      <w:r w:rsidR="00A71D45">
        <w:rPr>
          <w:sz w:val="28"/>
          <w:szCs w:val="28"/>
        </w:rPr>
        <w:t>fixed income for Social Security Disability Income (SSDI) recipients</w:t>
      </w:r>
      <w:r w:rsidR="00A23384">
        <w:rPr>
          <w:sz w:val="28"/>
          <w:szCs w:val="28"/>
        </w:rPr>
        <w:t xml:space="preserve">, and </w:t>
      </w:r>
      <w:r w:rsidR="006750E4">
        <w:rPr>
          <w:sz w:val="28"/>
          <w:szCs w:val="28"/>
        </w:rPr>
        <w:t xml:space="preserve">unlawful </w:t>
      </w:r>
      <w:r w:rsidR="00A23384">
        <w:rPr>
          <w:sz w:val="28"/>
          <w:szCs w:val="28"/>
        </w:rPr>
        <w:t>restrictions that impede reasonable modification of a property</w:t>
      </w:r>
      <w:r w:rsidR="00A71D45">
        <w:rPr>
          <w:sz w:val="28"/>
          <w:szCs w:val="28"/>
        </w:rPr>
        <w:t>.</w:t>
      </w:r>
      <w:r w:rsidR="00BD65CF">
        <w:rPr>
          <w:rStyle w:val="FootnoteReference"/>
          <w:sz w:val="28"/>
          <w:szCs w:val="28"/>
        </w:rPr>
        <w:footnoteReference w:id="11"/>
      </w:r>
    </w:p>
    <w:p w14:paraId="09162100" w14:textId="77777777" w:rsidR="00911F08" w:rsidRDefault="006D30D7" w:rsidP="00555A42">
      <w:pPr>
        <w:pStyle w:val="BodyText"/>
        <w:widowControl w:val="0"/>
        <w:spacing w:line="480" w:lineRule="exact"/>
        <w:ind w:firstLine="720"/>
        <w:jc w:val="both"/>
        <w:rPr>
          <w:sz w:val="28"/>
          <w:szCs w:val="28"/>
        </w:rPr>
      </w:pPr>
      <w:r>
        <w:rPr>
          <w:sz w:val="28"/>
          <w:szCs w:val="28"/>
        </w:rPr>
        <w:t xml:space="preserve">Disability-related factors and circumstances often precipitate the eviction of tenants with disabilities. For example, an individual may experience a deterioration or decline in their disability-related symptoms, leading to financial loss. Or an individual may experience an interruption in support systems that previously allowed them to live independently in the community. Individuals who receive social security disability income (SSDI) may experience delays or interruptions in benefits through no fault of their own. Many tenants with disabilities facing eviction for nonpayment of rent have lost work because of health or medical conditions beyond their control, such as hospitalization or worsening symptoms. Tenants facing evictions for other types of lease violations may have been unable to keep up with </w:t>
      </w:r>
      <w:r>
        <w:rPr>
          <w:sz w:val="28"/>
          <w:szCs w:val="28"/>
        </w:rPr>
        <w:lastRenderedPageBreak/>
        <w:t>lease obligations due to disability-related symptoms or loss of caregiving support.</w:t>
      </w:r>
      <w:r w:rsidR="00911F08">
        <w:rPr>
          <w:sz w:val="28"/>
          <w:szCs w:val="28"/>
        </w:rPr>
        <w:t xml:space="preserve"> </w:t>
      </w:r>
      <w:r w:rsidR="00911F08">
        <w:rPr>
          <w:sz w:val="28"/>
          <w:szCs w:val="28"/>
        </w:rPr>
        <w:t>In most cases, a tenant with a disability who is facing eviction is already dealing with extraordinarily challenging life circumstances.</w:t>
      </w:r>
      <w:r>
        <w:rPr>
          <w:sz w:val="28"/>
          <w:szCs w:val="28"/>
        </w:rPr>
        <w:t xml:space="preserve"> </w:t>
      </w:r>
    </w:p>
    <w:p w14:paraId="3DE435F5" w14:textId="79DD573D" w:rsidR="00911F08" w:rsidRDefault="00911F08" w:rsidP="00555A42">
      <w:pPr>
        <w:pStyle w:val="BodyText"/>
        <w:widowControl w:val="0"/>
        <w:spacing w:line="480" w:lineRule="exact"/>
        <w:ind w:firstLine="720"/>
        <w:jc w:val="both"/>
        <w:rPr>
          <w:sz w:val="28"/>
          <w:szCs w:val="28"/>
        </w:rPr>
      </w:pPr>
      <w:r>
        <w:rPr>
          <w:sz w:val="28"/>
          <w:szCs w:val="28"/>
        </w:rPr>
        <w:t xml:space="preserve">As observed in the course of DRAZ’s advocacy, tenants often face eviction due to discrimination related to their disability or accommodation needs. For example, DRAZ represented a tenant who was wrongfully evicted due to unlawful application of an apartment complex’s crime-free ordinance when police came to the apartment to perform a mental wellness check. DRAZ represented a tenant with a mobility disability who was unlawfully forced to vacate due to the apartment complex’s failure to provide an accessible unit and charging of discriminatory transfer and service animal fees. DRAZ represented a tenant who was unlawfully charged for normal wear-and-tear on flooring because of a mobility device in her apartment. These are just a few examples of tenants who have faced disability-based discrimination from housing providers.  </w:t>
      </w:r>
    </w:p>
    <w:p w14:paraId="1A58DD66" w14:textId="7FF29D70" w:rsidR="006D30D7" w:rsidRDefault="006D30D7" w:rsidP="00555A42">
      <w:pPr>
        <w:pStyle w:val="BodyText"/>
        <w:widowControl w:val="0"/>
        <w:spacing w:line="480" w:lineRule="exact"/>
        <w:ind w:firstLine="720"/>
        <w:jc w:val="both"/>
        <w:rPr>
          <w:sz w:val="28"/>
          <w:szCs w:val="28"/>
        </w:rPr>
      </w:pPr>
      <w:r>
        <w:rPr>
          <w:sz w:val="28"/>
          <w:szCs w:val="28"/>
        </w:rPr>
        <w:t xml:space="preserve">Given the substantial barriers that many people with disabilities </w:t>
      </w:r>
      <w:r w:rsidR="00E67BB0">
        <w:rPr>
          <w:sz w:val="28"/>
          <w:szCs w:val="28"/>
        </w:rPr>
        <w:t xml:space="preserve">regularly face in </w:t>
      </w:r>
      <w:r w:rsidR="00AE3F08">
        <w:rPr>
          <w:sz w:val="28"/>
          <w:szCs w:val="28"/>
        </w:rPr>
        <w:t>locating and maintaining</w:t>
      </w:r>
      <w:r w:rsidR="00AD3A25">
        <w:rPr>
          <w:sz w:val="28"/>
          <w:szCs w:val="28"/>
        </w:rPr>
        <w:t xml:space="preserve"> </w:t>
      </w:r>
      <w:r w:rsidR="00AE3F08">
        <w:rPr>
          <w:sz w:val="28"/>
          <w:szCs w:val="28"/>
        </w:rPr>
        <w:t>stable,</w:t>
      </w:r>
      <w:r w:rsidR="00AD3A25">
        <w:rPr>
          <w:sz w:val="28"/>
          <w:szCs w:val="28"/>
        </w:rPr>
        <w:t xml:space="preserve"> accessible housing, providing a three-day stay of an eviction judgment while a court resolves a post-judgment motion is both reasonable and just. A three-day stay eliminates</w:t>
      </w:r>
      <w:r w:rsidR="00EE2D69">
        <w:rPr>
          <w:sz w:val="28"/>
          <w:szCs w:val="28"/>
        </w:rPr>
        <w:t xml:space="preserve"> additional barriers </w:t>
      </w:r>
      <w:r w:rsidR="00A12AE3">
        <w:rPr>
          <w:sz w:val="28"/>
          <w:szCs w:val="28"/>
        </w:rPr>
        <w:t xml:space="preserve">imposed by improper deprivation of a tenant’s property interest. Absent the proposed rule change, a tenant with a disability could be forced to vacate </w:t>
      </w:r>
      <w:r w:rsidR="007807AA">
        <w:rPr>
          <w:sz w:val="28"/>
          <w:szCs w:val="28"/>
        </w:rPr>
        <w:t>their</w:t>
      </w:r>
      <w:r w:rsidR="00A12AE3">
        <w:rPr>
          <w:sz w:val="28"/>
          <w:szCs w:val="28"/>
        </w:rPr>
        <w:t xml:space="preserve"> dwelling pending resolution of a post-judgment motion, only to then have the court grant relief. This scenario unduly disrupts and destabilizes the life of a tenant with a disability. The proposed rule change will prevent this undue disruption by allowing the judicial process to </w:t>
      </w:r>
      <w:r w:rsidR="0082331C">
        <w:rPr>
          <w:sz w:val="28"/>
          <w:szCs w:val="28"/>
        </w:rPr>
        <w:t>be completed</w:t>
      </w:r>
      <w:r w:rsidR="00345371">
        <w:rPr>
          <w:sz w:val="28"/>
          <w:szCs w:val="28"/>
        </w:rPr>
        <w:t xml:space="preserve"> </w:t>
      </w:r>
      <w:r w:rsidR="00A12AE3">
        <w:rPr>
          <w:sz w:val="28"/>
          <w:szCs w:val="28"/>
        </w:rPr>
        <w:t>before an eviction judgment is effectuated.</w:t>
      </w:r>
    </w:p>
    <w:p w14:paraId="5E325304" w14:textId="7FC9E974" w:rsidR="006D30D7" w:rsidRPr="00A677A2" w:rsidRDefault="006D30D7" w:rsidP="00555A42">
      <w:pPr>
        <w:pStyle w:val="BodyText"/>
        <w:widowControl w:val="0"/>
        <w:spacing w:line="480" w:lineRule="exact"/>
        <w:ind w:left="720" w:hanging="720"/>
        <w:jc w:val="both"/>
        <w:rPr>
          <w:b/>
          <w:sz w:val="28"/>
          <w:szCs w:val="28"/>
        </w:rPr>
      </w:pPr>
      <w:r w:rsidRPr="00A677A2">
        <w:rPr>
          <w:b/>
          <w:sz w:val="28"/>
          <w:szCs w:val="28"/>
        </w:rPr>
        <w:t>II.</w:t>
      </w:r>
      <w:r w:rsidRPr="00A677A2">
        <w:rPr>
          <w:b/>
          <w:sz w:val="28"/>
          <w:szCs w:val="28"/>
        </w:rPr>
        <w:tab/>
      </w:r>
      <w:r>
        <w:rPr>
          <w:b/>
          <w:sz w:val="28"/>
          <w:szCs w:val="28"/>
        </w:rPr>
        <w:t xml:space="preserve">A </w:t>
      </w:r>
      <w:r w:rsidR="00CF22AE">
        <w:rPr>
          <w:b/>
          <w:sz w:val="28"/>
          <w:szCs w:val="28"/>
        </w:rPr>
        <w:t>three-day stay of an eviction judgment pending resolution of a post-judgment motion alleviates disproportionate burdens on tenants with disabil</w:t>
      </w:r>
      <w:r w:rsidR="00096396">
        <w:rPr>
          <w:b/>
          <w:sz w:val="28"/>
          <w:szCs w:val="28"/>
        </w:rPr>
        <w:t>ities</w:t>
      </w:r>
      <w:r>
        <w:rPr>
          <w:b/>
          <w:sz w:val="28"/>
          <w:szCs w:val="28"/>
        </w:rPr>
        <w:t>.</w:t>
      </w:r>
    </w:p>
    <w:p w14:paraId="4BA7ACCD" w14:textId="33D40778" w:rsidR="006D30D7" w:rsidRDefault="00683271" w:rsidP="00555A42">
      <w:pPr>
        <w:pStyle w:val="BodyText"/>
        <w:widowControl w:val="0"/>
        <w:spacing w:line="480" w:lineRule="exact"/>
        <w:ind w:firstLine="720"/>
        <w:jc w:val="both"/>
        <w:rPr>
          <w:bCs/>
          <w:sz w:val="28"/>
          <w:szCs w:val="28"/>
        </w:rPr>
      </w:pPr>
      <w:r>
        <w:rPr>
          <w:bCs/>
          <w:sz w:val="28"/>
          <w:szCs w:val="28"/>
        </w:rPr>
        <w:lastRenderedPageBreak/>
        <w:t>T</w:t>
      </w:r>
      <w:r w:rsidR="006D30D7">
        <w:rPr>
          <w:bCs/>
          <w:sz w:val="28"/>
          <w:szCs w:val="28"/>
        </w:rPr>
        <w:t>enants with disabilities experience unique harm</w:t>
      </w:r>
      <w:r>
        <w:rPr>
          <w:bCs/>
          <w:sz w:val="28"/>
          <w:szCs w:val="28"/>
        </w:rPr>
        <w:t xml:space="preserve"> </w:t>
      </w:r>
      <w:r w:rsidR="00F262F7">
        <w:rPr>
          <w:bCs/>
          <w:sz w:val="28"/>
          <w:szCs w:val="28"/>
        </w:rPr>
        <w:t xml:space="preserve">from </w:t>
      </w:r>
      <w:r w:rsidR="00442957">
        <w:rPr>
          <w:bCs/>
          <w:sz w:val="28"/>
          <w:szCs w:val="28"/>
        </w:rPr>
        <w:t>improper</w:t>
      </w:r>
      <w:r w:rsidR="00F262F7">
        <w:rPr>
          <w:bCs/>
          <w:sz w:val="28"/>
          <w:szCs w:val="28"/>
        </w:rPr>
        <w:t xml:space="preserve"> deprivation of a property interest prior to resolution of a post-judgment motion</w:t>
      </w:r>
      <w:r>
        <w:rPr>
          <w:bCs/>
          <w:sz w:val="28"/>
          <w:szCs w:val="28"/>
        </w:rPr>
        <w:t>.</w:t>
      </w:r>
      <w:r w:rsidR="006D30D7">
        <w:rPr>
          <w:bCs/>
          <w:sz w:val="28"/>
          <w:szCs w:val="28"/>
        </w:rPr>
        <w:t xml:space="preserve"> </w:t>
      </w:r>
      <w:r w:rsidR="007076E8">
        <w:rPr>
          <w:bCs/>
          <w:sz w:val="28"/>
          <w:szCs w:val="28"/>
        </w:rPr>
        <w:t>Tenants with disabilities face barriers</w:t>
      </w:r>
      <w:r w:rsidR="00380CFE">
        <w:rPr>
          <w:bCs/>
          <w:sz w:val="28"/>
          <w:szCs w:val="28"/>
        </w:rPr>
        <w:t xml:space="preserve"> above and beyond those of non-disabled tenants</w:t>
      </w:r>
      <w:r w:rsidR="007076E8">
        <w:rPr>
          <w:bCs/>
          <w:sz w:val="28"/>
          <w:szCs w:val="28"/>
        </w:rPr>
        <w:t xml:space="preserve"> in </w:t>
      </w:r>
      <w:r w:rsidR="00442957">
        <w:rPr>
          <w:bCs/>
          <w:sz w:val="28"/>
          <w:szCs w:val="28"/>
        </w:rPr>
        <w:t>relocating</w:t>
      </w:r>
      <w:r w:rsidR="007076E8">
        <w:rPr>
          <w:bCs/>
          <w:sz w:val="28"/>
          <w:szCs w:val="28"/>
        </w:rPr>
        <w:t xml:space="preserve"> to accessible housing. </w:t>
      </w:r>
      <w:r w:rsidR="006D30D7">
        <w:rPr>
          <w:bCs/>
          <w:sz w:val="28"/>
          <w:szCs w:val="28"/>
        </w:rPr>
        <w:t xml:space="preserve">The proposed rule change remedies this injustice by </w:t>
      </w:r>
      <w:r w:rsidR="0089419D">
        <w:rPr>
          <w:bCs/>
          <w:sz w:val="28"/>
          <w:szCs w:val="28"/>
        </w:rPr>
        <w:t xml:space="preserve">providing a three-day stay of an eviction judgment </w:t>
      </w:r>
      <w:r w:rsidR="00F469C9">
        <w:rPr>
          <w:bCs/>
          <w:sz w:val="28"/>
          <w:szCs w:val="28"/>
        </w:rPr>
        <w:t>pending resolution of a</w:t>
      </w:r>
      <w:r w:rsidR="0089419D">
        <w:rPr>
          <w:bCs/>
          <w:sz w:val="28"/>
          <w:szCs w:val="28"/>
        </w:rPr>
        <w:t xml:space="preserve"> post-judgment </w:t>
      </w:r>
      <w:r w:rsidR="007D1295">
        <w:rPr>
          <w:bCs/>
          <w:sz w:val="28"/>
          <w:szCs w:val="28"/>
        </w:rPr>
        <w:t xml:space="preserve">emergency </w:t>
      </w:r>
      <w:r w:rsidR="0089419D">
        <w:rPr>
          <w:bCs/>
          <w:sz w:val="28"/>
          <w:szCs w:val="28"/>
        </w:rPr>
        <w:t>motion</w:t>
      </w:r>
      <w:r w:rsidR="006D30D7">
        <w:rPr>
          <w:bCs/>
          <w:sz w:val="28"/>
          <w:szCs w:val="28"/>
        </w:rPr>
        <w:t xml:space="preserve">. </w:t>
      </w:r>
    </w:p>
    <w:p w14:paraId="63115E51" w14:textId="488BF609" w:rsidR="00F262F7" w:rsidRDefault="00F262F7" w:rsidP="00555A42">
      <w:pPr>
        <w:pStyle w:val="BodyText"/>
        <w:widowControl w:val="0"/>
        <w:spacing w:line="480" w:lineRule="exact"/>
        <w:ind w:firstLine="720"/>
        <w:jc w:val="both"/>
        <w:rPr>
          <w:bCs/>
          <w:sz w:val="28"/>
          <w:szCs w:val="28"/>
        </w:rPr>
      </w:pPr>
      <w:r>
        <w:rPr>
          <w:bCs/>
          <w:sz w:val="28"/>
          <w:szCs w:val="28"/>
        </w:rPr>
        <w:t>Tenants with disabilities face barriers to moving</w:t>
      </w:r>
      <w:r w:rsidR="00BE33B3">
        <w:rPr>
          <w:bCs/>
          <w:sz w:val="28"/>
          <w:szCs w:val="28"/>
        </w:rPr>
        <w:t xml:space="preserve"> </w:t>
      </w:r>
      <w:r w:rsidR="007807AA">
        <w:rPr>
          <w:bCs/>
          <w:sz w:val="28"/>
          <w:szCs w:val="28"/>
        </w:rPr>
        <w:t>far exceeding</w:t>
      </w:r>
      <w:r w:rsidR="00BE33B3">
        <w:rPr>
          <w:bCs/>
          <w:sz w:val="28"/>
          <w:szCs w:val="28"/>
        </w:rPr>
        <w:t xml:space="preserve"> those of non-disabled tenants. If forced to relocate on a rapid timeline, tenants with disabilities may be forced</w:t>
      </w:r>
      <w:r>
        <w:rPr>
          <w:bCs/>
          <w:sz w:val="28"/>
          <w:szCs w:val="28"/>
        </w:rPr>
        <w:t xml:space="preserve"> to abandon mobility aids and devices and even life-saving medical equipment. They may have to vacate a dwelling</w:t>
      </w:r>
      <w:r w:rsidR="00A83572">
        <w:rPr>
          <w:bCs/>
          <w:sz w:val="28"/>
          <w:szCs w:val="28"/>
        </w:rPr>
        <w:t xml:space="preserve"> that met the FHA’s accessibility guidelines or one that </w:t>
      </w:r>
      <w:r>
        <w:rPr>
          <w:bCs/>
          <w:sz w:val="28"/>
          <w:szCs w:val="28"/>
        </w:rPr>
        <w:t xml:space="preserve">they modified at their own expense, </w:t>
      </w:r>
      <w:bookmarkStart w:id="5" w:name="_Hlk196911113"/>
      <w:r>
        <w:rPr>
          <w:bCs/>
          <w:sz w:val="28"/>
          <w:szCs w:val="28"/>
        </w:rPr>
        <w:t xml:space="preserve">such as by </w:t>
      </w:r>
      <w:r w:rsidR="00A1611B">
        <w:rPr>
          <w:bCs/>
          <w:sz w:val="28"/>
          <w:szCs w:val="28"/>
        </w:rPr>
        <w:t>building</w:t>
      </w:r>
      <w:r>
        <w:rPr>
          <w:bCs/>
          <w:sz w:val="28"/>
          <w:szCs w:val="28"/>
        </w:rPr>
        <w:t xml:space="preserve"> ramps,</w:t>
      </w:r>
      <w:r w:rsidR="007424CC">
        <w:rPr>
          <w:bCs/>
          <w:sz w:val="28"/>
          <w:szCs w:val="28"/>
        </w:rPr>
        <w:t xml:space="preserve"> </w:t>
      </w:r>
      <w:r w:rsidR="00A1611B">
        <w:rPr>
          <w:bCs/>
          <w:sz w:val="28"/>
          <w:szCs w:val="28"/>
        </w:rPr>
        <w:t>widening doorways,</w:t>
      </w:r>
      <w:r>
        <w:rPr>
          <w:bCs/>
          <w:sz w:val="28"/>
          <w:szCs w:val="28"/>
        </w:rPr>
        <w:t xml:space="preserve"> </w:t>
      </w:r>
      <w:r w:rsidR="00A1611B">
        <w:rPr>
          <w:bCs/>
          <w:sz w:val="28"/>
          <w:szCs w:val="28"/>
        </w:rPr>
        <w:t xml:space="preserve">installing </w:t>
      </w:r>
      <w:r>
        <w:rPr>
          <w:bCs/>
          <w:sz w:val="28"/>
          <w:szCs w:val="28"/>
        </w:rPr>
        <w:t>grab bars,</w:t>
      </w:r>
      <w:r w:rsidR="00A1611B">
        <w:rPr>
          <w:bCs/>
          <w:sz w:val="28"/>
          <w:szCs w:val="28"/>
        </w:rPr>
        <w:t xml:space="preserve"> lowering shelving, </w:t>
      </w:r>
      <w:r w:rsidR="00E756CA">
        <w:rPr>
          <w:bCs/>
          <w:sz w:val="28"/>
          <w:szCs w:val="28"/>
        </w:rPr>
        <w:t xml:space="preserve">or </w:t>
      </w:r>
      <w:r w:rsidR="00A1611B">
        <w:rPr>
          <w:bCs/>
          <w:sz w:val="28"/>
          <w:szCs w:val="28"/>
        </w:rPr>
        <w:t xml:space="preserve">installing a doorbell with </w:t>
      </w:r>
      <w:r w:rsidR="00E756CA">
        <w:rPr>
          <w:bCs/>
          <w:sz w:val="28"/>
          <w:szCs w:val="28"/>
        </w:rPr>
        <w:t xml:space="preserve">a </w:t>
      </w:r>
      <w:r w:rsidR="00A1611B">
        <w:rPr>
          <w:bCs/>
          <w:sz w:val="28"/>
          <w:szCs w:val="28"/>
        </w:rPr>
        <w:t>visual flasher</w:t>
      </w:r>
      <w:bookmarkEnd w:id="5"/>
      <w:r>
        <w:rPr>
          <w:bCs/>
          <w:sz w:val="28"/>
          <w:szCs w:val="28"/>
        </w:rPr>
        <w:t>. Eviction can disrupt critical medical and community support systems of people with disabilities, such as easy access to health care providers</w:t>
      </w:r>
      <w:r w:rsidR="00A1611B">
        <w:rPr>
          <w:bCs/>
          <w:sz w:val="28"/>
          <w:szCs w:val="28"/>
        </w:rPr>
        <w:t xml:space="preserve"> and caregivers</w:t>
      </w:r>
      <w:r>
        <w:rPr>
          <w:bCs/>
          <w:sz w:val="28"/>
          <w:szCs w:val="28"/>
        </w:rPr>
        <w:t xml:space="preserve">. </w:t>
      </w:r>
      <w:bookmarkStart w:id="6" w:name="_Hlk196910969"/>
      <w:r w:rsidR="00A1611B">
        <w:rPr>
          <w:sz w:val="28"/>
          <w:szCs w:val="28"/>
        </w:rPr>
        <w:t xml:space="preserve">Often, households with family members with disabilities have additional disability-related criteria in locating suitable housing. It may need to be accessible, on the ground floor, on an accessible bus line, near behavioral health clinics or specialty medical practices, near a family member who provides personal care or other related assistance,  and within a specific price point based on a limited income. Disrupting housing will result in longer periods of housing instability trying to replace housing that fits </w:t>
      </w:r>
      <w:r w:rsidR="003E2AEF">
        <w:rPr>
          <w:sz w:val="28"/>
          <w:szCs w:val="28"/>
        </w:rPr>
        <w:t>essential</w:t>
      </w:r>
      <w:r w:rsidR="00A1611B">
        <w:rPr>
          <w:sz w:val="28"/>
          <w:szCs w:val="28"/>
        </w:rPr>
        <w:t xml:space="preserve"> criteria. The search process can be longer because of discrimination in the rental screening process. </w:t>
      </w:r>
      <w:bookmarkEnd w:id="6"/>
      <w:r w:rsidR="00A1611B">
        <w:rPr>
          <w:sz w:val="28"/>
          <w:szCs w:val="28"/>
        </w:rPr>
        <w:t>People with disabilities, particularly people with mental health and intellectual disabilities, face discrimination in the search for rental housing.</w:t>
      </w:r>
      <w:r>
        <w:rPr>
          <w:bCs/>
          <w:sz w:val="28"/>
          <w:szCs w:val="28"/>
        </w:rPr>
        <w:t xml:space="preserve"> a task made even more difficult by the existence of an eviction record.</w:t>
      </w:r>
      <w:r w:rsidR="00A349EB">
        <w:rPr>
          <w:rStyle w:val="FootnoteReference"/>
          <w:bCs/>
          <w:sz w:val="28"/>
          <w:szCs w:val="28"/>
        </w:rPr>
        <w:footnoteReference w:id="12"/>
      </w:r>
      <w:r>
        <w:rPr>
          <w:bCs/>
          <w:sz w:val="28"/>
          <w:szCs w:val="28"/>
        </w:rPr>
        <w:t xml:space="preserve"> Eviction can therefore have compounded and </w:t>
      </w:r>
      <w:r>
        <w:rPr>
          <w:bCs/>
          <w:sz w:val="28"/>
          <w:szCs w:val="28"/>
        </w:rPr>
        <w:lastRenderedPageBreak/>
        <w:t>cascading effects on tenants with disabilities to the detriment of their health, wellbeing, and the entire community.</w:t>
      </w:r>
    </w:p>
    <w:p w14:paraId="2F4D3F26" w14:textId="539990A8" w:rsidR="006D30D7" w:rsidRDefault="006D30D7" w:rsidP="00555A42">
      <w:pPr>
        <w:pStyle w:val="BodyText"/>
        <w:widowControl w:val="0"/>
        <w:spacing w:line="480" w:lineRule="exact"/>
        <w:ind w:firstLine="720"/>
        <w:jc w:val="both"/>
        <w:rPr>
          <w:bCs/>
          <w:sz w:val="28"/>
          <w:szCs w:val="28"/>
        </w:rPr>
      </w:pPr>
      <w:r>
        <w:rPr>
          <w:bCs/>
          <w:sz w:val="28"/>
          <w:szCs w:val="28"/>
        </w:rPr>
        <w:t xml:space="preserve">A </w:t>
      </w:r>
      <w:r w:rsidR="00BC3F81">
        <w:rPr>
          <w:bCs/>
          <w:sz w:val="28"/>
          <w:szCs w:val="28"/>
        </w:rPr>
        <w:t>three-day stay of an eviction judgment while a court resolves a post-judgment motion does not unduly burden</w:t>
      </w:r>
      <w:r>
        <w:rPr>
          <w:bCs/>
          <w:sz w:val="28"/>
          <w:szCs w:val="28"/>
        </w:rPr>
        <w:t xml:space="preserve"> landlords. </w:t>
      </w:r>
      <w:r w:rsidR="00CB7917">
        <w:rPr>
          <w:bCs/>
          <w:sz w:val="28"/>
          <w:szCs w:val="28"/>
        </w:rPr>
        <w:t xml:space="preserve">A stay under these circumstances simply maintains the status quo while the court resolves a post-judgment motion. Both the existing and amended Rule 15 provide that a court must resolve an emergency post-judgment motion within three days. Accordingly, the maximum amount of time a stay of an eviction judgment will last under the proposed amended rule is three days. </w:t>
      </w:r>
      <w:r w:rsidR="00216C72">
        <w:rPr>
          <w:bCs/>
          <w:sz w:val="28"/>
          <w:szCs w:val="28"/>
        </w:rPr>
        <w:t>A brief stay</w:t>
      </w:r>
      <w:r w:rsidR="00CB7917">
        <w:rPr>
          <w:bCs/>
          <w:sz w:val="28"/>
          <w:szCs w:val="28"/>
        </w:rPr>
        <w:t xml:space="preserve"> will also ease the </w:t>
      </w:r>
      <w:r w:rsidR="00E40AE4">
        <w:rPr>
          <w:bCs/>
          <w:sz w:val="28"/>
          <w:szCs w:val="28"/>
        </w:rPr>
        <w:t xml:space="preserve">administrative and logistical </w:t>
      </w:r>
      <w:r w:rsidR="00CB7917">
        <w:rPr>
          <w:bCs/>
          <w:sz w:val="28"/>
          <w:szCs w:val="28"/>
        </w:rPr>
        <w:t>burden on landlords in cases where an eviction judgment is reversed post-judgment</w:t>
      </w:r>
      <w:r>
        <w:rPr>
          <w:bCs/>
          <w:sz w:val="28"/>
          <w:szCs w:val="28"/>
        </w:rPr>
        <w:t>.</w:t>
      </w:r>
    </w:p>
    <w:p w14:paraId="417C4E33" w14:textId="77777777" w:rsidR="006D30D7" w:rsidRPr="00A677A2" w:rsidRDefault="006D30D7" w:rsidP="00555A42">
      <w:pPr>
        <w:pStyle w:val="BodyText"/>
        <w:widowControl w:val="0"/>
        <w:spacing w:line="480" w:lineRule="exact"/>
        <w:ind w:left="720" w:hanging="720"/>
        <w:jc w:val="both"/>
        <w:rPr>
          <w:sz w:val="28"/>
          <w:szCs w:val="28"/>
        </w:rPr>
      </w:pPr>
      <w:r>
        <w:rPr>
          <w:b/>
          <w:sz w:val="28"/>
          <w:szCs w:val="28"/>
        </w:rPr>
        <w:t>III</w:t>
      </w:r>
      <w:r w:rsidRPr="00A677A2">
        <w:rPr>
          <w:b/>
          <w:sz w:val="28"/>
          <w:szCs w:val="28"/>
        </w:rPr>
        <w:t>.</w:t>
      </w:r>
      <w:r w:rsidRPr="00A677A2">
        <w:rPr>
          <w:sz w:val="28"/>
          <w:szCs w:val="28"/>
        </w:rPr>
        <w:tab/>
      </w:r>
      <w:r w:rsidRPr="00A677A2">
        <w:rPr>
          <w:b/>
          <w:sz w:val="28"/>
          <w:szCs w:val="28"/>
        </w:rPr>
        <w:t>Conclusion</w:t>
      </w:r>
    </w:p>
    <w:p w14:paraId="58D0D99C" w14:textId="24490085" w:rsidR="006D30D7" w:rsidRDefault="000D45B4" w:rsidP="00555A42">
      <w:pPr>
        <w:pStyle w:val="BodyText"/>
        <w:widowControl w:val="0"/>
        <w:spacing w:line="480" w:lineRule="exact"/>
        <w:ind w:firstLine="720"/>
        <w:jc w:val="both"/>
        <w:rPr>
          <w:bCs/>
          <w:sz w:val="28"/>
          <w:szCs w:val="28"/>
        </w:rPr>
      </w:pPr>
      <w:r>
        <w:rPr>
          <w:bCs/>
          <w:sz w:val="28"/>
          <w:szCs w:val="28"/>
        </w:rPr>
        <w:t>Tenants with disabilities</w:t>
      </w:r>
      <w:r w:rsidR="006D30D7">
        <w:rPr>
          <w:bCs/>
          <w:sz w:val="28"/>
          <w:szCs w:val="28"/>
        </w:rPr>
        <w:t xml:space="preserve"> </w:t>
      </w:r>
      <w:r w:rsidR="00D51B3F">
        <w:rPr>
          <w:bCs/>
          <w:sz w:val="28"/>
          <w:szCs w:val="28"/>
        </w:rPr>
        <w:t>should be permitted to remain in their home pending resolution of a post-judgment motion that may reverse an eviction judgment. A three-day stay of an eviction judgment while a post-judgment motion is resolved simply maintains the status</w:t>
      </w:r>
      <w:r w:rsidR="00CB48C5">
        <w:rPr>
          <w:bCs/>
          <w:sz w:val="28"/>
          <w:szCs w:val="28"/>
        </w:rPr>
        <w:t xml:space="preserve"> quo</w:t>
      </w:r>
      <w:r w:rsidR="00B3285A">
        <w:rPr>
          <w:bCs/>
          <w:sz w:val="28"/>
          <w:szCs w:val="28"/>
        </w:rPr>
        <w:t xml:space="preserve"> during that time</w:t>
      </w:r>
      <w:r w:rsidR="00797A55">
        <w:rPr>
          <w:bCs/>
          <w:sz w:val="28"/>
          <w:szCs w:val="28"/>
        </w:rPr>
        <w:t>, does not grant tenants any additional rights or privileges,</w:t>
      </w:r>
      <w:r w:rsidR="00B3285A">
        <w:rPr>
          <w:bCs/>
          <w:sz w:val="28"/>
          <w:szCs w:val="28"/>
        </w:rPr>
        <w:t xml:space="preserve"> and does not unduly burden landlords.</w:t>
      </w:r>
      <w:r w:rsidR="006D30D7">
        <w:rPr>
          <w:bCs/>
          <w:sz w:val="28"/>
          <w:szCs w:val="28"/>
        </w:rPr>
        <w:t xml:space="preserve">  </w:t>
      </w:r>
    </w:p>
    <w:p w14:paraId="5F3922C4" w14:textId="7FF0FD99" w:rsidR="006D30D7" w:rsidRDefault="006D30D7" w:rsidP="00555A42">
      <w:pPr>
        <w:pStyle w:val="BodyText"/>
        <w:widowControl w:val="0"/>
        <w:spacing w:line="480" w:lineRule="exact"/>
        <w:ind w:firstLine="720"/>
        <w:jc w:val="both"/>
        <w:rPr>
          <w:sz w:val="28"/>
          <w:szCs w:val="28"/>
        </w:rPr>
      </w:pPr>
      <w:r>
        <w:rPr>
          <w:sz w:val="28"/>
          <w:szCs w:val="28"/>
        </w:rPr>
        <w:t>For the above reasons, w</w:t>
      </w:r>
      <w:r w:rsidRPr="00A677A2">
        <w:rPr>
          <w:sz w:val="28"/>
          <w:szCs w:val="28"/>
        </w:rPr>
        <w:t xml:space="preserve">e </w:t>
      </w:r>
      <w:r>
        <w:rPr>
          <w:sz w:val="28"/>
          <w:szCs w:val="28"/>
        </w:rPr>
        <w:t xml:space="preserve">respectfully request that </w:t>
      </w:r>
      <w:r w:rsidRPr="00A677A2">
        <w:rPr>
          <w:sz w:val="28"/>
          <w:szCs w:val="28"/>
        </w:rPr>
        <w:t>the Court approve th</w:t>
      </w:r>
      <w:r>
        <w:rPr>
          <w:sz w:val="28"/>
          <w:szCs w:val="28"/>
        </w:rPr>
        <w:t xml:space="preserve">e Petition to Amend Rule </w:t>
      </w:r>
      <w:r w:rsidR="005B6BFA">
        <w:rPr>
          <w:sz w:val="28"/>
          <w:szCs w:val="28"/>
        </w:rPr>
        <w:t>15</w:t>
      </w:r>
      <w:r>
        <w:rPr>
          <w:sz w:val="28"/>
          <w:szCs w:val="28"/>
        </w:rPr>
        <w:t xml:space="preserve"> of the Arizona Rules of Procedure for Eviction Actions.</w:t>
      </w:r>
    </w:p>
    <w:p w14:paraId="0CAF03FE" w14:textId="77777777" w:rsidR="00555A42" w:rsidRDefault="00555A42" w:rsidP="006D30D7">
      <w:pPr>
        <w:pStyle w:val="BodyText"/>
        <w:spacing w:line="377" w:lineRule="auto"/>
        <w:jc w:val="both"/>
        <w:rPr>
          <w:sz w:val="28"/>
          <w:szCs w:val="28"/>
        </w:rPr>
      </w:pPr>
    </w:p>
    <w:p w14:paraId="35095E64" w14:textId="77777777" w:rsidR="00C449AF" w:rsidRDefault="006D30D7" w:rsidP="006D30D7">
      <w:pPr>
        <w:pStyle w:val="BodyText"/>
        <w:spacing w:line="377" w:lineRule="auto"/>
        <w:jc w:val="both"/>
        <w:rPr>
          <w:sz w:val="28"/>
          <w:szCs w:val="28"/>
        </w:rPr>
      </w:pPr>
      <w:r w:rsidRPr="00A677A2">
        <w:rPr>
          <w:sz w:val="28"/>
          <w:szCs w:val="28"/>
        </w:rPr>
        <w:tab/>
      </w:r>
    </w:p>
    <w:p w14:paraId="42930A63" w14:textId="77777777" w:rsidR="00C449AF" w:rsidRDefault="00C449AF" w:rsidP="006D30D7">
      <w:pPr>
        <w:pStyle w:val="BodyText"/>
        <w:spacing w:line="377" w:lineRule="auto"/>
        <w:jc w:val="both"/>
        <w:rPr>
          <w:sz w:val="28"/>
          <w:szCs w:val="28"/>
        </w:rPr>
      </w:pPr>
    </w:p>
    <w:p w14:paraId="02FE6546" w14:textId="4376E098" w:rsidR="006D30D7" w:rsidRPr="00A677A2" w:rsidRDefault="006D30D7" w:rsidP="00C449AF">
      <w:pPr>
        <w:pStyle w:val="BodyText"/>
        <w:spacing w:line="377" w:lineRule="auto"/>
        <w:ind w:firstLine="720"/>
        <w:jc w:val="both"/>
        <w:rPr>
          <w:sz w:val="28"/>
          <w:szCs w:val="28"/>
        </w:rPr>
      </w:pPr>
      <w:r w:rsidRPr="00A677A2">
        <w:rPr>
          <w:sz w:val="28"/>
          <w:szCs w:val="28"/>
        </w:rPr>
        <w:t xml:space="preserve">Respectfully submitted this </w:t>
      </w:r>
      <w:r w:rsidR="006F6C6D" w:rsidRPr="00A349EB">
        <w:rPr>
          <w:sz w:val="28"/>
          <w:szCs w:val="28"/>
        </w:rPr>
        <w:t>30th</w:t>
      </w:r>
      <w:r w:rsidRPr="00A349EB">
        <w:rPr>
          <w:sz w:val="28"/>
          <w:szCs w:val="28"/>
        </w:rPr>
        <w:t xml:space="preserve"> day of April 2025</w:t>
      </w:r>
      <w:r w:rsidRPr="00A677A2">
        <w:rPr>
          <w:sz w:val="28"/>
          <w:szCs w:val="28"/>
        </w:rPr>
        <w:t>.</w:t>
      </w:r>
    </w:p>
    <w:p w14:paraId="6EB62B25" w14:textId="77777777" w:rsidR="006A7A09" w:rsidRDefault="006D30D7" w:rsidP="006D30D7">
      <w:pPr>
        <w:pStyle w:val="BodyText"/>
        <w:spacing w:line="360" w:lineRule="auto"/>
        <w:jc w:val="both"/>
        <w:rPr>
          <w:sz w:val="28"/>
          <w:szCs w:val="28"/>
        </w:rPr>
      </w:pPr>
      <w:r w:rsidRPr="00A677A2">
        <w:rPr>
          <w:sz w:val="28"/>
          <w:szCs w:val="28"/>
        </w:rPr>
        <w:tab/>
      </w:r>
      <w:r w:rsidRPr="00A677A2">
        <w:rPr>
          <w:sz w:val="28"/>
          <w:szCs w:val="28"/>
        </w:rPr>
        <w:tab/>
      </w:r>
      <w:r w:rsidRPr="00A677A2">
        <w:rPr>
          <w:sz w:val="28"/>
          <w:szCs w:val="28"/>
        </w:rPr>
        <w:tab/>
      </w:r>
      <w:r w:rsidRPr="00A677A2">
        <w:rPr>
          <w:sz w:val="28"/>
          <w:szCs w:val="28"/>
        </w:rPr>
        <w:tab/>
      </w:r>
      <w:r w:rsidRPr="00A677A2">
        <w:rPr>
          <w:sz w:val="28"/>
          <w:szCs w:val="28"/>
        </w:rPr>
        <w:tab/>
      </w:r>
    </w:p>
    <w:p w14:paraId="1352659F" w14:textId="77777777" w:rsidR="006A7A09" w:rsidRDefault="006A7A09" w:rsidP="006D30D7">
      <w:pPr>
        <w:pStyle w:val="BodyText"/>
        <w:spacing w:line="360" w:lineRule="auto"/>
        <w:jc w:val="both"/>
        <w:rPr>
          <w:sz w:val="28"/>
          <w:szCs w:val="28"/>
        </w:rPr>
      </w:pPr>
    </w:p>
    <w:p w14:paraId="3ED82BA2" w14:textId="77777777" w:rsidR="006A7A09" w:rsidRDefault="006A7A09" w:rsidP="006D30D7">
      <w:pPr>
        <w:pStyle w:val="BodyText"/>
        <w:spacing w:line="360" w:lineRule="auto"/>
        <w:jc w:val="both"/>
        <w:rPr>
          <w:sz w:val="28"/>
          <w:szCs w:val="28"/>
        </w:rPr>
      </w:pPr>
    </w:p>
    <w:p w14:paraId="747FE37A" w14:textId="5B113983" w:rsidR="006D30D7" w:rsidRPr="00B0063D" w:rsidRDefault="006D30D7" w:rsidP="006A7A09">
      <w:pPr>
        <w:pStyle w:val="BodyText"/>
        <w:spacing w:line="360" w:lineRule="auto"/>
        <w:ind w:left="2880" w:firstLine="720"/>
        <w:jc w:val="both"/>
        <w:rPr>
          <w:sz w:val="28"/>
          <w:szCs w:val="28"/>
        </w:rPr>
      </w:pPr>
      <w:r>
        <w:rPr>
          <w:sz w:val="28"/>
          <w:szCs w:val="28"/>
        </w:rPr>
        <w:t>DISABILITY RIGHTS ARIZONA</w:t>
      </w:r>
      <w:r w:rsidRPr="00B0063D">
        <w:rPr>
          <w:sz w:val="28"/>
          <w:szCs w:val="28"/>
        </w:rPr>
        <w:t xml:space="preserve"> </w:t>
      </w:r>
    </w:p>
    <w:p w14:paraId="6946B03D" w14:textId="77777777" w:rsidR="006D30D7" w:rsidRPr="00A677A2" w:rsidRDefault="006D30D7" w:rsidP="006D30D7">
      <w:pPr>
        <w:spacing w:line="240" w:lineRule="auto"/>
        <w:rPr>
          <w:sz w:val="28"/>
          <w:szCs w:val="28"/>
        </w:rPr>
      </w:pPr>
    </w:p>
    <w:p w14:paraId="57E3FABC" w14:textId="6C15587C" w:rsidR="006D30D7" w:rsidRPr="00B0063D" w:rsidRDefault="006D30D7" w:rsidP="006D30D7">
      <w:pPr>
        <w:widowControl w:val="0"/>
        <w:spacing w:line="240" w:lineRule="auto"/>
        <w:rPr>
          <w:b/>
          <w:bCs/>
          <w:sz w:val="28"/>
          <w:szCs w:val="28"/>
        </w:rPr>
      </w:pPr>
      <w:r w:rsidRPr="00A677A2">
        <w:rPr>
          <w:sz w:val="28"/>
          <w:szCs w:val="28"/>
        </w:rPr>
        <w:tab/>
      </w:r>
      <w:r w:rsidRPr="00A677A2">
        <w:rPr>
          <w:sz w:val="28"/>
          <w:szCs w:val="28"/>
        </w:rPr>
        <w:tab/>
      </w:r>
      <w:r w:rsidRPr="00A677A2">
        <w:rPr>
          <w:sz w:val="28"/>
          <w:szCs w:val="28"/>
        </w:rPr>
        <w:tab/>
      </w:r>
      <w:r w:rsidRPr="00A677A2">
        <w:rPr>
          <w:sz w:val="28"/>
          <w:szCs w:val="28"/>
        </w:rPr>
        <w:tab/>
      </w:r>
      <w:r w:rsidRPr="00A677A2">
        <w:rPr>
          <w:sz w:val="28"/>
          <w:szCs w:val="28"/>
        </w:rPr>
        <w:tab/>
        <w:t>By</w:t>
      </w:r>
      <w:r w:rsidRPr="00A677A2">
        <w:rPr>
          <w:sz w:val="28"/>
          <w:szCs w:val="28"/>
          <w:u w:val="single"/>
        </w:rPr>
        <w:t xml:space="preserve">  /s/</w:t>
      </w:r>
      <w:r>
        <w:rPr>
          <w:sz w:val="28"/>
          <w:szCs w:val="28"/>
          <w:u w:val="single"/>
        </w:rPr>
        <w:t xml:space="preserve"> </w:t>
      </w:r>
      <w:r w:rsidR="00A349EB">
        <w:rPr>
          <w:sz w:val="28"/>
          <w:szCs w:val="28"/>
          <w:u w:val="single"/>
        </w:rPr>
        <w:t>Katherine Henrichs</w:t>
      </w:r>
    </w:p>
    <w:p w14:paraId="6016F1AF" w14:textId="77777777" w:rsidR="006D30D7" w:rsidRPr="00A677A2" w:rsidRDefault="006D30D7" w:rsidP="006D30D7">
      <w:pPr>
        <w:widowControl w:val="0"/>
        <w:tabs>
          <w:tab w:val="left" w:pos="4114"/>
        </w:tabs>
        <w:spacing w:line="240" w:lineRule="auto"/>
        <w:rPr>
          <w:sz w:val="28"/>
          <w:szCs w:val="28"/>
        </w:rPr>
      </w:pPr>
    </w:p>
    <w:p w14:paraId="6B42BC49" w14:textId="77777777" w:rsidR="006D30D7" w:rsidRPr="00A677A2" w:rsidRDefault="006D30D7" w:rsidP="006D30D7">
      <w:pPr>
        <w:widowControl w:val="0"/>
        <w:tabs>
          <w:tab w:val="left" w:pos="4114"/>
        </w:tabs>
        <w:spacing w:line="240" w:lineRule="auto"/>
        <w:rPr>
          <w:sz w:val="28"/>
          <w:szCs w:val="28"/>
        </w:rPr>
      </w:pPr>
      <w:r w:rsidRPr="00A677A2">
        <w:rPr>
          <w:sz w:val="28"/>
          <w:szCs w:val="28"/>
        </w:rPr>
        <w:tab/>
      </w:r>
    </w:p>
    <w:p w14:paraId="7A3E2411" w14:textId="77777777" w:rsidR="006D30D7" w:rsidRPr="00A677A2" w:rsidRDefault="006D30D7" w:rsidP="006D30D7">
      <w:pPr>
        <w:widowControl w:val="0"/>
        <w:tabs>
          <w:tab w:val="left" w:pos="4114"/>
        </w:tabs>
        <w:spacing w:line="240" w:lineRule="auto"/>
        <w:rPr>
          <w:sz w:val="28"/>
          <w:szCs w:val="28"/>
        </w:rPr>
      </w:pPr>
      <w:r w:rsidRPr="00A677A2">
        <w:rPr>
          <w:sz w:val="28"/>
          <w:szCs w:val="28"/>
        </w:rPr>
        <w:t>Original electronically filed with the</w:t>
      </w:r>
    </w:p>
    <w:p w14:paraId="3CFAA194" w14:textId="77777777" w:rsidR="006D30D7" w:rsidRPr="00A677A2" w:rsidRDefault="006D30D7" w:rsidP="006D30D7">
      <w:pPr>
        <w:widowControl w:val="0"/>
        <w:tabs>
          <w:tab w:val="left" w:pos="4114"/>
        </w:tabs>
        <w:spacing w:line="240" w:lineRule="auto"/>
        <w:rPr>
          <w:sz w:val="28"/>
          <w:szCs w:val="28"/>
        </w:rPr>
      </w:pPr>
      <w:r w:rsidRPr="00A677A2">
        <w:rPr>
          <w:sz w:val="28"/>
          <w:szCs w:val="28"/>
        </w:rPr>
        <w:t>Clerk of the Supreme Court of Arizona</w:t>
      </w:r>
    </w:p>
    <w:p w14:paraId="761578EA" w14:textId="4FC38A68" w:rsidR="006D30D7" w:rsidRPr="00A677A2" w:rsidRDefault="006D30D7" w:rsidP="006D30D7">
      <w:pPr>
        <w:widowControl w:val="0"/>
        <w:tabs>
          <w:tab w:val="left" w:pos="4114"/>
        </w:tabs>
        <w:spacing w:line="240" w:lineRule="auto"/>
        <w:rPr>
          <w:sz w:val="28"/>
          <w:szCs w:val="28"/>
        </w:rPr>
      </w:pPr>
      <w:r w:rsidRPr="00A677A2">
        <w:rPr>
          <w:sz w:val="28"/>
          <w:szCs w:val="28"/>
        </w:rPr>
        <w:t xml:space="preserve">this </w:t>
      </w:r>
      <w:r w:rsidRPr="00A349EB">
        <w:rPr>
          <w:sz w:val="28"/>
          <w:szCs w:val="28"/>
        </w:rPr>
        <w:t>3</w:t>
      </w:r>
      <w:r w:rsidR="00555A42" w:rsidRPr="00A349EB">
        <w:rPr>
          <w:sz w:val="28"/>
          <w:szCs w:val="28"/>
        </w:rPr>
        <w:t>0</w:t>
      </w:r>
      <w:r w:rsidRPr="00A349EB">
        <w:rPr>
          <w:sz w:val="28"/>
          <w:szCs w:val="28"/>
        </w:rPr>
        <w:t>t</w:t>
      </w:r>
      <w:r w:rsidR="006F6C6D" w:rsidRPr="00A349EB">
        <w:rPr>
          <w:sz w:val="28"/>
          <w:szCs w:val="28"/>
        </w:rPr>
        <w:t>h</w:t>
      </w:r>
      <w:r w:rsidRPr="00A349EB">
        <w:rPr>
          <w:sz w:val="28"/>
          <w:szCs w:val="28"/>
        </w:rPr>
        <w:t xml:space="preserve"> day of April 2025</w:t>
      </w:r>
      <w:r w:rsidRPr="00A677A2">
        <w:rPr>
          <w:sz w:val="28"/>
          <w:szCs w:val="28"/>
        </w:rPr>
        <w:t>.</w:t>
      </w:r>
    </w:p>
    <w:p w14:paraId="30CC9428" w14:textId="77777777" w:rsidR="006D30D7" w:rsidRPr="00A677A2" w:rsidRDefault="006D30D7" w:rsidP="006D30D7">
      <w:pPr>
        <w:widowControl w:val="0"/>
        <w:tabs>
          <w:tab w:val="left" w:pos="4114"/>
        </w:tabs>
        <w:spacing w:line="240" w:lineRule="auto"/>
        <w:rPr>
          <w:sz w:val="28"/>
          <w:szCs w:val="28"/>
        </w:rPr>
      </w:pPr>
    </w:p>
    <w:p w14:paraId="335C92C8" w14:textId="4F299813" w:rsidR="006D30D7" w:rsidRPr="00A677A2" w:rsidRDefault="006D30D7" w:rsidP="006D30D7">
      <w:pPr>
        <w:widowControl w:val="0"/>
        <w:tabs>
          <w:tab w:val="left" w:pos="4114"/>
        </w:tabs>
        <w:spacing w:line="240" w:lineRule="auto"/>
        <w:rPr>
          <w:sz w:val="28"/>
          <w:szCs w:val="28"/>
          <w:u w:val="single"/>
        </w:rPr>
      </w:pPr>
      <w:r w:rsidRPr="00A677A2">
        <w:rPr>
          <w:sz w:val="28"/>
          <w:szCs w:val="28"/>
        </w:rPr>
        <w:t xml:space="preserve">By: </w:t>
      </w:r>
      <w:r w:rsidRPr="00A677A2">
        <w:rPr>
          <w:sz w:val="28"/>
          <w:szCs w:val="28"/>
          <w:u w:val="single"/>
        </w:rPr>
        <w:t xml:space="preserve"> /s/</w:t>
      </w:r>
      <w:r w:rsidR="00A349EB">
        <w:rPr>
          <w:sz w:val="28"/>
          <w:szCs w:val="28"/>
          <w:u w:val="single"/>
        </w:rPr>
        <w:t xml:space="preserve"> Katherine Henrichs</w:t>
      </w:r>
    </w:p>
    <w:p w14:paraId="0177CABE" w14:textId="77777777" w:rsidR="006D30D7" w:rsidRDefault="006D30D7" w:rsidP="006D30D7"/>
    <w:bookmarkEnd w:id="1"/>
    <w:bookmarkEnd w:id="4"/>
    <w:p w14:paraId="7346BF36" w14:textId="77777777" w:rsidR="00C077C3" w:rsidRPr="006D30D7" w:rsidRDefault="00C077C3" w:rsidP="006D30D7"/>
    <w:sectPr w:rsidR="00C077C3" w:rsidRPr="006D30D7" w:rsidSect="00FF4F53">
      <w:headerReference w:type="default" r:id="rId9"/>
      <w:footerReference w:type="even" r:id="rId10"/>
      <w:footerReference w:type="default" r:id="rId11"/>
      <w:pgSz w:w="12240" w:h="15840" w:code="1"/>
      <w:pgMar w:top="1440" w:right="720" w:bottom="1080" w:left="216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CA84" w14:textId="77777777" w:rsidR="002476C2" w:rsidRDefault="002476C2" w:rsidP="00B0063D">
      <w:pPr>
        <w:spacing w:line="240" w:lineRule="auto"/>
      </w:pPr>
      <w:r>
        <w:separator/>
      </w:r>
    </w:p>
  </w:endnote>
  <w:endnote w:type="continuationSeparator" w:id="0">
    <w:p w14:paraId="62393561" w14:textId="77777777" w:rsidR="002476C2" w:rsidRDefault="002476C2" w:rsidP="00B00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1FB9" w14:textId="77777777" w:rsidR="00B0063D" w:rsidRDefault="00B0063D">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E87D392" w14:textId="77777777" w:rsidR="00B0063D" w:rsidRDefault="00B0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B926" w14:textId="77777777" w:rsidR="00B0063D" w:rsidRDefault="00B0063D">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31EDBE06" w14:textId="77777777" w:rsidR="00B0063D" w:rsidRDefault="00B0063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14E6" w14:textId="77777777" w:rsidR="002476C2" w:rsidRDefault="002476C2" w:rsidP="00B0063D">
      <w:pPr>
        <w:spacing w:line="240" w:lineRule="auto"/>
      </w:pPr>
      <w:r>
        <w:separator/>
      </w:r>
    </w:p>
  </w:footnote>
  <w:footnote w:type="continuationSeparator" w:id="0">
    <w:p w14:paraId="41EA97F3" w14:textId="77777777" w:rsidR="002476C2" w:rsidRDefault="002476C2" w:rsidP="00B0063D">
      <w:pPr>
        <w:spacing w:line="240" w:lineRule="auto"/>
      </w:pPr>
      <w:r>
        <w:continuationSeparator/>
      </w:r>
    </w:p>
  </w:footnote>
  <w:footnote w:id="1">
    <w:p w14:paraId="6B048531" w14:textId="4CAEBF9D" w:rsidR="00675B2A" w:rsidRDefault="00675B2A" w:rsidP="00675B2A">
      <w:pPr>
        <w:pStyle w:val="FootnoteText"/>
        <w:spacing w:line="240" w:lineRule="auto"/>
      </w:pPr>
      <w:r>
        <w:rPr>
          <w:rStyle w:val="FootnoteReference"/>
        </w:rPr>
        <w:footnoteRef/>
      </w:r>
      <w:r>
        <w:t xml:space="preserve"> 42 U.S.C. </w:t>
      </w:r>
      <w:r w:rsidRPr="00AF7FDB">
        <w:t>§</w:t>
      </w:r>
      <w:r>
        <w:t xml:space="preserve"> 3601, </w:t>
      </w:r>
      <w:r w:rsidRPr="00675B2A">
        <w:rPr>
          <w:i/>
          <w:iCs/>
        </w:rPr>
        <w:t>et seq</w:t>
      </w:r>
      <w:r>
        <w:t>.</w:t>
      </w:r>
    </w:p>
  </w:footnote>
  <w:footnote w:id="2">
    <w:p w14:paraId="6BA98475" w14:textId="6D09F714" w:rsidR="006D30D7" w:rsidRDefault="006D30D7" w:rsidP="00FC03BA">
      <w:pPr>
        <w:pStyle w:val="FootnoteText"/>
        <w:spacing w:line="240" w:lineRule="auto"/>
      </w:pPr>
      <w:r>
        <w:rPr>
          <w:rStyle w:val="FootnoteReference"/>
        </w:rPr>
        <w:footnoteRef/>
      </w:r>
      <w:r>
        <w:t xml:space="preserve"> </w:t>
      </w:r>
      <w:r w:rsidRPr="00B47493">
        <w:rPr>
          <w:i/>
          <w:iCs/>
        </w:rPr>
        <w:t>Se</w:t>
      </w:r>
      <w:r w:rsidR="00DD3A1D">
        <w:rPr>
          <w:i/>
          <w:iCs/>
        </w:rPr>
        <w:t xml:space="preserve">e </w:t>
      </w:r>
      <w:r w:rsidR="00DD3A1D">
        <w:t xml:space="preserve">42 U.S.C. </w:t>
      </w:r>
      <w:r w:rsidR="00DD3A1D" w:rsidRPr="00AF7FDB">
        <w:t>§§</w:t>
      </w:r>
      <w:r w:rsidR="00DD3A1D">
        <w:t xml:space="preserve"> 3601, 3604;</w:t>
      </w:r>
      <w:r w:rsidR="00FC03BA">
        <w:t xml:space="preserve"> A.R.S. </w:t>
      </w:r>
      <w:r w:rsidR="00FC03BA" w:rsidRPr="00AF7FDB">
        <w:t>§</w:t>
      </w:r>
      <w:r w:rsidR="00FC03BA">
        <w:t xml:space="preserve"> 441-1491.19;</w:t>
      </w:r>
      <w:r w:rsidR="00DD3A1D">
        <w:t xml:space="preserve"> </w:t>
      </w:r>
      <w:r w:rsidR="00DD3A1D" w:rsidRPr="00FC03BA">
        <w:rPr>
          <w:i/>
          <w:iCs/>
        </w:rPr>
        <w:t>Pac. Shores Props., LLC v. City of Newport Beach</w:t>
      </w:r>
      <w:r w:rsidR="00DD3A1D">
        <w:t xml:space="preserve">, 730 F.3d 1142, 1156 (9th Cir. 2013) (zoning laws that discriminate against individuals with disabilities violate </w:t>
      </w:r>
      <w:r w:rsidR="00FC03BA">
        <w:t xml:space="preserve">the FHA if they make housing unavailable to disabled people); </w:t>
      </w:r>
      <w:r w:rsidR="00FC03BA" w:rsidRPr="00FF69D3">
        <w:rPr>
          <w:i/>
          <w:iCs/>
        </w:rPr>
        <w:t>City of Tempe v. State</w:t>
      </w:r>
      <w:r w:rsidR="00FC03BA">
        <w:t xml:space="preserve">, 237 Ariz. 360, 365, 351 P.3d 367, 372 (Ct. App. 2015) (applying the Arizona Fair Housing Act to the City of Tempe’s administration of housing vouchers). </w:t>
      </w:r>
    </w:p>
  </w:footnote>
  <w:footnote w:id="3">
    <w:p w14:paraId="66E77613" w14:textId="5C519712" w:rsidR="00FC2D4E" w:rsidRDefault="00FC2D4E" w:rsidP="00E569AF">
      <w:pPr>
        <w:pStyle w:val="FootnoteText"/>
        <w:spacing w:line="240" w:lineRule="auto"/>
      </w:pPr>
      <w:r>
        <w:rPr>
          <w:rStyle w:val="FootnoteReference"/>
        </w:rPr>
        <w:footnoteRef/>
      </w:r>
      <w:r>
        <w:t xml:space="preserve"> </w:t>
      </w:r>
      <w:r w:rsidRPr="00E569AF">
        <w:rPr>
          <w:i/>
          <w:iCs/>
        </w:rPr>
        <w:t>See</w:t>
      </w:r>
      <w:r>
        <w:t xml:space="preserve"> 42 U.S.C. </w:t>
      </w:r>
      <w:r w:rsidRPr="00FC2D4E">
        <w:t>§</w:t>
      </w:r>
      <w:r>
        <w:t xml:space="preserve"> </w:t>
      </w:r>
      <w:r w:rsidR="00AC15B2">
        <w:t xml:space="preserve">3604; A.R.S. </w:t>
      </w:r>
      <w:r w:rsidR="00AC15B2" w:rsidRPr="00AC15B2">
        <w:t>§</w:t>
      </w:r>
      <w:r w:rsidR="00AC15B2">
        <w:t xml:space="preserve"> </w:t>
      </w:r>
      <w:r w:rsidR="00E569AF">
        <w:t>41-1491.19.</w:t>
      </w:r>
    </w:p>
  </w:footnote>
  <w:footnote w:id="4">
    <w:p w14:paraId="3541980F" w14:textId="77777777" w:rsidR="0018698D" w:rsidRDefault="0018698D" w:rsidP="0018698D">
      <w:pPr>
        <w:pStyle w:val="FootnoteText"/>
        <w:spacing w:line="240" w:lineRule="auto"/>
      </w:pPr>
      <w:r>
        <w:rPr>
          <w:rStyle w:val="FootnoteReference"/>
        </w:rPr>
        <w:footnoteRef/>
      </w:r>
      <w:r>
        <w:t xml:space="preserve"> </w:t>
      </w:r>
      <w:r w:rsidRPr="00A5306E">
        <w:t xml:space="preserve">42 U.S.C. § 12102(1).  </w:t>
      </w:r>
    </w:p>
  </w:footnote>
  <w:footnote w:id="5">
    <w:p w14:paraId="3073564F" w14:textId="77777777" w:rsidR="0018698D" w:rsidRDefault="0018698D" w:rsidP="0018698D">
      <w:pPr>
        <w:pStyle w:val="FootnoteText"/>
        <w:spacing w:line="240" w:lineRule="auto"/>
      </w:pPr>
      <w:r>
        <w:rPr>
          <w:rStyle w:val="FootnoteReference"/>
        </w:rPr>
        <w:footnoteRef/>
      </w:r>
      <w:r>
        <w:t xml:space="preserve"> </w:t>
      </w:r>
      <w:r w:rsidRPr="00A5306E">
        <w:t>42 U.S.C. § 12102(2)(A).</w:t>
      </w:r>
    </w:p>
  </w:footnote>
  <w:footnote w:id="6">
    <w:p w14:paraId="53C2ECE4" w14:textId="77777777" w:rsidR="0018698D" w:rsidRDefault="0018698D" w:rsidP="0018698D">
      <w:pPr>
        <w:pStyle w:val="FootnoteText"/>
        <w:spacing w:line="240" w:lineRule="auto"/>
      </w:pPr>
      <w:r>
        <w:rPr>
          <w:rStyle w:val="FootnoteReference"/>
        </w:rPr>
        <w:footnoteRef/>
      </w:r>
      <w:r>
        <w:t xml:space="preserve"> </w:t>
      </w:r>
      <w:r w:rsidRPr="00961DB7">
        <w:t>42 U.S.C. § 12102(2)(a).</w:t>
      </w:r>
    </w:p>
  </w:footnote>
  <w:footnote w:id="7">
    <w:p w14:paraId="7806B8A6" w14:textId="77777777" w:rsidR="0018698D" w:rsidRDefault="0018698D" w:rsidP="0018698D">
      <w:pPr>
        <w:pStyle w:val="FootnoteText"/>
        <w:spacing w:line="240" w:lineRule="auto"/>
      </w:pPr>
      <w:r>
        <w:rPr>
          <w:rStyle w:val="FootnoteReference"/>
        </w:rPr>
        <w:footnoteRef/>
      </w:r>
      <w:r>
        <w:t xml:space="preserve"> See Introduction to the Americans with Disabilities Act, ADA.gov, available at </w:t>
      </w:r>
      <w:r w:rsidRPr="00082D10">
        <w:t>https://www.ada.gov/topics/intro-to-ada/</w:t>
      </w:r>
      <w:r>
        <w:t xml:space="preserve"> (last accessed April 29, 2025).</w:t>
      </w:r>
    </w:p>
  </w:footnote>
  <w:footnote w:id="8">
    <w:p w14:paraId="34E69FA2" w14:textId="77777777" w:rsidR="0018698D" w:rsidRDefault="0018698D" w:rsidP="0018698D">
      <w:pPr>
        <w:pStyle w:val="FootnoteText"/>
        <w:spacing w:line="240" w:lineRule="auto"/>
      </w:pPr>
      <w:r>
        <w:rPr>
          <w:rStyle w:val="FootnoteReference"/>
        </w:rPr>
        <w:footnoteRef/>
      </w:r>
      <w:r>
        <w:t xml:space="preserve"> </w:t>
      </w:r>
      <w:r w:rsidRPr="00961DB7">
        <w:t>42 U.S.C. § 12102(4)(A).</w:t>
      </w:r>
    </w:p>
  </w:footnote>
  <w:footnote w:id="9">
    <w:p w14:paraId="0E86CFEA" w14:textId="77777777" w:rsidR="0018698D" w:rsidRDefault="0018698D" w:rsidP="0018698D">
      <w:pPr>
        <w:pStyle w:val="FootnoteText"/>
        <w:spacing w:line="240" w:lineRule="auto"/>
      </w:pPr>
      <w:r>
        <w:rPr>
          <w:rStyle w:val="FootnoteReference"/>
        </w:rPr>
        <w:footnoteRef/>
      </w:r>
      <w:r>
        <w:t xml:space="preserve"> </w:t>
      </w:r>
      <w:r w:rsidRPr="00961DB7">
        <w:t>42 U.S.C. § 12102(4)(D).</w:t>
      </w:r>
    </w:p>
  </w:footnote>
  <w:footnote w:id="10">
    <w:p w14:paraId="64E2F11D" w14:textId="77777777" w:rsidR="0018698D" w:rsidRDefault="0018698D" w:rsidP="0018698D">
      <w:pPr>
        <w:pStyle w:val="FootnoteText"/>
        <w:spacing w:line="240" w:lineRule="auto"/>
      </w:pPr>
      <w:r>
        <w:rPr>
          <w:rStyle w:val="FootnoteReference"/>
        </w:rPr>
        <w:footnoteRef/>
      </w:r>
      <w:r>
        <w:t xml:space="preserve"> </w:t>
      </w:r>
      <w:r w:rsidRPr="00E53499">
        <w:t>42 U.S.C. § 12102(4)(E)(</w:t>
      </w:r>
      <w:proofErr w:type="spellStart"/>
      <w:r w:rsidRPr="00E53499">
        <w:t>i</w:t>
      </w:r>
      <w:proofErr w:type="spellEnd"/>
      <w:r w:rsidRPr="00E53499">
        <w:t>).</w:t>
      </w:r>
    </w:p>
  </w:footnote>
  <w:footnote w:id="11">
    <w:p w14:paraId="4D8CE0F7" w14:textId="0D8B8AA2" w:rsidR="00BD65CF" w:rsidRDefault="00BD65CF" w:rsidP="00BD65CF">
      <w:pPr>
        <w:pStyle w:val="FootnoteText"/>
        <w:spacing w:line="240" w:lineRule="auto"/>
      </w:pPr>
      <w:r>
        <w:rPr>
          <w:rStyle w:val="FootnoteReference"/>
        </w:rPr>
        <w:footnoteRef/>
      </w:r>
      <w:r>
        <w:t xml:space="preserve"> </w:t>
      </w:r>
      <w:r w:rsidRPr="00BD65CF">
        <w:rPr>
          <w:i/>
          <w:iCs/>
        </w:rPr>
        <w:t>See</w:t>
      </w:r>
      <w:r>
        <w:t xml:space="preserve"> Fair Housing Center for Rights &amp; Research, Fair Housing Isn’t Just a Need—It’s a Mandate, available at </w:t>
      </w:r>
      <w:r w:rsidRPr="00BD65CF">
        <w:t>https://thehousingcenter.org/accessible-housing-isnt-just-a-need-its-a-mandate/#:~:text=In%20the%20U.S.%2C%20there%20is%20a%20significant%20need,5%25%20of%20the%20national%20housing%20supply%20is%20accessible</w:t>
      </w:r>
      <w:r>
        <w:t xml:space="preserve"> (last accessed April 30, 2025) (“In the U.S., there is a significant need for accessible housing, and a concerning lack of units available. Despite the fact that 8.2% of Americans and 28.6% of seniors have a physical disability, less than 5% of the national housing supply is accessible. Moreover, less than 1% of housing is wheelchair accessible. Studies show that 6.8 million households experience accessibility challenges in their homes. The U.S. is approximately 3 million to 6 million houses short of what is needed in terms of accessible housing.”)</w:t>
      </w:r>
    </w:p>
  </w:footnote>
  <w:footnote w:id="12">
    <w:p w14:paraId="619426D7" w14:textId="714EB672" w:rsidR="00A349EB" w:rsidRDefault="00A349EB" w:rsidP="00A349EB">
      <w:pPr>
        <w:pStyle w:val="FootnoteText"/>
        <w:spacing w:line="240" w:lineRule="auto"/>
      </w:pPr>
      <w:r>
        <w:rPr>
          <w:rStyle w:val="FootnoteReference"/>
        </w:rPr>
        <w:footnoteRef/>
      </w:r>
      <w:r>
        <w:t xml:space="preserve"> </w:t>
      </w:r>
      <w:r w:rsidRPr="003E2AEF">
        <w:rPr>
          <w:i/>
          <w:iCs/>
        </w:rPr>
        <w:t>See</w:t>
      </w:r>
      <w:r>
        <w:t xml:space="preserve"> Office of Policy Development and Research (PD&amp;R), Rental Housing Discrimination on the Basis of Mental Disabilities: Results of Pilot Testing, available at </w:t>
      </w:r>
      <w:r w:rsidRPr="00A349EB">
        <w:t>https://www.huduser.gov/portal/publications/MentalDisabilities-FinalPaper.html</w:t>
      </w:r>
      <w:r>
        <w:t xml:space="preserve"> (last accessed April 30, 2025) (Findings include (1) people with mental illness (MI) or intellectual and developmental disabilities (I/DD) were less likely to receive responses to inquiries about rental housing and less likely to be invited to inspect available units; (2) people with MI or I/DD were more likely to be encouraged to look at a different unit than the one advertised; and (3) a significant proportion of people with MI or I/DD received negative responses to requests for reasonable accommodations in their rental housing.)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EDFA" w14:textId="0E63158E" w:rsidR="00B0063D" w:rsidRDefault="00B0063D">
    <w:pPr>
      <w:pStyle w:val="Header"/>
    </w:pPr>
    <w:r>
      <w:rPr>
        <w:noProof/>
        <w:sz w:val="20"/>
      </w:rPr>
      <mc:AlternateContent>
        <mc:Choice Requires="wps">
          <w:drawing>
            <wp:anchor distT="0" distB="0" distL="114300" distR="114300" simplePos="0" relativeHeight="251667456" behindDoc="1" locked="1" layoutInCell="1" allowOverlap="1" wp14:anchorId="6CBB3728" wp14:editId="104DA942">
              <wp:simplePos x="0" y="0"/>
              <wp:positionH relativeFrom="margin">
                <wp:posOffset>-410845</wp:posOffset>
              </wp:positionH>
              <wp:positionV relativeFrom="page">
                <wp:posOffset>914400</wp:posOffset>
              </wp:positionV>
              <wp:extent cx="228600" cy="8686800"/>
              <wp:effectExtent l="0" t="0" r="1270" b="0"/>
              <wp:wrapThrough wrapText="bothSides">
                <wp:wrapPolygon edited="0">
                  <wp:start x="-900" y="0"/>
                  <wp:lineTo x="-900" y="21576"/>
                  <wp:lineTo x="21600" y="21576"/>
                  <wp:lineTo x="21600" y="0"/>
                  <wp:lineTo x="-900" y="0"/>
                </wp:wrapPolygon>
              </wp:wrapThrough>
              <wp:docPr id="1054679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F744F" w14:textId="77777777" w:rsidR="00B0063D" w:rsidRDefault="00B0063D" w:rsidP="00555A42">
                          <w:pPr>
                            <w:spacing w:line="480" w:lineRule="exact"/>
                            <w:jc w:val="right"/>
                          </w:pPr>
                          <w:r>
                            <w:t>1</w:t>
                          </w:r>
                        </w:p>
                        <w:p w14:paraId="66CDF7D4" w14:textId="77777777" w:rsidR="00B0063D" w:rsidRDefault="00B0063D" w:rsidP="00555A42">
                          <w:pPr>
                            <w:spacing w:line="480" w:lineRule="exact"/>
                            <w:jc w:val="right"/>
                          </w:pPr>
                          <w:r>
                            <w:t>2</w:t>
                          </w:r>
                        </w:p>
                        <w:p w14:paraId="06A9670C" w14:textId="77777777" w:rsidR="00B0063D" w:rsidRDefault="00B0063D" w:rsidP="00555A42">
                          <w:pPr>
                            <w:spacing w:line="480" w:lineRule="exact"/>
                            <w:jc w:val="right"/>
                          </w:pPr>
                          <w:r>
                            <w:t>3</w:t>
                          </w:r>
                        </w:p>
                        <w:p w14:paraId="2BE2E178" w14:textId="77777777" w:rsidR="00B0063D" w:rsidRDefault="00B0063D" w:rsidP="00555A42">
                          <w:pPr>
                            <w:spacing w:line="480" w:lineRule="exact"/>
                            <w:jc w:val="right"/>
                          </w:pPr>
                          <w:r>
                            <w:t>4</w:t>
                          </w:r>
                        </w:p>
                        <w:p w14:paraId="39F09595" w14:textId="77777777" w:rsidR="00B0063D" w:rsidRDefault="00B0063D" w:rsidP="00555A42">
                          <w:pPr>
                            <w:spacing w:line="480" w:lineRule="exact"/>
                            <w:jc w:val="right"/>
                          </w:pPr>
                          <w:r>
                            <w:t>5</w:t>
                          </w:r>
                        </w:p>
                        <w:p w14:paraId="5DA73890" w14:textId="77777777" w:rsidR="00B0063D" w:rsidRDefault="00B0063D" w:rsidP="00555A42">
                          <w:pPr>
                            <w:spacing w:line="480" w:lineRule="exact"/>
                            <w:jc w:val="right"/>
                          </w:pPr>
                          <w:r>
                            <w:t>6</w:t>
                          </w:r>
                        </w:p>
                        <w:p w14:paraId="7331D86E" w14:textId="77777777" w:rsidR="00B0063D" w:rsidRDefault="00B0063D" w:rsidP="00555A42">
                          <w:pPr>
                            <w:spacing w:line="480" w:lineRule="exact"/>
                            <w:jc w:val="right"/>
                          </w:pPr>
                          <w:r>
                            <w:t>7</w:t>
                          </w:r>
                        </w:p>
                        <w:p w14:paraId="5A48F848" w14:textId="77777777" w:rsidR="00B0063D" w:rsidRDefault="00B0063D" w:rsidP="00555A42">
                          <w:pPr>
                            <w:spacing w:line="480" w:lineRule="exact"/>
                            <w:jc w:val="right"/>
                          </w:pPr>
                          <w:r>
                            <w:t>8</w:t>
                          </w:r>
                        </w:p>
                        <w:p w14:paraId="3C69D9F8" w14:textId="77777777" w:rsidR="00B0063D" w:rsidRDefault="00B0063D" w:rsidP="00555A42">
                          <w:pPr>
                            <w:spacing w:line="480" w:lineRule="exact"/>
                            <w:jc w:val="right"/>
                          </w:pPr>
                          <w:r>
                            <w:t>9</w:t>
                          </w:r>
                        </w:p>
                        <w:p w14:paraId="43DBC394" w14:textId="77777777" w:rsidR="00B0063D" w:rsidRDefault="00B0063D" w:rsidP="00555A42">
                          <w:pPr>
                            <w:spacing w:line="480" w:lineRule="exact"/>
                            <w:jc w:val="right"/>
                          </w:pPr>
                          <w:r>
                            <w:t>10</w:t>
                          </w:r>
                        </w:p>
                        <w:p w14:paraId="60EADF5A" w14:textId="77777777" w:rsidR="00B0063D" w:rsidRDefault="00B0063D" w:rsidP="00555A42">
                          <w:pPr>
                            <w:spacing w:line="480" w:lineRule="exact"/>
                            <w:jc w:val="right"/>
                          </w:pPr>
                          <w:r>
                            <w:t>11</w:t>
                          </w:r>
                        </w:p>
                        <w:p w14:paraId="2D8770B0" w14:textId="77777777" w:rsidR="00B0063D" w:rsidRDefault="00B0063D" w:rsidP="00555A42">
                          <w:pPr>
                            <w:spacing w:line="480" w:lineRule="exact"/>
                            <w:jc w:val="right"/>
                          </w:pPr>
                          <w:r>
                            <w:t>12</w:t>
                          </w:r>
                        </w:p>
                        <w:p w14:paraId="3FFAE67B" w14:textId="77777777" w:rsidR="00B0063D" w:rsidRDefault="00B0063D" w:rsidP="00555A42">
                          <w:pPr>
                            <w:spacing w:line="480" w:lineRule="exact"/>
                            <w:jc w:val="right"/>
                          </w:pPr>
                          <w:r>
                            <w:t>13</w:t>
                          </w:r>
                        </w:p>
                        <w:p w14:paraId="1768CEA8" w14:textId="77777777" w:rsidR="00B0063D" w:rsidRDefault="00B0063D" w:rsidP="00555A42">
                          <w:pPr>
                            <w:spacing w:line="480" w:lineRule="exact"/>
                            <w:jc w:val="right"/>
                          </w:pPr>
                          <w:r>
                            <w:t>14</w:t>
                          </w:r>
                        </w:p>
                        <w:p w14:paraId="2ACCD1EF" w14:textId="77777777" w:rsidR="00B0063D" w:rsidRDefault="00B0063D" w:rsidP="00555A42">
                          <w:pPr>
                            <w:spacing w:line="480" w:lineRule="exact"/>
                            <w:jc w:val="right"/>
                          </w:pPr>
                          <w:r>
                            <w:t>15</w:t>
                          </w:r>
                        </w:p>
                        <w:p w14:paraId="0E9E7B92" w14:textId="77777777" w:rsidR="00B0063D" w:rsidRDefault="00B0063D" w:rsidP="00555A42">
                          <w:pPr>
                            <w:spacing w:line="480" w:lineRule="exact"/>
                            <w:jc w:val="right"/>
                          </w:pPr>
                          <w:r>
                            <w:t>16</w:t>
                          </w:r>
                        </w:p>
                        <w:p w14:paraId="70F736ED" w14:textId="77777777" w:rsidR="00B0063D" w:rsidRDefault="00B0063D" w:rsidP="00555A42">
                          <w:pPr>
                            <w:spacing w:line="480" w:lineRule="exact"/>
                            <w:jc w:val="right"/>
                          </w:pPr>
                          <w:r>
                            <w:t>17</w:t>
                          </w:r>
                        </w:p>
                        <w:p w14:paraId="5703065A" w14:textId="77777777" w:rsidR="00B0063D" w:rsidRDefault="00B0063D" w:rsidP="00555A42">
                          <w:pPr>
                            <w:spacing w:line="480" w:lineRule="exact"/>
                            <w:jc w:val="right"/>
                          </w:pPr>
                          <w:r>
                            <w:t>18</w:t>
                          </w:r>
                        </w:p>
                        <w:p w14:paraId="2A178609" w14:textId="77777777" w:rsidR="00B0063D" w:rsidRDefault="00B0063D" w:rsidP="00555A42">
                          <w:pPr>
                            <w:spacing w:line="480" w:lineRule="exact"/>
                            <w:jc w:val="right"/>
                          </w:pPr>
                          <w:r>
                            <w:t>19</w:t>
                          </w:r>
                        </w:p>
                        <w:p w14:paraId="637DCADA" w14:textId="77777777" w:rsidR="00B0063D" w:rsidRDefault="00B0063D" w:rsidP="00555A42">
                          <w:pPr>
                            <w:spacing w:line="480" w:lineRule="exact"/>
                            <w:jc w:val="right"/>
                          </w:pPr>
                          <w:r>
                            <w:t>20</w:t>
                          </w:r>
                        </w:p>
                        <w:p w14:paraId="6BDC0740" w14:textId="77777777" w:rsidR="00B0063D" w:rsidRDefault="00B0063D" w:rsidP="00555A42">
                          <w:pPr>
                            <w:spacing w:line="480" w:lineRule="exact"/>
                            <w:jc w:val="right"/>
                          </w:pPr>
                          <w:r>
                            <w:t>21</w:t>
                          </w:r>
                        </w:p>
                        <w:p w14:paraId="730F1E54" w14:textId="77777777" w:rsidR="00B0063D" w:rsidRDefault="00B0063D" w:rsidP="00555A42">
                          <w:pPr>
                            <w:spacing w:line="480" w:lineRule="exact"/>
                            <w:jc w:val="right"/>
                          </w:pPr>
                          <w:r>
                            <w:t>22</w:t>
                          </w:r>
                        </w:p>
                        <w:p w14:paraId="260B74ED" w14:textId="77777777" w:rsidR="00B0063D" w:rsidRDefault="00B0063D" w:rsidP="00555A42">
                          <w:pPr>
                            <w:spacing w:line="480" w:lineRule="exact"/>
                            <w:jc w:val="right"/>
                          </w:pPr>
                          <w:r>
                            <w:t>23</w:t>
                          </w:r>
                        </w:p>
                        <w:p w14:paraId="20917E0B" w14:textId="77777777" w:rsidR="00B0063D" w:rsidRDefault="00B0063D" w:rsidP="00555A42">
                          <w:pPr>
                            <w:spacing w:line="480" w:lineRule="exact"/>
                            <w:jc w:val="right"/>
                          </w:pPr>
                          <w:r>
                            <w:t>24</w:t>
                          </w:r>
                        </w:p>
                        <w:p w14:paraId="089D2C97" w14:textId="77777777" w:rsidR="00B0063D" w:rsidRDefault="00B0063D" w:rsidP="00555A42">
                          <w:pPr>
                            <w:spacing w:line="480" w:lineRule="exact"/>
                            <w:jc w:val="right"/>
                          </w:pPr>
                          <w:r>
                            <w:t>25</w:t>
                          </w:r>
                        </w:p>
                        <w:p w14:paraId="10C44000" w14:textId="77777777" w:rsidR="00B0063D" w:rsidRDefault="00B0063D" w:rsidP="00555A42">
                          <w:pPr>
                            <w:spacing w:line="480" w:lineRule="exact"/>
                            <w:jc w:val="right"/>
                          </w:pPr>
                          <w:r>
                            <w:t>26</w:t>
                          </w:r>
                        </w:p>
                        <w:p w14:paraId="53D7FABE" w14:textId="77777777" w:rsidR="00B0063D" w:rsidRDefault="00B0063D" w:rsidP="00555A42">
                          <w:pPr>
                            <w:spacing w:line="480" w:lineRule="exact"/>
                            <w:jc w:val="right"/>
                          </w:pPr>
                          <w:r>
                            <w:t>27</w:t>
                          </w:r>
                        </w:p>
                        <w:p w14:paraId="1FBB3473" w14:textId="77777777" w:rsidR="00B0063D" w:rsidRDefault="00B0063D" w:rsidP="00555A42">
                          <w:pPr>
                            <w:spacing w:line="480" w:lineRule="exact"/>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B3728" id="_x0000_t202" coordsize="21600,21600" o:spt="202" path="m,l,21600r21600,l21600,xe">
              <v:stroke joinstyle="miter"/>
              <v:path gradientshapeok="t" o:connecttype="rect"/>
            </v:shapetype>
            <v:shape id="Text Box 9" o:spid="_x0000_s1026" type="#_x0000_t202" style="position:absolute;margin-left:-32.35pt;margin-top:1in;width:18pt;height:68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" stroked="f">
              <v:textbox inset="0,0,0,0">
                <w:txbxContent>
                  <w:p w14:paraId="786F744F" w14:textId="77777777" w:rsidR="00B0063D" w:rsidRDefault="00B0063D" w:rsidP="00555A42">
                    <w:pPr>
                      <w:spacing w:line="480" w:lineRule="exact"/>
                      <w:jc w:val="right"/>
                    </w:pPr>
                    <w:r>
                      <w:t>1</w:t>
                    </w:r>
                  </w:p>
                  <w:p w14:paraId="66CDF7D4" w14:textId="77777777" w:rsidR="00B0063D" w:rsidRDefault="00B0063D" w:rsidP="00555A42">
                    <w:pPr>
                      <w:spacing w:line="480" w:lineRule="exact"/>
                      <w:jc w:val="right"/>
                    </w:pPr>
                    <w:r>
                      <w:t>2</w:t>
                    </w:r>
                  </w:p>
                  <w:p w14:paraId="06A9670C" w14:textId="77777777" w:rsidR="00B0063D" w:rsidRDefault="00B0063D" w:rsidP="00555A42">
                    <w:pPr>
                      <w:spacing w:line="480" w:lineRule="exact"/>
                      <w:jc w:val="right"/>
                    </w:pPr>
                    <w:r>
                      <w:t>3</w:t>
                    </w:r>
                  </w:p>
                  <w:p w14:paraId="2BE2E178" w14:textId="77777777" w:rsidR="00B0063D" w:rsidRDefault="00B0063D" w:rsidP="00555A42">
                    <w:pPr>
                      <w:spacing w:line="480" w:lineRule="exact"/>
                      <w:jc w:val="right"/>
                    </w:pPr>
                    <w:r>
                      <w:t>4</w:t>
                    </w:r>
                  </w:p>
                  <w:p w14:paraId="39F09595" w14:textId="77777777" w:rsidR="00B0063D" w:rsidRDefault="00B0063D" w:rsidP="00555A42">
                    <w:pPr>
                      <w:spacing w:line="480" w:lineRule="exact"/>
                      <w:jc w:val="right"/>
                    </w:pPr>
                    <w:r>
                      <w:t>5</w:t>
                    </w:r>
                  </w:p>
                  <w:p w14:paraId="5DA73890" w14:textId="77777777" w:rsidR="00B0063D" w:rsidRDefault="00B0063D" w:rsidP="00555A42">
                    <w:pPr>
                      <w:spacing w:line="480" w:lineRule="exact"/>
                      <w:jc w:val="right"/>
                    </w:pPr>
                    <w:r>
                      <w:t>6</w:t>
                    </w:r>
                  </w:p>
                  <w:p w14:paraId="7331D86E" w14:textId="77777777" w:rsidR="00B0063D" w:rsidRDefault="00B0063D" w:rsidP="00555A42">
                    <w:pPr>
                      <w:spacing w:line="480" w:lineRule="exact"/>
                      <w:jc w:val="right"/>
                    </w:pPr>
                    <w:r>
                      <w:t>7</w:t>
                    </w:r>
                  </w:p>
                  <w:p w14:paraId="5A48F848" w14:textId="77777777" w:rsidR="00B0063D" w:rsidRDefault="00B0063D" w:rsidP="00555A42">
                    <w:pPr>
                      <w:spacing w:line="480" w:lineRule="exact"/>
                      <w:jc w:val="right"/>
                    </w:pPr>
                    <w:r>
                      <w:t>8</w:t>
                    </w:r>
                  </w:p>
                  <w:p w14:paraId="3C69D9F8" w14:textId="77777777" w:rsidR="00B0063D" w:rsidRDefault="00B0063D" w:rsidP="00555A42">
                    <w:pPr>
                      <w:spacing w:line="480" w:lineRule="exact"/>
                      <w:jc w:val="right"/>
                    </w:pPr>
                    <w:r>
                      <w:t>9</w:t>
                    </w:r>
                  </w:p>
                  <w:p w14:paraId="43DBC394" w14:textId="77777777" w:rsidR="00B0063D" w:rsidRDefault="00B0063D" w:rsidP="00555A42">
                    <w:pPr>
                      <w:spacing w:line="480" w:lineRule="exact"/>
                      <w:jc w:val="right"/>
                    </w:pPr>
                    <w:r>
                      <w:t>10</w:t>
                    </w:r>
                  </w:p>
                  <w:p w14:paraId="60EADF5A" w14:textId="77777777" w:rsidR="00B0063D" w:rsidRDefault="00B0063D" w:rsidP="00555A42">
                    <w:pPr>
                      <w:spacing w:line="480" w:lineRule="exact"/>
                      <w:jc w:val="right"/>
                    </w:pPr>
                    <w:r>
                      <w:t>11</w:t>
                    </w:r>
                  </w:p>
                  <w:p w14:paraId="2D8770B0" w14:textId="77777777" w:rsidR="00B0063D" w:rsidRDefault="00B0063D" w:rsidP="00555A42">
                    <w:pPr>
                      <w:spacing w:line="480" w:lineRule="exact"/>
                      <w:jc w:val="right"/>
                    </w:pPr>
                    <w:r>
                      <w:t>12</w:t>
                    </w:r>
                  </w:p>
                  <w:p w14:paraId="3FFAE67B" w14:textId="77777777" w:rsidR="00B0063D" w:rsidRDefault="00B0063D" w:rsidP="00555A42">
                    <w:pPr>
                      <w:spacing w:line="480" w:lineRule="exact"/>
                      <w:jc w:val="right"/>
                    </w:pPr>
                    <w:r>
                      <w:t>13</w:t>
                    </w:r>
                  </w:p>
                  <w:p w14:paraId="1768CEA8" w14:textId="77777777" w:rsidR="00B0063D" w:rsidRDefault="00B0063D" w:rsidP="00555A42">
                    <w:pPr>
                      <w:spacing w:line="480" w:lineRule="exact"/>
                      <w:jc w:val="right"/>
                    </w:pPr>
                    <w:r>
                      <w:t>14</w:t>
                    </w:r>
                  </w:p>
                  <w:p w14:paraId="2ACCD1EF" w14:textId="77777777" w:rsidR="00B0063D" w:rsidRDefault="00B0063D" w:rsidP="00555A42">
                    <w:pPr>
                      <w:spacing w:line="480" w:lineRule="exact"/>
                      <w:jc w:val="right"/>
                    </w:pPr>
                    <w:r>
                      <w:t>15</w:t>
                    </w:r>
                  </w:p>
                  <w:p w14:paraId="0E9E7B92" w14:textId="77777777" w:rsidR="00B0063D" w:rsidRDefault="00B0063D" w:rsidP="00555A42">
                    <w:pPr>
                      <w:spacing w:line="480" w:lineRule="exact"/>
                      <w:jc w:val="right"/>
                    </w:pPr>
                    <w:r>
                      <w:t>16</w:t>
                    </w:r>
                  </w:p>
                  <w:p w14:paraId="70F736ED" w14:textId="77777777" w:rsidR="00B0063D" w:rsidRDefault="00B0063D" w:rsidP="00555A42">
                    <w:pPr>
                      <w:spacing w:line="480" w:lineRule="exact"/>
                      <w:jc w:val="right"/>
                    </w:pPr>
                    <w:r>
                      <w:t>17</w:t>
                    </w:r>
                  </w:p>
                  <w:p w14:paraId="5703065A" w14:textId="77777777" w:rsidR="00B0063D" w:rsidRDefault="00B0063D" w:rsidP="00555A42">
                    <w:pPr>
                      <w:spacing w:line="480" w:lineRule="exact"/>
                      <w:jc w:val="right"/>
                    </w:pPr>
                    <w:r>
                      <w:t>18</w:t>
                    </w:r>
                  </w:p>
                  <w:p w14:paraId="2A178609" w14:textId="77777777" w:rsidR="00B0063D" w:rsidRDefault="00B0063D" w:rsidP="00555A42">
                    <w:pPr>
                      <w:spacing w:line="480" w:lineRule="exact"/>
                      <w:jc w:val="right"/>
                    </w:pPr>
                    <w:r>
                      <w:t>19</w:t>
                    </w:r>
                  </w:p>
                  <w:p w14:paraId="637DCADA" w14:textId="77777777" w:rsidR="00B0063D" w:rsidRDefault="00B0063D" w:rsidP="00555A42">
                    <w:pPr>
                      <w:spacing w:line="480" w:lineRule="exact"/>
                      <w:jc w:val="right"/>
                    </w:pPr>
                    <w:r>
                      <w:t>20</w:t>
                    </w:r>
                  </w:p>
                  <w:p w14:paraId="6BDC0740" w14:textId="77777777" w:rsidR="00B0063D" w:rsidRDefault="00B0063D" w:rsidP="00555A42">
                    <w:pPr>
                      <w:spacing w:line="480" w:lineRule="exact"/>
                      <w:jc w:val="right"/>
                    </w:pPr>
                    <w:r>
                      <w:t>21</w:t>
                    </w:r>
                  </w:p>
                  <w:p w14:paraId="730F1E54" w14:textId="77777777" w:rsidR="00B0063D" w:rsidRDefault="00B0063D" w:rsidP="00555A42">
                    <w:pPr>
                      <w:spacing w:line="480" w:lineRule="exact"/>
                      <w:jc w:val="right"/>
                    </w:pPr>
                    <w:r>
                      <w:t>22</w:t>
                    </w:r>
                  </w:p>
                  <w:p w14:paraId="260B74ED" w14:textId="77777777" w:rsidR="00B0063D" w:rsidRDefault="00B0063D" w:rsidP="00555A42">
                    <w:pPr>
                      <w:spacing w:line="480" w:lineRule="exact"/>
                      <w:jc w:val="right"/>
                    </w:pPr>
                    <w:r>
                      <w:t>23</w:t>
                    </w:r>
                  </w:p>
                  <w:p w14:paraId="20917E0B" w14:textId="77777777" w:rsidR="00B0063D" w:rsidRDefault="00B0063D" w:rsidP="00555A42">
                    <w:pPr>
                      <w:spacing w:line="480" w:lineRule="exact"/>
                      <w:jc w:val="right"/>
                    </w:pPr>
                    <w:r>
                      <w:t>24</w:t>
                    </w:r>
                  </w:p>
                  <w:p w14:paraId="089D2C97" w14:textId="77777777" w:rsidR="00B0063D" w:rsidRDefault="00B0063D" w:rsidP="00555A42">
                    <w:pPr>
                      <w:spacing w:line="480" w:lineRule="exact"/>
                      <w:jc w:val="right"/>
                    </w:pPr>
                    <w:r>
                      <w:t>25</w:t>
                    </w:r>
                  </w:p>
                  <w:p w14:paraId="10C44000" w14:textId="77777777" w:rsidR="00B0063D" w:rsidRDefault="00B0063D" w:rsidP="00555A42">
                    <w:pPr>
                      <w:spacing w:line="480" w:lineRule="exact"/>
                      <w:jc w:val="right"/>
                    </w:pPr>
                    <w:r>
                      <w:t>26</w:t>
                    </w:r>
                  </w:p>
                  <w:p w14:paraId="53D7FABE" w14:textId="77777777" w:rsidR="00B0063D" w:rsidRDefault="00B0063D" w:rsidP="00555A42">
                    <w:pPr>
                      <w:spacing w:line="480" w:lineRule="exact"/>
                      <w:jc w:val="right"/>
                    </w:pPr>
                    <w:r>
                      <w:t>27</w:t>
                    </w:r>
                  </w:p>
                  <w:p w14:paraId="1FBB3473" w14:textId="77777777" w:rsidR="00B0063D" w:rsidRDefault="00B0063D" w:rsidP="00555A42">
                    <w:pPr>
                      <w:spacing w:line="480" w:lineRule="exact"/>
                      <w:jc w:val="right"/>
                    </w:pPr>
                    <w:r>
                      <w:t>28</w:t>
                    </w:r>
                  </w:p>
                </w:txbxContent>
              </v:textbox>
              <w10:wrap type="through" anchorx="margin" anchory="page"/>
              <w10:anchorlock/>
            </v:shape>
          </w:pict>
        </mc:Fallback>
      </mc:AlternateContent>
    </w:r>
    <w:r>
      <w:rPr>
        <w:noProof/>
        <w:sz w:val="20"/>
      </w:rPr>
      <mc:AlternateContent>
        <mc:Choice Requires="wps">
          <w:drawing>
            <wp:anchor distT="0" distB="0" distL="114300" distR="114300" simplePos="0" relativeHeight="251666432" behindDoc="0" locked="0" layoutInCell="1" allowOverlap="1" wp14:anchorId="653FDC36" wp14:editId="2C873CDB">
              <wp:simplePos x="0" y="0"/>
              <wp:positionH relativeFrom="page">
                <wp:posOffset>7406640</wp:posOffset>
              </wp:positionH>
              <wp:positionV relativeFrom="page">
                <wp:posOffset>0</wp:posOffset>
              </wp:positionV>
              <wp:extent cx="0" cy="10160000"/>
              <wp:effectExtent l="5715" t="9525" r="13335" b="12700"/>
              <wp:wrapNone/>
              <wp:docPr id="75991729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4C0ED"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0" to="583.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">
              <w10:wrap anchorx="page" anchory="page"/>
            </v:line>
          </w:pict>
        </mc:Fallback>
      </mc:AlternateContent>
    </w:r>
    <w:r>
      <w:rPr>
        <w:noProof/>
        <w:sz w:val="20"/>
      </w:rPr>
      <mc:AlternateContent>
        <mc:Choice Requires="wps">
          <w:drawing>
            <wp:anchor distT="0" distB="0" distL="114300" distR="114300" simplePos="0" relativeHeight="251665408" behindDoc="0" locked="0" layoutInCell="1" allowOverlap="1" wp14:anchorId="5DEFE5FF" wp14:editId="18E5894C">
              <wp:simplePos x="0" y="0"/>
              <wp:positionH relativeFrom="margin">
                <wp:posOffset>-91440</wp:posOffset>
              </wp:positionH>
              <wp:positionV relativeFrom="page">
                <wp:posOffset>0</wp:posOffset>
              </wp:positionV>
              <wp:extent cx="0" cy="10160000"/>
              <wp:effectExtent l="22860" t="19050" r="24765" b="22225"/>
              <wp:wrapNone/>
              <wp:docPr id="140354146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72FF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" strokeweight="3pt">
              <v:stroke linestyle="thinThin"/>
              <w10:wrap anchorx="margin" anchory="page"/>
            </v:line>
          </w:pict>
        </mc:Fallback>
      </mc:AlternateContent>
    </w:r>
    <w:r>
      <w:rPr>
        <w:noProof/>
        <w:sz w:val="20"/>
      </w:rPr>
      <mc:AlternateContent>
        <mc:Choice Requires="wps">
          <w:drawing>
            <wp:anchor distT="0" distB="0" distL="114300" distR="114300" simplePos="0" relativeHeight="251664384" behindDoc="1" locked="1" layoutInCell="1" allowOverlap="1" wp14:anchorId="5757546E" wp14:editId="1F8FC6CE">
              <wp:simplePos x="0" y="0"/>
              <wp:positionH relativeFrom="margin">
                <wp:posOffset>-410845</wp:posOffset>
              </wp:positionH>
              <wp:positionV relativeFrom="page">
                <wp:posOffset>914400</wp:posOffset>
              </wp:positionV>
              <wp:extent cx="228600" cy="8686800"/>
              <wp:effectExtent l="0" t="0" r="1270" b="0"/>
              <wp:wrapThrough wrapText="bothSides">
                <wp:wrapPolygon edited="0">
                  <wp:start x="-900" y="0"/>
                  <wp:lineTo x="-900" y="21576"/>
                  <wp:lineTo x="21600" y="21576"/>
                  <wp:lineTo x="21600" y="0"/>
                  <wp:lineTo x="-900" y="0"/>
                </wp:wrapPolygon>
              </wp:wrapThrough>
              <wp:docPr id="1314119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4B0A6" w14:textId="77777777" w:rsidR="00B0063D" w:rsidRDefault="00B0063D">
                          <w:pPr>
                            <w:jc w:val="right"/>
                          </w:pPr>
                          <w:r>
                            <w:t>1</w:t>
                          </w:r>
                        </w:p>
                        <w:p w14:paraId="15C9C62B" w14:textId="77777777" w:rsidR="00B0063D" w:rsidRDefault="00B0063D">
                          <w:pPr>
                            <w:jc w:val="right"/>
                          </w:pPr>
                          <w:r>
                            <w:t>2</w:t>
                          </w:r>
                        </w:p>
                        <w:p w14:paraId="78C42EBE" w14:textId="77777777" w:rsidR="00B0063D" w:rsidRDefault="00B0063D">
                          <w:pPr>
                            <w:jc w:val="right"/>
                          </w:pPr>
                          <w:r>
                            <w:t>3</w:t>
                          </w:r>
                        </w:p>
                        <w:p w14:paraId="19422809" w14:textId="77777777" w:rsidR="00B0063D" w:rsidRDefault="00B0063D">
                          <w:pPr>
                            <w:jc w:val="right"/>
                          </w:pPr>
                          <w:r>
                            <w:t>4</w:t>
                          </w:r>
                        </w:p>
                        <w:p w14:paraId="1A06A23C" w14:textId="77777777" w:rsidR="00B0063D" w:rsidRDefault="00B0063D">
                          <w:pPr>
                            <w:jc w:val="right"/>
                          </w:pPr>
                          <w:r>
                            <w:t>5</w:t>
                          </w:r>
                        </w:p>
                        <w:p w14:paraId="0B8A9DC9" w14:textId="77777777" w:rsidR="00B0063D" w:rsidRDefault="00B0063D">
                          <w:pPr>
                            <w:jc w:val="right"/>
                          </w:pPr>
                          <w:r>
                            <w:t>6</w:t>
                          </w:r>
                        </w:p>
                        <w:p w14:paraId="5FD3CE28" w14:textId="77777777" w:rsidR="00B0063D" w:rsidRDefault="00B0063D">
                          <w:pPr>
                            <w:jc w:val="right"/>
                          </w:pPr>
                          <w:r>
                            <w:t>7</w:t>
                          </w:r>
                        </w:p>
                        <w:p w14:paraId="5B98BFD4" w14:textId="77777777" w:rsidR="00B0063D" w:rsidRDefault="00B0063D">
                          <w:pPr>
                            <w:jc w:val="right"/>
                          </w:pPr>
                          <w:r>
                            <w:t>8</w:t>
                          </w:r>
                        </w:p>
                        <w:p w14:paraId="0E04060E" w14:textId="77777777" w:rsidR="00B0063D" w:rsidRDefault="00B0063D">
                          <w:pPr>
                            <w:jc w:val="right"/>
                          </w:pPr>
                          <w:r>
                            <w:t>9</w:t>
                          </w:r>
                        </w:p>
                        <w:p w14:paraId="4B68F8FD" w14:textId="77777777" w:rsidR="00B0063D" w:rsidRDefault="00B0063D">
                          <w:pPr>
                            <w:jc w:val="right"/>
                          </w:pPr>
                          <w:r>
                            <w:t>10</w:t>
                          </w:r>
                        </w:p>
                        <w:p w14:paraId="1524DAB4" w14:textId="77777777" w:rsidR="00B0063D" w:rsidRDefault="00B0063D">
                          <w:pPr>
                            <w:jc w:val="right"/>
                          </w:pPr>
                          <w:r>
                            <w:t>11</w:t>
                          </w:r>
                        </w:p>
                        <w:p w14:paraId="41E6E83C" w14:textId="77777777" w:rsidR="00B0063D" w:rsidRDefault="00B0063D">
                          <w:pPr>
                            <w:jc w:val="right"/>
                          </w:pPr>
                          <w:r>
                            <w:t>12</w:t>
                          </w:r>
                        </w:p>
                        <w:p w14:paraId="52680C27" w14:textId="77777777" w:rsidR="00B0063D" w:rsidRDefault="00B0063D">
                          <w:pPr>
                            <w:jc w:val="right"/>
                          </w:pPr>
                          <w:r>
                            <w:t>13</w:t>
                          </w:r>
                        </w:p>
                        <w:p w14:paraId="7CA72382" w14:textId="77777777" w:rsidR="00B0063D" w:rsidRDefault="00B0063D">
                          <w:pPr>
                            <w:jc w:val="right"/>
                          </w:pPr>
                          <w:r>
                            <w:t>14</w:t>
                          </w:r>
                        </w:p>
                        <w:p w14:paraId="330A2F48" w14:textId="77777777" w:rsidR="00B0063D" w:rsidRDefault="00B0063D">
                          <w:pPr>
                            <w:jc w:val="right"/>
                          </w:pPr>
                          <w:r>
                            <w:t>15</w:t>
                          </w:r>
                        </w:p>
                        <w:p w14:paraId="28C4BD24" w14:textId="77777777" w:rsidR="00B0063D" w:rsidRDefault="00B0063D">
                          <w:pPr>
                            <w:jc w:val="right"/>
                          </w:pPr>
                          <w:r>
                            <w:t>16</w:t>
                          </w:r>
                        </w:p>
                        <w:p w14:paraId="1E98DBB5" w14:textId="77777777" w:rsidR="00B0063D" w:rsidRDefault="00B0063D">
                          <w:pPr>
                            <w:jc w:val="right"/>
                          </w:pPr>
                          <w:r>
                            <w:t>17</w:t>
                          </w:r>
                        </w:p>
                        <w:p w14:paraId="6931691F" w14:textId="77777777" w:rsidR="00B0063D" w:rsidRDefault="00B0063D">
                          <w:pPr>
                            <w:jc w:val="right"/>
                          </w:pPr>
                          <w:r>
                            <w:t>18</w:t>
                          </w:r>
                        </w:p>
                        <w:p w14:paraId="279AB736" w14:textId="77777777" w:rsidR="00B0063D" w:rsidRDefault="00B0063D">
                          <w:pPr>
                            <w:jc w:val="right"/>
                          </w:pPr>
                          <w:r>
                            <w:t>19</w:t>
                          </w:r>
                        </w:p>
                        <w:p w14:paraId="75734A23" w14:textId="77777777" w:rsidR="00B0063D" w:rsidRDefault="00B0063D">
                          <w:pPr>
                            <w:jc w:val="right"/>
                          </w:pPr>
                          <w:r>
                            <w:t>20</w:t>
                          </w:r>
                        </w:p>
                        <w:p w14:paraId="62F01168" w14:textId="77777777" w:rsidR="00B0063D" w:rsidRDefault="00B0063D">
                          <w:pPr>
                            <w:jc w:val="right"/>
                          </w:pPr>
                          <w:r>
                            <w:t>21</w:t>
                          </w:r>
                        </w:p>
                        <w:p w14:paraId="2ED8A3D1" w14:textId="77777777" w:rsidR="00B0063D" w:rsidRDefault="00B0063D">
                          <w:pPr>
                            <w:jc w:val="right"/>
                          </w:pPr>
                          <w:r>
                            <w:t>22</w:t>
                          </w:r>
                        </w:p>
                        <w:p w14:paraId="48114505" w14:textId="77777777" w:rsidR="00B0063D" w:rsidRDefault="00B0063D">
                          <w:pPr>
                            <w:jc w:val="right"/>
                          </w:pPr>
                          <w:r>
                            <w:t>23</w:t>
                          </w:r>
                        </w:p>
                        <w:p w14:paraId="59919E37" w14:textId="77777777" w:rsidR="00B0063D" w:rsidRDefault="00B0063D">
                          <w:pPr>
                            <w:jc w:val="right"/>
                          </w:pPr>
                          <w:r>
                            <w:t>24</w:t>
                          </w:r>
                        </w:p>
                        <w:p w14:paraId="426F962C" w14:textId="77777777" w:rsidR="00B0063D" w:rsidRDefault="00B0063D">
                          <w:pPr>
                            <w:jc w:val="right"/>
                          </w:pPr>
                          <w:r>
                            <w:t>25</w:t>
                          </w:r>
                        </w:p>
                        <w:p w14:paraId="4DE0E8EE" w14:textId="77777777" w:rsidR="00B0063D" w:rsidRDefault="00B0063D">
                          <w:pPr>
                            <w:jc w:val="right"/>
                          </w:pPr>
                          <w:r>
                            <w:t>26</w:t>
                          </w:r>
                        </w:p>
                        <w:p w14:paraId="4854CF39" w14:textId="77777777" w:rsidR="00B0063D" w:rsidRDefault="00B0063D">
                          <w:pPr>
                            <w:jc w:val="right"/>
                          </w:pPr>
                          <w:r>
                            <w:t>27</w:t>
                          </w:r>
                        </w:p>
                        <w:p w14:paraId="789E9299" w14:textId="77777777" w:rsidR="00B0063D" w:rsidRDefault="00B0063D">
                          <w:pPr>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7546E" id="Text Box 6" o:spid="_x0000_s1027" type="#_x0000_t202" style="position:absolute;margin-left:-32.35pt;margin-top:1in;width:18pt;height:68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" stroked="f">
              <v:textbox inset="0,0,0,0">
                <w:txbxContent>
                  <w:p w14:paraId="5514B0A6" w14:textId="77777777" w:rsidR="00B0063D" w:rsidRDefault="00B0063D">
                    <w:pPr>
                      <w:jc w:val="right"/>
                    </w:pPr>
                    <w:r>
                      <w:t>1</w:t>
                    </w:r>
                  </w:p>
                  <w:p w14:paraId="15C9C62B" w14:textId="77777777" w:rsidR="00B0063D" w:rsidRDefault="00B0063D">
                    <w:pPr>
                      <w:jc w:val="right"/>
                    </w:pPr>
                    <w:r>
                      <w:t>2</w:t>
                    </w:r>
                  </w:p>
                  <w:p w14:paraId="78C42EBE" w14:textId="77777777" w:rsidR="00B0063D" w:rsidRDefault="00B0063D">
                    <w:pPr>
                      <w:jc w:val="right"/>
                    </w:pPr>
                    <w:r>
                      <w:t>3</w:t>
                    </w:r>
                  </w:p>
                  <w:p w14:paraId="19422809" w14:textId="77777777" w:rsidR="00B0063D" w:rsidRDefault="00B0063D">
                    <w:pPr>
                      <w:jc w:val="right"/>
                    </w:pPr>
                    <w:r>
                      <w:t>4</w:t>
                    </w:r>
                  </w:p>
                  <w:p w14:paraId="1A06A23C" w14:textId="77777777" w:rsidR="00B0063D" w:rsidRDefault="00B0063D">
                    <w:pPr>
                      <w:jc w:val="right"/>
                    </w:pPr>
                    <w:r>
                      <w:t>5</w:t>
                    </w:r>
                  </w:p>
                  <w:p w14:paraId="0B8A9DC9" w14:textId="77777777" w:rsidR="00B0063D" w:rsidRDefault="00B0063D">
                    <w:pPr>
                      <w:jc w:val="right"/>
                    </w:pPr>
                    <w:r>
                      <w:t>6</w:t>
                    </w:r>
                  </w:p>
                  <w:p w14:paraId="5FD3CE28" w14:textId="77777777" w:rsidR="00B0063D" w:rsidRDefault="00B0063D">
                    <w:pPr>
                      <w:jc w:val="right"/>
                    </w:pPr>
                    <w:r>
                      <w:t>7</w:t>
                    </w:r>
                  </w:p>
                  <w:p w14:paraId="5B98BFD4" w14:textId="77777777" w:rsidR="00B0063D" w:rsidRDefault="00B0063D">
                    <w:pPr>
                      <w:jc w:val="right"/>
                    </w:pPr>
                    <w:r>
                      <w:t>8</w:t>
                    </w:r>
                  </w:p>
                  <w:p w14:paraId="0E04060E" w14:textId="77777777" w:rsidR="00B0063D" w:rsidRDefault="00B0063D">
                    <w:pPr>
                      <w:jc w:val="right"/>
                    </w:pPr>
                    <w:r>
                      <w:t>9</w:t>
                    </w:r>
                  </w:p>
                  <w:p w14:paraId="4B68F8FD" w14:textId="77777777" w:rsidR="00B0063D" w:rsidRDefault="00B0063D">
                    <w:pPr>
                      <w:jc w:val="right"/>
                    </w:pPr>
                    <w:r>
                      <w:t>10</w:t>
                    </w:r>
                  </w:p>
                  <w:p w14:paraId="1524DAB4" w14:textId="77777777" w:rsidR="00B0063D" w:rsidRDefault="00B0063D">
                    <w:pPr>
                      <w:jc w:val="right"/>
                    </w:pPr>
                    <w:r>
                      <w:t>11</w:t>
                    </w:r>
                  </w:p>
                  <w:p w14:paraId="41E6E83C" w14:textId="77777777" w:rsidR="00B0063D" w:rsidRDefault="00B0063D">
                    <w:pPr>
                      <w:jc w:val="right"/>
                    </w:pPr>
                    <w:r>
                      <w:t>12</w:t>
                    </w:r>
                  </w:p>
                  <w:p w14:paraId="52680C27" w14:textId="77777777" w:rsidR="00B0063D" w:rsidRDefault="00B0063D">
                    <w:pPr>
                      <w:jc w:val="right"/>
                    </w:pPr>
                    <w:r>
                      <w:t>13</w:t>
                    </w:r>
                  </w:p>
                  <w:p w14:paraId="7CA72382" w14:textId="77777777" w:rsidR="00B0063D" w:rsidRDefault="00B0063D">
                    <w:pPr>
                      <w:jc w:val="right"/>
                    </w:pPr>
                    <w:r>
                      <w:t>14</w:t>
                    </w:r>
                  </w:p>
                  <w:p w14:paraId="330A2F48" w14:textId="77777777" w:rsidR="00B0063D" w:rsidRDefault="00B0063D">
                    <w:pPr>
                      <w:jc w:val="right"/>
                    </w:pPr>
                    <w:r>
                      <w:t>15</w:t>
                    </w:r>
                  </w:p>
                  <w:p w14:paraId="28C4BD24" w14:textId="77777777" w:rsidR="00B0063D" w:rsidRDefault="00B0063D">
                    <w:pPr>
                      <w:jc w:val="right"/>
                    </w:pPr>
                    <w:r>
                      <w:t>16</w:t>
                    </w:r>
                  </w:p>
                  <w:p w14:paraId="1E98DBB5" w14:textId="77777777" w:rsidR="00B0063D" w:rsidRDefault="00B0063D">
                    <w:pPr>
                      <w:jc w:val="right"/>
                    </w:pPr>
                    <w:r>
                      <w:t>17</w:t>
                    </w:r>
                  </w:p>
                  <w:p w14:paraId="6931691F" w14:textId="77777777" w:rsidR="00B0063D" w:rsidRDefault="00B0063D">
                    <w:pPr>
                      <w:jc w:val="right"/>
                    </w:pPr>
                    <w:r>
                      <w:t>18</w:t>
                    </w:r>
                  </w:p>
                  <w:p w14:paraId="279AB736" w14:textId="77777777" w:rsidR="00B0063D" w:rsidRDefault="00B0063D">
                    <w:pPr>
                      <w:jc w:val="right"/>
                    </w:pPr>
                    <w:r>
                      <w:t>19</w:t>
                    </w:r>
                  </w:p>
                  <w:p w14:paraId="75734A23" w14:textId="77777777" w:rsidR="00B0063D" w:rsidRDefault="00B0063D">
                    <w:pPr>
                      <w:jc w:val="right"/>
                    </w:pPr>
                    <w:r>
                      <w:t>20</w:t>
                    </w:r>
                  </w:p>
                  <w:p w14:paraId="62F01168" w14:textId="77777777" w:rsidR="00B0063D" w:rsidRDefault="00B0063D">
                    <w:pPr>
                      <w:jc w:val="right"/>
                    </w:pPr>
                    <w:r>
                      <w:t>21</w:t>
                    </w:r>
                  </w:p>
                  <w:p w14:paraId="2ED8A3D1" w14:textId="77777777" w:rsidR="00B0063D" w:rsidRDefault="00B0063D">
                    <w:pPr>
                      <w:jc w:val="right"/>
                    </w:pPr>
                    <w:r>
                      <w:t>22</w:t>
                    </w:r>
                  </w:p>
                  <w:p w14:paraId="48114505" w14:textId="77777777" w:rsidR="00B0063D" w:rsidRDefault="00B0063D">
                    <w:pPr>
                      <w:jc w:val="right"/>
                    </w:pPr>
                    <w:r>
                      <w:t>23</w:t>
                    </w:r>
                  </w:p>
                  <w:p w14:paraId="59919E37" w14:textId="77777777" w:rsidR="00B0063D" w:rsidRDefault="00B0063D">
                    <w:pPr>
                      <w:jc w:val="right"/>
                    </w:pPr>
                    <w:r>
                      <w:t>24</w:t>
                    </w:r>
                  </w:p>
                  <w:p w14:paraId="426F962C" w14:textId="77777777" w:rsidR="00B0063D" w:rsidRDefault="00B0063D">
                    <w:pPr>
                      <w:jc w:val="right"/>
                    </w:pPr>
                    <w:r>
                      <w:t>25</w:t>
                    </w:r>
                  </w:p>
                  <w:p w14:paraId="4DE0E8EE" w14:textId="77777777" w:rsidR="00B0063D" w:rsidRDefault="00B0063D">
                    <w:pPr>
                      <w:jc w:val="right"/>
                    </w:pPr>
                    <w:r>
                      <w:t>26</w:t>
                    </w:r>
                  </w:p>
                  <w:p w14:paraId="4854CF39" w14:textId="77777777" w:rsidR="00B0063D" w:rsidRDefault="00B0063D">
                    <w:pPr>
                      <w:jc w:val="right"/>
                    </w:pPr>
                    <w:r>
                      <w:t>27</w:t>
                    </w:r>
                  </w:p>
                  <w:p w14:paraId="789E9299" w14:textId="77777777" w:rsidR="00B0063D" w:rsidRDefault="00B0063D">
                    <w:pPr>
                      <w:jc w:val="right"/>
                    </w:pPr>
                    <w:r>
                      <w:t>28</w:t>
                    </w:r>
                  </w:p>
                </w:txbxContent>
              </v:textbox>
              <w10:wrap type="through" anchorx="margin" anchory="page"/>
              <w10:anchorlock/>
            </v:shape>
          </w:pict>
        </mc:Fallback>
      </mc:AlternateContent>
    </w:r>
    <w:r>
      <w:rPr>
        <w:noProof/>
        <w:sz w:val="20"/>
      </w:rPr>
      <mc:AlternateContent>
        <mc:Choice Requires="wps">
          <w:drawing>
            <wp:anchor distT="0" distB="0" distL="114300" distR="114300" simplePos="0" relativeHeight="251663360" behindDoc="0" locked="0" layoutInCell="1" allowOverlap="1" wp14:anchorId="4C4EF646" wp14:editId="43DAE97F">
              <wp:simplePos x="0" y="0"/>
              <wp:positionH relativeFrom="page">
                <wp:posOffset>7406640</wp:posOffset>
              </wp:positionH>
              <wp:positionV relativeFrom="page">
                <wp:posOffset>0</wp:posOffset>
              </wp:positionV>
              <wp:extent cx="0" cy="10160000"/>
              <wp:effectExtent l="5715" t="9525" r="13335" b="12700"/>
              <wp:wrapNone/>
              <wp:docPr id="18819916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E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0" to="583.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">
              <w10:wrap anchorx="page" anchory="page"/>
            </v:line>
          </w:pict>
        </mc:Fallback>
      </mc:AlternateContent>
    </w:r>
    <w:r>
      <w:rPr>
        <w:noProof/>
        <w:sz w:val="20"/>
      </w:rPr>
      <mc:AlternateContent>
        <mc:Choice Requires="wps">
          <w:drawing>
            <wp:anchor distT="0" distB="0" distL="114300" distR="114300" simplePos="0" relativeHeight="251662336" behindDoc="0" locked="0" layoutInCell="1" allowOverlap="1" wp14:anchorId="0C4AAE01" wp14:editId="0DB8F3F3">
              <wp:simplePos x="0" y="0"/>
              <wp:positionH relativeFrom="margin">
                <wp:posOffset>-91440</wp:posOffset>
              </wp:positionH>
              <wp:positionV relativeFrom="page">
                <wp:posOffset>0</wp:posOffset>
              </wp:positionV>
              <wp:extent cx="0" cy="10160000"/>
              <wp:effectExtent l="22860" t="19050" r="24765" b="22225"/>
              <wp:wrapNone/>
              <wp:docPr id="14563610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82A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" strokeweight="3pt">
              <v:stroke linestyle="thinThin"/>
              <w10:wrap anchorx="margin" anchory="page"/>
            </v:line>
          </w:pict>
        </mc:Fallback>
      </mc:AlternateContent>
    </w:r>
    <w:r>
      <w:rPr>
        <w:noProof/>
        <w:sz w:val="20"/>
      </w:rPr>
      <mc:AlternateContent>
        <mc:Choice Requires="wps">
          <w:drawing>
            <wp:anchor distT="0" distB="0" distL="114300" distR="114300" simplePos="0" relativeHeight="251661312" behindDoc="1" locked="1" layoutInCell="1" allowOverlap="1" wp14:anchorId="28021649" wp14:editId="054BB4AC">
              <wp:simplePos x="0" y="0"/>
              <wp:positionH relativeFrom="margin">
                <wp:posOffset>-410845</wp:posOffset>
              </wp:positionH>
              <wp:positionV relativeFrom="page">
                <wp:posOffset>914400</wp:posOffset>
              </wp:positionV>
              <wp:extent cx="228600" cy="8686800"/>
              <wp:effectExtent l="0" t="0" r="1270" b="0"/>
              <wp:wrapThrough wrapText="bothSides">
                <wp:wrapPolygon edited="0">
                  <wp:start x="-900" y="0"/>
                  <wp:lineTo x="-900" y="21576"/>
                  <wp:lineTo x="21600" y="21576"/>
                  <wp:lineTo x="21600" y="0"/>
                  <wp:lineTo x="-900" y="0"/>
                </wp:wrapPolygon>
              </wp:wrapThrough>
              <wp:docPr id="1501330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89902" w14:textId="77777777" w:rsidR="00B0063D" w:rsidRDefault="00B0063D">
                          <w:pPr>
                            <w:jc w:val="right"/>
                          </w:pPr>
                          <w:r>
                            <w:t>1</w:t>
                          </w:r>
                        </w:p>
                        <w:p w14:paraId="3662E407" w14:textId="77777777" w:rsidR="00B0063D" w:rsidRDefault="00B0063D">
                          <w:pPr>
                            <w:jc w:val="right"/>
                          </w:pPr>
                          <w:r>
                            <w:t>2</w:t>
                          </w:r>
                        </w:p>
                        <w:p w14:paraId="0AD2B597" w14:textId="77777777" w:rsidR="00B0063D" w:rsidRDefault="00B0063D">
                          <w:pPr>
                            <w:jc w:val="right"/>
                          </w:pPr>
                          <w:r>
                            <w:t>3</w:t>
                          </w:r>
                        </w:p>
                        <w:p w14:paraId="508D1B8D" w14:textId="77777777" w:rsidR="00B0063D" w:rsidRDefault="00B0063D">
                          <w:pPr>
                            <w:jc w:val="right"/>
                          </w:pPr>
                          <w:r>
                            <w:t>4</w:t>
                          </w:r>
                        </w:p>
                        <w:p w14:paraId="5066C4D1" w14:textId="77777777" w:rsidR="00B0063D" w:rsidRDefault="00B0063D">
                          <w:pPr>
                            <w:jc w:val="right"/>
                          </w:pPr>
                          <w:r>
                            <w:t>5</w:t>
                          </w:r>
                        </w:p>
                        <w:p w14:paraId="1199628A" w14:textId="77777777" w:rsidR="00B0063D" w:rsidRDefault="00B0063D">
                          <w:pPr>
                            <w:jc w:val="right"/>
                          </w:pPr>
                          <w:r>
                            <w:t>6</w:t>
                          </w:r>
                        </w:p>
                        <w:p w14:paraId="44660F17" w14:textId="77777777" w:rsidR="00B0063D" w:rsidRDefault="00B0063D">
                          <w:pPr>
                            <w:jc w:val="right"/>
                          </w:pPr>
                          <w:r>
                            <w:t>7</w:t>
                          </w:r>
                        </w:p>
                        <w:p w14:paraId="1A5DBFB9" w14:textId="77777777" w:rsidR="00B0063D" w:rsidRDefault="00B0063D">
                          <w:pPr>
                            <w:jc w:val="right"/>
                          </w:pPr>
                          <w:r>
                            <w:t>8</w:t>
                          </w:r>
                        </w:p>
                        <w:p w14:paraId="1990D1EF" w14:textId="77777777" w:rsidR="00B0063D" w:rsidRDefault="00B0063D">
                          <w:pPr>
                            <w:jc w:val="right"/>
                          </w:pPr>
                          <w:r>
                            <w:t>9</w:t>
                          </w:r>
                        </w:p>
                        <w:p w14:paraId="63D27A5D" w14:textId="77777777" w:rsidR="00B0063D" w:rsidRDefault="00B0063D">
                          <w:pPr>
                            <w:jc w:val="right"/>
                          </w:pPr>
                          <w:r>
                            <w:t>10</w:t>
                          </w:r>
                        </w:p>
                        <w:p w14:paraId="1CAD3900" w14:textId="77777777" w:rsidR="00B0063D" w:rsidRDefault="00B0063D">
                          <w:pPr>
                            <w:jc w:val="right"/>
                          </w:pPr>
                          <w:r>
                            <w:t>11</w:t>
                          </w:r>
                        </w:p>
                        <w:p w14:paraId="3C70681A" w14:textId="77777777" w:rsidR="00B0063D" w:rsidRDefault="00B0063D">
                          <w:pPr>
                            <w:jc w:val="right"/>
                          </w:pPr>
                          <w:r>
                            <w:t>12</w:t>
                          </w:r>
                        </w:p>
                        <w:p w14:paraId="3F5682A4" w14:textId="77777777" w:rsidR="00B0063D" w:rsidRDefault="00B0063D">
                          <w:pPr>
                            <w:jc w:val="right"/>
                          </w:pPr>
                          <w:r>
                            <w:t>13</w:t>
                          </w:r>
                        </w:p>
                        <w:p w14:paraId="74DE9535" w14:textId="77777777" w:rsidR="00B0063D" w:rsidRDefault="00B0063D">
                          <w:pPr>
                            <w:jc w:val="right"/>
                          </w:pPr>
                          <w:r>
                            <w:t>14</w:t>
                          </w:r>
                        </w:p>
                        <w:p w14:paraId="1A0F04F9" w14:textId="77777777" w:rsidR="00B0063D" w:rsidRDefault="00B0063D">
                          <w:pPr>
                            <w:jc w:val="right"/>
                          </w:pPr>
                          <w:r>
                            <w:t>15</w:t>
                          </w:r>
                        </w:p>
                        <w:p w14:paraId="4D3E7B87" w14:textId="77777777" w:rsidR="00B0063D" w:rsidRDefault="00B0063D">
                          <w:pPr>
                            <w:jc w:val="right"/>
                          </w:pPr>
                          <w:r>
                            <w:t>16</w:t>
                          </w:r>
                        </w:p>
                        <w:p w14:paraId="7115D749" w14:textId="77777777" w:rsidR="00B0063D" w:rsidRDefault="00B0063D">
                          <w:pPr>
                            <w:jc w:val="right"/>
                          </w:pPr>
                          <w:r>
                            <w:t>17</w:t>
                          </w:r>
                        </w:p>
                        <w:p w14:paraId="6DF10547" w14:textId="77777777" w:rsidR="00B0063D" w:rsidRDefault="00B0063D">
                          <w:pPr>
                            <w:jc w:val="right"/>
                          </w:pPr>
                          <w:r>
                            <w:t>18</w:t>
                          </w:r>
                        </w:p>
                        <w:p w14:paraId="52645513" w14:textId="77777777" w:rsidR="00B0063D" w:rsidRDefault="00B0063D">
                          <w:pPr>
                            <w:jc w:val="right"/>
                          </w:pPr>
                          <w:r>
                            <w:t>19</w:t>
                          </w:r>
                        </w:p>
                        <w:p w14:paraId="6E20A379" w14:textId="77777777" w:rsidR="00B0063D" w:rsidRDefault="00B0063D">
                          <w:pPr>
                            <w:jc w:val="right"/>
                          </w:pPr>
                          <w:r>
                            <w:t>20</w:t>
                          </w:r>
                        </w:p>
                        <w:p w14:paraId="752C5689" w14:textId="77777777" w:rsidR="00B0063D" w:rsidRDefault="00B0063D">
                          <w:pPr>
                            <w:jc w:val="right"/>
                          </w:pPr>
                          <w:r>
                            <w:t>21</w:t>
                          </w:r>
                        </w:p>
                        <w:p w14:paraId="4100B018" w14:textId="77777777" w:rsidR="00B0063D" w:rsidRDefault="00B0063D">
                          <w:pPr>
                            <w:jc w:val="right"/>
                          </w:pPr>
                          <w:r>
                            <w:t>22</w:t>
                          </w:r>
                        </w:p>
                        <w:p w14:paraId="527058F7" w14:textId="77777777" w:rsidR="00B0063D" w:rsidRDefault="00B0063D">
                          <w:pPr>
                            <w:jc w:val="right"/>
                          </w:pPr>
                          <w:r>
                            <w:t>23</w:t>
                          </w:r>
                        </w:p>
                        <w:p w14:paraId="3B11EA2D" w14:textId="77777777" w:rsidR="00B0063D" w:rsidRDefault="00B0063D">
                          <w:pPr>
                            <w:jc w:val="right"/>
                          </w:pPr>
                          <w:r>
                            <w:t>24</w:t>
                          </w:r>
                        </w:p>
                        <w:p w14:paraId="39519026" w14:textId="77777777" w:rsidR="00B0063D" w:rsidRDefault="00B0063D">
                          <w:pPr>
                            <w:jc w:val="right"/>
                          </w:pPr>
                          <w:r>
                            <w:t>25</w:t>
                          </w:r>
                        </w:p>
                        <w:p w14:paraId="0913C671" w14:textId="77777777" w:rsidR="00B0063D" w:rsidRDefault="00B0063D">
                          <w:pPr>
                            <w:jc w:val="right"/>
                          </w:pPr>
                          <w:r>
                            <w:t>26</w:t>
                          </w:r>
                        </w:p>
                        <w:p w14:paraId="56B09F36" w14:textId="77777777" w:rsidR="00B0063D" w:rsidRDefault="00B0063D">
                          <w:pPr>
                            <w:jc w:val="right"/>
                          </w:pPr>
                          <w:r>
                            <w:t>27</w:t>
                          </w:r>
                        </w:p>
                        <w:p w14:paraId="50D8C35E" w14:textId="77777777" w:rsidR="00B0063D" w:rsidRDefault="00B0063D">
                          <w:pPr>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21649" id="Text Box 3" o:spid="_x0000_s1028" type="#_x0000_t202" style="position:absolute;margin-left:-32.35pt;margin-top:1in;width:18pt;height:6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" stroked="f">
              <v:textbox inset="0,0,0,0">
                <w:txbxContent>
                  <w:p w14:paraId="7F889902" w14:textId="77777777" w:rsidR="00B0063D" w:rsidRDefault="00B0063D">
                    <w:pPr>
                      <w:jc w:val="right"/>
                    </w:pPr>
                    <w:r>
                      <w:t>1</w:t>
                    </w:r>
                  </w:p>
                  <w:p w14:paraId="3662E407" w14:textId="77777777" w:rsidR="00B0063D" w:rsidRDefault="00B0063D">
                    <w:pPr>
                      <w:jc w:val="right"/>
                    </w:pPr>
                    <w:r>
                      <w:t>2</w:t>
                    </w:r>
                  </w:p>
                  <w:p w14:paraId="0AD2B597" w14:textId="77777777" w:rsidR="00B0063D" w:rsidRDefault="00B0063D">
                    <w:pPr>
                      <w:jc w:val="right"/>
                    </w:pPr>
                    <w:r>
                      <w:t>3</w:t>
                    </w:r>
                  </w:p>
                  <w:p w14:paraId="508D1B8D" w14:textId="77777777" w:rsidR="00B0063D" w:rsidRDefault="00B0063D">
                    <w:pPr>
                      <w:jc w:val="right"/>
                    </w:pPr>
                    <w:r>
                      <w:t>4</w:t>
                    </w:r>
                  </w:p>
                  <w:p w14:paraId="5066C4D1" w14:textId="77777777" w:rsidR="00B0063D" w:rsidRDefault="00B0063D">
                    <w:pPr>
                      <w:jc w:val="right"/>
                    </w:pPr>
                    <w:r>
                      <w:t>5</w:t>
                    </w:r>
                  </w:p>
                  <w:p w14:paraId="1199628A" w14:textId="77777777" w:rsidR="00B0063D" w:rsidRDefault="00B0063D">
                    <w:pPr>
                      <w:jc w:val="right"/>
                    </w:pPr>
                    <w:r>
                      <w:t>6</w:t>
                    </w:r>
                  </w:p>
                  <w:p w14:paraId="44660F17" w14:textId="77777777" w:rsidR="00B0063D" w:rsidRDefault="00B0063D">
                    <w:pPr>
                      <w:jc w:val="right"/>
                    </w:pPr>
                    <w:r>
                      <w:t>7</w:t>
                    </w:r>
                  </w:p>
                  <w:p w14:paraId="1A5DBFB9" w14:textId="77777777" w:rsidR="00B0063D" w:rsidRDefault="00B0063D">
                    <w:pPr>
                      <w:jc w:val="right"/>
                    </w:pPr>
                    <w:r>
                      <w:t>8</w:t>
                    </w:r>
                  </w:p>
                  <w:p w14:paraId="1990D1EF" w14:textId="77777777" w:rsidR="00B0063D" w:rsidRDefault="00B0063D">
                    <w:pPr>
                      <w:jc w:val="right"/>
                    </w:pPr>
                    <w:r>
                      <w:t>9</w:t>
                    </w:r>
                  </w:p>
                  <w:p w14:paraId="63D27A5D" w14:textId="77777777" w:rsidR="00B0063D" w:rsidRDefault="00B0063D">
                    <w:pPr>
                      <w:jc w:val="right"/>
                    </w:pPr>
                    <w:r>
                      <w:t>10</w:t>
                    </w:r>
                  </w:p>
                  <w:p w14:paraId="1CAD3900" w14:textId="77777777" w:rsidR="00B0063D" w:rsidRDefault="00B0063D">
                    <w:pPr>
                      <w:jc w:val="right"/>
                    </w:pPr>
                    <w:r>
                      <w:t>11</w:t>
                    </w:r>
                  </w:p>
                  <w:p w14:paraId="3C70681A" w14:textId="77777777" w:rsidR="00B0063D" w:rsidRDefault="00B0063D">
                    <w:pPr>
                      <w:jc w:val="right"/>
                    </w:pPr>
                    <w:r>
                      <w:t>12</w:t>
                    </w:r>
                  </w:p>
                  <w:p w14:paraId="3F5682A4" w14:textId="77777777" w:rsidR="00B0063D" w:rsidRDefault="00B0063D">
                    <w:pPr>
                      <w:jc w:val="right"/>
                    </w:pPr>
                    <w:r>
                      <w:t>13</w:t>
                    </w:r>
                  </w:p>
                  <w:p w14:paraId="74DE9535" w14:textId="77777777" w:rsidR="00B0063D" w:rsidRDefault="00B0063D">
                    <w:pPr>
                      <w:jc w:val="right"/>
                    </w:pPr>
                    <w:r>
                      <w:t>14</w:t>
                    </w:r>
                  </w:p>
                  <w:p w14:paraId="1A0F04F9" w14:textId="77777777" w:rsidR="00B0063D" w:rsidRDefault="00B0063D">
                    <w:pPr>
                      <w:jc w:val="right"/>
                    </w:pPr>
                    <w:r>
                      <w:t>15</w:t>
                    </w:r>
                  </w:p>
                  <w:p w14:paraId="4D3E7B87" w14:textId="77777777" w:rsidR="00B0063D" w:rsidRDefault="00B0063D">
                    <w:pPr>
                      <w:jc w:val="right"/>
                    </w:pPr>
                    <w:r>
                      <w:t>16</w:t>
                    </w:r>
                  </w:p>
                  <w:p w14:paraId="7115D749" w14:textId="77777777" w:rsidR="00B0063D" w:rsidRDefault="00B0063D">
                    <w:pPr>
                      <w:jc w:val="right"/>
                    </w:pPr>
                    <w:r>
                      <w:t>17</w:t>
                    </w:r>
                  </w:p>
                  <w:p w14:paraId="6DF10547" w14:textId="77777777" w:rsidR="00B0063D" w:rsidRDefault="00B0063D">
                    <w:pPr>
                      <w:jc w:val="right"/>
                    </w:pPr>
                    <w:r>
                      <w:t>18</w:t>
                    </w:r>
                  </w:p>
                  <w:p w14:paraId="52645513" w14:textId="77777777" w:rsidR="00B0063D" w:rsidRDefault="00B0063D">
                    <w:pPr>
                      <w:jc w:val="right"/>
                    </w:pPr>
                    <w:r>
                      <w:t>19</w:t>
                    </w:r>
                  </w:p>
                  <w:p w14:paraId="6E20A379" w14:textId="77777777" w:rsidR="00B0063D" w:rsidRDefault="00B0063D">
                    <w:pPr>
                      <w:jc w:val="right"/>
                    </w:pPr>
                    <w:r>
                      <w:t>20</w:t>
                    </w:r>
                  </w:p>
                  <w:p w14:paraId="752C5689" w14:textId="77777777" w:rsidR="00B0063D" w:rsidRDefault="00B0063D">
                    <w:pPr>
                      <w:jc w:val="right"/>
                    </w:pPr>
                    <w:r>
                      <w:t>21</w:t>
                    </w:r>
                  </w:p>
                  <w:p w14:paraId="4100B018" w14:textId="77777777" w:rsidR="00B0063D" w:rsidRDefault="00B0063D">
                    <w:pPr>
                      <w:jc w:val="right"/>
                    </w:pPr>
                    <w:r>
                      <w:t>22</w:t>
                    </w:r>
                  </w:p>
                  <w:p w14:paraId="527058F7" w14:textId="77777777" w:rsidR="00B0063D" w:rsidRDefault="00B0063D">
                    <w:pPr>
                      <w:jc w:val="right"/>
                    </w:pPr>
                    <w:r>
                      <w:t>23</w:t>
                    </w:r>
                  </w:p>
                  <w:p w14:paraId="3B11EA2D" w14:textId="77777777" w:rsidR="00B0063D" w:rsidRDefault="00B0063D">
                    <w:pPr>
                      <w:jc w:val="right"/>
                    </w:pPr>
                    <w:r>
                      <w:t>24</w:t>
                    </w:r>
                  </w:p>
                  <w:p w14:paraId="39519026" w14:textId="77777777" w:rsidR="00B0063D" w:rsidRDefault="00B0063D">
                    <w:pPr>
                      <w:jc w:val="right"/>
                    </w:pPr>
                    <w:r>
                      <w:t>25</w:t>
                    </w:r>
                  </w:p>
                  <w:p w14:paraId="0913C671" w14:textId="77777777" w:rsidR="00B0063D" w:rsidRDefault="00B0063D">
                    <w:pPr>
                      <w:jc w:val="right"/>
                    </w:pPr>
                    <w:r>
                      <w:t>26</w:t>
                    </w:r>
                  </w:p>
                  <w:p w14:paraId="56B09F36" w14:textId="77777777" w:rsidR="00B0063D" w:rsidRDefault="00B0063D">
                    <w:pPr>
                      <w:jc w:val="right"/>
                    </w:pPr>
                    <w:r>
                      <w:t>27</w:t>
                    </w:r>
                  </w:p>
                  <w:p w14:paraId="50D8C35E" w14:textId="77777777" w:rsidR="00B0063D" w:rsidRDefault="00B0063D">
                    <w:pPr>
                      <w:jc w:val="right"/>
                    </w:pPr>
                    <w:r>
                      <w:t>28</w:t>
                    </w:r>
                  </w:p>
                </w:txbxContent>
              </v:textbox>
              <w10:wrap type="through" anchorx="margin" anchory="page"/>
              <w10:anchorlock/>
            </v:shape>
          </w:pict>
        </mc:Fallback>
      </mc:AlternateContent>
    </w:r>
    <w:r>
      <w:rPr>
        <w:noProof/>
        <w:sz w:val="20"/>
      </w:rPr>
      <mc:AlternateContent>
        <mc:Choice Requires="wps">
          <w:drawing>
            <wp:anchor distT="0" distB="0" distL="114300" distR="114300" simplePos="0" relativeHeight="251660288" behindDoc="0" locked="0" layoutInCell="1" allowOverlap="1" wp14:anchorId="731DB1A7" wp14:editId="16CE94B7">
              <wp:simplePos x="0" y="0"/>
              <wp:positionH relativeFrom="page">
                <wp:posOffset>7406640</wp:posOffset>
              </wp:positionH>
              <wp:positionV relativeFrom="page">
                <wp:posOffset>0</wp:posOffset>
              </wp:positionV>
              <wp:extent cx="0" cy="10160000"/>
              <wp:effectExtent l="5715" t="9525" r="13335" b="12700"/>
              <wp:wrapNone/>
              <wp:docPr id="2693314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858B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0" to="583.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">
              <w10:wrap anchorx="page" anchory="page"/>
            </v:line>
          </w:pict>
        </mc:Fallback>
      </mc:AlternateContent>
    </w:r>
    <w:r>
      <w:rPr>
        <w:noProof/>
        <w:sz w:val="20"/>
      </w:rPr>
      <mc:AlternateContent>
        <mc:Choice Requires="wps">
          <w:drawing>
            <wp:anchor distT="0" distB="0" distL="114300" distR="114300" simplePos="0" relativeHeight="251659264" behindDoc="0" locked="0" layoutInCell="1" allowOverlap="1" wp14:anchorId="55354A47" wp14:editId="4A7A93BB">
              <wp:simplePos x="0" y="0"/>
              <wp:positionH relativeFrom="margin">
                <wp:posOffset>-91440</wp:posOffset>
              </wp:positionH>
              <wp:positionV relativeFrom="page">
                <wp:posOffset>0</wp:posOffset>
              </wp:positionV>
              <wp:extent cx="0" cy="10160000"/>
              <wp:effectExtent l="22860" t="19050" r="24765" b="22225"/>
              <wp:wrapNone/>
              <wp:docPr id="20869252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BD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" strokeweight="3pt">
              <v:stroke linestyle="thinThin"/>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07EA9"/>
    <w:multiLevelType w:val="hybridMultilevel"/>
    <w:tmpl w:val="BB065016"/>
    <w:lvl w:ilvl="0" w:tplc="E2BCEC3E">
      <w:start w:val="1"/>
      <w:numFmt w:val="bullet"/>
      <w:lvlText w:val=""/>
      <w:lvlJc w:val="left"/>
      <w:pPr>
        <w:ind w:left="1080" w:hanging="360"/>
      </w:pPr>
      <w:rPr>
        <w:rFonts w:ascii="Symbol" w:hAnsi="Symbol"/>
      </w:rPr>
    </w:lvl>
    <w:lvl w:ilvl="1" w:tplc="AF8E57F0">
      <w:start w:val="1"/>
      <w:numFmt w:val="bullet"/>
      <w:lvlText w:val=""/>
      <w:lvlJc w:val="left"/>
      <w:pPr>
        <w:ind w:left="1080" w:hanging="360"/>
      </w:pPr>
      <w:rPr>
        <w:rFonts w:ascii="Symbol" w:hAnsi="Symbol"/>
      </w:rPr>
    </w:lvl>
    <w:lvl w:ilvl="2" w:tplc="F9A025C6">
      <w:start w:val="1"/>
      <w:numFmt w:val="bullet"/>
      <w:lvlText w:val=""/>
      <w:lvlJc w:val="left"/>
      <w:pPr>
        <w:ind w:left="1080" w:hanging="360"/>
      </w:pPr>
      <w:rPr>
        <w:rFonts w:ascii="Symbol" w:hAnsi="Symbol"/>
      </w:rPr>
    </w:lvl>
    <w:lvl w:ilvl="3" w:tplc="9ACE77D4">
      <w:start w:val="1"/>
      <w:numFmt w:val="bullet"/>
      <w:lvlText w:val=""/>
      <w:lvlJc w:val="left"/>
      <w:pPr>
        <w:ind w:left="1080" w:hanging="360"/>
      </w:pPr>
      <w:rPr>
        <w:rFonts w:ascii="Symbol" w:hAnsi="Symbol"/>
      </w:rPr>
    </w:lvl>
    <w:lvl w:ilvl="4" w:tplc="77A8CE8C">
      <w:start w:val="1"/>
      <w:numFmt w:val="bullet"/>
      <w:lvlText w:val=""/>
      <w:lvlJc w:val="left"/>
      <w:pPr>
        <w:ind w:left="1080" w:hanging="360"/>
      </w:pPr>
      <w:rPr>
        <w:rFonts w:ascii="Symbol" w:hAnsi="Symbol"/>
      </w:rPr>
    </w:lvl>
    <w:lvl w:ilvl="5" w:tplc="7248BD28">
      <w:start w:val="1"/>
      <w:numFmt w:val="bullet"/>
      <w:lvlText w:val=""/>
      <w:lvlJc w:val="left"/>
      <w:pPr>
        <w:ind w:left="1080" w:hanging="360"/>
      </w:pPr>
      <w:rPr>
        <w:rFonts w:ascii="Symbol" w:hAnsi="Symbol"/>
      </w:rPr>
    </w:lvl>
    <w:lvl w:ilvl="6" w:tplc="17322E76">
      <w:start w:val="1"/>
      <w:numFmt w:val="bullet"/>
      <w:lvlText w:val=""/>
      <w:lvlJc w:val="left"/>
      <w:pPr>
        <w:ind w:left="1080" w:hanging="360"/>
      </w:pPr>
      <w:rPr>
        <w:rFonts w:ascii="Symbol" w:hAnsi="Symbol"/>
      </w:rPr>
    </w:lvl>
    <w:lvl w:ilvl="7" w:tplc="C370302C">
      <w:start w:val="1"/>
      <w:numFmt w:val="bullet"/>
      <w:lvlText w:val=""/>
      <w:lvlJc w:val="left"/>
      <w:pPr>
        <w:ind w:left="1080" w:hanging="360"/>
      </w:pPr>
      <w:rPr>
        <w:rFonts w:ascii="Symbol" w:hAnsi="Symbol"/>
      </w:rPr>
    </w:lvl>
    <w:lvl w:ilvl="8" w:tplc="5E9ABA30">
      <w:start w:val="1"/>
      <w:numFmt w:val="bullet"/>
      <w:lvlText w:val=""/>
      <w:lvlJc w:val="left"/>
      <w:pPr>
        <w:ind w:left="1080" w:hanging="360"/>
      </w:pPr>
      <w:rPr>
        <w:rFonts w:ascii="Symbol" w:hAnsi="Symbol"/>
      </w:rPr>
    </w:lvl>
  </w:abstractNum>
  <w:abstractNum w:abstractNumId="1" w15:restartNumberingAfterBreak="0">
    <w:nsid w:val="5CC81DDD"/>
    <w:multiLevelType w:val="hybridMultilevel"/>
    <w:tmpl w:val="A114072C"/>
    <w:lvl w:ilvl="0" w:tplc="AA68E3E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B052E"/>
    <w:multiLevelType w:val="hybridMultilevel"/>
    <w:tmpl w:val="8E34E6E4"/>
    <w:lvl w:ilvl="0" w:tplc="587E59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1635768">
    <w:abstractNumId w:val="2"/>
  </w:num>
  <w:num w:numId="2" w16cid:durableId="90131251">
    <w:abstractNumId w:val="1"/>
  </w:num>
  <w:num w:numId="3" w16cid:durableId="97703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3D"/>
    <w:rsid w:val="00013247"/>
    <w:rsid w:val="00026B69"/>
    <w:rsid w:val="00057ACF"/>
    <w:rsid w:val="00067C1A"/>
    <w:rsid w:val="00094DB8"/>
    <w:rsid w:val="00096396"/>
    <w:rsid w:val="000B1913"/>
    <w:rsid w:val="000D45B4"/>
    <w:rsid w:val="000E3404"/>
    <w:rsid w:val="00136751"/>
    <w:rsid w:val="001823A4"/>
    <w:rsid w:val="0018698D"/>
    <w:rsid w:val="001A2AB9"/>
    <w:rsid w:val="001D28F5"/>
    <w:rsid w:val="001E5735"/>
    <w:rsid w:val="00206508"/>
    <w:rsid w:val="00216C72"/>
    <w:rsid w:val="00221A91"/>
    <w:rsid w:val="00233C9A"/>
    <w:rsid w:val="002476C2"/>
    <w:rsid w:val="002579A7"/>
    <w:rsid w:val="0028082B"/>
    <w:rsid w:val="002A31E7"/>
    <w:rsid w:val="002A55D4"/>
    <w:rsid w:val="002B10E9"/>
    <w:rsid w:val="002F495F"/>
    <w:rsid w:val="00303BA1"/>
    <w:rsid w:val="00336F74"/>
    <w:rsid w:val="00337A28"/>
    <w:rsid w:val="00337F3A"/>
    <w:rsid w:val="00345371"/>
    <w:rsid w:val="00375C38"/>
    <w:rsid w:val="00380CFE"/>
    <w:rsid w:val="00394D17"/>
    <w:rsid w:val="003A4C09"/>
    <w:rsid w:val="003D13CA"/>
    <w:rsid w:val="003E2AEF"/>
    <w:rsid w:val="003F479E"/>
    <w:rsid w:val="00442957"/>
    <w:rsid w:val="00443AD5"/>
    <w:rsid w:val="00493531"/>
    <w:rsid w:val="00496841"/>
    <w:rsid w:val="004B5AA6"/>
    <w:rsid w:val="004C3753"/>
    <w:rsid w:val="004F562D"/>
    <w:rsid w:val="004F58BA"/>
    <w:rsid w:val="005005F0"/>
    <w:rsid w:val="00526BD1"/>
    <w:rsid w:val="00555A42"/>
    <w:rsid w:val="00581794"/>
    <w:rsid w:val="00586C9C"/>
    <w:rsid w:val="005B6BFA"/>
    <w:rsid w:val="005E691B"/>
    <w:rsid w:val="00613600"/>
    <w:rsid w:val="00617D80"/>
    <w:rsid w:val="00663B97"/>
    <w:rsid w:val="006750E4"/>
    <w:rsid w:val="00675B2A"/>
    <w:rsid w:val="006760EA"/>
    <w:rsid w:val="00683271"/>
    <w:rsid w:val="006A7A09"/>
    <w:rsid w:val="006D069C"/>
    <w:rsid w:val="006D30D7"/>
    <w:rsid w:val="006F26EB"/>
    <w:rsid w:val="006F6C6D"/>
    <w:rsid w:val="007076E8"/>
    <w:rsid w:val="00714EBA"/>
    <w:rsid w:val="007348F5"/>
    <w:rsid w:val="007403B7"/>
    <w:rsid w:val="007424CC"/>
    <w:rsid w:val="007644AE"/>
    <w:rsid w:val="007807AA"/>
    <w:rsid w:val="00785337"/>
    <w:rsid w:val="007874DD"/>
    <w:rsid w:val="00797A55"/>
    <w:rsid w:val="007D1295"/>
    <w:rsid w:val="007E3AC0"/>
    <w:rsid w:val="007E420C"/>
    <w:rsid w:val="007E47AC"/>
    <w:rsid w:val="0082331C"/>
    <w:rsid w:val="0089419D"/>
    <w:rsid w:val="008B46C5"/>
    <w:rsid w:val="008B5CC0"/>
    <w:rsid w:val="008D43AE"/>
    <w:rsid w:val="008F7487"/>
    <w:rsid w:val="00911F08"/>
    <w:rsid w:val="009420C0"/>
    <w:rsid w:val="00961AB1"/>
    <w:rsid w:val="00997A3E"/>
    <w:rsid w:val="009A0BF8"/>
    <w:rsid w:val="009A54FE"/>
    <w:rsid w:val="009C12B7"/>
    <w:rsid w:val="009E2330"/>
    <w:rsid w:val="00A12AE3"/>
    <w:rsid w:val="00A1611B"/>
    <w:rsid w:val="00A23384"/>
    <w:rsid w:val="00A349EB"/>
    <w:rsid w:val="00A4196F"/>
    <w:rsid w:val="00A662C6"/>
    <w:rsid w:val="00A71D45"/>
    <w:rsid w:val="00A83572"/>
    <w:rsid w:val="00AB3BF1"/>
    <w:rsid w:val="00AB4B52"/>
    <w:rsid w:val="00AC15B2"/>
    <w:rsid w:val="00AD3A25"/>
    <w:rsid w:val="00AD7C8B"/>
    <w:rsid w:val="00AE3F08"/>
    <w:rsid w:val="00B0063D"/>
    <w:rsid w:val="00B0224E"/>
    <w:rsid w:val="00B3285A"/>
    <w:rsid w:val="00B71A25"/>
    <w:rsid w:val="00BC3F81"/>
    <w:rsid w:val="00BD65CF"/>
    <w:rsid w:val="00BE33B3"/>
    <w:rsid w:val="00BF2BC3"/>
    <w:rsid w:val="00C077C3"/>
    <w:rsid w:val="00C111BB"/>
    <w:rsid w:val="00C170FD"/>
    <w:rsid w:val="00C24E63"/>
    <w:rsid w:val="00C449AF"/>
    <w:rsid w:val="00C9242C"/>
    <w:rsid w:val="00C9286A"/>
    <w:rsid w:val="00CB3D79"/>
    <w:rsid w:val="00CB48C5"/>
    <w:rsid w:val="00CB7917"/>
    <w:rsid w:val="00CF22AE"/>
    <w:rsid w:val="00CF240F"/>
    <w:rsid w:val="00D11725"/>
    <w:rsid w:val="00D16137"/>
    <w:rsid w:val="00D51B3F"/>
    <w:rsid w:val="00D62319"/>
    <w:rsid w:val="00DC6807"/>
    <w:rsid w:val="00DD3A1D"/>
    <w:rsid w:val="00DD68C9"/>
    <w:rsid w:val="00DE79A0"/>
    <w:rsid w:val="00E00CB9"/>
    <w:rsid w:val="00E152F9"/>
    <w:rsid w:val="00E40AE4"/>
    <w:rsid w:val="00E418B0"/>
    <w:rsid w:val="00E42B87"/>
    <w:rsid w:val="00E569AF"/>
    <w:rsid w:val="00E60B59"/>
    <w:rsid w:val="00E67BB0"/>
    <w:rsid w:val="00E7042E"/>
    <w:rsid w:val="00E756CA"/>
    <w:rsid w:val="00EC5C56"/>
    <w:rsid w:val="00ED2359"/>
    <w:rsid w:val="00ED3016"/>
    <w:rsid w:val="00EE2D69"/>
    <w:rsid w:val="00F262F7"/>
    <w:rsid w:val="00F469C9"/>
    <w:rsid w:val="00F55535"/>
    <w:rsid w:val="00FC03BA"/>
    <w:rsid w:val="00FC2D4E"/>
    <w:rsid w:val="00FF1561"/>
    <w:rsid w:val="00FF4F53"/>
    <w:rsid w:val="00FF5DCE"/>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07F54"/>
  <w15:chartTrackingRefBased/>
  <w15:docId w15:val="{1D3DC90C-A866-4F74-AE12-151108EC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3D"/>
    <w:pPr>
      <w:spacing w:after="0" w:line="41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0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63D"/>
    <w:rPr>
      <w:rFonts w:eastAsiaTheme="majorEastAsia" w:cstheme="majorBidi"/>
      <w:color w:val="272727" w:themeColor="text1" w:themeTint="D8"/>
    </w:rPr>
  </w:style>
  <w:style w:type="paragraph" w:styleId="Title">
    <w:name w:val="Title"/>
    <w:basedOn w:val="Normal"/>
    <w:next w:val="Normal"/>
    <w:link w:val="TitleChar"/>
    <w:uiPriority w:val="10"/>
    <w:qFormat/>
    <w:rsid w:val="00B00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3D"/>
    <w:pPr>
      <w:spacing w:before="160"/>
      <w:jc w:val="center"/>
    </w:pPr>
    <w:rPr>
      <w:i/>
      <w:iCs/>
      <w:color w:val="404040" w:themeColor="text1" w:themeTint="BF"/>
    </w:rPr>
  </w:style>
  <w:style w:type="character" w:customStyle="1" w:styleId="QuoteChar">
    <w:name w:val="Quote Char"/>
    <w:basedOn w:val="DefaultParagraphFont"/>
    <w:link w:val="Quote"/>
    <w:uiPriority w:val="29"/>
    <w:rsid w:val="00B0063D"/>
    <w:rPr>
      <w:i/>
      <w:iCs/>
      <w:color w:val="404040" w:themeColor="text1" w:themeTint="BF"/>
    </w:rPr>
  </w:style>
  <w:style w:type="paragraph" w:styleId="ListParagraph">
    <w:name w:val="List Paragraph"/>
    <w:basedOn w:val="Normal"/>
    <w:uiPriority w:val="34"/>
    <w:qFormat/>
    <w:rsid w:val="00B0063D"/>
    <w:pPr>
      <w:ind w:left="720"/>
      <w:contextualSpacing/>
    </w:pPr>
  </w:style>
  <w:style w:type="character" w:styleId="IntenseEmphasis">
    <w:name w:val="Intense Emphasis"/>
    <w:basedOn w:val="DefaultParagraphFont"/>
    <w:uiPriority w:val="21"/>
    <w:qFormat/>
    <w:rsid w:val="00B0063D"/>
    <w:rPr>
      <w:i/>
      <w:iCs/>
      <w:color w:val="0F4761" w:themeColor="accent1" w:themeShade="BF"/>
    </w:rPr>
  </w:style>
  <w:style w:type="paragraph" w:styleId="IntenseQuote">
    <w:name w:val="Intense Quote"/>
    <w:basedOn w:val="Normal"/>
    <w:next w:val="Normal"/>
    <w:link w:val="IntenseQuoteChar"/>
    <w:uiPriority w:val="30"/>
    <w:qFormat/>
    <w:rsid w:val="00B00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63D"/>
    <w:rPr>
      <w:i/>
      <w:iCs/>
      <w:color w:val="0F4761" w:themeColor="accent1" w:themeShade="BF"/>
    </w:rPr>
  </w:style>
  <w:style w:type="character" w:styleId="IntenseReference">
    <w:name w:val="Intense Reference"/>
    <w:basedOn w:val="DefaultParagraphFont"/>
    <w:uiPriority w:val="32"/>
    <w:qFormat/>
    <w:rsid w:val="00B0063D"/>
    <w:rPr>
      <w:b/>
      <w:bCs/>
      <w:smallCaps/>
      <w:color w:val="0F4761" w:themeColor="accent1" w:themeShade="BF"/>
      <w:spacing w:val="5"/>
    </w:rPr>
  </w:style>
  <w:style w:type="paragraph" w:styleId="Footer">
    <w:name w:val="footer"/>
    <w:basedOn w:val="Normal"/>
    <w:link w:val="FooterChar"/>
    <w:semiHidden/>
    <w:rsid w:val="00B0063D"/>
    <w:pPr>
      <w:tabs>
        <w:tab w:val="center" w:pos="4320"/>
        <w:tab w:val="right" w:pos="8640"/>
      </w:tabs>
    </w:pPr>
  </w:style>
  <w:style w:type="character" w:customStyle="1" w:styleId="FooterChar">
    <w:name w:val="Footer Char"/>
    <w:basedOn w:val="DefaultParagraphFont"/>
    <w:link w:val="Footer"/>
    <w:semiHidden/>
    <w:rsid w:val="00B0063D"/>
    <w:rPr>
      <w:rFonts w:ascii="Times New Roman" w:eastAsia="Times New Roman" w:hAnsi="Times New Roman" w:cs="Times New Roman"/>
      <w:kern w:val="0"/>
      <w14:ligatures w14:val="none"/>
    </w:rPr>
  </w:style>
  <w:style w:type="paragraph" w:styleId="Header">
    <w:name w:val="header"/>
    <w:basedOn w:val="Normal"/>
    <w:link w:val="HeaderChar"/>
    <w:semiHidden/>
    <w:rsid w:val="00B0063D"/>
    <w:pPr>
      <w:tabs>
        <w:tab w:val="center" w:pos="4320"/>
        <w:tab w:val="right" w:pos="8640"/>
      </w:tabs>
    </w:pPr>
  </w:style>
  <w:style w:type="character" w:customStyle="1" w:styleId="HeaderChar">
    <w:name w:val="Header Char"/>
    <w:basedOn w:val="DefaultParagraphFont"/>
    <w:link w:val="Header"/>
    <w:semiHidden/>
    <w:rsid w:val="00B0063D"/>
    <w:rPr>
      <w:rFonts w:ascii="Times New Roman" w:eastAsia="Times New Roman" w:hAnsi="Times New Roman" w:cs="Times New Roman"/>
      <w:kern w:val="0"/>
      <w14:ligatures w14:val="none"/>
    </w:rPr>
  </w:style>
  <w:style w:type="paragraph" w:styleId="BodyText">
    <w:name w:val="Body Text"/>
    <w:basedOn w:val="Normal"/>
    <w:link w:val="BodyTextChar"/>
    <w:semiHidden/>
    <w:rsid w:val="00B0063D"/>
    <w:pPr>
      <w:spacing w:line="205" w:lineRule="auto"/>
    </w:pPr>
  </w:style>
  <w:style w:type="character" w:customStyle="1" w:styleId="BodyTextChar">
    <w:name w:val="Body Text Char"/>
    <w:basedOn w:val="DefaultParagraphFont"/>
    <w:link w:val="BodyText"/>
    <w:semiHidden/>
    <w:rsid w:val="00B0063D"/>
    <w:rPr>
      <w:rFonts w:ascii="Times New Roman" w:eastAsia="Times New Roman" w:hAnsi="Times New Roman" w:cs="Times New Roman"/>
      <w:kern w:val="0"/>
      <w14:ligatures w14:val="none"/>
    </w:rPr>
  </w:style>
  <w:style w:type="character" w:styleId="PageNumber">
    <w:name w:val="page number"/>
    <w:basedOn w:val="DefaultParagraphFont"/>
    <w:semiHidden/>
    <w:rsid w:val="00B0063D"/>
  </w:style>
  <w:style w:type="character" w:styleId="Hyperlink">
    <w:name w:val="Hyperlink"/>
    <w:semiHidden/>
    <w:rsid w:val="00B0063D"/>
    <w:rPr>
      <w:color w:val="0000FF"/>
      <w:u w:val="single"/>
    </w:rPr>
  </w:style>
  <w:style w:type="paragraph" w:customStyle="1" w:styleId="SingleSpacing">
    <w:name w:val="Single Spacing"/>
    <w:basedOn w:val="Normal"/>
    <w:rsid w:val="00B0063D"/>
    <w:pPr>
      <w:spacing w:line="245" w:lineRule="exact"/>
    </w:pPr>
    <w:rPr>
      <w:sz w:val="20"/>
      <w:szCs w:val="20"/>
    </w:rPr>
  </w:style>
  <w:style w:type="paragraph" w:styleId="FootnoteText">
    <w:name w:val="footnote text"/>
    <w:basedOn w:val="Normal"/>
    <w:link w:val="FootnoteTextChar1"/>
    <w:semiHidden/>
    <w:rsid w:val="00B0063D"/>
    <w:rPr>
      <w:sz w:val="20"/>
      <w:szCs w:val="20"/>
    </w:rPr>
  </w:style>
  <w:style w:type="character" w:customStyle="1" w:styleId="FootnoteTextChar">
    <w:name w:val="Footnote Text Char"/>
    <w:basedOn w:val="DefaultParagraphFont"/>
    <w:uiPriority w:val="99"/>
    <w:semiHidden/>
    <w:rsid w:val="00B0063D"/>
    <w:rPr>
      <w:rFonts w:ascii="Times New Roman" w:eastAsia="Times New Roman" w:hAnsi="Times New Roman" w:cs="Times New Roman"/>
      <w:kern w:val="0"/>
      <w:sz w:val="20"/>
      <w:szCs w:val="20"/>
      <w14:ligatures w14:val="none"/>
    </w:rPr>
  </w:style>
  <w:style w:type="character" w:styleId="FootnoteReference">
    <w:name w:val="footnote reference"/>
    <w:semiHidden/>
    <w:rsid w:val="00B0063D"/>
    <w:rPr>
      <w:vertAlign w:val="superscript"/>
    </w:rPr>
  </w:style>
  <w:style w:type="character" w:customStyle="1" w:styleId="FootnoteTextChar1">
    <w:name w:val="Footnote Text Char1"/>
    <w:link w:val="FootnoteText"/>
    <w:semiHidden/>
    <w:rsid w:val="00B0063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375C38"/>
    <w:rPr>
      <w:sz w:val="16"/>
      <w:szCs w:val="16"/>
    </w:rPr>
  </w:style>
  <w:style w:type="paragraph" w:styleId="CommentText">
    <w:name w:val="annotation text"/>
    <w:basedOn w:val="Normal"/>
    <w:link w:val="CommentTextChar"/>
    <w:uiPriority w:val="99"/>
    <w:unhideWhenUsed/>
    <w:rsid w:val="00375C38"/>
    <w:pPr>
      <w:spacing w:line="240" w:lineRule="auto"/>
    </w:pPr>
    <w:rPr>
      <w:sz w:val="20"/>
      <w:szCs w:val="20"/>
    </w:rPr>
  </w:style>
  <w:style w:type="character" w:customStyle="1" w:styleId="CommentTextChar">
    <w:name w:val="Comment Text Char"/>
    <w:basedOn w:val="DefaultParagraphFont"/>
    <w:link w:val="CommentText"/>
    <w:uiPriority w:val="99"/>
    <w:rsid w:val="00375C3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07AA"/>
    <w:rPr>
      <w:b/>
      <w:bCs/>
    </w:rPr>
  </w:style>
  <w:style w:type="character" w:customStyle="1" w:styleId="CommentSubjectChar">
    <w:name w:val="Comment Subject Char"/>
    <w:basedOn w:val="CommentTextChar"/>
    <w:link w:val="CommentSubject"/>
    <w:uiPriority w:val="99"/>
    <w:semiHidden/>
    <w:rsid w:val="007807A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A4C09"/>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A4C09"/>
    <w:rPr>
      <w:color w:val="605E5C"/>
      <w:shd w:val="clear" w:color="auto" w:fill="E1DFDD"/>
    </w:rPr>
  </w:style>
  <w:style w:type="character" w:styleId="LineNumber">
    <w:name w:val="line number"/>
    <w:basedOn w:val="DefaultParagraphFont"/>
    <w:uiPriority w:val="99"/>
    <w:semiHidden/>
    <w:unhideWhenUsed/>
    <w:rsid w:val="00FF4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nrichs@disablityrightsa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1762-E4D7-4F8E-882B-1624E8C1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Henrichs</dc:creator>
  <cp:keywords/>
  <dc:description/>
  <cp:lastModifiedBy>Katherine Henrichs</cp:lastModifiedBy>
  <cp:revision>28</cp:revision>
  <dcterms:created xsi:type="dcterms:W3CDTF">2025-04-30T22:47:00Z</dcterms:created>
  <dcterms:modified xsi:type="dcterms:W3CDTF">2025-04-30T23:28:00Z</dcterms:modified>
</cp:coreProperties>
</file>