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481E" w14:textId="2722B0EF" w:rsidR="00B0063D" w:rsidRDefault="00B0063D" w:rsidP="00B0063D">
      <w:pPr>
        <w:spacing w:line="240" w:lineRule="auto"/>
        <w:rPr>
          <w:sz w:val="28"/>
          <w:szCs w:val="28"/>
        </w:rPr>
      </w:pPr>
      <w:r>
        <w:rPr>
          <w:sz w:val="28"/>
          <w:szCs w:val="28"/>
        </w:rPr>
        <w:t>Katherine Henrichs</w:t>
      </w:r>
      <w:r w:rsidRPr="00A677A2">
        <w:rPr>
          <w:sz w:val="28"/>
          <w:szCs w:val="28"/>
        </w:rPr>
        <w:t xml:space="preserve">, AZ Bar No. </w:t>
      </w:r>
      <w:r>
        <w:rPr>
          <w:sz w:val="28"/>
          <w:szCs w:val="28"/>
        </w:rPr>
        <w:t>035928</w:t>
      </w:r>
    </w:p>
    <w:p w14:paraId="581481C5" w14:textId="25C5B4E1" w:rsidR="00B0063D" w:rsidRDefault="00B0063D" w:rsidP="00B0063D">
      <w:pPr>
        <w:spacing w:line="240" w:lineRule="auto"/>
        <w:rPr>
          <w:sz w:val="28"/>
          <w:szCs w:val="28"/>
        </w:rPr>
      </w:pPr>
      <w:r>
        <w:rPr>
          <w:sz w:val="28"/>
          <w:szCs w:val="28"/>
        </w:rPr>
        <w:t>DISABILITY RIGHTS ARIZONA</w:t>
      </w:r>
    </w:p>
    <w:p w14:paraId="4C423C80" w14:textId="53E03073" w:rsidR="00B0063D" w:rsidRDefault="00B0063D" w:rsidP="00B0063D">
      <w:pPr>
        <w:spacing w:line="240" w:lineRule="auto"/>
        <w:rPr>
          <w:sz w:val="28"/>
          <w:szCs w:val="28"/>
        </w:rPr>
      </w:pPr>
      <w:r>
        <w:rPr>
          <w:sz w:val="28"/>
          <w:szCs w:val="28"/>
        </w:rPr>
        <w:t>4539 E. Ft. Lowell Rd.</w:t>
      </w:r>
    </w:p>
    <w:p w14:paraId="1E350714" w14:textId="2F5C21A8" w:rsidR="00B0063D" w:rsidRDefault="00B0063D" w:rsidP="00B0063D">
      <w:pPr>
        <w:spacing w:line="240" w:lineRule="auto"/>
        <w:rPr>
          <w:sz w:val="28"/>
          <w:szCs w:val="28"/>
        </w:rPr>
      </w:pPr>
      <w:r>
        <w:rPr>
          <w:sz w:val="28"/>
          <w:szCs w:val="28"/>
        </w:rPr>
        <w:t>Tucson, AZ 85712</w:t>
      </w:r>
    </w:p>
    <w:p w14:paraId="6FE5D00F" w14:textId="14E399F5" w:rsidR="00B0063D" w:rsidRDefault="00B0063D" w:rsidP="00B0063D">
      <w:pPr>
        <w:spacing w:line="240" w:lineRule="auto"/>
        <w:rPr>
          <w:sz w:val="28"/>
          <w:szCs w:val="28"/>
        </w:rPr>
      </w:pPr>
      <w:r>
        <w:rPr>
          <w:sz w:val="28"/>
          <w:szCs w:val="28"/>
        </w:rPr>
        <w:t>520-327-9547</w:t>
      </w:r>
    </w:p>
    <w:p w14:paraId="6ACC9CF2" w14:textId="52CD71AA" w:rsidR="00B0063D" w:rsidRPr="00B0063D" w:rsidRDefault="00B0063D" w:rsidP="00B0063D">
      <w:pPr>
        <w:spacing w:line="240" w:lineRule="auto"/>
        <w:rPr>
          <w:sz w:val="28"/>
          <w:szCs w:val="28"/>
        </w:rPr>
      </w:pPr>
      <w:r>
        <w:rPr>
          <w:sz w:val="28"/>
          <w:szCs w:val="28"/>
        </w:rPr>
        <w:t>khenrichs@disablityrightsaz.org</w:t>
      </w:r>
    </w:p>
    <w:p w14:paraId="044D0D28" w14:textId="0A30E09A" w:rsidR="00B0063D" w:rsidRPr="00B0063D" w:rsidRDefault="00B0063D" w:rsidP="00B0063D">
      <w:pPr>
        <w:pStyle w:val="ListParagraph"/>
        <w:kinsoku w:val="0"/>
        <w:overflowPunct w:val="0"/>
        <w:ind w:left="4883"/>
        <w:rPr>
          <w:rFonts w:eastAsiaTheme="minorHAnsi"/>
          <w:sz w:val="20"/>
          <w:szCs w:val="20"/>
          <w14:ligatures w14:val="standardContextual"/>
        </w:rPr>
      </w:pPr>
      <w:r>
        <w:rPr>
          <w:sz w:val="28"/>
          <w:szCs w:val="28"/>
        </w:rPr>
        <w:tab/>
      </w:r>
      <w:r>
        <w:rPr>
          <w:sz w:val="28"/>
          <w:szCs w:val="28"/>
        </w:rPr>
        <w:tab/>
      </w:r>
      <w:r w:rsidRPr="00B0063D">
        <w:rPr>
          <w:sz w:val="28"/>
          <w:szCs w:val="28"/>
        </w:rPr>
        <w:t xml:space="preserve"> </w:t>
      </w:r>
    </w:p>
    <w:p w14:paraId="5E33A1D4" w14:textId="77777777" w:rsidR="00B0063D" w:rsidRPr="00B0063D" w:rsidRDefault="00B0063D" w:rsidP="00B0063D">
      <w:pPr>
        <w:spacing w:before="380" w:line="240" w:lineRule="exact"/>
        <w:jc w:val="center"/>
        <w:rPr>
          <w:b/>
          <w:bCs/>
          <w:sz w:val="28"/>
          <w:szCs w:val="28"/>
        </w:rPr>
      </w:pPr>
      <w:r w:rsidRPr="00B0063D">
        <w:rPr>
          <w:b/>
          <w:bCs/>
          <w:sz w:val="28"/>
          <w:szCs w:val="28"/>
        </w:rPr>
        <w:t>IN THE SUPREME COURT</w:t>
      </w:r>
    </w:p>
    <w:p w14:paraId="7DD41BDA" w14:textId="77777777" w:rsidR="00B0063D" w:rsidRPr="00B0063D" w:rsidRDefault="00B0063D" w:rsidP="00B0063D">
      <w:pPr>
        <w:spacing w:line="240" w:lineRule="exact"/>
        <w:jc w:val="center"/>
        <w:rPr>
          <w:b/>
          <w:bCs/>
          <w:sz w:val="28"/>
          <w:szCs w:val="28"/>
        </w:rPr>
      </w:pPr>
    </w:p>
    <w:p w14:paraId="4D3D723B" w14:textId="77777777" w:rsidR="00B0063D" w:rsidRPr="00A677A2" w:rsidRDefault="00B0063D" w:rsidP="00B0063D">
      <w:pPr>
        <w:tabs>
          <w:tab w:val="center" w:pos="4680"/>
          <w:tab w:val="left" w:pos="8385"/>
        </w:tabs>
        <w:spacing w:line="240" w:lineRule="exact"/>
        <w:rPr>
          <w:sz w:val="28"/>
          <w:szCs w:val="28"/>
        </w:rPr>
      </w:pPr>
      <w:r w:rsidRPr="00B0063D">
        <w:rPr>
          <w:b/>
          <w:bCs/>
          <w:sz w:val="28"/>
          <w:szCs w:val="28"/>
        </w:rPr>
        <w:tab/>
        <w:t>STATE OF ARIZONA</w:t>
      </w:r>
      <w:r w:rsidRPr="00A677A2">
        <w:rPr>
          <w:sz w:val="28"/>
          <w:szCs w:val="28"/>
        </w:rPr>
        <w:tab/>
      </w:r>
    </w:p>
    <w:p w14:paraId="49541AF9" w14:textId="77777777" w:rsidR="00B0063D" w:rsidRPr="00A677A2" w:rsidRDefault="00B0063D" w:rsidP="00B0063D">
      <w:pPr>
        <w:spacing w:line="240" w:lineRule="exact"/>
        <w:jc w:val="center"/>
        <w:rPr>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B0063D" w:rsidRPr="00A677A2" w14:paraId="2C47256F" w14:textId="77777777" w:rsidTr="00AB548A">
        <w:trPr>
          <w:trHeight w:val="80"/>
        </w:trPr>
        <w:tc>
          <w:tcPr>
            <w:tcW w:w="4542" w:type="dxa"/>
            <w:tcBorders>
              <w:bottom w:val="single" w:sz="4" w:space="0" w:color="auto"/>
              <w:right w:val="single" w:sz="4" w:space="0" w:color="auto"/>
            </w:tcBorders>
          </w:tcPr>
          <w:p w14:paraId="3A9B9E9F" w14:textId="77777777" w:rsidR="00B0063D" w:rsidRPr="00A677A2" w:rsidRDefault="00B0063D" w:rsidP="00AB548A">
            <w:pPr>
              <w:pStyle w:val="BodyText"/>
              <w:spacing w:line="240" w:lineRule="exact"/>
              <w:rPr>
                <w:sz w:val="28"/>
                <w:szCs w:val="28"/>
              </w:rPr>
            </w:pPr>
          </w:p>
          <w:p w14:paraId="7F20FD45" w14:textId="4E261936" w:rsidR="00B0063D" w:rsidRPr="00A677A2" w:rsidRDefault="00D8323C" w:rsidP="00AB548A">
            <w:pPr>
              <w:pStyle w:val="BodyText"/>
              <w:spacing w:line="240" w:lineRule="exact"/>
              <w:rPr>
                <w:sz w:val="28"/>
                <w:szCs w:val="28"/>
              </w:rPr>
            </w:pPr>
            <w:r>
              <w:rPr>
                <w:sz w:val="28"/>
                <w:szCs w:val="28"/>
              </w:rPr>
              <w:t>In the Matter of:</w:t>
            </w:r>
          </w:p>
          <w:p w14:paraId="2FA13328" w14:textId="77777777" w:rsidR="00B0063D" w:rsidRPr="00A677A2" w:rsidRDefault="00B0063D" w:rsidP="00AB548A">
            <w:pPr>
              <w:pStyle w:val="BodyText"/>
              <w:spacing w:line="240" w:lineRule="exact"/>
              <w:rPr>
                <w:sz w:val="28"/>
                <w:szCs w:val="28"/>
              </w:rPr>
            </w:pPr>
          </w:p>
          <w:p w14:paraId="3CFFF0B4" w14:textId="77777777" w:rsidR="00D8323C" w:rsidRDefault="00D8323C" w:rsidP="00AB548A">
            <w:pPr>
              <w:pStyle w:val="BodyText"/>
              <w:spacing w:line="240" w:lineRule="exact"/>
              <w:rPr>
                <w:b/>
                <w:bCs/>
                <w:sz w:val="28"/>
                <w:szCs w:val="28"/>
              </w:rPr>
            </w:pPr>
          </w:p>
          <w:p w14:paraId="56345F5F" w14:textId="6F5D1EA8" w:rsidR="00B0063D" w:rsidRPr="00B55DB2" w:rsidRDefault="009C75DF" w:rsidP="00AB548A">
            <w:pPr>
              <w:pStyle w:val="BodyText"/>
              <w:spacing w:line="240" w:lineRule="exact"/>
              <w:rPr>
                <w:sz w:val="28"/>
                <w:szCs w:val="28"/>
              </w:rPr>
            </w:pPr>
            <w:r w:rsidRPr="00B55DB2">
              <w:rPr>
                <w:sz w:val="28"/>
                <w:szCs w:val="28"/>
              </w:rPr>
              <w:t>Petition to Amend Rules 11(d) and 18(d), Arizona Rules of Procedure for Eviction Actions</w:t>
            </w:r>
          </w:p>
          <w:p w14:paraId="323B912F" w14:textId="77777777" w:rsidR="00B0063D" w:rsidRPr="00A677A2" w:rsidRDefault="00B0063D" w:rsidP="00AB548A">
            <w:pPr>
              <w:pStyle w:val="BodyText"/>
              <w:spacing w:line="240" w:lineRule="exact"/>
              <w:rPr>
                <w:sz w:val="28"/>
                <w:szCs w:val="28"/>
              </w:rPr>
            </w:pPr>
          </w:p>
        </w:tc>
        <w:tc>
          <w:tcPr>
            <w:tcW w:w="276" w:type="dxa"/>
            <w:tcBorders>
              <w:left w:val="single" w:sz="4" w:space="0" w:color="auto"/>
            </w:tcBorders>
          </w:tcPr>
          <w:p w14:paraId="323D9177" w14:textId="77777777" w:rsidR="00B0063D" w:rsidRPr="00A677A2" w:rsidRDefault="00B0063D" w:rsidP="00AB548A">
            <w:pPr>
              <w:pStyle w:val="SingleSpacing"/>
              <w:spacing w:line="240" w:lineRule="exact"/>
              <w:rPr>
                <w:sz w:val="28"/>
                <w:szCs w:val="28"/>
              </w:rPr>
            </w:pPr>
          </w:p>
        </w:tc>
        <w:tc>
          <w:tcPr>
            <w:tcW w:w="4542" w:type="dxa"/>
          </w:tcPr>
          <w:p w14:paraId="7F025074" w14:textId="77777777" w:rsidR="00B0063D" w:rsidRPr="00A677A2" w:rsidRDefault="00B0063D" w:rsidP="00AB548A">
            <w:pPr>
              <w:widowControl w:val="0"/>
              <w:spacing w:line="240" w:lineRule="exact"/>
              <w:rPr>
                <w:bCs/>
                <w:sz w:val="28"/>
                <w:szCs w:val="28"/>
              </w:rPr>
            </w:pPr>
            <w:bookmarkStart w:id="0" w:name="CaseNumber"/>
            <w:bookmarkEnd w:id="0"/>
          </w:p>
          <w:p w14:paraId="16D56442" w14:textId="1547BF53" w:rsidR="00B0063D" w:rsidRPr="007C1504" w:rsidRDefault="00B0063D" w:rsidP="00AB548A">
            <w:pPr>
              <w:widowControl w:val="0"/>
              <w:spacing w:line="240" w:lineRule="auto"/>
              <w:rPr>
                <w:bCs/>
                <w:sz w:val="28"/>
                <w:szCs w:val="28"/>
                <w:u w:val="single"/>
              </w:rPr>
            </w:pPr>
            <w:r w:rsidRPr="00A677A2">
              <w:rPr>
                <w:bCs/>
                <w:sz w:val="28"/>
                <w:szCs w:val="28"/>
              </w:rPr>
              <w:t xml:space="preserve">Supreme Court No. </w:t>
            </w:r>
            <w:r>
              <w:rPr>
                <w:bCs/>
                <w:sz w:val="28"/>
                <w:szCs w:val="28"/>
              </w:rPr>
              <w:t>R-25-</w:t>
            </w:r>
            <w:r w:rsidR="009C75DF">
              <w:rPr>
                <w:bCs/>
                <w:sz w:val="28"/>
                <w:szCs w:val="28"/>
              </w:rPr>
              <w:t>0020</w:t>
            </w:r>
            <w:r>
              <w:rPr>
                <w:bCs/>
                <w:sz w:val="28"/>
                <w:szCs w:val="28"/>
                <w:u w:val="single"/>
              </w:rPr>
              <w:t xml:space="preserve">     </w:t>
            </w:r>
          </w:p>
          <w:p w14:paraId="13740408" w14:textId="77777777" w:rsidR="00B0063D" w:rsidRPr="00A677A2" w:rsidRDefault="00B0063D" w:rsidP="00AB548A">
            <w:pPr>
              <w:widowControl w:val="0"/>
              <w:spacing w:line="240" w:lineRule="exact"/>
              <w:rPr>
                <w:bCs/>
                <w:sz w:val="28"/>
                <w:szCs w:val="28"/>
              </w:rPr>
            </w:pPr>
            <w:r w:rsidRPr="00A677A2">
              <w:rPr>
                <w:bCs/>
                <w:sz w:val="28"/>
                <w:szCs w:val="28"/>
              </w:rPr>
              <w:t>_</w:t>
            </w:r>
          </w:p>
          <w:p w14:paraId="6A70BB16" w14:textId="47262D01" w:rsidR="00B0063D" w:rsidRPr="00A677A2" w:rsidRDefault="00D8323C" w:rsidP="00AB548A">
            <w:pPr>
              <w:widowControl w:val="0"/>
              <w:spacing w:line="240" w:lineRule="exact"/>
              <w:rPr>
                <w:bCs/>
                <w:sz w:val="28"/>
                <w:szCs w:val="28"/>
                <w:u w:val="single"/>
              </w:rPr>
            </w:pPr>
            <w:r>
              <w:rPr>
                <w:b/>
                <w:bCs/>
                <w:sz w:val="28"/>
                <w:szCs w:val="28"/>
              </w:rPr>
              <w:t xml:space="preserve">Comment </w:t>
            </w:r>
            <w:proofErr w:type="gramStart"/>
            <w:r>
              <w:rPr>
                <w:b/>
                <w:bCs/>
                <w:sz w:val="28"/>
                <w:szCs w:val="28"/>
              </w:rPr>
              <w:t>to</w:t>
            </w:r>
            <w:proofErr w:type="gramEnd"/>
            <w:r>
              <w:rPr>
                <w:b/>
                <w:bCs/>
                <w:sz w:val="28"/>
                <w:szCs w:val="28"/>
              </w:rPr>
              <w:t xml:space="preserve"> Petition to Amend Rules 11(d) and 18(d), Rules of Procedure for Eviction Actions</w:t>
            </w:r>
          </w:p>
          <w:p w14:paraId="01C63761" w14:textId="77777777" w:rsidR="00B0063D" w:rsidRPr="00A677A2" w:rsidRDefault="00B0063D" w:rsidP="00AB548A">
            <w:pPr>
              <w:widowControl w:val="0"/>
              <w:spacing w:line="240" w:lineRule="exact"/>
              <w:rPr>
                <w:bCs/>
                <w:sz w:val="28"/>
                <w:szCs w:val="28"/>
                <w:u w:val="single"/>
              </w:rPr>
            </w:pPr>
          </w:p>
        </w:tc>
      </w:tr>
    </w:tbl>
    <w:p w14:paraId="760BCE5A" w14:textId="77777777" w:rsidR="00701077" w:rsidRDefault="00B0063D" w:rsidP="00701077">
      <w:pPr>
        <w:pStyle w:val="BodyText"/>
        <w:spacing w:before="60" w:line="470" w:lineRule="exact"/>
        <w:ind w:firstLine="720"/>
        <w:jc w:val="both"/>
        <w:rPr>
          <w:sz w:val="28"/>
          <w:szCs w:val="28"/>
        </w:rPr>
      </w:pPr>
      <w:r w:rsidRPr="00A677A2">
        <w:rPr>
          <w:sz w:val="28"/>
          <w:szCs w:val="28"/>
        </w:rPr>
        <w:t xml:space="preserve">Pursuant to </w:t>
      </w:r>
      <w:r w:rsidR="00394081">
        <w:rPr>
          <w:sz w:val="28"/>
          <w:szCs w:val="28"/>
        </w:rPr>
        <w:t xml:space="preserve">Rule 28(e) of the Rules of the Supreme Court of Arizona, Disability Rights Arizona (DRAZ), formerly the Arizona Center for Disability Law, respectfully submits this comment in support of Petition R-25-0020, filed by Petitioners William E. Morris Institute for Justice, Community Legal Services, DNA People’s Legal Services, and Southern Arizona Legal Aid (Petitioners), which would amend </w:t>
      </w:r>
      <w:r w:rsidRPr="00A677A2">
        <w:rPr>
          <w:sz w:val="28"/>
          <w:szCs w:val="28"/>
        </w:rPr>
        <w:t xml:space="preserve">the Rules of Procedure for Eviction Actions (“RPEA”), </w:t>
      </w:r>
      <w:r>
        <w:rPr>
          <w:sz w:val="28"/>
          <w:szCs w:val="28"/>
        </w:rPr>
        <w:t>Rule</w:t>
      </w:r>
      <w:r w:rsidR="00394081">
        <w:rPr>
          <w:sz w:val="28"/>
          <w:szCs w:val="28"/>
        </w:rPr>
        <w:t>s</w:t>
      </w:r>
      <w:r>
        <w:rPr>
          <w:sz w:val="28"/>
          <w:szCs w:val="28"/>
        </w:rPr>
        <w:t xml:space="preserve"> 11(d) and</w:t>
      </w:r>
      <w:r w:rsidR="00394081">
        <w:rPr>
          <w:sz w:val="28"/>
          <w:szCs w:val="28"/>
        </w:rPr>
        <w:t xml:space="preserve"> </w:t>
      </w:r>
      <w:r w:rsidRPr="00A677A2">
        <w:rPr>
          <w:sz w:val="28"/>
          <w:szCs w:val="28"/>
        </w:rPr>
        <w:t>1</w:t>
      </w:r>
      <w:r>
        <w:rPr>
          <w:sz w:val="28"/>
          <w:szCs w:val="28"/>
        </w:rPr>
        <w:t>8</w:t>
      </w:r>
      <w:r w:rsidRPr="00A677A2">
        <w:rPr>
          <w:sz w:val="28"/>
          <w:szCs w:val="28"/>
        </w:rPr>
        <w:t>(</w:t>
      </w:r>
      <w:r>
        <w:rPr>
          <w:sz w:val="28"/>
          <w:szCs w:val="28"/>
        </w:rPr>
        <w:t>d</w:t>
      </w:r>
      <w:r w:rsidRPr="00A677A2">
        <w:rPr>
          <w:sz w:val="28"/>
          <w:szCs w:val="28"/>
        </w:rPr>
        <w:t>)</w:t>
      </w:r>
      <w:r w:rsidR="00394081">
        <w:rPr>
          <w:sz w:val="28"/>
          <w:szCs w:val="28"/>
        </w:rPr>
        <w:t xml:space="preserve">, </w:t>
      </w:r>
      <w:r>
        <w:rPr>
          <w:sz w:val="28"/>
          <w:szCs w:val="28"/>
        </w:rPr>
        <w:t>to have a definition of “good cause” that encourages parties to request</w:t>
      </w:r>
      <w:r w:rsidR="001165C0">
        <w:rPr>
          <w:sz w:val="28"/>
          <w:szCs w:val="28"/>
        </w:rPr>
        <w:t>—</w:t>
      </w:r>
      <w:r>
        <w:rPr>
          <w:sz w:val="28"/>
          <w:szCs w:val="28"/>
        </w:rPr>
        <w:t>and courts to grant</w:t>
      </w:r>
      <w:r w:rsidR="001165C0">
        <w:rPr>
          <w:sz w:val="28"/>
          <w:szCs w:val="28"/>
        </w:rPr>
        <w:t>—</w:t>
      </w:r>
      <w:r>
        <w:rPr>
          <w:sz w:val="28"/>
          <w:szCs w:val="28"/>
        </w:rPr>
        <w:t xml:space="preserve">continuances to parties when needed. </w:t>
      </w:r>
    </w:p>
    <w:p w14:paraId="374D903D" w14:textId="3E4EF4A2" w:rsidR="00B0063D" w:rsidRDefault="008869F0" w:rsidP="00701077">
      <w:pPr>
        <w:pStyle w:val="BodyText"/>
        <w:spacing w:before="60" w:line="470" w:lineRule="exact"/>
        <w:ind w:firstLine="720"/>
        <w:jc w:val="both"/>
        <w:rPr>
          <w:sz w:val="28"/>
          <w:szCs w:val="28"/>
        </w:rPr>
      </w:pPr>
      <w:r>
        <w:rPr>
          <w:sz w:val="28"/>
          <w:szCs w:val="28"/>
        </w:rPr>
        <w:t xml:space="preserve">DRAZ is a statewide non-profit law firm that provides no-cost legal advice and representation to people with disabilities. DRAZ is the designated Protection &amp; Advocacy (P&amp;A) agency for individuals with disabilities in Arizona. DRAZ regularly provides legal information, advice, and representation to tenants with disabilities who have faced or are facing discriminatory evictions. DRAZ has expertise in disability-related barriers that affect </w:t>
      </w:r>
      <w:r w:rsidR="00D62494">
        <w:rPr>
          <w:sz w:val="28"/>
          <w:szCs w:val="28"/>
        </w:rPr>
        <w:t>individuals’ ability to appear</w:t>
      </w:r>
      <w:r>
        <w:rPr>
          <w:sz w:val="28"/>
          <w:szCs w:val="28"/>
        </w:rPr>
        <w:t xml:space="preserve"> at</w:t>
      </w:r>
      <w:r w:rsidR="00736D0A">
        <w:rPr>
          <w:sz w:val="28"/>
          <w:szCs w:val="28"/>
        </w:rPr>
        <w:t xml:space="preserve"> and participate in</w:t>
      </w:r>
      <w:r>
        <w:rPr>
          <w:sz w:val="28"/>
          <w:szCs w:val="28"/>
        </w:rPr>
        <w:t xml:space="preserve"> eviction hearings.</w:t>
      </w:r>
    </w:p>
    <w:p w14:paraId="12A79414" w14:textId="75145842" w:rsidR="001B7B9D" w:rsidRPr="00A677A2" w:rsidRDefault="00DC341F" w:rsidP="00701077">
      <w:pPr>
        <w:pStyle w:val="BodyText"/>
        <w:spacing w:line="472" w:lineRule="exact"/>
        <w:ind w:firstLine="720"/>
        <w:jc w:val="both"/>
        <w:rPr>
          <w:sz w:val="28"/>
          <w:szCs w:val="28"/>
        </w:rPr>
      </w:pPr>
      <w:r>
        <w:rPr>
          <w:sz w:val="28"/>
          <w:szCs w:val="28"/>
        </w:rPr>
        <w:lastRenderedPageBreak/>
        <w:t xml:space="preserve">DRAZ supports the proposed rule amendment in its entirety. </w:t>
      </w:r>
      <w:r w:rsidR="001B7B9D">
        <w:rPr>
          <w:sz w:val="28"/>
          <w:szCs w:val="28"/>
        </w:rPr>
        <w:t>DRAZ</w:t>
      </w:r>
      <w:r w:rsidR="008B291F">
        <w:rPr>
          <w:sz w:val="28"/>
          <w:szCs w:val="28"/>
        </w:rPr>
        <w:t>’s</w:t>
      </w:r>
      <w:r>
        <w:rPr>
          <w:sz w:val="28"/>
          <w:szCs w:val="28"/>
        </w:rPr>
        <w:t xml:space="preserve"> comment focuses on the two grounds</w:t>
      </w:r>
      <w:r w:rsidR="005D5CF6">
        <w:rPr>
          <w:sz w:val="28"/>
          <w:szCs w:val="28"/>
        </w:rPr>
        <w:t xml:space="preserve"> for good cause</w:t>
      </w:r>
      <w:r>
        <w:rPr>
          <w:sz w:val="28"/>
          <w:szCs w:val="28"/>
        </w:rPr>
        <w:t xml:space="preserve"> that </w:t>
      </w:r>
      <w:r w:rsidR="00A5306E">
        <w:rPr>
          <w:sz w:val="28"/>
          <w:szCs w:val="28"/>
        </w:rPr>
        <w:t xml:space="preserve">directly </w:t>
      </w:r>
      <w:r>
        <w:rPr>
          <w:sz w:val="28"/>
          <w:szCs w:val="28"/>
        </w:rPr>
        <w:t>impact the disability community:</w:t>
      </w:r>
      <w:r w:rsidR="001B7B9D">
        <w:rPr>
          <w:sz w:val="28"/>
          <w:szCs w:val="28"/>
        </w:rPr>
        <w:t xml:space="preserve"> </w:t>
      </w:r>
      <w:r w:rsidR="00704CE8">
        <w:rPr>
          <w:sz w:val="28"/>
          <w:szCs w:val="28"/>
        </w:rPr>
        <w:t xml:space="preserve">(1) a health or medical emergency </w:t>
      </w:r>
      <w:r w:rsidR="002B31B6">
        <w:rPr>
          <w:sz w:val="28"/>
          <w:szCs w:val="28"/>
        </w:rPr>
        <w:t>and</w:t>
      </w:r>
      <w:r w:rsidR="00704CE8">
        <w:rPr>
          <w:sz w:val="28"/>
          <w:szCs w:val="28"/>
        </w:rPr>
        <w:t xml:space="preserve"> (2) a need to request an</w:t>
      </w:r>
      <w:r w:rsidR="00505BA1">
        <w:rPr>
          <w:sz w:val="28"/>
          <w:szCs w:val="28"/>
        </w:rPr>
        <w:t>d</w:t>
      </w:r>
      <w:r w:rsidR="00704CE8">
        <w:rPr>
          <w:sz w:val="28"/>
          <w:szCs w:val="28"/>
        </w:rPr>
        <w:t xml:space="preserve"> obtain a reasonable accommodation under the Americans with Disabilities Act (ADA). Individuals with disabilities are more likely to have a medical or health emergency</w:t>
      </w:r>
      <w:r w:rsidR="00BD48A1">
        <w:rPr>
          <w:sz w:val="28"/>
          <w:szCs w:val="28"/>
        </w:rPr>
        <w:t xml:space="preserve"> </w:t>
      </w:r>
      <w:r w:rsidR="00370581">
        <w:rPr>
          <w:sz w:val="28"/>
          <w:szCs w:val="28"/>
        </w:rPr>
        <w:t>that</w:t>
      </w:r>
      <w:r w:rsidR="00704CE8">
        <w:rPr>
          <w:sz w:val="28"/>
          <w:szCs w:val="28"/>
        </w:rPr>
        <w:t xml:space="preserve"> affect</w:t>
      </w:r>
      <w:r w:rsidR="00370581">
        <w:rPr>
          <w:sz w:val="28"/>
          <w:szCs w:val="28"/>
        </w:rPr>
        <w:t>s</w:t>
      </w:r>
      <w:r w:rsidR="00704CE8">
        <w:rPr>
          <w:sz w:val="28"/>
          <w:szCs w:val="28"/>
        </w:rPr>
        <w:t xml:space="preserve"> their ability to appear at a court hearing. </w:t>
      </w:r>
      <w:r w:rsidR="003C27AD">
        <w:rPr>
          <w:sz w:val="28"/>
          <w:szCs w:val="28"/>
        </w:rPr>
        <w:t>Further, o</w:t>
      </w:r>
      <w:r w:rsidR="00370581">
        <w:rPr>
          <w:sz w:val="28"/>
          <w:szCs w:val="28"/>
        </w:rPr>
        <w:t xml:space="preserve">nly individuals with disabilities may need reasonable </w:t>
      </w:r>
      <w:r w:rsidR="00BD48A1">
        <w:rPr>
          <w:sz w:val="28"/>
          <w:szCs w:val="28"/>
        </w:rPr>
        <w:t>accommodations</w:t>
      </w:r>
      <w:r w:rsidR="00370581">
        <w:rPr>
          <w:sz w:val="28"/>
          <w:szCs w:val="28"/>
        </w:rPr>
        <w:t xml:space="preserve"> to equally participate in a court hearing. </w:t>
      </w:r>
      <w:r w:rsidR="00A5306E">
        <w:rPr>
          <w:sz w:val="28"/>
          <w:szCs w:val="28"/>
        </w:rPr>
        <w:t xml:space="preserve">A </w:t>
      </w:r>
      <w:r w:rsidR="00704CE8">
        <w:rPr>
          <w:sz w:val="28"/>
          <w:szCs w:val="28"/>
        </w:rPr>
        <w:t xml:space="preserve">mandatory </w:t>
      </w:r>
      <w:proofErr w:type="gramStart"/>
      <w:r w:rsidR="00704CE8">
        <w:rPr>
          <w:sz w:val="28"/>
          <w:szCs w:val="28"/>
        </w:rPr>
        <w:t>continuance</w:t>
      </w:r>
      <w:proofErr w:type="gramEnd"/>
      <w:r w:rsidR="00370581">
        <w:rPr>
          <w:sz w:val="28"/>
          <w:szCs w:val="28"/>
        </w:rPr>
        <w:t xml:space="preserve"> </w:t>
      </w:r>
      <w:r w:rsidR="00A5306E">
        <w:rPr>
          <w:sz w:val="28"/>
          <w:szCs w:val="28"/>
        </w:rPr>
        <w:t xml:space="preserve">of either three or ten days </w:t>
      </w:r>
      <w:r w:rsidR="00370581">
        <w:rPr>
          <w:sz w:val="28"/>
          <w:szCs w:val="28"/>
        </w:rPr>
        <w:t>because of a health or medical emergency or to process a reasonable accommodation request</w:t>
      </w:r>
      <w:r w:rsidR="00BD48A1">
        <w:rPr>
          <w:sz w:val="28"/>
          <w:szCs w:val="28"/>
        </w:rPr>
        <w:t xml:space="preserve"> </w:t>
      </w:r>
      <w:r w:rsidR="00704CE8">
        <w:rPr>
          <w:sz w:val="28"/>
          <w:szCs w:val="28"/>
        </w:rPr>
        <w:t>is reasonable and in the interest</w:t>
      </w:r>
      <w:r w:rsidR="00506A31">
        <w:rPr>
          <w:sz w:val="28"/>
          <w:szCs w:val="28"/>
        </w:rPr>
        <w:t>s</w:t>
      </w:r>
      <w:r w:rsidR="00704CE8">
        <w:rPr>
          <w:sz w:val="28"/>
          <w:szCs w:val="28"/>
        </w:rPr>
        <w:t xml:space="preserve"> of justice.</w:t>
      </w:r>
    </w:p>
    <w:p w14:paraId="35A350FF" w14:textId="5B98E881" w:rsidR="00B0063D" w:rsidRPr="00A677A2" w:rsidRDefault="00B0063D" w:rsidP="00701077">
      <w:pPr>
        <w:pStyle w:val="BodyText"/>
        <w:spacing w:line="472" w:lineRule="exact"/>
        <w:ind w:left="720" w:hanging="720"/>
        <w:jc w:val="both"/>
        <w:rPr>
          <w:sz w:val="28"/>
          <w:szCs w:val="28"/>
        </w:rPr>
      </w:pPr>
      <w:r w:rsidRPr="00A677A2">
        <w:rPr>
          <w:b/>
          <w:sz w:val="28"/>
          <w:szCs w:val="28"/>
        </w:rPr>
        <w:t>I.</w:t>
      </w:r>
      <w:r w:rsidRPr="00A677A2">
        <w:rPr>
          <w:b/>
          <w:sz w:val="28"/>
          <w:szCs w:val="28"/>
        </w:rPr>
        <w:tab/>
      </w:r>
      <w:r w:rsidR="008C39FE">
        <w:rPr>
          <w:b/>
          <w:sz w:val="28"/>
          <w:szCs w:val="28"/>
        </w:rPr>
        <w:t xml:space="preserve">Individuals with disabilities face </w:t>
      </w:r>
      <w:r w:rsidR="00505E32">
        <w:rPr>
          <w:b/>
          <w:sz w:val="28"/>
          <w:szCs w:val="28"/>
        </w:rPr>
        <w:t xml:space="preserve">disability-related </w:t>
      </w:r>
      <w:r w:rsidR="008C39FE">
        <w:rPr>
          <w:b/>
          <w:sz w:val="28"/>
          <w:szCs w:val="28"/>
        </w:rPr>
        <w:t xml:space="preserve">barriers that affect their </w:t>
      </w:r>
      <w:r w:rsidR="00B20580">
        <w:rPr>
          <w:b/>
          <w:sz w:val="28"/>
          <w:szCs w:val="28"/>
        </w:rPr>
        <w:t>appearance</w:t>
      </w:r>
      <w:r w:rsidR="008C39FE">
        <w:rPr>
          <w:b/>
          <w:sz w:val="28"/>
          <w:szCs w:val="28"/>
        </w:rPr>
        <w:t xml:space="preserve"> at </w:t>
      </w:r>
      <w:r w:rsidR="002260E2">
        <w:rPr>
          <w:b/>
          <w:sz w:val="28"/>
          <w:szCs w:val="28"/>
        </w:rPr>
        <w:t>court</w:t>
      </w:r>
      <w:r w:rsidR="008C39FE">
        <w:rPr>
          <w:b/>
          <w:sz w:val="28"/>
          <w:szCs w:val="28"/>
        </w:rPr>
        <w:t xml:space="preserve"> hearings</w:t>
      </w:r>
      <w:r w:rsidR="002260E2">
        <w:rPr>
          <w:b/>
          <w:sz w:val="28"/>
          <w:szCs w:val="28"/>
        </w:rPr>
        <w:t xml:space="preserve"> and their susceptibility to eviction.</w:t>
      </w:r>
    </w:p>
    <w:p w14:paraId="70A3567F" w14:textId="0FCDC03C" w:rsidR="00B0063D" w:rsidRDefault="00B0063D" w:rsidP="00701077">
      <w:pPr>
        <w:pStyle w:val="BodyText"/>
        <w:widowControl w:val="0"/>
        <w:spacing w:line="472" w:lineRule="exact"/>
        <w:jc w:val="both"/>
        <w:rPr>
          <w:sz w:val="28"/>
          <w:szCs w:val="28"/>
        </w:rPr>
      </w:pPr>
      <w:r w:rsidRPr="00A677A2">
        <w:rPr>
          <w:sz w:val="28"/>
          <w:szCs w:val="28"/>
        </w:rPr>
        <w:tab/>
      </w:r>
      <w:r w:rsidR="00B47493">
        <w:rPr>
          <w:sz w:val="28"/>
          <w:szCs w:val="28"/>
        </w:rPr>
        <w:t>People with disabilities face discrimination in accessing programs, services, and buildings operated by state courts despite legislative action and intent to remedy such discrimination</w:t>
      </w:r>
      <w:r w:rsidR="00FE0844">
        <w:rPr>
          <w:sz w:val="28"/>
          <w:szCs w:val="28"/>
        </w:rPr>
        <w:t xml:space="preserve"> and ensure equal access</w:t>
      </w:r>
      <w:r w:rsidR="00B47493">
        <w:rPr>
          <w:sz w:val="28"/>
          <w:szCs w:val="28"/>
        </w:rPr>
        <w:t>.</w:t>
      </w:r>
      <w:r w:rsidR="00B47493">
        <w:rPr>
          <w:rStyle w:val="FootnoteReference"/>
          <w:sz w:val="28"/>
          <w:szCs w:val="28"/>
        </w:rPr>
        <w:footnoteReference w:id="1"/>
      </w:r>
      <w:r w:rsidR="00B47493">
        <w:rPr>
          <w:sz w:val="28"/>
          <w:szCs w:val="28"/>
        </w:rPr>
        <w:t xml:space="preserve"> Title II of the ADA requires state courts to provide reasonable modifications in their programs and activities, as well as </w:t>
      </w:r>
      <w:r w:rsidR="002F5D98">
        <w:rPr>
          <w:sz w:val="28"/>
          <w:szCs w:val="28"/>
        </w:rPr>
        <w:t xml:space="preserve">provide </w:t>
      </w:r>
      <w:r w:rsidR="00B47493">
        <w:rPr>
          <w:sz w:val="28"/>
          <w:szCs w:val="28"/>
        </w:rPr>
        <w:t xml:space="preserve">auxiliary aids and services, to </w:t>
      </w:r>
      <w:r w:rsidR="002F5D98">
        <w:rPr>
          <w:sz w:val="28"/>
          <w:szCs w:val="28"/>
        </w:rPr>
        <w:t>give</w:t>
      </w:r>
      <w:r w:rsidR="00B47493">
        <w:rPr>
          <w:sz w:val="28"/>
          <w:szCs w:val="28"/>
        </w:rPr>
        <w:t xml:space="preserve"> people with disabilities an equal opportunity to participate.</w:t>
      </w:r>
      <w:r w:rsidR="009A0A01">
        <w:rPr>
          <w:rStyle w:val="FootnoteReference"/>
          <w:sz w:val="28"/>
          <w:szCs w:val="28"/>
        </w:rPr>
        <w:footnoteReference w:id="2"/>
      </w:r>
      <w:r w:rsidR="00B47493">
        <w:rPr>
          <w:sz w:val="28"/>
          <w:szCs w:val="28"/>
        </w:rPr>
        <w:t xml:space="preserve"> </w:t>
      </w:r>
      <w:r w:rsidR="007D6F10">
        <w:rPr>
          <w:sz w:val="28"/>
          <w:szCs w:val="28"/>
        </w:rPr>
        <w:t>The purpose of t</w:t>
      </w:r>
      <w:r w:rsidR="00B07346">
        <w:rPr>
          <w:sz w:val="28"/>
          <w:szCs w:val="28"/>
        </w:rPr>
        <w:t>he ADA’s</w:t>
      </w:r>
      <w:r w:rsidR="007D6F10">
        <w:rPr>
          <w:sz w:val="28"/>
          <w:szCs w:val="28"/>
        </w:rPr>
        <w:t xml:space="preserve"> requirements is to enable people with disabilities to overcome barriers </w:t>
      </w:r>
      <w:r w:rsidR="00B07346">
        <w:rPr>
          <w:sz w:val="28"/>
          <w:szCs w:val="28"/>
        </w:rPr>
        <w:t xml:space="preserve">to </w:t>
      </w:r>
      <w:r w:rsidR="00A82459">
        <w:rPr>
          <w:sz w:val="28"/>
          <w:szCs w:val="28"/>
        </w:rPr>
        <w:t xml:space="preserve">participating in </w:t>
      </w:r>
      <w:r w:rsidR="007D6F10">
        <w:rPr>
          <w:sz w:val="28"/>
          <w:szCs w:val="28"/>
        </w:rPr>
        <w:t>public services and</w:t>
      </w:r>
      <w:r w:rsidR="002F5D98">
        <w:rPr>
          <w:sz w:val="28"/>
          <w:szCs w:val="28"/>
        </w:rPr>
        <w:t xml:space="preserve"> to</w:t>
      </w:r>
      <w:r w:rsidR="007D6F10">
        <w:rPr>
          <w:sz w:val="28"/>
          <w:szCs w:val="28"/>
        </w:rPr>
        <w:t xml:space="preserve"> guarantee equal access to </w:t>
      </w:r>
      <w:r w:rsidR="007644AE">
        <w:rPr>
          <w:sz w:val="28"/>
          <w:szCs w:val="28"/>
        </w:rPr>
        <w:t>services, including</w:t>
      </w:r>
      <w:r w:rsidR="007D6F10">
        <w:rPr>
          <w:sz w:val="28"/>
          <w:szCs w:val="28"/>
        </w:rPr>
        <w:t xml:space="preserve"> court proceedings.</w:t>
      </w:r>
    </w:p>
    <w:p w14:paraId="16C9245E" w14:textId="0E8CF198" w:rsidR="00E53499" w:rsidRDefault="005F6FEB" w:rsidP="00701077">
      <w:pPr>
        <w:pStyle w:val="BodyText"/>
        <w:widowControl w:val="0"/>
        <w:spacing w:line="472" w:lineRule="exact"/>
        <w:jc w:val="both"/>
        <w:rPr>
          <w:sz w:val="28"/>
          <w:szCs w:val="28"/>
        </w:rPr>
      </w:pPr>
      <w:r>
        <w:rPr>
          <w:sz w:val="28"/>
          <w:szCs w:val="28"/>
        </w:rPr>
        <w:tab/>
        <w:t>The ADA defines “disability” to include “a physical or mental impairment that substantially limits one or more major life activities.”</w:t>
      </w:r>
      <w:r w:rsidR="00A5306E">
        <w:rPr>
          <w:rStyle w:val="FootnoteReference"/>
          <w:sz w:val="28"/>
          <w:szCs w:val="28"/>
        </w:rPr>
        <w:footnoteReference w:id="3"/>
      </w:r>
      <w:r>
        <w:rPr>
          <w:sz w:val="28"/>
          <w:szCs w:val="28"/>
        </w:rPr>
        <w:t xml:space="preserve"> “Major life activities” include, but are not limited to, seeing, hearing, walking, standing, speaking, </w:t>
      </w:r>
      <w:r>
        <w:rPr>
          <w:sz w:val="28"/>
          <w:szCs w:val="28"/>
        </w:rPr>
        <w:lastRenderedPageBreak/>
        <w:t>breathing, learning, reading, concentrating, thinking, communicating, and working.</w:t>
      </w:r>
      <w:r w:rsidR="00A5306E">
        <w:rPr>
          <w:rStyle w:val="FootnoteReference"/>
          <w:sz w:val="28"/>
          <w:szCs w:val="28"/>
        </w:rPr>
        <w:footnoteReference w:id="4"/>
      </w:r>
      <w:r>
        <w:rPr>
          <w:sz w:val="28"/>
          <w:szCs w:val="28"/>
        </w:rPr>
        <w:t xml:space="preserve"> </w:t>
      </w:r>
      <w:r w:rsidR="00961DB7" w:rsidRPr="00961DB7">
        <w:rPr>
          <w:sz w:val="28"/>
          <w:szCs w:val="28"/>
        </w:rPr>
        <w:t>“A major life activity</w:t>
      </w:r>
      <w:r w:rsidR="00961DB7">
        <w:rPr>
          <w:sz w:val="28"/>
          <w:szCs w:val="28"/>
        </w:rPr>
        <w:t xml:space="preserve"> </w:t>
      </w:r>
      <w:r w:rsidR="00961DB7" w:rsidRPr="00961DB7">
        <w:rPr>
          <w:sz w:val="28"/>
          <w:szCs w:val="28"/>
        </w:rPr>
        <w:t>also includes the operation of a major bodily function, including but not limited to,</w:t>
      </w:r>
      <w:r w:rsidR="00961DB7">
        <w:rPr>
          <w:sz w:val="28"/>
          <w:szCs w:val="28"/>
        </w:rPr>
        <w:t xml:space="preserve"> </w:t>
      </w:r>
      <w:r w:rsidR="00961DB7" w:rsidRPr="00961DB7">
        <w:rPr>
          <w:sz w:val="28"/>
          <w:szCs w:val="28"/>
        </w:rPr>
        <w:t xml:space="preserve">functions of the </w:t>
      </w:r>
      <w:r w:rsidR="00505BA1" w:rsidRPr="00505BA1">
        <w:rPr>
          <w:sz w:val="28"/>
          <w:szCs w:val="28"/>
        </w:rPr>
        <w:t>immune system, normal cell growth, digestive, bowel, bladder, neurological, brain, respiratory, circulatory, endocrine, and reproductive functions</w:t>
      </w:r>
      <w:r w:rsidR="00961DB7" w:rsidRPr="00961DB7">
        <w:rPr>
          <w:sz w:val="28"/>
          <w:szCs w:val="28"/>
        </w:rPr>
        <w:t>.”</w:t>
      </w:r>
      <w:r w:rsidR="00961DB7">
        <w:rPr>
          <w:rStyle w:val="FootnoteReference"/>
          <w:sz w:val="28"/>
          <w:szCs w:val="28"/>
        </w:rPr>
        <w:footnoteReference w:id="5"/>
      </w:r>
      <w:r w:rsidR="00961DB7" w:rsidRPr="00961DB7">
        <w:rPr>
          <w:sz w:val="28"/>
          <w:szCs w:val="28"/>
        </w:rPr>
        <w:t xml:space="preserve"> </w:t>
      </w:r>
      <w:r w:rsidR="00E53499">
        <w:rPr>
          <w:sz w:val="28"/>
          <w:szCs w:val="28"/>
        </w:rPr>
        <w:t>There is a wide variety of disabilities. Some are visible and some are not. Examples of disabilities include, but are not limited to cancer, diabetes, post-traumatic stress disorder (PTSD), HIV/AIDS, autism, cerebral palsy, deafness or hearing loss, blindness or low vision, epilepsy, mobility disabilities requiring use of a wheelchair, walker, or cane, intellectual disabilities (ID), major depressive disorder, schizophrenia, and traumatic brain injury (TBI).</w:t>
      </w:r>
      <w:r w:rsidR="00082D10">
        <w:rPr>
          <w:rStyle w:val="FootnoteReference"/>
          <w:sz w:val="28"/>
          <w:szCs w:val="28"/>
        </w:rPr>
        <w:footnoteReference w:id="6"/>
      </w:r>
      <w:r w:rsidR="00505BA1">
        <w:rPr>
          <w:sz w:val="28"/>
          <w:szCs w:val="28"/>
        </w:rPr>
        <w:t xml:space="preserve"> </w:t>
      </w:r>
    </w:p>
    <w:p w14:paraId="6224B002" w14:textId="61EBE243" w:rsidR="002F5D98" w:rsidRDefault="00961DB7" w:rsidP="00701077">
      <w:pPr>
        <w:pStyle w:val="BodyText"/>
        <w:widowControl w:val="0"/>
        <w:spacing w:line="472" w:lineRule="exact"/>
        <w:ind w:firstLine="720"/>
        <w:jc w:val="both"/>
        <w:rPr>
          <w:sz w:val="28"/>
          <w:szCs w:val="28"/>
        </w:rPr>
      </w:pPr>
      <w:r w:rsidRPr="00961DB7">
        <w:rPr>
          <w:sz w:val="28"/>
          <w:szCs w:val="28"/>
        </w:rPr>
        <w:t>The definition of disability is</w:t>
      </w:r>
      <w:r>
        <w:rPr>
          <w:sz w:val="28"/>
          <w:szCs w:val="28"/>
        </w:rPr>
        <w:t xml:space="preserve"> </w:t>
      </w:r>
      <w:r w:rsidRPr="00961DB7">
        <w:rPr>
          <w:sz w:val="28"/>
          <w:szCs w:val="28"/>
        </w:rPr>
        <w:t>construed “in favor of broad coverage of individuals” and “to the maximum extent</w:t>
      </w:r>
      <w:r>
        <w:rPr>
          <w:sz w:val="28"/>
          <w:szCs w:val="28"/>
        </w:rPr>
        <w:t xml:space="preserve"> </w:t>
      </w:r>
      <w:r w:rsidRPr="00961DB7">
        <w:rPr>
          <w:sz w:val="28"/>
          <w:szCs w:val="28"/>
        </w:rPr>
        <w:t>permitted.”</w:t>
      </w:r>
      <w:r>
        <w:rPr>
          <w:rStyle w:val="FootnoteReference"/>
          <w:sz w:val="28"/>
          <w:szCs w:val="28"/>
        </w:rPr>
        <w:footnoteReference w:id="7"/>
      </w:r>
      <w:r w:rsidRPr="00961DB7">
        <w:rPr>
          <w:sz w:val="28"/>
          <w:szCs w:val="28"/>
        </w:rPr>
        <w:t xml:space="preserve"> Rules of construction for interpreting the ADA</w:t>
      </w:r>
      <w:r>
        <w:rPr>
          <w:sz w:val="28"/>
          <w:szCs w:val="28"/>
        </w:rPr>
        <w:t xml:space="preserve"> </w:t>
      </w:r>
      <w:r w:rsidRPr="00961DB7">
        <w:rPr>
          <w:sz w:val="28"/>
          <w:szCs w:val="28"/>
        </w:rPr>
        <w:t xml:space="preserve">definition of </w:t>
      </w:r>
      <w:r w:rsidR="00F34B0D">
        <w:rPr>
          <w:sz w:val="28"/>
          <w:szCs w:val="28"/>
        </w:rPr>
        <w:t>“</w:t>
      </w:r>
      <w:r w:rsidRPr="00961DB7">
        <w:rPr>
          <w:sz w:val="28"/>
          <w:szCs w:val="28"/>
        </w:rPr>
        <w:t>substantial limitation</w:t>
      </w:r>
      <w:r w:rsidR="00F34B0D">
        <w:rPr>
          <w:sz w:val="28"/>
          <w:szCs w:val="28"/>
        </w:rPr>
        <w:t>”</w:t>
      </w:r>
      <w:r w:rsidRPr="00961DB7">
        <w:rPr>
          <w:sz w:val="28"/>
          <w:szCs w:val="28"/>
        </w:rPr>
        <w:t xml:space="preserve"> </w:t>
      </w:r>
      <w:r w:rsidR="002D289C">
        <w:rPr>
          <w:sz w:val="28"/>
          <w:szCs w:val="28"/>
        </w:rPr>
        <w:t>state</w:t>
      </w:r>
      <w:r w:rsidR="002D289C" w:rsidRPr="00961DB7">
        <w:rPr>
          <w:sz w:val="28"/>
          <w:szCs w:val="28"/>
        </w:rPr>
        <w:t xml:space="preserve"> </w:t>
      </w:r>
      <w:r w:rsidRPr="00961DB7">
        <w:rPr>
          <w:sz w:val="28"/>
          <w:szCs w:val="28"/>
        </w:rPr>
        <w:t>that</w:t>
      </w:r>
      <w:r w:rsidR="002D289C">
        <w:rPr>
          <w:sz w:val="28"/>
          <w:szCs w:val="28"/>
        </w:rPr>
        <w:t xml:space="preserve"> </w:t>
      </w:r>
      <w:r w:rsidRPr="00961DB7">
        <w:rPr>
          <w:sz w:val="28"/>
          <w:szCs w:val="28"/>
        </w:rPr>
        <w:t>episodic impairments are considered</w:t>
      </w:r>
      <w:r>
        <w:rPr>
          <w:sz w:val="28"/>
          <w:szCs w:val="28"/>
        </w:rPr>
        <w:t xml:space="preserve"> </w:t>
      </w:r>
      <w:r w:rsidRPr="00961DB7">
        <w:rPr>
          <w:sz w:val="28"/>
          <w:szCs w:val="28"/>
        </w:rPr>
        <w:t>disabilities if they substantially limit major life activities when active.</w:t>
      </w:r>
      <w:r>
        <w:rPr>
          <w:rStyle w:val="FootnoteReference"/>
          <w:sz w:val="28"/>
          <w:szCs w:val="28"/>
        </w:rPr>
        <w:footnoteReference w:id="8"/>
      </w:r>
      <w:r w:rsidRPr="00961DB7">
        <w:rPr>
          <w:sz w:val="28"/>
          <w:szCs w:val="28"/>
        </w:rPr>
        <w:t xml:space="preserve"> The determination of whether an impairment substantially limits a major</w:t>
      </w:r>
      <w:r>
        <w:rPr>
          <w:sz w:val="28"/>
          <w:szCs w:val="28"/>
        </w:rPr>
        <w:t xml:space="preserve"> </w:t>
      </w:r>
      <w:r w:rsidRPr="00961DB7">
        <w:rPr>
          <w:sz w:val="28"/>
          <w:szCs w:val="28"/>
        </w:rPr>
        <w:t>life activity is made “without regard to the ameliorative effects of mitigating measures”</w:t>
      </w:r>
      <w:r>
        <w:rPr>
          <w:sz w:val="28"/>
          <w:szCs w:val="28"/>
        </w:rPr>
        <w:t xml:space="preserve"> </w:t>
      </w:r>
      <w:r w:rsidRPr="00961DB7">
        <w:rPr>
          <w:sz w:val="28"/>
          <w:szCs w:val="28"/>
        </w:rPr>
        <w:t>including medication, medical supplies, equipment, or appliances, use of assistive</w:t>
      </w:r>
      <w:r>
        <w:rPr>
          <w:sz w:val="28"/>
          <w:szCs w:val="28"/>
        </w:rPr>
        <w:t xml:space="preserve"> </w:t>
      </w:r>
      <w:r w:rsidRPr="00961DB7">
        <w:rPr>
          <w:sz w:val="28"/>
          <w:szCs w:val="28"/>
        </w:rPr>
        <w:t>technology, reasonable accommodations, or auxiliary aids or services.</w:t>
      </w:r>
      <w:r w:rsidR="00E53499">
        <w:rPr>
          <w:rStyle w:val="FootnoteReference"/>
          <w:sz w:val="28"/>
          <w:szCs w:val="28"/>
        </w:rPr>
        <w:footnoteReference w:id="9"/>
      </w:r>
      <w:r w:rsidRPr="00961DB7">
        <w:rPr>
          <w:sz w:val="28"/>
          <w:szCs w:val="28"/>
        </w:rPr>
        <w:t xml:space="preserve"> </w:t>
      </w:r>
    </w:p>
    <w:p w14:paraId="2AA3B693" w14:textId="16DEF6A3" w:rsidR="00A05142" w:rsidRDefault="002F5D98" w:rsidP="00701077">
      <w:pPr>
        <w:pStyle w:val="BodyText"/>
        <w:widowControl w:val="0"/>
        <w:spacing w:line="472" w:lineRule="exact"/>
        <w:ind w:firstLine="720"/>
        <w:jc w:val="both"/>
        <w:rPr>
          <w:sz w:val="28"/>
          <w:szCs w:val="28"/>
        </w:rPr>
      </w:pPr>
      <w:r>
        <w:rPr>
          <w:sz w:val="28"/>
          <w:szCs w:val="28"/>
        </w:rPr>
        <w:t>People with disabilities</w:t>
      </w:r>
      <w:r w:rsidR="00CC124D">
        <w:rPr>
          <w:sz w:val="28"/>
          <w:szCs w:val="28"/>
        </w:rPr>
        <w:t xml:space="preserve"> </w:t>
      </w:r>
      <w:r w:rsidR="006E1098">
        <w:rPr>
          <w:sz w:val="28"/>
          <w:szCs w:val="28"/>
        </w:rPr>
        <w:t>often</w:t>
      </w:r>
      <w:r>
        <w:rPr>
          <w:sz w:val="28"/>
          <w:szCs w:val="28"/>
        </w:rPr>
        <w:t xml:space="preserve"> face obstacles </w:t>
      </w:r>
      <w:r w:rsidR="00CC124D">
        <w:rPr>
          <w:sz w:val="28"/>
          <w:szCs w:val="28"/>
        </w:rPr>
        <w:t xml:space="preserve">to </w:t>
      </w:r>
      <w:r>
        <w:rPr>
          <w:sz w:val="28"/>
          <w:szCs w:val="28"/>
        </w:rPr>
        <w:t xml:space="preserve">accessing courthouses and court proceedings. These obstacles </w:t>
      </w:r>
      <w:r w:rsidR="00916223">
        <w:rPr>
          <w:sz w:val="28"/>
          <w:szCs w:val="28"/>
        </w:rPr>
        <w:t>include but</w:t>
      </w:r>
      <w:r>
        <w:rPr>
          <w:sz w:val="28"/>
          <w:szCs w:val="28"/>
        </w:rPr>
        <w:t xml:space="preserve"> are not limited to</w:t>
      </w:r>
      <w:r w:rsidR="00487D37">
        <w:rPr>
          <w:sz w:val="28"/>
          <w:szCs w:val="28"/>
        </w:rPr>
        <w:t>:</w:t>
      </w:r>
      <w:r>
        <w:rPr>
          <w:sz w:val="28"/>
          <w:szCs w:val="28"/>
        </w:rPr>
        <w:t xml:space="preserve"> difficulties physically accessing courthouses for people who use walkers, wheelchairs, or other mobility devices</w:t>
      </w:r>
      <w:r w:rsidR="0066086A">
        <w:rPr>
          <w:sz w:val="28"/>
          <w:szCs w:val="28"/>
        </w:rPr>
        <w:t xml:space="preserve">, </w:t>
      </w:r>
      <w:r w:rsidR="00E51F5C">
        <w:rPr>
          <w:sz w:val="28"/>
          <w:szCs w:val="28"/>
        </w:rPr>
        <w:t>frequent medical appointments for people with chronic illnesses, a need for a</w:t>
      </w:r>
      <w:r w:rsidR="00706A30">
        <w:rPr>
          <w:sz w:val="28"/>
          <w:szCs w:val="28"/>
        </w:rPr>
        <w:t>n</w:t>
      </w:r>
      <w:r w:rsidR="00E51F5C">
        <w:rPr>
          <w:sz w:val="28"/>
          <w:szCs w:val="28"/>
        </w:rPr>
        <w:t xml:space="preserve"> </w:t>
      </w:r>
      <w:r w:rsidR="00706A30">
        <w:rPr>
          <w:sz w:val="28"/>
          <w:szCs w:val="28"/>
        </w:rPr>
        <w:t>American Sign Language (ASL)</w:t>
      </w:r>
      <w:r w:rsidR="00E51F5C">
        <w:rPr>
          <w:sz w:val="28"/>
          <w:szCs w:val="28"/>
        </w:rPr>
        <w:t xml:space="preserve"> language interpreter for a deaf individual, </w:t>
      </w:r>
      <w:r w:rsidR="0066086A">
        <w:rPr>
          <w:sz w:val="28"/>
          <w:szCs w:val="28"/>
        </w:rPr>
        <w:t xml:space="preserve">and </w:t>
      </w:r>
      <w:r w:rsidR="00916223">
        <w:rPr>
          <w:sz w:val="28"/>
          <w:szCs w:val="28"/>
        </w:rPr>
        <w:t xml:space="preserve">chronic </w:t>
      </w:r>
      <w:r w:rsidR="0066086A">
        <w:rPr>
          <w:sz w:val="28"/>
          <w:szCs w:val="28"/>
        </w:rPr>
        <w:t>disability-related symptoms</w:t>
      </w:r>
      <w:r w:rsidR="00916223">
        <w:rPr>
          <w:sz w:val="28"/>
          <w:szCs w:val="28"/>
        </w:rPr>
        <w:t xml:space="preserve"> such as fatigue</w:t>
      </w:r>
      <w:r w:rsidR="002A61B9">
        <w:rPr>
          <w:sz w:val="28"/>
          <w:szCs w:val="28"/>
        </w:rPr>
        <w:t xml:space="preserve"> and</w:t>
      </w:r>
      <w:r w:rsidR="00916223">
        <w:rPr>
          <w:sz w:val="28"/>
          <w:szCs w:val="28"/>
        </w:rPr>
        <w:t xml:space="preserve"> pain</w:t>
      </w:r>
      <w:r w:rsidR="002A61B9">
        <w:rPr>
          <w:sz w:val="28"/>
          <w:szCs w:val="28"/>
        </w:rPr>
        <w:t xml:space="preserve"> </w:t>
      </w:r>
      <w:r w:rsidR="0066086A">
        <w:rPr>
          <w:sz w:val="28"/>
          <w:szCs w:val="28"/>
        </w:rPr>
        <w:t xml:space="preserve">that </w:t>
      </w:r>
      <w:r w:rsidR="0066086A">
        <w:rPr>
          <w:sz w:val="28"/>
          <w:szCs w:val="28"/>
        </w:rPr>
        <w:lastRenderedPageBreak/>
        <w:t>make everyday tasks much more difficult</w:t>
      </w:r>
      <w:r>
        <w:rPr>
          <w:sz w:val="28"/>
          <w:szCs w:val="28"/>
        </w:rPr>
        <w:t xml:space="preserve">. </w:t>
      </w:r>
      <w:r w:rsidR="003E6DA3">
        <w:rPr>
          <w:sz w:val="28"/>
          <w:szCs w:val="28"/>
        </w:rPr>
        <w:t xml:space="preserve">Other </w:t>
      </w:r>
      <w:r w:rsidR="006E1098">
        <w:rPr>
          <w:sz w:val="28"/>
          <w:szCs w:val="28"/>
        </w:rPr>
        <w:t xml:space="preserve">obstacles </w:t>
      </w:r>
      <w:r w:rsidR="003E6DA3">
        <w:rPr>
          <w:sz w:val="28"/>
          <w:szCs w:val="28"/>
        </w:rPr>
        <w:t xml:space="preserve">include difficulty finding accessible parking, untrained </w:t>
      </w:r>
      <w:r w:rsidR="00F9339B">
        <w:rPr>
          <w:sz w:val="28"/>
          <w:szCs w:val="28"/>
        </w:rPr>
        <w:t xml:space="preserve">court </w:t>
      </w:r>
      <w:r w:rsidR="003E6DA3">
        <w:rPr>
          <w:sz w:val="28"/>
          <w:szCs w:val="28"/>
        </w:rPr>
        <w:t xml:space="preserve">staff </w:t>
      </w:r>
      <w:r w:rsidR="00F9339B">
        <w:rPr>
          <w:sz w:val="28"/>
          <w:szCs w:val="28"/>
        </w:rPr>
        <w:t>or</w:t>
      </w:r>
      <w:r w:rsidR="003E6DA3">
        <w:rPr>
          <w:sz w:val="28"/>
          <w:szCs w:val="28"/>
        </w:rPr>
        <w:t xml:space="preserve"> personnel who refuse service animals or make unlawful inquiries into </w:t>
      </w:r>
      <w:r w:rsidR="00F9339B">
        <w:rPr>
          <w:sz w:val="28"/>
          <w:szCs w:val="28"/>
        </w:rPr>
        <w:t>a party’s</w:t>
      </w:r>
      <w:r w:rsidR="003E6DA3">
        <w:rPr>
          <w:sz w:val="28"/>
          <w:szCs w:val="28"/>
        </w:rPr>
        <w:t xml:space="preserve"> need for reasonable accommodation, and a need for alternatively formatted written information, such as large print, Braille, or audio-recorded materials for people who are blind or low-vision. </w:t>
      </w:r>
      <w:r>
        <w:rPr>
          <w:sz w:val="28"/>
          <w:szCs w:val="28"/>
        </w:rPr>
        <w:t xml:space="preserve">People with disabilities </w:t>
      </w:r>
      <w:r w:rsidR="00E51F5C">
        <w:rPr>
          <w:sz w:val="28"/>
          <w:szCs w:val="28"/>
        </w:rPr>
        <w:t>that affect</w:t>
      </w:r>
      <w:r w:rsidR="00CC049E">
        <w:rPr>
          <w:sz w:val="28"/>
          <w:szCs w:val="28"/>
        </w:rPr>
        <w:t xml:space="preserve"> </w:t>
      </w:r>
      <w:r>
        <w:rPr>
          <w:sz w:val="28"/>
          <w:szCs w:val="28"/>
        </w:rPr>
        <w:t>cognitive functioning</w:t>
      </w:r>
      <w:r w:rsidR="00CC049E">
        <w:rPr>
          <w:sz w:val="28"/>
          <w:szCs w:val="28"/>
        </w:rPr>
        <w:t>, communication skills, linguistic abilit</w:t>
      </w:r>
      <w:r w:rsidR="00161674">
        <w:rPr>
          <w:sz w:val="28"/>
          <w:szCs w:val="28"/>
        </w:rPr>
        <w:t>ies</w:t>
      </w:r>
      <w:r w:rsidR="00A82459">
        <w:rPr>
          <w:sz w:val="28"/>
          <w:szCs w:val="28"/>
        </w:rPr>
        <w:t xml:space="preserve">, and memory </w:t>
      </w:r>
      <w:r>
        <w:rPr>
          <w:sz w:val="28"/>
          <w:szCs w:val="28"/>
        </w:rPr>
        <w:t>may need additional time for proceedings</w:t>
      </w:r>
      <w:r w:rsidR="00B36CA1">
        <w:rPr>
          <w:sz w:val="28"/>
          <w:szCs w:val="28"/>
        </w:rPr>
        <w:t xml:space="preserve"> or </w:t>
      </w:r>
      <w:r w:rsidR="006D4891">
        <w:rPr>
          <w:sz w:val="28"/>
          <w:szCs w:val="28"/>
        </w:rPr>
        <w:t>filings</w:t>
      </w:r>
      <w:r>
        <w:rPr>
          <w:sz w:val="28"/>
          <w:szCs w:val="28"/>
        </w:rPr>
        <w:t xml:space="preserve">, written rather than verbal orders, </w:t>
      </w:r>
      <w:r w:rsidR="00B36CA1">
        <w:rPr>
          <w:sz w:val="28"/>
          <w:szCs w:val="28"/>
        </w:rPr>
        <w:t xml:space="preserve">frequent breaks, </w:t>
      </w:r>
      <w:r w:rsidR="002854D0">
        <w:rPr>
          <w:sz w:val="28"/>
          <w:szCs w:val="28"/>
        </w:rPr>
        <w:t>and assistive technology.</w:t>
      </w:r>
      <w:r w:rsidR="00022B04">
        <w:rPr>
          <w:rStyle w:val="FootnoteReference"/>
          <w:sz w:val="28"/>
          <w:szCs w:val="28"/>
        </w:rPr>
        <w:footnoteReference w:id="10"/>
      </w:r>
      <w:r w:rsidR="002854D0">
        <w:rPr>
          <w:sz w:val="28"/>
          <w:szCs w:val="28"/>
        </w:rPr>
        <w:t xml:space="preserve"> </w:t>
      </w:r>
      <w:r w:rsidR="00F9339B">
        <w:rPr>
          <w:sz w:val="28"/>
          <w:szCs w:val="28"/>
        </w:rPr>
        <w:t xml:space="preserve">Individuals with cognitive, intellectual, or learning disabilities may not be able to access written or printed instructions and may need alternative formats or other reasonable accommodation in order to be fully informed of their rights and the status of proceedings. </w:t>
      </w:r>
      <w:r w:rsidR="00863B5B">
        <w:rPr>
          <w:sz w:val="28"/>
          <w:szCs w:val="28"/>
        </w:rPr>
        <w:t xml:space="preserve">For people with disabilities, </w:t>
      </w:r>
      <w:r w:rsidR="007644AE">
        <w:rPr>
          <w:sz w:val="28"/>
          <w:szCs w:val="28"/>
        </w:rPr>
        <w:t xml:space="preserve">whether physical or mental, </w:t>
      </w:r>
      <w:r w:rsidR="00863B5B">
        <w:rPr>
          <w:sz w:val="28"/>
          <w:szCs w:val="28"/>
        </w:rPr>
        <w:t xml:space="preserve">such </w:t>
      </w:r>
      <w:r w:rsidR="00837FA5">
        <w:rPr>
          <w:sz w:val="28"/>
          <w:szCs w:val="28"/>
        </w:rPr>
        <w:t>accommodation</w:t>
      </w:r>
      <w:r w:rsidR="00422995">
        <w:rPr>
          <w:sz w:val="28"/>
          <w:szCs w:val="28"/>
        </w:rPr>
        <w:t>s</w:t>
      </w:r>
      <w:r w:rsidR="00837FA5">
        <w:rPr>
          <w:sz w:val="28"/>
          <w:szCs w:val="28"/>
        </w:rPr>
        <w:t xml:space="preserve"> </w:t>
      </w:r>
      <w:r w:rsidR="00422995">
        <w:rPr>
          <w:sz w:val="28"/>
          <w:szCs w:val="28"/>
        </w:rPr>
        <w:t>are</w:t>
      </w:r>
      <w:r w:rsidR="00863B5B">
        <w:rPr>
          <w:sz w:val="28"/>
          <w:szCs w:val="28"/>
        </w:rPr>
        <w:t xml:space="preserve"> necessary to ensure equal access to court proceedings and services.</w:t>
      </w:r>
    </w:p>
    <w:p w14:paraId="3E4C451A" w14:textId="1BF4002B" w:rsidR="009934B2" w:rsidRDefault="009934B2" w:rsidP="00701077">
      <w:pPr>
        <w:pStyle w:val="BodyText"/>
        <w:widowControl w:val="0"/>
        <w:spacing w:line="472" w:lineRule="exact"/>
        <w:ind w:firstLine="720"/>
        <w:jc w:val="both"/>
        <w:rPr>
          <w:sz w:val="28"/>
          <w:szCs w:val="28"/>
        </w:rPr>
      </w:pPr>
      <w:r>
        <w:rPr>
          <w:sz w:val="28"/>
          <w:szCs w:val="28"/>
        </w:rPr>
        <w:t xml:space="preserve">Further, while widespread use of videoconference and telephonic options to appear at court proceedings improves access for people with disabilities, it </w:t>
      </w:r>
      <w:r w:rsidR="00B532C6">
        <w:rPr>
          <w:sz w:val="28"/>
          <w:szCs w:val="28"/>
        </w:rPr>
        <w:t xml:space="preserve">does not eliminate the need for reasonable accommodation or mean that emergency health matters will not require a continuance. </w:t>
      </w:r>
      <w:r>
        <w:rPr>
          <w:sz w:val="28"/>
          <w:szCs w:val="28"/>
        </w:rPr>
        <w:t>The assistive technology used by individuals who are blind or have low vision may not be compatible with a court’s videoconferencing system. Individuals with intellectual or cognitive disabilities may not be able to access videoconferencing technology. Individuals with communication or speech-related disabilities may find it difficult or impossible to communicate effectively over videoconferencing.</w:t>
      </w:r>
      <w:r w:rsidR="007644AE">
        <w:rPr>
          <w:sz w:val="28"/>
          <w:szCs w:val="28"/>
        </w:rPr>
        <w:t xml:space="preserve"> </w:t>
      </w:r>
      <w:r w:rsidR="00653CD6">
        <w:rPr>
          <w:sz w:val="28"/>
          <w:szCs w:val="28"/>
        </w:rPr>
        <w:t xml:space="preserve">Some individuals with disabilities may not be able to access videoconferencing technology at all and may need to appear in-person to obtain printed materials, request reasonable accommodation, or </w:t>
      </w:r>
      <w:r w:rsidR="00653CD6">
        <w:rPr>
          <w:sz w:val="28"/>
          <w:szCs w:val="28"/>
        </w:rPr>
        <w:lastRenderedPageBreak/>
        <w:t>effectively participate in proceedings. Ultimately, f</w:t>
      </w:r>
      <w:r w:rsidR="00844D0A">
        <w:rPr>
          <w:sz w:val="28"/>
          <w:szCs w:val="28"/>
        </w:rPr>
        <w:t>or many tenants with disabilities, t</w:t>
      </w:r>
      <w:r w:rsidR="007644AE">
        <w:rPr>
          <w:sz w:val="28"/>
          <w:szCs w:val="28"/>
        </w:rPr>
        <w:t xml:space="preserve">he availability of remote appearance does not alleviate the need for reasonable </w:t>
      </w:r>
      <w:r w:rsidR="00094771">
        <w:rPr>
          <w:sz w:val="28"/>
          <w:szCs w:val="28"/>
        </w:rPr>
        <w:t>accommodation or modification</w:t>
      </w:r>
      <w:r w:rsidR="007644AE">
        <w:rPr>
          <w:sz w:val="28"/>
          <w:szCs w:val="28"/>
        </w:rPr>
        <w:t>.</w:t>
      </w:r>
    </w:p>
    <w:p w14:paraId="01E5564E" w14:textId="77777777" w:rsidR="00EF603E" w:rsidRDefault="007D4143" w:rsidP="00701077">
      <w:pPr>
        <w:pStyle w:val="BodyText"/>
        <w:widowControl w:val="0"/>
        <w:spacing w:line="472" w:lineRule="exact"/>
        <w:ind w:firstLine="720"/>
        <w:jc w:val="both"/>
        <w:rPr>
          <w:sz w:val="28"/>
          <w:szCs w:val="28"/>
        </w:rPr>
      </w:pPr>
      <w:r>
        <w:rPr>
          <w:sz w:val="28"/>
          <w:szCs w:val="28"/>
        </w:rPr>
        <w:t xml:space="preserve">Disability-related factors and circumstances often precipitate the eviction of tenants with disabilities. For example, an individual may experience a deterioration or decline in their disability-related symptoms, leading to financial loss. Or an individual may experience an interruption in support systems that previously allowed them to live independently in the community. Individuals who receive social security disability income (SSDI) </w:t>
      </w:r>
      <w:r w:rsidR="00F934F8">
        <w:rPr>
          <w:sz w:val="28"/>
          <w:szCs w:val="28"/>
        </w:rPr>
        <w:t xml:space="preserve">may experience delays or interruptions in benefits through no fault of their own. </w:t>
      </w:r>
      <w:r>
        <w:rPr>
          <w:sz w:val="28"/>
          <w:szCs w:val="28"/>
        </w:rPr>
        <w:t>Many tenants with disabilities facing eviction for nonpayment of rent have lost work because of</w:t>
      </w:r>
      <w:r w:rsidR="00291EB8">
        <w:rPr>
          <w:sz w:val="28"/>
          <w:szCs w:val="28"/>
        </w:rPr>
        <w:t xml:space="preserve"> </w:t>
      </w:r>
      <w:r w:rsidR="00F733B1">
        <w:rPr>
          <w:sz w:val="28"/>
          <w:szCs w:val="28"/>
        </w:rPr>
        <w:t>health or medical conditions</w:t>
      </w:r>
      <w:r w:rsidR="00291EB8">
        <w:rPr>
          <w:sz w:val="28"/>
          <w:szCs w:val="28"/>
        </w:rPr>
        <w:t xml:space="preserve"> beyond their control, such as </w:t>
      </w:r>
      <w:r w:rsidR="001F2A1B">
        <w:rPr>
          <w:sz w:val="28"/>
          <w:szCs w:val="28"/>
        </w:rPr>
        <w:t xml:space="preserve">hospitalization or </w:t>
      </w:r>
      <w:r w:rsidR="00D64F75">
        <w:rPr>
          <w:sz w:val="28"/>
          <w:szCs w:val="28"/>
        </w:rPr>
        <w:t>worsening symptoms</w:t>
      </w:r>
      <w:r w:rsidR="001F2A1B">
        <w:rPr>
          <w:sz w:val="28"/>
          <w:szCs w:val="28"/>
        </w:rPr>
        <w:t>. Tenants facing evictions for other types of lease violations may have been unable to keep up with</w:t>
      </w:r>
      <w:r w:rsidR="00291EB8">
        <w:rPr>
          <w:sz w:val="28"/>
          <w:szCs w:val="28"/>
        </w:rPr>
        <w:t xml:space="preserve"> </w:t>
      </w:r>
      <w:r w:rsidR="001F2A1B">
        <w:rPr>
          <w:sz w:val="28"/>
          <w:szCs w:val="28"/>
        </w:rPr>
        <w:t xml:space="preserve">lease obligations due to </w:t>
      </w:r>
      <w:r w:rsidR="00291EB8">
        <w:rPr>
          <w:sz w:val="28"/>
          <w:szCs w:val="28"/>
        </w:rPr>
        <w:t>disability-related symptoms or loss of caregiving support.</w:t>
      </w:r>
      <w:r w:rsidR="00A06985">
        <w:rPr>
          <w:sz w:val="28"/>
          <w:szCs w:val="28"/>
        </w:rPr>
        <w:t xml:space="preserve"> In most cases, a tenant with a disability who is facing eviction is already dealing with extraordinarily challenging life circumstances.</w:t>
      </w:r>
      <w:r w:rsidR="00291EB8">
        <w:rPr>
          <w:sz w:val="28"/>
          <w:szCs w:val="28"/>
        </w:rPr>
        <w:t xml:space="preserve"> </w:t>
      </w:r>
    </w:p>
    <w:p w14:paraId="2F4EBAB8" w14:textId="42CFBAC3" w:rsidR="00656334" w:rsidRDefault="00A5525B" w:rsidP="00701077">
      <w:pPr>
        <w:pStyle w:val="BodyText"/>
        <w:widowControl w:val="0"/>
        <w:spacing w:line="472" w:lineRule="exact"/>
        <w:ind w:firstLine="720"/>
        <w:jc w:val="both"/>
        <w:rPr>
          <w:sz w:val="28"/>
          <w:szCs w:val="28"/>
        </w:rPr>
      </w:pPr>
      <w:r>
        <w:rPr>
          <w:sz w:val="28"/>
          <w:szCs w:val="28"/>
        </w:rPr>
        <w:t xml:space="preserve">As observed </w:t>
      </w:r>
      <w:proofErr w:type="gramStart"/>
      <w:r>
        <w:rPr>
          <w:sz w:val="28"/>
          <w:szCs w:val="28"/>
        </w:rPr>
        <w:t>in the course of</w:t>
      </w:r>
      <w:proofErr w:type="gramEnd"/>
      <w:r>
        <w:rPr>
          <w:sz w:val="28"/>
          <w:szCs w:val="28"/>
        </w:rPr>
        <w:t xml:space="preserve"> DRAZ’s advocacy, tenants </w:t>
      </w:r>
      <w:r w:rsidR="004127C2">
        <w:rPr>
          <w:sz w:val="28"/>
          <w:szCs w:val="28"/>
        </w:rPr>
        <w:t xml:space="preserve">often </w:t>
      </w:r>
      <w:r>
        <w:rPr>
          <w:sz w:val="28"/>
          <w:szCs w:val="28"/>
        </w:rPr>
        <w:t>face eviction due to discrimination related to their disability or</w:t>
      </w:r>
      <w:r w:rsidR="00EF603E">
        <w:rPr>
          <w:sz w:val="28"/>
          <w:szCs w:val="28"/>
        </w:rPr>
        <w:t xml:space="preserve"> </w:t>
      </w:r>
      <w:r>
        <w:rPr>
          <w:sz w:val="28"/>
          <w:szCs w:val="28"/>
        </w:rPr>
        <w:t>accommodation needs.</w:t>
      </w:r>
      <w:r w:rsidR="00EF603E">
        <w:rPr>
          <w:sz w:val="28"/>
          <w:szCs w:val="28"/>
        </w:rPr>
        <w:t xml:space="preserve"> For example, DRAZ represented a tenant who was wrongfully evicted due to unlawful application of an apartment complex’s crime-free ordinance when police came to the apartment to perform a mental wellness check. DRAZ represented a tenant with a mobility disability who was unlawfully forced to vacate due to the apartment complex’s failure to provide an accessible unit and charging of </w:t>
      </w:r>
      <w:r w:rsidR="004127C2">
        <w:rPr>
          <w:sz w:val="28"/>
          <w:szCs w:val="28"/>
        </w:rPr>
        <w:t xml:space="preserve">discriminatory </w:t>
      </w:r>
      <w:r w:rsidR="00EF603E">
        <w:rPr>
          <w:sz w:val="28"/>
          <w:szCs w:val="28"/>
        </w:rPr>
        <w:t xml:space="preserve">transfer and service animal fees. DRAZ represented a tenant who was unlawfully charged for </w:t>
      </w:r>
      <w:r w:rsidR="00422995">
        <w:rPr>
          <w:sz w:val="28"/>
          <w:szCs w:val="28"/>
        </w:rPr>
        <w:t xml:space="preserve">normal </w:t>
      </w:r>
      <w:r w:rsidR="00EF603E">
        <w:rPr>
          <w:sz w:val="28"/>
          <w:szCs w:val="28"/>
        </w:rPr>
        <w:t xml:space="preserve">wear-and-tear </w:t>
      </w:r>
      <w:r w:rsidR="00422995">
        <w:rPr>
          <w:sz w:val="28"/>
          <w:szCs w:val="28"/>
        </w:rPr>
        <w:t xml:space="preserve">on flooring because </w:t>
      </w:r>
      <w:r w:rsidR="00EF603E">
        <w:rPr>
          <w:sz w:val="28"/>
          <w:szCs w:val="28"/>
        </w:rPr>
        <w:t xml:space="preserve">of a mobility device in her apartment. These are just a few examples of tenants who have faced disability-based discrimination from housing providers. </w:t>
      </w:r>
      <w:r w:rsidR="00422995">
        <w:rPr>
          <w:sz w:val="28"/>
          <w:szCs w:val="28"/>
        </w:rPr>
        <w:t xml:space="preserve"> </w:t>
      </w:r>
      <w:r w:rsidR="00EF603E">
        <w:rPr>
          <w:sz w:val="28"/>
          <w:szCs w:val="28"/>
        </w:rPr>
        <w:t xml:space="preserve"> </w:t>
      </w:r>
      <w:r>
        <w:rPr>
          <w:sz w:val="28"/>
          <w:szCs w:val="28"/>
        </w:rPr>
        <w:t xml:space="preserve"> </w:t>
      </w:r>
      <w:r w:rsidR="00656334">
        <w:rPr>
          <w:sz w:val="28"/>
          <w:szCs w:val="28"/>
        </w:rPr>
        <w:t xml:space="preserve"> </w:t>
      </w:r>
    </w:p>
    <w:p w14:paraId="25B8921E" w14:textId="4DD909E6" w:rsidR="00022B04" w:rsidRDefault="001B0380" w:rsidP="00701077">
      <w:pPr>
        <w:pStyle w:val="BodyText"/>
        <w:widowControl w:val="0"/>
        <w:spacing w:line="472" w:lineRule="exact"/>
        <w:ind w:firstLine="720"/>
        <w:jc w:val="both"/>
        <w:rPr>
          <w:sz w:val="28"/>
          <w:szCs w:val="28"/>
        </w:rPr>
      </w:pPr>
      <w:r>
        <w:rPr>
          <w:sz w:val="28"/>
          <w:szCs w:val="28"/>
        </w:rPr>
        <w:t xml:space="preserve">Given the </w:t>
      </w:r>
      <w:r w:rsidR="00D2097A">
        <w:rPr>
          <w:sz w:val="28"/>
          <w:szCs w:val="28"/>
        </w:rPr>
        <w:t>substantial</w:t>
      </w:r>
      <w:r>
        <w:rPr>
          <w:sz w:val="28"/>
          <w:szCs w:val="28"/>
        </w:rPr>
        <w:t xml:space="preserve"> barriers that </w:t>
      </w:r>
      <w:r w:rsidR="00D2097A">
        <w:rPr>
          <w:sz w:val="28"/>
          <w:szCs w:val="28"/>
        </w:rPr>
        <w:t xml:space="preserve">many </w:t>
      </w:r>
      <w:r>
        <w:rPr>
          <w:sz w:val="28"/>
          <w:szCs w:val="28"/>
        </w:rPr>
        <w:t xml:space="preserve">people with disabilities </w:t>
      </w:r>
      <w:r w:rsidR="00A25B1B">
        <w:rPr>
          <w:sz w:val="28"/>
          <w:szCs w:val="28"/>
        </w:rPr>
        <w:t xml:space="preserve">must </w:t>
      </w:r>
      <w:r w:rsidR="00A25B1B">
        <w:rPr>
          <w:sz w:val="28"/>
          <w:szCs w:val="28"/>
        </w:rPr>
        <w:lastRenderedPageBreak/>
        <w:t>overcome</w:t>
      </w:r>
      <w:r>
        <w:rPr>
          <w:sz w:val="28"/>
          <w:szCs w:val="28"/>
        </w:rPr>
        <w:t xml:space="preserve"> to participate in court proceedings, providing </w:t>
      </w:r>
      <w:r w:rsidR="00A25B1B">
        <w:rPr>
          <w:sz w:val="28"/>
          <w:szCs w:val="28"/>
        </w:rPr>
        <w:t xml:space="preserve">a </w:t>
      </w:r>
      <w:r>
        <w:rPr>
          <w:sz w:val="28"/>
          <w:szCs w:val="28"/>
        </w:rPr>
        <w:t xml:space="preserve">mandatory continuance of an eviction trial date for the purpose of (1) a health or medical emergency or (2) a need to request and obtain reasonable accommodation under the ADA is reasonable and necessary to give people with disabilities equal access to court services and proceedings. </w:t>
      </w:r>
    </w:p>
    <w:p w14:paraId="453A49B6" w14:textId="171C2354" w:rsidR="00B0063D" w:rsidRPr="00A677A2" w:rsidRDefault="00B0063D" w:rsidP="00701077">
      <w:pPr>
        <w:pStyle w:val="BodyText"/>
        <w:widowControl w:val="0"/>
        <w:spacing w:line="472" w:lineRule="exact"/>
        <w:ind w:left="720" w:hanging="720"/>
        <w:jc w:val="both"/>
        <w:rPr>
          <w:b/>
          <w:sz w:val="28"/>
          <w:szCs w:val="28"/>
        </w:rPr>
      </w:pPr>
      <w:r w:rsidRPr="00A677A2">
        <w:rPr>
          <w:b/>
          <w:sz w:val="28"/>
          <w:szCs w:val="28"/>
        </w:rPr>
        <w:t>II.</w:t>
      </w:r>
      <w:r w:rsidRPr="00A677A2">
        <w:rPr>
          <w:b/>
          <w:sz w:val="28"/>
          <w:szCs w:val="28"/>
        </w:rPr>
        <w:tab/>
      </w:r>
      <w:r w:rsidR="00161674">
        <w:rPr>
          <w:b/>
          <w:sz w:val="28"/>
          <w:szCs w:val="28"/>
        </w:rPr>
        <w:t xml:space="preserve">A mandatory </w:t>
      </w:r>
      <w:proofErr w:type="gramStart"/>
      <w:r w:rsidR="00161674">
        <w:rPr>
          <w:b/>
          <w:sz w:val="28"/>
          <w:szCs w:val="28"/>
        </w:rPr>
        <w:t>continuance</w:t>
      </w:r>
      <w:proofErr w:type="gramEnd"/>
      <w:r w:rsidR="00161674">
        <w:rPr>
          <w:b/>
          <w:sz w:val="28"/>
          <w:szCs w:val="28"/>
        </w:rPr>
        <w:t xml:space="preserve"> for a tenant who has a medical or health emergency or needs reasonable accommodation </w:t>
      </w:r>
      <w:r w:rsidR="00BA064A">
        <w:rPr>
          <w:b/>
          <w:sz w:val="28"/>
          <w:szCs w:val="28"/>
        </w:rPr>
        <w:t>is in</w:t>
      </w:r>
      <w:r w:rsidR="00161674">
        <w:rPr>
          <w:b/>
          <w:sz w:val="28"/>
          <w:szCs w:val="28"/>
        </w:rPr>
        <w:t xml:space="preserve"> the interests of justice</w:t>
      </w:r>
      <w:r w:rsidR="00B54DFF">
        <w:rPr>
          <w:b/>
          <w:sz w:val="28"/>
          <w:szCs w:val="28"/>
        </w:rPr>
        <w:t xml:space="preserve"> and is required by the ADA</w:t>
      </w:r>
      <w:r w:rsidR="00161674">
        <w:rPr>
          <w:b/>
          <w:sz w:val="28"/>
          <w:szCs w:val="28"/>
        </w:rPr>
        <w:t>.</w:t>
      </w:r>
    </w:p>
    <w:p w14:paraId="698A8F88" w14:textId="6F0808B7" w:rsidR="004B0BB7" w:rsidRDefault="001B7557" w:rsidP="00701077">
      <w:pPr>
        <w:pStyle w:val="BodyText"/>
        <w:widowControl w:val="0"/>
        <w:spacing w:line="472" w:lineRule="exact"/>
        <w:ind w:firstLine="720"/>
        <w:jc w:val="both"/>
        <w:rPr>
          <w:bCs/>
          <w:sz w:val="28"/>
          <w:szCs w:val="28"/>
        </w:rPr>
      </w:pPr>
      <w:r>
        <w:rPr>
          <w:bCs/>
          <w:sz w:val="28"/>
          <w:szCs w:val="28"/>
        </w:rPr>
        <w:t xml:space="preserve">Tenants with disabilities face barriers to accessing court proceedings </w:t>
      </w:r>
      <w:r w:rsidR="00686DB5">
        <w:rPr>
          <w:bCs/>
          <w:sz w:val="28"/>
          <w:szCs w:val="28"/>
        </w:rPr>
        <w:t xml:space="preserve">that also </w:t>
      </w:r>
      <w:r>
        <w:rPr>
          <w:bCs/>
          <w:sz w:val="28"/>
          <w:szCs w:val="28"/>
        </w:rPr>
        <w:t>mak</w:t>
      </w:r>
      <w:r w:rsidR="00686DB5">
        <w:rPr>
          <w:bCs/>
          <w:sz w:val="28"/>
          <w:szCs w:val="28"/>
        </w:rPr>
        <w:t>e</w:t>
      </w:r>
      <w:r>
        <w:rPr>
          <w:bCs/>
          <w:sz w:val="28"/>
          <w:szCs w:val="28"/>
        </w:rPr>
        <w:t xml:space="preserve"> them more </w:t>
      </w:r>
      <w:r w:rsidR="00686DB5">
        <w:rPr>
          <w:bCs/>
          <w:sz w:val="28"/>
          <w:szCs w:val="28"/>
        </w:rPr>
        <w:t>vulnerable</w:t>
      </w:r>
      <w:r>
        <w:rPr>
          <w:bCs/>
          <w:sz w:val="28"/>
          <w:szCs w:val="28"/>
        </w:rPr>
        <w:t xml:space="preserve"> to eviction</w:t>
      </w:r>
      <w:r w:rsidR="00E6219F">
        <w:rPr>
          <w:bCs/>
          <w:sz w:val="28"/>
          <w:szCs w:val="28"/>
        </w:rPr>
        <w:t xml:space="preserve"> in the first place</w:t>
      </w:r>
      <w:r>
        <w:rPr>
          <w:bCs/>
          <w:sz w:val="28"/>
          <w:szCs w:val="28"/>
        </w:rPr>
        <w:t xml:space="preserve">. </w:t>
      </w:r>
      <w:r w:rsidR="004B0BB7">
        <w:rPr>
          <w:bCs/>
          <w:sz w:val="28"/>
          <w:szCs w:val="28"/>
        </w:rPr>
        <w:t>Similarly</w:t>
      </w:r>
      <w:r w:rsidR="00686DB5">
        <w:rPr>
          <w:bCs/>
          <w:sz w:val="28"/>
          <w:szCs w:val="28"/>
        </w:rPr>
        <w:t>, tenants with disabilitie</w:t>
      </w:r>
      <w:r w:rsidR="004B0BB7">
        <w:rPr>
          <w:bCs/>
          <w:sz w:val="28"/>
          <w:szCs w:val="28"/>
        </w:rPr>
        <w:t>s</w:t>
      </w:r>
      <w:r w:rsidR="00686DB5">
        <w:rPr>
          <w:bCs/>
          <w:sz w:val="28"/>
          <w:szCs w:val="28"/>
        </w:rPr>
        <w:t xml:space="preserve"> experience unique harm from</w:t>
      </w:r>
      <w:r w:rsidR="00916223">
        <w:rPr>
          <w:bCs/>
          <w:sz w:val="28"/>
          <w:szCs w:val="28"/>
        </w:rPr>
        <w:t xml:space="preserve"> the</w:t>
      </w:r>
      <w:r w:rsidR="00686DB5">
        <w:rPr>
          <w:bCs/>
          <w:sz w:val="28"/>
          <w:szCs w:val="28"/>
        </w:rPr>
        <w:t xml:space="preserve"> failure to obtain </w:t>
      </w:r>
      <w:proofErr w:type="gramStart"/>
      <w:r w:rsidR="00686DB5">
        <w:rPr>
          <w:bCs/>
          <w:sz w:val="28"/>
          <w:szCs w:val="28"/>
        </w:rPr>
        <w:t>a necessary</w:t>
      </w:r>
      <w:proofErr w:type="gramEnd"/>
      <w:r w:rsidR="00686DB5">
        <w:rPr>
          <w:bCs/>
          <w:sz w:val="28"/>
          <w:szCs w:val="28"/>
        </w:rPr>
        <w:t xml:space="preserve"> continuance of a court date. Oftentimes</w:t>
      </w:r>
      <w:r>
        <w:rPr>
          <w:bCs/>
          <w:sz w:val="28"/>
          <w:szCs w:val="28"/>
        </w:rPr>
        <w:t xml:space="preserve">, the difference between obtaining and not obtaining a </w:t>
      </w:r>
      <w:r w:rsidR="00916223">
        <w:rPr>
          <w:bCs/>
          <w:sz w:val="28"/>
          <w:szCs w:val="28"/>
        </w:rPr>
        <w:t xml:space="preserve">necessary </w:t>
      </w:r>
      <w:r>
        <w:rPr>
          <w:bCs/>
          <w:sz w:val="28"/>
          <w:szCs w:val="28"/>
        </w:rPr>
        <w:t>continuance can be the difference between a person remaining in their home or not.</w:t>
      </w:r>
      <w:r w:rsidR="00686DB5">
        <w:rPr>
          <w:bCs/>
          <w:sz w:val="28"/>
          <w:szCs w:val="28"/>
        </w:rPr>
        <w:t xml:space="preserve"> </w:t>
      </w:r>
      <w:r w:rsidR="004B0BB7">
        <w:rPr>
          <w:bCs/>
          <w:sz w:val="28"/>
          <w:szCs w:val="28"/>
        </w:rPr>
        <w:t>The proposed rule change remedies this injustice by requiring a continuance when a tenant has a medical or health emergency or needs reasonable accommodation under the ADA.</w:t>
      </w:r>
      <w:r w:rsidR="00916223">
        <w:rPr>
          <w:bCs/>
          <w:sz w:val="28"/>
          <w:szCs w:val="28"/>
        </w:rPr>
        <w:t xml:space="preserve"> </w:t>
      </w:r>
    </w:p>
    <w:p w14:paraId="553AF8E6" w14:textId="7EB4FE20" w:rsidR="00484E27" w:rsidRDefault="00484E27" w:rsidP="00701077">
      <w:pPr>
        <w:pStyle w:val="BodyText"/>
        <w:widowControl w:val="0"/>
        <w:spacing w:line="472" w:lineRule="exact"/>
        <w:ind w:firstLine="720"/>
        <w:jc w:val="both"/>
        <w:rPr>
          <w:bCs/>
          <w:sz w:val="28"/>
          <w:szCs w:val="28"/>
        </w:rPr>
      </w:pPr>
      <w:r>
        <w:rPr>
          <w:bCs/>
          <w:sz w:val="28"/>
          <w:szCs w:val="28"/>
        </w:rPr>
        <w:t xml:space="preserve">Further, </w:t>
      </w:r>
      <w:r w:rsidR="00D60D12">
        <w:rPr>
          <w:bCs/>
          <w:sz w:val="28"/>
          <w:szCs w:val="28"/>
        </w:rPr>
        <w:t>r</w:t>
      </w:r>
      <w:r w:rsidR="00D60D12" w:rsidRPr="00D60D12">
        <w:rPr>
          <w:bCs/>
          <w:sz w:val="28"/>
          <w:szCs w:val="28"/>
        </w:rPr>
        <w:t>equiring a mandatory continuance for a tenant who has a medical or health emergency or needs reasonable accommodation under the ADA prevents uneven and discretionary application of the ADA. As the ADA already requires courts to grant reasonable accommodation where necessary to ensure people with disabilities equal access to court services and proceedings, a brief continuance of a court date for a health or medical emergency or to request reasonable accommodation already falls within what the ADA requires. The proposed rule change codifies this ADA requirement into the Rules of Procedure for Eviction Actions, thereby ensuring conformity and consistency in the ADA’s application. Society benefits from predictable and consistent application of the law</w:t>
      </w:r>
      <w:r w:rsidR="00D60D12">
        <w:rPr>
          <w:bCs/>
          <w:sz w:val="28"/>
          <w:szCs w:val="28"/>
        </w:rPr>
        <w:t>.</w:t>
      </w:r>
    </w:p>
    <w:p w14:paraId="10036368" w14:textId="04798107" w:rsidR="00B54DFF" w:rsidRPr="00484E27" w:rsidRDefault="00B54DFF" w:rsidP="00701077">
      <w:pPr>
        <w:pStyle w:val="BodyText"/>
        <w:widowControl w:val="0"/>
        <w:spacing w:line="472" w:lineRule="exact"/>
        <w:ind w:firstLine="720"/>
        <w:jc w:val="both"/>
        <w:rPr>
          <w:b/>
          <w:sz w:val="28"/>
          <w:szCs w:val="28"/>
        </w:rPr>
      </w:pPr>
      <w:r w:rsidRPr="00484E27">
        <w:rPr>
          <w:b/>
          <w:sz w:val="28"/>
          <w:szCs w:val="28"/>
        </w:rPr>
        <w:t>A. A mandatory continuance for a tenant who has a medical or health emergency is in the interests of justice.</w:t>
      </w:r>
    </w:p>
    <w:p w14:paraId="30D40F28" w14:textId="6BD1B952" w:rsidR="00484E27" w:rsidRDefault="00484E27" w:rsidP="00701077">
      <w:pPr>
        <w:pStyle w:val="BodyText"/>
        <w:widowControl w:val="0"/>
        <w:spacing w:line="472" w:lineRule="exact"/>
        <w:ind w:firstLine="720"/>
        <w:jc w:val="both"/>
        <w:rPr>
          <w:bCs/>
          <w:sz w:val="28"/>
          <w:szCs w:val="28"/>
        </w:rPr>
      </w:pPr>
      <w:r>
        <w:rPr>
          <w:bCs/>
          <w:sz w:val="28"/>
          <w:szCs w:val="28"/>
        </w:rPr>
        <w:lastRenderedPageBreak/>
        <w:t xml:space="preserve">A medical or health emergency can interfere with </w:t>
      </w:r>
      <w:r w:rsidR="00330CB2">
        <w:rPr>
          <w:bCs/>
          <w:sz w:val="28"/>
          <w:szCs w:val="28"/>
        </w:rPr>
        <w:t>a tenant’s</w:t>
      </w:r>
      <w:r>
        <w:rPr>
          <w:bCs/>
          <w:sz w:val="28"/>
          <w:szCs w:val="28"/>
        </w:rPr>
        <w:t xml:space="preserve"> ability to attend and participate in court proceedings. An emergency hospitalization or medical appointment can physically prevent a person with a disability from attending a </w:t>
      </w:r>
      <w:r w:rsidR="00422995">
        <w:rPr>
          <w:bCs/>
          <w:sz w:val="28"/>
          <w:szCs w:val="28"/>
        </w:rPr>
        <w:t xml:space="preserve">virtual or in-person </w:t>
      </w:r>
      <w:r>
        <w:rPr>
          <w:bCs/>
          <w:sz w:val="28"/>
          <w:szCs w:val="28"/>
        </w:rPr>
        <w:t>court hearing. Recovery from symptoms or treatment can also interfere with a tenant’s ability to attend or participate in a court hearing</w:t>
      </w:r>
      <w:r w:rsidR="00422995">
        <w:rPr>
          <w:bCs/>
          <w:sz w:val="28"/>
          <w:szCs w:val="28"/>
        </w:rPr>
        <w:t xml:space="preserve"> regardless of whether there is an in-person or virtual appearance </w:t>
      </w:r>
      <w:r>
        <w:rPr>
          <w:bCs/>
          <w:sz w:val="28"/>
          <w:szCs w:val="28"/>
        </w:rPr>
        <w:t xml:space="preserve">. For example, a person receiving chemotherapy, immunotherapy, or radiation treatment may have an appointment that conflicts with a court date and may </w:t>
      </w:r>
      <w:r w:rsidR="00330CB2">
        <w:rPr>
          <w:bCs/>
          <w:sz w:val="28"/>
          <w:szCs w:val="28"/>
        </w:rPr>
        <w:t xml:space="preserve">also </w:t>
      </w:r>
      <w:r>
        <w:rPr>
          <w:bCs/>
          <w:sz w:val="28"/>
          <w:szCs w:val="28"/>
        </w:rPr>
        <w:t>need additional time to recover adequately to participate in court. Other examples</w:t>
      </w:r>
      <w:r w:rsidR="00330CB2">
        <w:rPr>
          <w:bCs/>
          <w:sz w:val="28"/>
          <w:szCs w:val="28"/>
        </w:rPr>
        <w:t xml:space="preserve"> of situations where a continuance may be necessary </w:t>
      </w:r>
      <w:r>
        <w:rPr>
          <w:bCs/>
          <w:sz w:val="28"/>
          <w:szCs w:val="28"/>
        </w:rPr>
        <w:t>include</w:t>
      </w:r>
      <w:r w:rsidR="00330CB2">
        <w:rPr>
          <w:bCs/>
          <w:sz w:val="28"/>
          <w:szCs w:val="28"/>
        </w:rPr>
        <w:t>, but are not limited to:</w:t>
      </w:r>
      <w:r>
        <w:rPr>
          <w:bCs/>
          <w:sz w:val="28"/>
          <w:szCs w:val="28"/>
        </w:rPr>
        <w:t xml:space="preserve"> kidney dialysis appointments for a person with end-stage kidney disease, physical therapy for people with mobility impairments, </w:t>
      </w:r>
      <w:r w:rsidR="00330CB2">
        <w:rPr>
          <w:bCs/>
          <w:sz w:val="28"/>
          <w:szCs w:val="28"/>
        </w:rPr>
        <w:t xml:space="preserve">intravenous or oxygen therapy to treat sickle cell anemia, infusion therapy for autoimmune conditions such as multiple sclerosis, rheumatoid arthritis, and lupus, </w:t>
      </w:r>
      <w:r>
        <w:rPr>
          <w:bCs/>
          <w:sz w:val="28"/>
          <w:szCs w:val="28"/>
        </w:rPr>
        <w:t xml:space="preserve">and </w:t>
      </w:r>
      <w:r w:rsidR="00330CB2">
        <w:rPr>
          <w:bCs/>
          <w:sz w:val="28"/>
          <w:szCs w:val="28"/>
        </w:rPr>
        <w:t xml:space="preserve">any </w:t>
      </w:r>
      <w:r>
        <w:rPr>
          <w:bCs/>
          <w:sz w:val="28"/>
          <w:szCs w:val="28"/>
        </w:rPr>
        <w:t>major surgery and the attendant recovery</w:t>
      </w:r>
      <w:r w:rsidR="00E75A5B">
        <w:rPr>
          <w:bCs/>
          <w:sz w:val="28"/>
          <w:szCs w:val="28"/>
        </w:rPr>
        <w:t xml:space="preserve"> and rehabilitation</w:t>
      </w:r>
      <w:r>
        <w:rPr>
          <w:bCs/>
          <w:sz w:val="28"/>
          <w:szCs w:val="28"/>
        </w:rPr>
        <w:t>.</w:t>
      </w:r>
      <w:r w:rsidR="00330CB2">
        <w:rPr>
          <w:bCs/>
          <w:sz w:val="28"/>
          <w:szCs w:val="28"/>
        </w:rPr>
        <w:t xml:space="preserve"> </w:t>
      </w:r>
      <w:r w:rsidR="005B2494">
        <w:rPr>
          <w:bCs/>
          <w:sz w:val="28"/>
          <w:szCs w:val="28"/>
        </w:rPr>
        <w:t xml:space="preserve">Episodic conditions such as epilepsy or migraine headaches can </w:t>
      </w:r>
      <w:r w:rsidR="00296F96">
        <w:rPr>
          <w:bCs/>
          <w:sz w:val="28"/>
          <w:szCs w:val="28"/>
        </w:rPr>
        <w:t xml:space="preserve">unexpectedly and </w:t>
      </w:r>
      <w:r w:rsidR="005B2494">
        <w:rPr>
          <w:bCs/>
          <w:sz w:val="28"/>
          <w:szCs w:val="28"/>
        </w:rPr>
        <w:t xml:space="preserve">temporarily disable a tenant. </w:t>
      </w:r>
      <w:r w:rsidR="00330CB2">
        <w:rPr>
          <w:bCs/>
          <w:sz w:val="28"/>
          <w:szCs w:val="28"/>
        </w:rPr>
        <w:t>Courts routinely grant extensions for attorneys facing medical emergencies</w:t>
      </w:r>
      <w:r w:rsidR="00B956C5">
        <w:rPr>
          <w:bCs/>
          <w:sz w:val="28"/>
          <w:szCs w:val="28"/>
        </w:rPr>
        <w:t xml:space="preserve"> and chronic health conditions</w:t>
      </w:r>
      <w:r w:rsidR="00330CB2">
        <w:rPr>
          <w:bCs/>
          <w:sz w:val="28"/>
          <w:szCs w:val="28"/>
        </w:rPr>
        <w:t xml:space="preserve"> and should do the same for litigants</w:t>
      </w:r>
      <w:r w:rsidR="00422995">
        <w:rPr>
          <w:bCs/>
          <w:sz w:val="28"/>
          <w:szCs w:val="28"/>
        </w:rPr>
        <w:t>, especially since most tenants are unrepresented</w:t>
      </w:r>
      <w:r w:rsidR="00330CB2">
        <w:rPr>
          <w:bCs/>
          <w:sz w:val="28"/>
          <w:szCs w:val="28"/>
        </w:rPr>
        <w:t>.</w:t>
      </w:r>
    </w:p>
    <w:p w14:paraId="75DE2D1E" w14:textId="0136DF7A" w:rsidR="00E27973" w:rsidRDefault="00484E27" w:rsidP="00701077">
      <w:pPr>
        <w:pStyle w:val="BodyText"/>
        <w:widowControl w:val="0"/>
        <w:spacing w:line="472" w:lineRule="exact"/>
        <w:ind w:firstLine="720"/>
        <w:jc w:val="both"/>
        <w:rPr>
          <w:bCs/>
          <w:sz w:val="28"/>
          <w:szCs w:val="28"/>
        </w:rPr>
      </w:pPr>
      <w:r>
        <w:rPr>
          <w:bCs/>
          <w:sz w:val="28"/>
          <w:szCs w:val="28"/>
        </w:rPr>
        <w:t xml:space="preserve">DRAZ represented a tenant with low vision who was hospitalized for eye surgery after experiencing a fluctuation in vision. The tenant’s church pastor informed the Justice Court magistrate presiding over the case that the tenant was </w:t>
      </w:r>
      <w:r w:rsidR="0060274C">
        <w:rPr>
          <w:bCs/>
          <w:sz w:val="28"/>
          <w:szCs w:val="28"/>
        </w:rPr>
        <w:t>hospitalized and</w:t>
      </w:r>
      <w:r>
        <w:rPr>
          <w:bCs/>
          <w:sz w:val="28"/>
          <w:szCs w:val="28"/>
        </w:rPr>
        <w:t xml:space="preserve"> requested that the matter be postponed until </w:t>
      </w:r>
      <w:r w:rsidR="0060274C">
        <w:rPr>
          <w:bCs/>
          <w:sz w:val="28"/>
          <w:szCs w:val="28"/>
        </w:rPr>
        <w:t>the tenant was released from the hospital. The request was denied and the proceeding moved forward without the tenant present, resulting in his eviction while hospitalized.</w:t>
      </w:r>
      <w:r w:rsidR="00D60D12">
        <w:rPr>
          <w:bCs/>
          <w:sz w:val="28"/>
          <w:szCs w:val="28"/>
        </w:rPr>
        <w:t xml:space="preserve"> Other DRAZ clients and tenants with disabilities have requested continuances due to disability-related hospitalizations and been denied. Such denials contribute to unjust proceedings and outcomes </w:t>
      </w:r>
      <w:r w:rsidR="00422995">
        <w:rPr>
          <w:bCs/>
          <w:sz w:val="28"/>
          <w:szCs w:val="28"/>
        </w:rPr>
        <w:t xml:space="preserve">that </w:t>
      </w:r>
      <w:proofErr w:type="gramStart"/>
      <w:r w:rsidR="00422995">
        <w:rPr>
          <w:bCs/>
          <w:sz w:val="28"/>
          <w:szCs w:val="28"/>
        </w:rPr>
        <w:t>likely</w:t>
      </w:r>
      <w:proofErr w:type="gramEnd"/>
      <w:r w:rsidR="001C69C4">
        <w:rPr>
          <w:bCs/>
          <w:sz w:val="28"/>
          <w:szCs w:val="28"/>
        </w:rPr>
        <w:t xml:space="preserve"> </w:t>
      </w:r>
      <w:r w:rsidR="00D60D12">
        <w:rPr>
          <w:bCs/>
          <w:sz w:val="28"/>
          <w:szCs w:val="28"/>
        </w:rPr>
        <w:t>violate the ADA</w:t>
      </w:r>
      <w:r w:rsidR="00591F2A">
        <w:rPr>
          <w:bCs/>
          <w:sz w:val="28"/>
          <w:szCs w:val="28"/>
        </w:rPr>
        <w:t>.</w:t>
      </w:r>
    </w:p>
    <w:p w14:paraId="55989CD9" w14:textId="79832C83" w:rsidR="005310C8" w:rsidRDefault="005310C8" w:rsidP="00701077">
      <w:pPr>
        <w:pStyle w:val="BodyText"/>
        <w:widowControl w:val="0"/>
        <w:spacing w:line="472" w:lineRule="exact"/>
        <w:ind w:firstLine="720"/>
        <w:jc w:val="both"/>
        <w:rPr>
          <w:bCs/>
          <w:sz w:val="28"/>
          <w:szCs w:val="28"/>
        </w:rPr>
      </w:pPr>
      <w:r>
        <w:rPr>
          <w:bCs/>
          <w:sz w:val="28"/>
          <w:szCs w:val="28"/>
        </w:rPr>
        <w:t xml:space="preserve">A mandatory continuance in cases where a medical or health emergency </w:t>
      </w:r>
      <w:r>
        <w:rPr>
          <w:bCs/>
          <w:sz w:val="28"/>
          <w:szCs w:val="28"/>
        </w:rPr>
        <w:lastRenderedPageBreak/>
        <w:t>interferes with a scheduled court date also benefits landlords. In cases where a tenant cannot attend a court hearing due to a medical or health emergency or a need for a reasonable accommodation, and is evicted as a result, the tenant may have legal grounds to contest the eviction.</w:t>
      </w:r>
      <w:r>
        <w:rPr>
          <w:rStyle w:val="FootnoteReference"/>
          <w:bCs/>
          <w:sz w:val="28"/>
          <w:szCs w:val="28"/>
        </w:rPr>
        <w:footnoteReference w:id="11"/>
      </w:r>
      <w:r>
        <w:rPr>
          <w:bCs/>
          <w:sz w:val="28"/>
          <w:szCs w:val="28"/>
        </w:rPr>
        <w:t xml:space="preserve"> Further, like all tenants, tenants with disabilities may have a defense in an action for nonpayment if they prevail in a counterclaim against a landlord.</w:t>
      </w:r>
      <w:r>
        <w:rPr>
          <w:rStyle w:val="FootnoteReference"/>
          <w:bCs/>
          <w:sz w:val="28"/>
          <w:szCs w:val="28"/>
        </w:rPr>
        <w:footnoteReference w:id="12"/>
      </w:r>
      <w:r>
        <w:rPr>
          <w:bCs/>
          <w:sz w:val="28"/>
          <w:szCs w:val="28"/>
        </w:rPr>
        <w:t xml:space="preserve"> Requiring a continuance under these specific circumstances therefore ensures finality of judgments, prevents ongoing litigation, and conserves the resources of both landlords and the court.</w:t>
      </w:r>
    </w:p>
    <w:p w14:paraId="398ECD22" w14:textId="70083E4A" w:rsidR="00B54DFF" w:rsidRPr="0025647F" w:rsidRDefault="00B54DFF" w:rsidP="00701077">
      <w:pPr>
        <w:pStyle w:val="BodyText"/>
        <w:widowControl w:val="0"/>
        <w:spacing w:line="472" w:lineRule="exact"/>
        <w:ind w:firstLine="720"/>
        <w:jc w:val="both"/>
        <w:rPr>
          <w:b/>
          <w:sz w:val="28"/>
          <w:szCs w:val="28"/>
        </w:rPr>
      </w:pPr>
      <w:r w:rsidRPr="0025647F">
        <w:rPr>
          <w:b/>
          <w:sz w:val="28"/>
          <w:szCs w:val="28"/>
        </w:rPr>
        <w:t>B. A mandatory continuance for a tenant who needs reasonable accommodation is in the interests of justice</w:t>
      </w:r>
      <w:r w:rsidR="00ED62FF">
        <w:rPr>
          <w:b/>
          <w:sz w:val="28"/>
          <w:szCs w:val="28"/>
        </w:rPr>
        <w:t xml:space="preserve"> and is required by the ADA</w:t>
      </w:r>
      <w:r w:rsidRPr="0025647F">
        <w:rPr>
          <w:b/>
          <w:sz w:val="28"/>
          <w:szCs w:val="28"/>
        </w:rPr>
        <w:t>.</w:t>
      </w:r>
    </w:p>
    <w:p w14:paraId="61E88CA3" w14:textId="190C7A17" w:rsidR="00F049EA" w:rsidRDefault="00F049EA" w:rsidP="00701077">
      <w:pPr>
        <w:pStyle w:val="BodyText"/>
        <w:widowControl w:val="0"/>
        <w:spacing w:line="472" w:lineRule="exact"/>
        <w:ind w:firstLine="720"/>
        <w:jc w:val="both"/>
        <w:rPr>
          <w:bCs/>
          <w:sz w:val="28"/>
          <w:szCs w:val="28"/>
        </w:rPr>
      </w:pPr>
      <w:r>
        <w:rPr>
          <w:bCs/>
          <w:sz w:val="28"/>
          <w:szCs w:val="28"/>
        </w:rPr>
        <w:t>Determining, requesting, and obtaining reasonable accommodation</w:t>
      </w:r>
      <w:r w:rsidR="00ED62FF">
        <w:rPr>
          <w:bCs/>
          <w:sz w:val="28"/>
          <w:szCs w:val="28"/>
        </w:rPr>
        <w:t xml:space="preserve"> or auxiliary aids</w:t>
      </w:r>
      <w:r>
        <w:rPr>
          <w:bCs/>
          <w:sz w:val="28"/>
          <w:szCs w:val="28"/>
        </w:rPr>
        <w:t xml:space="preserve"> for a person with a disability can take time. </w:t>
      </w:r>
      <w:r w:rsidR="00E85A1D">
        <w:rPr>
          <w:bCs/>
          <w:sz w:val="28"/>
          <w:szCs w:val="28"/>
        </w:rPr>
        <w:t xml:space="preserve">If </w:t>
      </w:r>
      <w:r w:rsidR="000115EB">
        <w:rPr>
          <w:bCs/>
          <w:sz w:val="28"/>
          <w:szCs w:val="28"/>
        </w:rPr>
        <w:t>the</w:t>
      </w:r>
      <w:r w:rsidR="00E85A1D">
        <w:rPr>
          <w:bCs/>
          <w:sz w:val="28"/>
          <w:szCs w:val="28"/>
        </w:rPr>
        <w:t xml:space="preserve"> court does not already have procedures in place for processing and granting such requests, </w:t>
      </w:r>
      <w:r w:rsidR="00941CD5">
        <w:rPr>
          <w:bCs/>
          <w:sz w:val="28"/>
          <w:szCs w:val="28"/>
        </w:rPr>
        <w:t xml:space="preserve">doing so may require </w:t>
      </w:r>
      <w:r w:rsidR="00E85A1D">
        <w:rPr>
          <w:bCs/>
          <w:sz w:val="28"/>
          <w:szCs w:val="28"/>
        </w:rPr>
        <w:t xml:space="preserve">additional time. </w:t>
      </w:r>
      <w:r w:rsidR="00340A57">
        <w:rPr>
          <w:bCs/>
          <w:sz w:val="28"/>
          <w:szCs w:val="28"/>
        </w:rPr>
        <w:t>Accommodation requests for litigants with disabilities often entail providing materials in accessible formats or obtaining interpreter services. P</w:t>
      </w:r>
      <w:r>
        <w:rPr>
          <w:bCs/>
          <w:sz w:val="28"/>
          <w:szCs w:val="28"/>
        </w:rPr>
        <w:t>eople who are blind or low-vision may require braille or large-print documents</w:t>
      </w:r>
      <w:r w:rsidR="00357DB8">
        <w:rPr>
          <w:bCs/>
          <w:sz w:val="28"/>
          <w:szCs w:val="28"/>
        </w:rPr>
        <w:t xml:space="preserve"> or audio recordings of written documents</w:t>
      </w:r>
      <w:r>
        <w:rPr>
          <w:bCs/>
          <w:sz w:val="28"/>
          <w:szCs w:val="28"/>
        </w:rPr>
        <w:t>.</w:t>
      </w:r>
      <w:r w:rsidR="003C5FD9">
        <w:rPr>
          <w:bCs/>
          <w:sz w:val="28"/>
          <w:szCs w:val="28"/>
        </w:rPr>
        <w:t xml:space="preserve"> People who are deaf or hard of hearing may require an ASL interpreter or assistive hearing devices.</w:t>
      </w:r>
      <w:r w:rsidR="001542C1">
        <w:rPr>
          <w:bCs/>
          <w:sz w:val="28"/>
          <w:szCs w:val="28"/>
        </w:rPr>
        <w:t xml:space="preserve"> Depending on the circumstances and the nature of the person’s disability, a specialized interpreter such as a Certified Deaf Interpreter may be needed.</w:t>
      </w:r>
      <w:r w:rsidR="001542C1">
        <w:rPr>
          <w:rStyle w:val="FootnoteReference"/>
          <w:bCs/>
          <w:sz w:val="28"/>
          <w:szCs w:val="28"/>
        </w:rPr>
        <w:footnoteReference w:id="13"/>
      </w:r>
      <w:r>
        <w:rPr>
          <w:bCs/>
          <w:sz w:val="28"/>
          <w:szCs w:val="28"/>
        </w:rPr>
        <w:t xml:space="preserve"> </w:t>
      </w:r>
      <w:r w:rsidR="00340A57">
        <w:rPr>
          <w:bCs/>
          <w:sz w:val="28"/>
          <w:szCs w:val="28"/>
        </w:rPr>
        <w:t>If such accommodation is not immediately available</w:t>
      </w:r>
      <w:r w:rsidR="001C5245">
        <w:rPr>
          <w:bCs/>
          <w:sz w:val="28"/>
          <w:szCs w:val="28"/>
        </w:rPr>
        <w:t xml:space="preserve">, </w:t>
      </w:r>
      <w:r w:rsidR="00ED62FF">
        <w:rPr>
          <w:bCs/>
          <w:sz w:val="28"/>
          <w:szCs w:val="28"/>
        </w:rPr>
        <w:t xml:space="preserve">the ADA requires </w:t>
      </w:r>
      <w:r w:rsidR="001542C1">
        <w:rPr>
          <w:bCs/>
          <w:sz w:val="28"/>
          <w:szCs w:val="28"/>
        </w:rPr>
        <w:t>the</w:t>
      </w:r>
      <w:r w:rsidR="00ED62FF">
        <w:rPr>
          <w:bCs/>
          <w:sz w:val="28"/>
          <w:szCs w:val="28"/>
        </w:rPr>
        <w:t xml:space="preserve"> court to allow time to provide the accommodation or auxiliary aid.</w:t>
      </w:r>
      <w:r w:rsidR="00842753">
        <w:rPr>
          <w:rStyle w:val="FootnoteReference"/>
          <w:bCs/>
          <w:sz w:val="28"/>
          <w:szCs w:val="28"/>
        </w:rPr>
        <w:footnoteReference w:id="14"/>
      </w:r>
      <w:r w:rsidR="00ED62FF">
        <w:rPr>
          <w:bCs/>
          <w:sz w:val="28"/>
          <w:szCs w:val="28"/>
        </w:rPr>
        <w:t xml:space="preserve"> </w:t>
      </w:r>
      <w:r w:rsidR="003C7F95">
        <w:rPr>
          <w:bCs/>
          <w:sz w:val="28"/>
          <w:szCs w:val="28"/>
        </w:rPr>
        <w:t xml:space="preserve">A lack of </w:t>
      </w:r>
      <w:r w:rsidR="00CF53AC">
        <w:rPr>
          <w:bCs/>
          <w:sz w:val="28"/>
          <w:szCs w:val="28"/>
        </w:rPr>
        <w:t xml:space="preserve">available </w:t>
      </w:r>
      <w:r w:rsidR="003C7F95">
        <w:rPr>
          <w:bCs/>
          <w:sz w:val="28"/>
          <w:szCs w:val="28"/>
        </w:rPr>
        <w:lastRenderedPageBreak/>
        <w:t xml:space="preserve">information about how </w:t>
      </w:r>
      <w:r w:rsidR="00CF53AC">
        <w:rPr>
          <w:bCs/>
          <w:sz w:val="28"/>
          <w:szCs w:val="28"/>
        </w:rPr>
        <w:t>to</w:t>
      </w:r>
      <w:r w:rsidR="003C7F95">
        <w:rPr>
          <w:bCs/>
          <w:sz w:val="28"/>
          <w:szCs w:val="28"/>
        </w:rPr>
        <w:t xml:space="preserve"> request reasonable accommodation can cause additional delay and should be remedied as much as possible.</w:t>
      </w:r>
    </w:p>
    <w:p w14:paraId="06874B9B" w14:textId="1E4490EA" w:rsidR="002E7E8A" w:rsidRDefault="003027F7" w:rsidP="00701077">
      <w:pPr>
        <w:pStyle w:val="BodyText"/>
        <w:widowControl w:val="0"/>
        <w:spacing w:line="472" w:lineRule="exact"/>
        <w:ind w:firstLine="720"/>
        <w:jc w:val="both"/>
        <w:rPr>
          <w:bCs/>
          <w:sz w:val="28"/>
          <w:szCs w:val="28"/>
        </w:rPr>
      </w:pPr>
      <w:r>
        <w:rPr>
          <w:bCs/>
          <w:sz w:val="28"/>
          <w:szCs w:val="28"/>
        </w:rPr>
        <w:t xml:space="preserve">DRAZ represented a deaf tenant who was facing eviction based on non-payment of rent. </w:t>
      </w:r>
      <w:r w:rsidR="00735F9E">
        <w:rPr>
          <w:bCs/>
          <w:sz w:val="28"/>
          <w:szCs w:val="28"/>
        </w:rPr>
        <w:t xml:space="preserve">During the eviction hearing, the client was present in-person and had an ASL interpreter over Zoom. The client could not understand the </w:t>
      </w:r>
      <w:r w:rsidR="00422995">
        <w:rPr>
          <w:bCs/>
          <w:sz w:val="28"/>
          <w:szCs w:val="28"/>
        </w:rPr>
        <w:t xml:space="preserve">ASL </w:t>
      </w:r>
      <w:r w:rsidR="00735F9E">
        <w:rPr>
          <w:bCs/>
          <w:sz w:val="28"/>
          <w:szCs w:val="28"/>
        </w:rPr>
        <w:t xml:space="preserve">interpreter and was </w:t>
      </w:r>
      <w:r w:rsidR="002E1A1D">
        <w:rPr>
          <w:bCs/>
          <w:sz w:val="28"/>
          <w:szCs w:val="28"/>
        </w:rPr>
        <w:t xml:space="preserve">clear to the other party and the court that there was </w:t>
      </w:r>
      <w:r w:rsidR="00047CF3">
        <w:rPr>
          <w:bCs/>
          <w:sz w:val="28"/>
          <w:szCs w:val="28"/>
        </w:rPr>
        <w:t>confusion</w:t>
      </w:r>
      <w:r w:rsidR="002E1A1D">
        <w:rPr>
          <w:bCs/>
          <w:sz w:val="28"/>
          <w:szCs w:val="28"/>
        </w:rPr>
        <w:t xml:space="preserve"> and possible lack of effective communication. However, the court chose to “muddle through” the hearing. </w:t>
      </w:r>
      <w:r w:rsidR="00735F9E">
        <w:rPr>
          <w:bCs/>
          <w:sz w:val="28"/>
          <w:szCs w:val="28"/>
        </w:rPr>
        <w:t>The court issued a judgment of eviction.</w:t>
      </w:r>
      <w:r w:rsidR="00047CF3">
        <w:rPr>
          <w:bCs/>
          <w:sz w:val="28"/>
          <w:szCs w:val="28"/>
        </w:rPr>
        <w:t xml:space="preserve"> </w:t>
      </w:r>
      <w:r w:rsidR="002E1A1D">
        <w:rPr>
          <w:bCs/>
          <w:sz w:val="28"/>
          <w:szCs w:val="28"/>
        </w:rPr>
        <w:t>Ultimately</w:t>
      </w:r>
      <w:r w:rsidR="00735F9E">
        <w:rPr>
          <w:bCs/>
          <w:sz w:val="28"/>
          <w:szCs w:val="28"/>
        </w:rPr>
        <w:t>,</w:t>
      </w:r>
      <w:r w:rsidR="002E1A1D">
        <w:rPr>
          <w:bCs/>
          <w:sz w:val="28"/>
          <w:szCs w:val="28"/>
        </w:rPr>
        <w:t xml:space="preserve"> </w:t>
      </w:r>
      <w:r w:rsidR="00735F9E">
        <w:rPr>
          <w:bCs/>
          <w:sz w:val="28"/>
          <w:szCs w:val="28"/>
        </w:rPr>
        <w:t xml:space="preserve">DRAZ </w:t>
      </w:r>
      <w:r w:rsidR="002E1A1D">
        <w:rPr>
          <w:bCs/>
          <w:sz w:val="28"/>
          <w:szCs w:val="28"/>
        </w:rPr>
        <w:t xml:space="preserve">had to </w:t>
      </w:r>
      <w:r w:rsidR="00735F9E">
        <w:rPr>
          <w:bCs/>
          <w:sz w:val="28"/>
          <w:szCs w:val="28"/>
        </w:rPr>
        <w:t xml:space="preserve">file a </w:t>
      </w:r>
      <w:r w:rsidR="002E1A1D">
        <w:rPr>
          <w:bCs/>
          <w:sz w:val="28"/>
          <w:szCs w:val="28"/>
        </w:rPr>
        <w:t xml:space="preserve">stipulated </w:t>
      </w:r>
      <w:r w:rsidR="00735F9E">
        <w:rPr>
          <w:bCs/>
          <w:sz w:val="28"/>
          <w:szCs w:val="28"/>
        </w:rPr>
        <w:t xml:space="preserve">motion requesting that the </w:t>
      </w:r>
      <w:r w:rsidR="00935E8E">
        <w:rPr>
          <w:bCs/>
          <w:sz w:val="28"/>
          <w:szCs w:val="28"/>
        </w:rPr>
        <w:t xml:space="preserve">eviction </w:t>
      </w:r>
      <w:r w:rsidR="00735F9E">
        <w:rPr>
          <w:bCs/>
          <w:sz w:val="28"/>
          <w:szCs w:val="28"/>
        </w:rPr>
        <w:t xml:space="preserve">court vacate the eviction order and </w:t>
      </w:r>
      <w:r w:rsidR="009D437C">
        <w:rPr>
          <w:bCs/>
          <w:sz w:val="28"/>
          <w:szCs w:val="28"/>
        </w:rPr>
        <w:t>set a</w:t>
      </w:r>
      <w:r w:rsidR="00735F9E">
        <w:rPr>
          <w:bCs/>
          <w:sz w:val="28"/>
          <w:szCs w:val="28"/>
        </w:rPr>
        <w:t xml:space="preserve"> hearing with </w:t>
      </w:r>
      <w:r w:rsidR="00935E8E">
        <w:rPr>
          <w:bCs/>
          <w:sz w:val="28"/>
          <w:szCs w:val="28"/>
        </w:rPr>
        <w:t xml:space="preserve">an </w:t>
      </w:r>
      <w:r w:rsidR="00735F9E">
        <w:rPr>
          <w:bCs/>
          <w:sz w:val="28"/>
          <w:szCs w:val="28"/>
        </w:rPr>
        <w:t>in-person ASL interpret</w:t>
      </w:r>
      <w:r w:rsidR="00935E8E">
        <w:rPr>
          <w:bCs/>
          <w:sz w:val="28"/>
          <w:szCs w:val="28"/>
        </w:rPr>
        <w:t>er</w:t>
      </w:r>
      <w:r w:rsidR="00906C9C">
        <w:rPr>
          <w:bCs/>
          <w:sz w:val="28"/>
          <w:szCs w:val="28"/>
        </w:rPr>
        <w:t>. The experience</w:t>
      </w:r>
      <w:r w:rsidR="002E1A1D">
        <w:rPr>
          <w:bCs/>
          <w:sz w:val="28"/>
          <w:szCs w:val="28"/>
        </w:rPr>
        <w:t xml:space="preserve"> </w:t>
      </w:r>
      <w:r w:rsidR="00906C9C">
        <w:rPr>
          <w:bCs/>
          <w:sz w:val="28"/>
          <w:szCs w:val="28"/>
        </w:rPr>
        <w:t>took</w:t>
      </w:r>
      <w:r w:rsidR="00906C9C">
        <w:rPr>
          <w:bCs/>
          <w:sz w:val="28"/>
          <w:szCs w:val="28"/>
        </w:rPr>
        <w:t xml:space="preserve"> </w:t>
      </w:r>
      <w:r w:rsidR="002E1A1D">
        <w:rPr>
          <w:bCs/>
          <w:sz w:val="28"/>
          <w:szCs w:val="28"/>
        </w:rPr>
        <w:t>a significant emotional toll on the litigant</w:t>
      </w:r>
      <w:r w:rsidR="00735F9E">
        <w:rPr>
          <w:bCs/>
          <w:sz w:val="28"/>
          <w:szCs w:val="28"/>
        </w:rPr>
        <w:t xml:space="preserve">. </w:t>
      </w:r>
    </w:p>
    <w:p w14:paraId="2B88E6DC" w14:textId="4DCA999D" w:rsidR="00F049EA" w:rsidRDefault="0077683E" w:rsidP="003D3DB2">
      <w:pPr>
        <w:pStyle w:val="BodyText"/>
        <w:widowControl w:val="0"/>
        <w:spacing w:line="472" w:lineRule="exact"/>
        <w:ind w:firstLine="720"/>
        <w:jc w:val="both"/>
        <w:rPr>
          <w:bCs/>
          <w:sz w:val="28"/>
          <w:szCs w:val="28"/>
        </w:rPr>
      </w:pPr>
      <w:r>
        <w:rPr>
          <w:bCs/>
          <w:sz w:val="28"/>
          <w:szCs w:val="28"/>
        </w:rPr>
        <w:t>A mandatory continuance where a party needs to request and obtain reasonable accommodation alleviates the additional burdens of improper evictions o</w:t>
      </w:r>
      <w:r w:rsidR="00AB20F7">
        <w:rPr>
          <w:bCs/>
          <w:sz w:val="28"/>
          <w:szCs w:val="28"/>
        </w:rPr>
        <w:t>f</w:t>
      </w:r>
      <w:r>
        <w:rPr>
          <w:bCs/>
          <w:sz w:val="28"/>
          <w:szCs w:val="28"/>
        </w:rPr>
        <w:t xml:space="preserve"> tenants with disabilities. Tenants with disabilities often face additional barriers to moving, such as limited mobility and resources. They may be forced to abandon mobility aids and devices and even life-saving medical equipment. They may have to vacate a dwelling </w:t>
      </w:r>
      <w:r w:rsidR="00B62AA2">
        <w:rPr>
          <w:bCs/>
          <w:sz w:val="28"/>
          <w:szCs w:val="28"/>
        </w:rPr>
        <w:t xml:space="preserve">they </w:t>
      </w:r>
      <w:r>
        <w:rPr>
          <w:bCs/>
          <w:sz w:val="28"/>
          <w:szCs w:val="28"/>
        </w:rPr>
        <w:t xml:space="preserve">modified at their own expense, </w:t>
      </w:r>
      <w:r w:rsidR="003D3DB2">
        <w:rPr>
          <w:bCs/>
          <w:sz w:val="28"/>
          <w:szCs w:val="28"/>
        </w:rPr>
        <w:t>such as by building ramps, widening doorways, installing grab bars, lowering shelving, or installing a doorbell with a visual flasher</w:t>
      </w:r>
      <w:r>
        <w:rPr>
          <w:bCs/>
          <w:sz w:val="28"/>
          <w:szCs w:val="28"/>
        </w:rPr>
        <w:t xml:space="preserve">. Eviction can disrupt medical and community support systems of people with disabilities, such as easy access to health care providers. </w:t>
      </w:r>
      <w:r w:rsidR="004E0DDE" w:rsidRPr="004E0DDE">
        <w:rPr>
          <w:bCs/>
          <w:sz w:val="28"/>
          <w:szCs w:val="28"/>
        </w:rPr>
        <w:t xml:space="preserve">Often, households with family members with disabilities have additional disability-related criteria in locating suitable housing. It may need to be accessible, on the ground floor, on an accessible bus line, near behavioral health clinics or specialty medical practices, near a family member who provides personal care or other related </w:t>
      </w:r>
      <w:r w:rsidR="003D3DB2" w:rsidRPr="004E0DDE">
        <w:rPr>
          <w:bCs/>
          <w:sz w:val="28"/>
          <w:szCs w:val="28"/>
        </w:rPr>
        <w:t>assistance, and</w:t>
      </w:r>
      <w:r w:rsidR="004E0DDE" w:rsidRPr="004E0DDE">
        <w:rPr>
          <w:bCs/>
          <w:sz w:val="28"/>
          <w:szCs w:val="28"/>
        </w:rPr>
        <w:t xml:space="preserve"> within a specific price point based on a limited income. Disrupting housing will result in longer periods of housing instability trying to replace housing that fits </w:t>
      </w:r>
      <w:r w:rsidR="003D3DB2">
        <w:rPr>
          <w:bCs/>
          <w:sz w:val="28"/>
          <w:szCs w:val="28"/>
        </w:rPr>
        <w:t>essential</w:t>
      </w:r>
      <w:r w:rsidR="004E0DDE" w:rsidRPr="004E0DDE">
        <w:rPr>
          <w:bCs/>
          <w:sz w:val="28"/>
          <w:szCs w:val="28"/>
        </w:rPr>
        <w:t xml:space="preserve"> criteria. The search process can be longer because of discrimination in the rental screening process.</w:t>
      </w:r>
      <w:r w:rsidR="003D3DB2">
        <w:rPr>
          <w:bCs/>
          <w:sz w:val="28"/>
          <w:szCs w:val="28"/>
        </w:rPr>
        <w:t xml:space="preserve"> </w:t>
      </w:r>
      <w:r w:rsidR="003D3DB2" w:rsidRPr="003D3DB2">
        <w:rPr>
          <w:bCs/>
          <w:sz w:val="28"/>
          <w:szCs w:val="28"/>
        </w:rPr>
        <w:t xml:space="preserve">People with mental health disabilities may face loss </w:t>
      </w:r>
      <w:r w:rsidR="003D3DB2" w:rsidRPr="003D3DB2">
        <w:rPr>
          <w:bCs/>
          <w:sz w:val="28"/>
          <w:szCs w:val="28"/>
        </w:rPr>
        <w:lastRenderedPageBreak/>
        <w:t>of stable housing, which can disrupt treatment or exacerbate symptoms. Tenants with disabilities may face further difficulties locating accessible housing, a task made even more difficult by the existence of an eviction record. Eviction can therefore have compounded and cascading harmful effects on tenants with disabilities to the detriment of their health, wellbeing, and the entire community.</w:t>
      </w:r>
    </w:p>
    <w:p w14:paraId="5322FC35" w14:textId="3A21D2C0" w:rsidR="00B0063D" w:rsidRPr="00A677A2" w:rsidRDefault="00DB4506" w:rsidP="00701077">
      <w:pPr>
        <w:pStyle w:val="BodyText"/>
        <w:widowControl w:val="0"/>
        <w:spacing w:line="472" w:lineRule="exact"/>
        <w:ind w:left="720" w:hanging="720"/>
        <w:jc w:val="both"/>
        <w:rPr>
          <w:sz w:val="28"/>
          <w:szCs w:val="28"/>
        </w:rPr>
      </w:pPr>
      <w:r>
        <w:rPr>
          <w:b/>
          <w:sz w:val="28"/>
          <w:szCs w:val="28"/>
        </w:rPr>
        <w:t>III</w:t>
      </w:r>
      <w:r w:rsidR="00B0063D" w:rsidRPr="00A677A2">
        <w:rPr>
          <w:b/>
          <w:sz w:val="28"/>
          <w:szCs w:val="28"/>
        </w:rPr>
        <w:t>.</w:t>
      </w:r>
      <w:r w:rsidR="00B0063D" w:rsidRPr="00A677A2">
        <w:rPr>
          <w:sz w:val="28"/>
          <w:szCs w:val="28"/>
        </w:rPr>
        <w:tab/>
      </w:r>
      <w:r w:rsidR="00B0063D" w:rsidRPr="00A677A2">
        <w:rPr>
          <w:b/>
          <w:sz w:val="28"/>
          <w:szCs w:val="28"/>
        </w:rPr>
        <w:t>Conclusion</w:t>
      </w:r>
    </w:p>
    <w:p w14:paraId="3E9EEB2A" w14:textId="1874564B" w:rsidR="00DB4506" w:rsidRDefault="002E1A1D" w:rsidP="00701077">
      <w:pPr>
        <w:pStyle w:val="BodyText"/>
        <w:widowControl w:val="0"/>
        <w:spacing w:line="472" w:lineRule="exact"/>
        <w:ind w:firstLine="720"/>
        <w:jc w:val="both"/>
        <w:rPr>
          <w:bCs/>
          <w:sz w:val="28"/>
          <w:szCs w:val="28"/>
        </w:rPr>
      </w:pPr>
      <w:r>
        <w:rPr>
          <w:bCs/>
          <w:sz w:val="28"/>
          <w:szCs w:val="28"/>
        </w:rPr>
        <w:t>Tenants with disabilities are entitled to</w:t>
      </w:r>
      <w:r w:rsidR="00DB4506">
        <w:rPr>
          <w:bCs/>
          <w:sz w:val="28"/>
          <w:szCs w:val="28"/>
        </w:rPr>
        <w:t xml:space="preserve"> a fair and equal </w:t>
      </w:r>
      <w:r>
        <w:rPr>
          <w:bCs/>
          <w:sz w:val="28"/>
          <w:szCs w:val="28"/>
        </w:rPr>
        <w:t>opportunity</w:t>
      </w:r>
      <w:r w:rsidR="00DB4506">
        <w:rPr>
          <w:bCs/>
          <w:sz w:val="28"/>
          <w:szCs w:val="28"/>
        </w:rPr>
        <w:t xml:space="preserve"> to access court proceedings that determine whether they will be evicted</w:t>
      </w:r>
      <w:r>
        <w:rPr>
          <w:bCs/>
          <w:sz w:val="28"/>
          <w:szCs w:val="28"/>
        </w:rPr>
        <w:t xml:space="preserve"> from their housing</w:t>
      </w:r>
      <w:r w:rsidR="00DB4506">
        <w:rPr>
          <w:bCs/>
          <w:sz w:val="28"/>
          <w:szCs w:val="28"/>
        </w:rPr>
        <w:t xml:space="preserve">. The proposed rule change will </w:t>
      </w:r>
      <w:r>
        <w:rPr>
          <w:bCs/>
          <w:sz w:val="28"/>
          <w:szCs w:val="28"/>
        </w:rPr>
        <w:t xml:space="preserve">promote fairness in the process and address some of the </w:t>
      </w:r>
      <w:r w:rsidR="00DB4506">
        <w:rPr>
          <w:bCs/>
          <w:sz w:val="28"/>
          <w:szCs w:val="28"/>
        </w:rPr>
        <w:t xml:space="preserve">barriers to accessing the </w:t>
      </w:r>
      <w:r w:rsidR="00217720">
        <w:rPr>
          <w:bCs/>
          <w:sz w:val="28"/>
          <w:szCs w:val="28"/>
        </w:rPr>
        <w:t xml:space="preserve">eviction </w:t>
      </w:r>
      <w:r w:rsidR="00DB4506">
        <w:rPr>
          <w:bCs/>
          <w:sz w:val="28"/>
          <w:szCs w:val="28"/>
        </w:rPr>
        <w:t xml:space="preserve">court system due to </w:t>
      </w:r>
      <w:r>
        <w:rPr>
          <w:bCs/>
          <w:sz w:val="28"/>
          <w:szCs w:val="28"/>
        </w:rPr>
        <w:t>disability</w:t>
      </w:r>
      <w:r w:rsidR="00DB4506">
        <w:rPr>
          <w:bCs/>
          <w:sz w:val="28"/>
          <w:szCs w:val="28"/>
        </w:rPr>
        <w:t xml:space="preserve">.  </w:t>
      </w:r>
    </w:p>
    <w:p w14:paraId="0032536D" w14:textId="1E8A19C2" w:rsidR="00B0063D" w:rsidRDefault="00B0063D" w:rsidP="00701077">
      <w:pPr>
        <w:pStyle w:val="BodyText"/>
        <w:widowControl w:val="0"/>
        <w:spacing w:line="472" w:lineRule="exact"/>
        <w:ind w:firstLine="720"/>
        <w:jc w:val="both"/>
        <w:rPr>
          <w:sz w:val="28"/>
          <w:szCs w:val="28"/>
        </w:rPr>
      </w:pPr>
      <w:r>
        <w:rPr>
          <w:sz w:val="28"/>
          <w:szCs w:val="28"/>
        </w:rPr>
        <w:t xml:space="preserve">For the above reasons, </w:t>
      </w:r>
      <w:r w:rsidR="009B5A0C">
        <w:rPr>
          <w:sz w:val="28"/>
          <w:szCs w:val="28"/>
        </w:rPr>
        <w:t>DRAZ</w:t>
      </w:r>
      <w:r w:rsidRPr="00A677A2">
        <w:rPr>
          <w:sz w:val="28"/>
          <w:szCs w:val="28"/>
        </w:rPr>
        <w:t xml:space="preserve"> </w:t>
      </w:r>
      <w:r>
        <w:rPr>
          <w:sz w:val="28"/>
          <w:szCs w:val="28"/>
        </w:rPr>
        <w:t>respectfully request</w:t>
      </w:r>
      <w:r w:rsidR="009B5A0C">
        <w:rPr>
          <w:sz w:val="28"/>
          <w:szCs w:val="28"/>
        </w:rPr>
        <w:t>s</w:t>
      </w:r>
      <w:r>
        <w:rPr>
          <w:sz w:val="28"/>
          <w:szCs w:val="28"/>
        </w:rPr>
        <w:t xml:space="preserve"> that </w:t>
      </w:r>
      <w:r w:rsidRPr="00A677A2">
        <w:rPr>
          <w:sz w:val="28"/>
          <w:szCs w:val="28"/>
        </w:rPr>
        <w:t>the Court approve th</w:t>
      </w:r>
      <w:r w:rsidR="005A1BF1">
        <w:rPr>
          <w:sz w:val="28"/>
          <w:szCs w:val="28"/>
        </w:rPr>
        <w:t>e</w:t>
      </w:r>
      <w:r>
        <w:rPr>
          <w:sz w:val="28"/>
          <w:szCs w:val="28"/>
        </w:rPr>
        <w:t xml:space="preserve"> Petition to </w:t>
      </w:r>
      <w:r w:rsidR="00EB4816">
        <w:rPr>
          <w:sz w:val="28"/>
          <w:szCs w:val="28"/>
        </w:rPr>
        <w:t>A</w:t>
      </w:r>
      <w:r>
        <w:rPr>
          <w:sz w:val="28"/>
          <w:szCs w:val="28"/>
        </w:rPr>
        <w:t xml:space="preserve">mend Rule 11(d) and Rule 18(d) of the Arizona Rules of Procedure for Eviction Actions to </w:t>
      </w:r>
      <w:r w:rsidR="00ED02A1">
        <w:rPr>
          <w:sz w:val="28"/>
          <w:szCs w:val="28"/>
        </w:rPr>
        <w:t xml:space="preserve">require </w:t>
      </w:r>
      <w:r w:rsidR="00356B33">
        <w:rPr>
          <w:sz w:val="28"/>
          <w:szCs w:val="28"/>
        </w:rPr>
        <w:t>a</w:t>
      </w:r>
      <w:r w:rsidR="00ED02A1">
        <w:rPr>
          <w:sz w:val="28"/>
          <w:szCs w:val="28"/>
        </w:rPr>
        <w:t xml:space="preserve"> mandatory continuance in cases</w:t>
      </w:r>
      <w:r w:rsidR="002E1A1D">
        <w:rPr>
          <w:sz w:val="28"/>
          <w:szCs w:val="28"/>
        </w:rPr>
        <w:t xml:space="preserve"> as set forth in the proposed rule amendment, including a mandatory continuance for</w:t>
      </w:r>
      <w:r w:rsidR="00217720">
        <w:rPr>
          <w:sz w:val="28"/>
          <w:szCs w:val="28"/>
        </w:rPr>
        <w:t xml:space="preserve"> good cause due to a health or medical emergency or a need to request an</w:t>
      </w:r>
      <w:r w:rsidR="00356B33">
        <w:rPr>
          <w:sz w:val="28"/>
          <w:szCs w:val="28"/>
        </w:rPr>
        <w:t>d</w:t>
      </w:r>
      <w:r w:rsidR="00217720">
        <w:rPr>
          <w:sz w:val="28"/>
          <w:szCs w:val="28"/>
        </w:rPr>
        <w:t xml:space="preserve"> obtain reasonable accommodation under the ADA.</w:t>
      </w:r>
    </w:p>
    <w:p w14:paraId="4E475ACD" w14:textId="77777777" w:rsidR="001C6346" w:rsidRDefault="001C6346" w:rsidP="00701077">
      <w:pPr>
        <w:pStyle w:val="BodyText"/>
        <w:widowControl w:val="0"/>
        <w:spacing w:line="472" w:lineRule="exact"/>
        <w:ind w:firstLine="720"/>
        <w:jc w:val="both"/>
        <w:rPr>
          <w:sz w:val="28"/>
          <w:szCs w:val="28"/>
        </w:rPr>
      </w:pPr>
    </w:p>
    <w:p w14:paraId="3C219673" w14:textId="77777777" w:rsidR="001C6346" w:rsidRPr="00A677A2" w:rsidRDefault="001C6346" w:rsidP="00B0063D">
      <w:pPr>
        <w:pStyle w:val="BodyText"/>
        <w:widowControl w:val="0"/>
        <w:spacing w:line="480" w:lineRule="auto"/>
        <w:ind w:firstLine="720"/>
        <w:jc w:val="both"/>
        <w:rPr>
          <w:bCs/>
          <w:sz w:val="28"/>
          <w:szCs w:val="28"/>
        </w:rPr>
      </w:pPr>
    </w:p>
    <w:p w14:paraId="25B72BBB" w14:textId="27E040AC" w:rsidR="00B0063D" w:rsidRPr="00A677A2" w:rsidRDefault="00B0063D" w:rsidP="00B0063D">
      <w:pPr>
        <w:pStyle w:val="BodyText"/>
        <w:spacing w:line="377" w:lineRule="auto"/>
        <w:jc w:val="both"/>
        <w:rPr>
          <w:sz w:val="28"/>
          <w:szCs w:val="28"/>
        </w:rPr>
      </w:pPr>
      <w:r w:rsidRPr="00A677A2">
        <w:rPr>
          <w:sz w:val="28"/>
          <w:szCs w:val="28"/>
        </w:rPr>
        <w:tab/>
        <w:t xml:space="preserve">Respectfully submitted this </w:t>
      </w:r>
      <w:r w:rsidR="001C6346" w:rsidRPr="00B3443B">
        <w:rPr>
          <w:sz w:val="28"/>
          <w:szCs w:val="28"/>
        </w:rPr>
        <w:t>3</w:t>
      </w:r>
      <w:r w:rsidR="00B3443B">
        <w:rPr>
          <w:sz w:val="28"/>
          <w:szCs w:val="28"/>
        </w:rPr>
        <w:t>0th</w:t>
      </w:r>
      <w:r w:rsidR="001C6346" w:rsidRPr="00B3443B">
        <w:rPr>
          <w:sz w:val="28"/>
          <w:szCs w:val="28"/>
        </w:rPr>
        <w:t xml:space="preserve"> day of April</w:t>
      </w:r>
      <w:r w:rsidRPr="00B3443B">
        <w:rPr>
          <w:sz w:val="28"/>
          <w:szCs w:val="28"/>
        </w:rPr>
        <w:t xml:space="preserve"> 2025</w:t>
      </w:r>
      <w:r w:rsidRPr="00A677A2">
        <w:rPr>
          <w:sz w:val="28"/>
          <w:szCs w:val="28"/>
        </w:rPr>
        <w:t>.</w:t>
      </w:r>
    </w:p>
    <w:p w14:paraId="277BB2C3" w14:textId="3AEB98EE" w:rsidR="00B0063D" w:rsidRPr="00B0063D" w:rsidRDefault="00B0063D" w:rsidP="00B0063D">
      <w:pPr>
        <w:pStyle w:val="BodyText"/>
        <w:spacing w:line="360" w:lineRule="auto"/>
        <w:jc w:val="both"/>
        <w:rPr>
          <w:sz w:val="28"/>
          <w:szCs w:val="28"/>
        </w:rPr>
      </w:pPr>
      <w:r w:rsidRPr="00A677A2">
        <w:rPr>
          <w:sz w:val="28"/>
          <w:szCs w:val="28"/>
        </w:rPr>
        <w:tab/>
      </w:r>
      <w:r w:rsidRPr="00A677A2">
        <w:rPr>
          <w:sz w:val="28"/>
          <w:szCs w:val="28"/>
        </w:rPr>
        <w:tab/>
      </w:r>
      <w:r w:rsidRPr="00A677A2">
        <w:rPr>
          <w:sz w:val="28"/>
          <w:szCs w:val="28"/>
        </w:rPr>
        <w:tab/>
      </w:r>
      <w:r w:rsidRPr="00A677A2">
        <w:rPr>
          <w:sz w:val="28"/>
          <w:szCs w:val="28"/>
        </w:rPr>
        <w:tab/>
      </w:r>
      <w:r w:rsidRPr="00A677A2">
        <w:rPr>
          <w:sz w:val="28"/>
          <w:szCs w:val="28"/>
        </w:rPr>
        <w:tab/>
      </w:r>
      <w:r>
        <w:rPr>
          <w:sz w:val="28"/>
          <w:szCs w:val="28"/>
        </w:rPr>
        <w:t>DISABILITY RIGHTS ARIZONA</w:t>
      </w:r>
      <w:r w:rsidRPr="00B0063D">
        <w:rPr>
          <w:sz w:val="28"/>
          <w:szCs w:val="28"/>
        </w:rPr>
        <w:t xml:space="preserve"> </w:t>
      </w:r>
    </w:p>
    <w:p w14:paraId="4F85B2CA" w14:textId="77777777" w:rsidR="00B0063D" w:rsidRPr="00A677A2" w:rsidRDefault="00B0063D" w:rsidP="00B0063D">
      <w:pPr>
        <w:spacing w:line="240" w:lineRule="auto"/>
        <w:rPr>
          <w:sz w:val="28"/>
          <w:szCs w:val="28"/>
        </w:rPr>
      </w:pPr>
    </w:p>
    <w:p w14:paraId="5728C1F4" w14:textId="1BF3C3E5" w:rsidR="00B0063D" w:rsidRPr="00B0063D" w:rsidRDefault="00B0063D" w:rsidP="00B0063D">
      <w:pPr>
        <w:widowControl w:val="0"/>
        <w:spacing w:line="240" w:lineRule="auto"/>
        <w:rPr>
          <w:b/>
          <w:bCs/>
          <w:sz w:val="28"/>
          <w:szCs w:val="28"/>
        </w:rPr>
      </w:pPr>
      <w:r w:rsidRPr="00A677A2">
        <w:rPr>
          <w:sz w:val="28"/>
          <w:szCs w:val="28"/>
        </w:rPr>
        <w:tab/>
      </w:r>
      <w:r w:rsidRPr="00A677A2">
        <w:rPr>
          <w:sz w:val="28"/>
          <w:szCs w:val="28"/>
        </w:rPr>
        <w:tab/>
      </w:r>
      <w:r w:rsidRPr="00A677A2">
        <w:rPr>
          <w:sz w:val="28"/>
          <w:szCs w:val="28"/>
        </w:rPr>
        <w:tab/>
      </w:r>
      <w:r w:rsidRPr="00A677A2">
        <w:rPr>
          <w:sz w:val="28"/>
          <w:szCs w:val="28"/>
        </w:rPr>
        <w:tab/>
      </w:r>
      <w:r w:rsidRPr="00A677A2">
        <w:rPr>
          <w:sz w:val="28"/>
          <w:szCs w:val="28"/>
        </w:rPr>
        <w:tab/>
      </w:r>
      <w:proofErr w:type="gramStart"/>
      <w:r w:rsidRPr="00A677A2">
        <w:rPr>
          <w:sz w:val="28"/>
          <w:szCs w:val="28"/>
        </w:rPr>
        <w:t>By</w:t>
      </w:r>
      <w:r w:rsidRPr="00A677A2">
        <w:rPr>
          <w:sz w:val="28"/>
          <w:szCs w:val="28"/>
          <w:u w:val="single"/>
        </w:rPr>
        <w:t xml:space="preserve">  /</w:t>
      </w:r>
      <w:proofErr w:type="gramEnd"/>
      <w:r w:rsidRPr="00A677A2">
        <w:rPr>
          <w:sz w:val="28"/>
          <w:szCs w:val="28"/>
          <w:u w:val="single"/>
        </w:rPr>
        <w:t>s/</w:t>
      </w:r>
      <w:r>
        <w:rPr>
          <w:sz w:val="28"/>
          <w:szCs w:val="28"/>
          <w:u w:val="single"/>
        </w:rPr>
        <w:t xml:space="preserve"> </w:t>
      </w:r>
      <w:r w:rsidR="00B3443B">
        <w:rPr>
          <w:sz w:val="28"/>
          <w:szCs w:val="28"/>
          <w:u w:val="single"/>
        </w:rPr>
        <w:t>Katherine Henrichs</w:t>
      </w:r>
    </w:p>
    <w:p w14:paraId="51A58DEC" w14:textId="2EC39F20" w:rsidR="00B0063D" w:rsidRPr="00A677A2" w:rsidRDefault="00B0063D" w:rsidP="00B0063D">
      <w:pPr>
        <w:widowControl w:val="0"/>
        <w:tabs>
          <w:tab w:val="left" w:pos="4114"/>
        </w:tabs>
        <w:spacing w:line="240" w:lineRule="auto"/>
        <w:rPr>
          <w:sz w:val="28"/>
          <w:szCs w:val="28"/>
        </w:rPr>
      </w:pPr>
    </w:p>
    <w:p w14:paraId="090B721E" w14:textId="0A3EB47E" w:rsidR="00B0063D" w:rsidRPr="00A677A2" w:rsidRDefault="00B0063D" w:rsidP="00B0063D">
      <w:pPr>
        <w:widowControl w:val="0"/>
        <w:tabs>
          <w:tab w:val="left" w:pos="4114"/>
        </w:tabs>
        <w:spacing w:line="240" w:lineRule="auto"/>
        <w:rPr>
          <w:sz w:val="28"/>
          <w:szCs w:val="28"/>
        </w:rPr>
      </w:pPr>
      <w:r w:rsidRPr="00A677A2">
        <w:rPr>
          <w:sz w:val="28"/>
          <w:szCs w:val="28"/>
        </w:rPr>
        <w:tab/>
      </w:r>
    </w:p>
    <w:p w14:paraId="1725A179" w14:textId="77777777" w:rsidR="00B0063D" w:rsidRPr="00A677A2" w:rsidRDefault="00B0063D" w:rsidP="00B0063D">
      <w:pPr>
        <w:widowControl w:val="0"/>
        <w:tabs>
          <w:tab w:val="left" w:pos="4114"/>
        </w:tabs>
        <w:spacing w:line="240" w:lineRule="auto"/>
        <w:rPr>
          <w:sz w:val="28"/>
          <w:szCs w:val="28"/>
        </w:rPr>
      </w:pPr>
      <w:r w:rsidRPr="00A677A2">
        <w:rPr>
          <w:sz w:val="28"/>
          <w:szCs w:val="28"/>
        </w:rPr>
        <w:t>Original electronically filed with the</w:t>
      </w:r>
    </w:p>
    <w:p w14:paraId="19B057C1" w14:textId="77777777" w:rsidR="00B0063D" w:rsidRPr="00A677A2" w:rsidRDefault="00B0063D" w:rsidP="00B0063D">
      <w:pPr>
        <w:widowControl w:val="0"/>
        <w:tabs>
          <w:tab w:val="left" w:pos="4114"/>
        </w:tabs>
        <w:spacing w:line="240" w:lineRule="auto"/>
        <w:rPr>
          <w:sz w:val="28"/>
          <w:szCs w:val="28"/>
        </w:rPr>
      </w:pPr>
      <w:r w:rsidRPr="00A677A2">
        <w:rPr>
          <w:sz w:val="28"/>
          <w:szCs w:val="28"/>
        </w:rPr>
        <w:t>Clerk of the Supreme Court of Arizona</w:t>
      </w:r>
    </w:p>
    <w:p w14:paraId="1D2354D1" w14:textId="2175422A" w:rsidR="00B0063D" w:rsidRPr="00A677A2" w:rsidRDefault="00B0063D" w:rsidP="00B0063D">
      <w:pPr>
        <w:widowControl w:val="0"/>
        <w:tabs>
          <w:tab w:val="left" w:pos="4114"/>
        </w:tabs>
        <w:spacing w:line="240" w:lineRule="auto"/>
        <w:rPr>
          <w:sz w:val="28"/>
          <w:szCs w:val="28"/>
        </w:rPr>
      </w:pPr>
      <w:r w:rsidRPr="00A677A2">
        <w:rPr>
          <w:sz w:val="28"/>
          <w:szCs w:val="28"/>
        </w:rPr>
        <w:t xml:space="preserve">this </w:t>
      </w:r>
      <w:r w:rsidRPr="00B3443B">
        <w:rPr>
          <w:sz w:val="28"/>
          <w:szCs w:val="28"/>
        </w:rPr>
        <w:t>3</w:t>
      </w:r>
      <w:r w:rsidR="00B3443B">
        <w:rPr>
          <w:sz w:val="28"/>
          <w:szCs w:val="28"/>
        </w:rPr>
        <w:t>0th</w:t>
      </w:r>
      <w:r w:rsidRPr="00B3443B">
        <w:rPr>
          <w:sz w:val="28"/>
          <w:szCs w:val="28"/>
        </w:rPr>
        <w:t xml:space="preserve"> day of April 2025</w:t>
      </w:r>
      <w:r w:rsidRPr="00A677A2">
        <w:rPr>
          <w:sz w:val="28"/>
          <w:szCs w:val="28"/>
        </w:rPr>
        <w:t>.</w:t>
      </w:r>
    </w:p>
    <w:p w14:paraId="6F799743" w14:textId="77777777" w:rsidR="00B0063D" w:rsidRPr="00A677A2" w:rsidRDefault="00B0063D" w:rsidP="00B0063D">
      <w:pPr>
        <w:widowControl w:val="0"/>
        <w:tabs>
          <w:tab w:val="left" w:pos="4114"/>
        </w:tabs>
        <w:spacing w:line="240" w:lineRule="auto"/>
        <w:rPr>
          <w:sz w:val="28"/>
          <w:szCs w:val="28"/>
        </w:rPr>
      </w:pPr>
    </w:p>
    <w:p w14:paraId="26ACCE2B" w14:textId="6ED211A9" w:rsidR="00B0063D" w:rsidRPr="00A677A2" w:rsidRDefault="00B0063D" w:rsidP="00B0063D">
      <w:pPr>
        <w:widowControl w:val="0"/>
        <w:tabs>
          <w:tab w:val="left" w:pos="4114"/>
        </w:tabs>
        <w:spacing w:line="240" w:lineRule="auto"/>
        <w:rPr>
          <w:sz w:val="28"/>
          <w:szCs w:val="28"/>
          <w:u w:val="single"/>
        </w:rPr>
      </w:pPr>
      <w:proofErr w:type="gramStart"/>
      <w:r w:rsidRPr="00A677A2">
        <w:rPr>
          <w:sz w:val="28"/>
          <w:szCs w:val="28"/>
        </w:rPr>
        <w:t xml:space="preserve">By: </w:t>
      </w:r>
      <w:r w:rsidRPr="00A677A2">
        <w:rPr>
          <w:sz w:val="28"/>
          <w:szCs w:val="28"/>
          <w:u w:val="single"/>
        </w:rPr>
        <w:t xml:space="preserve"> /</w:t>
      </w:r>
      <w:proofErr w:type="gramEnd"/>
      <w:r w:rsidRPr="00A677A2">
        <w:rPr>
          <w:sz w:val="28"/>
          <w:szCs w:val="28"/>
          <w:u w:val="single"/>
        </w:rPr>
        <w:t>s/</w:t>
      </w:r>
      <w:r w:rsidR="00B3443B">
        <w:rPr>
          <w:sz w:val="28"/>
          <w:szCs w:val="28"/>
          <w:u w:val="single"/>
        </w:rPr>
        <w:t xml:space="preserve"> Katherine Henrichs</w:t>
      </w:r>
    </w:p>
    <w:p w14:paraId="7346BF36" w14:textId="77777777" w:rsidR="00C077C3" w:rsidRDefault="00C077C3"/>
    <w:sectPr w:rsidR="00C077C3" w:rsidSect="00B0063D">
      <w:headerReference w:type="default" r:id="rId8"/>
      <w:footerReference w:type="even" r:id="rId9"/>
      <w:footerReference w:type="default" r:id="rId10"/>
      <w:pgSz w:w="12240" w:h="15840" w:code="1"/>
      <w:pgMar w:top="1440" w:right="720" w:bottom="1080" w:left="216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3834" w14:textId="77777777" w:rsidR="00AC5D30" w:rsidRDefault="00AC5D30" w:rsidP="00B0063D">
      <w:pPr>
        <w:spacing w:line="240" w:lineRule="auto"/>
      </w:pPr>
      <w:r>
        <w:separator/>
      </w:r>
    </w:p>
  </w:endnote>
  <w:endnote w:type="continuationSeparator" w:id="0">
    <w:p w14:paraId="45798E06" w14:textId="77777777" w:rsidR="00AC5D30" w:rsidRDefault="00AC5D30" w:rsidP="00B00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1FB9" w14:textId="77777777" w:rsidR="003C5FD9" w:rsidRDefault="003C5FD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E87D392" w14:textId="77777777" w:rsidR="003C5FD9" w:rsidRDefault="003C5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B926" w14:textId="77777777" w:rsidR="003C5FD9" w:rsidRDefault="003C5FD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31EDBE06" w14:textId="77777777" w:rsidR="003C5FD9" w:rsidRDefault="003C5FD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1584" w14:textId="77777777" w:rsidR="00AC5D30" w:rsidRDefault="00AC5D30" w:rsidP="00B0063D">
      <w:pPr>
        <w:spacing w:line="240" w:lineRule="auto"/>
      </w:pPr>
      <w:r>
        <w:separator/>
      </w:r>
    </w:p>
  </w:footnote>
  <w:footnote w:type="continuationSeparator" w:id="0">
    <w:p w14:paraId="303AD1CD" w14:textId="77777777" w:rsidR="00AC5D30" w:rsidRDefault="00AC5D30" w:rsidP="00B0063D">
      <w:pPr>
        <w:spacing w:line="240" w:lineRule="auto"/>
      </w:pPr>
      <w:r>
        <w:continuationSeparator/>
      </w:r>
    </w:p>
  </w:footnote>
  <w:footnote w:id="1">
    <w:p w14:paraId="09885B5A" w14:textId="506CBE0B" w:rsidR="00B47493" w:rsidRDefault="00B47493" w:rsidP="00B47493">
      <w:pPr>
        <w:pStyle w:val="FootnoteText"/>
        <w:spacing w:line="240" w:lineRule="auto"/>
      </w:pPr>
      <w:r>
        <w:rPr>
          <w:rStyle w:val="FootnoteReference"/>
        </w:rPr>
        <w:footnoteRef/>
      </w:r>
      <w:r>
        <w:t xml:space="preserve"> </w:t>
      </w:r>
      <w:r w:rsidRPr="00B47493">
        <w:rPr>
          <w:i/>
          <w:iCs/>
        </w:rPr>
        <w:t>See Tennessee v. Lane</w:t>
      </w:r>
      <w:r>
        <w:t>, 541 U.S. 509, 524-29 (2004) (holding that Congress validly exercised its remedial lawmaking authority under the Fourteenth Amendment in applying Title II of the ADA to state courts);</w:t>
      </w:r>
      <w:r w:rsidR="00AF7FDB">
        <w:t xml:space="preserve"> 42 U.S.C. </w:t>
      </w:r>
      <w:r w:rsidR="00AF7FDB" w:rsidRPr="00AF7FDB">
        <w:t>§</w:t>
      </w:r>
      <w:r w:rsidR="00AF7FDB">
        <w:t xml:space="preserve"> 12101(a), (b).</w:t>
      </w:r>
    </w:p>
  </w:footnote>
  <w:footnote w:id="2">
    <w:p w14:paraId="006574C9" w14:textId="57F45BEA" w:rsidR="009A0A01" w:rsidRDefault="009A0A01" w:rsidP="009A0A01">
      <w:pPr>
        <w:pStyle w:val="FootnoteText"/>
        <w:spacing w:line="240" w:lineRule="auto"/>
      </w:pPr>
      <w:r>
        <w:rPr>
          <w:rStyle w:val="FootnoteReference"/>
        </w:rPr>
        <w:footnoteRef/>
      </w:r>
      <w:r>
        <w:t xml:space="preserve"> 28 C.F.R. </w:t>
      </w:r>
      <w:r w:rsidRPr="00AF7FDB">
        <w:t>§</w:t>
      </w:r>
      <w:r>
        <w:t xml:space="preserve"> 35.130(b)(7)(1) (“A public entity shall make reasonable modifications in policies, practices, or procedures when the modifications are necessary to avoid discrimination on the basis of disability.”</w:t>
      </w:r>
      <w:r w:rsidR="003F3377">
        <w:t xml:space="preserve">); 28 C.F.R. </w:t>
      </w:r>
      <w:r w:rsidR="003F3377" w:rsidRPr="00AF7FDB">
        <w:t>§</w:t>
      </w:r>
      <w:r w:rsidR="003F3377">
        <w:t xml:space="preserve"> 35.160(b)(1) (“A public entity shall furnish appropriate auxiliary aids and services where necessary to afford individuals with disabilities . . . an equal opportunity to participate in, and enjoy the benefits of, a service, program, or activity of a public entity.”)</w:t>
      </w:r>
    </w:p>
  </w:footnote>
  <w:footnote w:id="3">
    <w:p w14:paraId="67CCED64" w14:textId="09D00942" w:rsidR="00A5306E" w:rsidRDefault="00A5306E" w:rsidP="00961DB7">
      <w:pPr>
        <w:pStyle w:val="FootnoteText"/>
        <w:spacing w:line="240" w:lineRule="auto"/>
      </w:pPr>
      <w:r>
        <w:rPr>
          <w:rStyle w:val="FootnoteReference"/>
        </w:rPr>
        <w:footnoteRef/>
      </w:r>
      <w:r>
        <w:t xml:space="preserve"> </w:t>
      </w:r>
      <w:r w:rsidRPr="00A5306E">
        <w:t xml:space="preserve">42 U.S.C. § 12102(1).  </w:t>
      </w:r>
    </w:p>
  </w:footnote>
  <w:footnote w:id="4">
    <w:p w14:paraId="4DF151BB" w14:textId="24DC6435" w:rsidR="00A5306E" w:rsidRDefault="00A5306E" w:rsidP="00961DB7">
      <w:pPr>
        <w:pStyle w:val="FootnoteText"/>
        <w:spacing w:line="240" w:lineRule="auto"/>
      </w:pPr>
      <w:r>
        <w:rPr>
          <w:rStyle w:val="FootnoteReference"/>
        </w:rPr>
        <w:footnoteRef/>
      </w:r>
      <w:r>
        <w:t xml:space="preserve"> </w:t>
      </w:r>
      <w:r w:rsidRPr="00A5306E">
        <w:t>42 U.S.C. § 12102(2)(A).</w:t>
      </w:r>
    </w:p>
  </w:footnote>
  <w:footnote w:id="5">
    <w:p w14:paraId="2B5AD860" w14:textId="42D3A3C4" w:rsidR="00961DB7" w:rsidRDefault="00961DB7" w:rsidP="00961DB7">
      <w:pPr>
        <w:pStyle w:val="FootnoteText"/>
        <w:spacing w:line="240" w:lineRule="auto"/>
      </w:pPr>
      <w:r>
        <w:rPr>
          <w:rStyle w:val="FootnoteReference"/>
        </w:rPr>
        <w:footnoteRef/>
      </w:r>
      <w:r>
        <w:t xml:space="preserve"> </w:t>
      </w:r>
      <w:r w:rsidRPr="00961DB7">
        <w:t>42 U.S.C. § 12102(2)(a).</w:t>
      </w:r>
    </w:p>
  </w:footnote>
  <w:footnote w:id="6">
    <w:p w14:paraId="0675D870" w14:textId="0156A66B" w:rsidR="00082D10" w:rsidRDefault="00082D10" w:rsidP="00082D10">
      <w:pPr>
        <w:pStyle w:val="FootnoteText"/>
        <w:spacing w:line="240" w:lineRule="auto"/>
      </w:pPr>
      <w:r>
        <w:rPr>
          <w:rStyle w:val="FootnoteReference"/>
        </w:rPr>
        <w:footnoteRef/>
      </w:r>
      <w:r>
        <w:t xml:space="preserve"> See Introduction to the Americans with Disabilities Act, ADA.gov, available at </w:t>
      </w:r>
      <w:r w:rsidRPr="00082D10">
        <w:t>https://www.ada.gov/topics/intro-to-ada/</w:t>
      </w:r>
      <w:r>
        <w:t xml:space="preserve"> (last accessed April 29, 2025).</w:t>
      </w:r>
    </w:p>
  </w:footnote>
  <w:footnote w:id="7">
    <w:p w14:paraId="7D535E29" w14:textId="2FBC743C" w:rsidR="00961DB7" w:rsidRDefault="00961DB7" w:rsidP="00961DB7">
      <w:pPr>
        <w:pStyle w:val="FootnoteText"/>
        <w:spacing w:line="240" w:lineRule="auto"/>
      </w:pPr>
      <w:r>
        <w:rPr>
          <w:rStyle w:val="FootnoteReference"/>
        </w:rPr>
        <w:footnoteRef/>
      </w:r>
      <w:r>
        <w:t xml:space="preserve"> </w:t>
      </w:r>
      <w:r w:rsidRPr="00961DB7">
        <w:t>42 U.S.C. § 12102(4)(A).</w:t>
      </w:r>
    </w:p>
  </w:footnote>
  <w:footnote w:id="8">
    <w:p w14:paraId="5B46D366" w14:textId="4C182631" w:rsidR="00961DB7" w:rsidRDefault="00961DB7" w:rsidP="002D289C">
      <w:pPr>
        <w:pStyle w:val="FootnoteText"/>
        <w:spacing w:line="240" w:lineRule="auto"/>
      </w:pPr>
      <w:r>
        <w:rPr>
          <w:rStyle w:val="FootnoteReference"/>
        </w:rPr>
        <w:footnoteRef/>
      </w:r>
      <w:r>
        <w:t xml:space="preserve"> </w:t>
      </w:r>
      <w:r w:rsidRPr="00961DB7">
        <w:t>42 U.S.C. § 12102(4)(D).</w:t>
      </w:r>
    </w:p>
  </w:footnote>
  <w:footnote w:id="9">
    <w:p w14:paraId="32727BA8" w14:textId="6829FDDC" w:rsidR="00E53499" w:rsidRDefault="00E53499" w:rsidP="002D289C">
      <w:pPr>
        <w:pStyle w:val="FootnoteText"/>
        <w:spacing w:line="240" w:lineRule="auto"/>
      </w:pPr>
      <w:r>
        <w:rPr>
          <w:rStyle w:val="FootnoteReference"/>
        </w:rPr>
        <w:footnoteRef/>
      </w:r>
      <w:r>
        <w:t xml:space="preserve"> </w:t>
      </w:r>
      <w:r w:rsidRPr="00E53499">
        <w:t>42 U.S.C. § 12102(4)(E)(</w:t>
      </w:r>
      <w:proofErr w:type="spellStart"/>
      <w:r w:rsidRPr="00E53499">
        <w:t>i</w:t>
      </w:r>
      <w:proofErr w:type="spellEnd"/>
      <w:r w:rsidRPr="00E53499">
        <w:t>).</w:t>
      </w:r>
    </w:p>
  </w:footnote>
  <w:footnote w:id="10">
    <w:p w14:paraId="505DBF4F" w14:textId="2EE55458" w:rsidR="00022B04" w:rsidRDefault="00022B04" w:rsidP="00022B04">
      <w:pPr>
        <w:pStyle w:val="FootnoteText"/>
        <w:spacing w:line="240" w:lineRule="auto"/>
      </w:pPr>
      <w:r>
        <w:rPr>
          <w:rStyle w:val="FootnoteReference"/>
        </w:rPr>
        <w:footnoteRef/>
      </w:r>
      <w:r>
        <w:t xml:space="preserve"> Examples of disabilities that might affect cognitive functioning and executive function skills </w:t>
      </w:r>
      <w:r w:rsidR="00795F58">
        <w:t>include but</w:t>
      </w:r>
      <w:r>
        <w:t xml:space="preserve"> are not limited </w:t>
      </w:r>
      <w:proofErr w:type="gramStart"/>
      <w:r>
        <w:t>to:</w:t>
      </w:r>
      <w:proofErr w:type="gramEnd"/>
      <w:r>
        <w:t xml:space="preserve"> attention deficit hyperactivity disorder (ADHD), conduct disorder, depression, schizophrenia, learning disorders, autism spectrum disorders (ASD</w:t>
      </w:r>
      <w:r w:rsidR="00706A30">
        <w:t>)</w:t>
      </w:r>
      <w:r>
        <w:t>, Alzheimer’s disease</w:t>
      </w:r>
      <w:r w:rsidR="005A0A4B">
        <w:t xml:space="preserve"> and other neurodegenerative conditions, anxiety disorders, obsessive-compulsive disorder (OCD), and traumatic brain injuries (TBI).</w:t>
      </w:r>
    </w:p>
  </w:footnote>
  <w:footnote w:id="11">
    <w:p w14:paraId="04BA6787" w14:textId="77777777" w:rsidR="005310C8" w:rsidRDefault="005310C8" w:rsidP="005310C8">
      <w:pPr>
        <w:pStyle w:val="FootnoteText"/>
        <w:spacing w:line="240" w:lineRule="auto"/>
      </w:pPr>
      <w:r>
        <w:rPr>
          <w:rStyle w:val="FootnoteReference"/>
        </w:rPr>
        <w:footnoteRef/>
      </w:r>
      <w:r>
        <w:t xml:space="preserve"> </w:t>
      </w:r>
      <w:r w:rsidRPr="008A3FBD">
        <w:rPr>
          <w:i/>
          <w:iCs/>
        </w:rPr>
        <w:t xml:space="preserve">See, e.g., Douglas v. </w:t>
      </w:r>
      <w:proofErr w:type="spellStart"/>
      <w:r w:rsidRPr="008A3FBD">
        <w:rPr>
          <w:i/>
          <w:iCs/>
        </w:rPr>
        <w:t>Kriegsfeld</w:t>
      </w:r>
      <w:proofErr w:type="spellEnd"/>
      <w:r w:rsidRPr="008A3FBD">
        <w:rPr>
          <w:i/>
          <w:iCs/>
        </w:rPr>
        <w:t xml:space="preserve"> Corp.</w:t>
      </w:r>
      <w:r>
        <w:t xml:space="preserve">, 884 A.2d 1109 (D.C. Cir. 2005) (tenant established reasonable accommodation defense to eviction under Fair Housing Act); </w:t>
      </w:r>
      <w:r w:rsidRPr="008A3FBD">
        <w:rPr>
          <w:i/>
          <w:iCs/>
        </w:rPr>
        <w:t>see also Miller v. Amos</w:t>
      </w:r>
      <w:r>
        <w:t>, 543 P.3d 393, 201 (Colo. 2024) (holding that tenant can raise fair housing violation as affirmative defense to eviction).</w:t>
      </w:r>
    </w:p>
  </w:footnote>
  <w:footnote w:id="12">
    <w:p w14:paraId="7E22492E" w14:textId="77777777" w:rsidR="005310C8" w:rsidRDefault="005310C8" w:rsidP="005310C8">
      <w:pPr>
        <w:pStyle w:val="FootnoteText"/>
      </w:pPr>
      <w:r>
        <w:rPr>
          <w:rStyle w:val="FootnoteReference"/>
        </w:rPr>
        <w:footnoteRef/>
      </w:r>
      <w:r>
        <w:t xml:space="preserve"> </w:t>
      </w:r>
      <w:r w:rsidRPr="005310C8">
        <w:rPr>
          <w:i/>
          <w:iCs/>
        </w:rPr>
        <w:t>See</w:t>
      </w:r>
      <w:r>
        <w:t xml:space="preserve"> A.R.S. </w:t>
      </w:r>
      <w:r w:rsidRPr="00AF7FDB">
        <w:t>§</w:t>
      </w:r>
      <w:r>
        <w:t xml:space="preserve"> 33-1365(A).</w:t>
      </w:r>
    </w:p>
  </w:footnote>
  <w:footnote w:id="13">
    <w:p w14:paraId="608C7F6C" w14:textId="05652425" w:rsidR="001542C1" w:rsidRDefault="001542C1" w:rsidP="002D3B27">
      <w:pPr>
        <w:pStyle w:val="FootnoteText"/>
        <w:spacing w:line="240" w:lineRule="auto"/>
      </w:pPr>
      <w:r>
        <w:rPr>
          <w:rStyle w:val="FootnoteReference"/>
        </w:rPr>
        <w:footnoteRef/>
      </w:r>
      <w:r>
        <w:t xml:space="preserve"> </w:t>
      </w:r>
      <w:r w:rsidRPr="002D3B27">
        <w:rPr>
          <w:i/>
          <w:iCs/>
        </w:rPr>
        <w:t>See</w:t>
      </w:r>
      <w:r>
        <w:t xml:space="preserve"> Use of a Certified Deaf Interpreter, </w:t>
      </w:r>
      <w:r w:rsidR="002D3B27">
        <w:t xml:space="preserve">Access Services Northwest, available at </w:t>
      </w:r>
      <w:r w:rsidR="002D3B27" w:rsidRPr="002D3B27">
        <w:t>https://asnwonline.com/use-of-a-certified-deaf-interpreter/</w:t>
      </w:r>
      <w:r w:rsidR="002D3B27">
        <w:t xml:space="preserve"> (last accessed April 29, 2025).</w:t>
      </w:r>
    </w:p>
  </w:footnote>
  <w:footnote w:id="14">
    <w:p w14:paraId="15E37750" w14:textId="7227AC16" w:rsidR="00842753" w:rsidRDefault="00842753" w:rsidP="002A6E43">
      <w:pPr>
        <w:pStyle w:val="FootnoteText"/>
        <w:spacing w:line="240" w:lineRule="auto"/>
      </w:pPr>
      <w:r>
        <w:rPr>
          <w:rStyle w:val="FootnoteReference"/>
        </w:rPr>
        <w:footnoteRef/>
      </w:r>
      <w:r>
        <w:t xml:space="preserve"> The ADA requires courts to provide reasonable accommodations</w:t>
      </w:r>
      <w:r w:rsidR="00A455C5">
        <w:t xml:space="preserve"> or modifications</w:t>
      </w:r>
      <w:r>
        <w:t xml:space="preserve"> </w:t>
      </w:r>
      <w:r w:rsidR="002A6E43">
        <w:t xml:space="preserve">that do not pose an undue administrative or financial burden, regardless of how long </w:t>
      </w:r>
      <w:r w:rsidR="00A455C5">
        <w:t>they</w:t>
      </w:r>
      <w:r w:rsidR="002A6E43">
        <w:t xml:space="preserve"> may take to provide</w:t>
      </w:r>
      <w:r>
        <w:t>.</w:t>
      </w:r>
      <w:r w:rsidR="00C2272E">
        <w:t xml:space="preserve"> </w:t>
      </w:r>
      <w:r w:rsidR="00C2272E" w:rsidRPr="00C2272E">
        <w:t>28 C.F.R. § 35.130(b)(7)(1); 28 C.F.R. § 35.160(b)(1)</w:t>
      </w:r>
      <w:r w:rsidR="00C2272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EDFA" w14:textId="0E63158E" w:rsidR="003C5FD9" w:rsidRDefault="00B0063D">
    <w:pPr>
      <w:pStyle w:val="Header"/>
    </w:pPr>
    <w:r>
      <w:rPr>
        <w:noProof/>
        <w:sz w:val="20"/>
      </w:rPr>
      <mc:AlternateContent>
        <mc:Choice Requires="wps">
          <w:drawing>
            <wp:anchor distT="0" distB="0" distL="114300" distR="114300" simplePos="0" relativeHeight="251667456" behindDoc="1" locked="1" layoutInCell="1" allowOverlap="1" wp14:anchorId="6CBB3728" wp14:editId="3D2A899C">
              <wp:simplePos x="0" y="0"/>
              <wp:positionH relativeFrom="margin">
                <wp:posOffset>-410210</wp:posOffset>
              </wp:positionH>
              <wp:positionV relativeFrom="page">
                <wp:posOffset>1023620</wp:posOffset>
              </wp:positionV>
              <wp:extent cx="228600" cy="8576310"/>
              <wp:effectExtent l="0" t="0" r="0" b="0"/>
              <wp:wrapThrough wrapText="bothSides">
                <wp:wrapPolygon edited="0">
                  <wp:start x="0" y="0"/>
                  <wp:lineTo x="0" y="21542"/>
                  <wp:lineTo x="19800" y="21542"/>
                  <wp:lineTo x="19800" y="0"/>
                  <wp:lineTo x="0" y="0"/>
                </wp:wrapPolygon>
              </wp:wrapThrough>
              <wp:docPr id="1054679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576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F744F" w14:textId="77777777" w:rsidR="003C5FD9" w:rsidRDefault="003C5FD9">
                          <w:pPr>
                            <w:jc w:val="right"/>
                          </w:pPr>
                          <w:r>
                            <w:t>1</w:t>
                          </w:r>
                        </w:p>
                        <w:p w14:paraId="66CDF7D4" w14:textId="77777777" w:rsidR="003C5FD9" w:rsidRDefault="003C5FD9">
                          <w:pPr>
                            <w:jc w:val="right"/>
                          </w:pPr>
                          <w:r>
                            <w:t>2</w:t>
                          </w:r>
                        </w:p>
                        <w:p w14:paraId="06A9670C" w14:textId="77777777" w:rsidR="003C5FD9" w:rsidRDefault="003C5FD9">
                          <w:pPr>
                            <w:jc w:val="right"/>
                          </w:pPr>
                          <w:r>
                            <w:t>3</w:t>
                          </w:r>
                        </w:p>
                        <w:p w14:paraId="2BE2E178" w14:textId="77777777" w:rsidR="003C5FD9" w:rsidRDefault="003C5FD9">
                          <w:pPr>
                            <w:jc w:val="right"/>
                          </w:pPr>
                          <w:r>
                            <w:t>4</w:t>
                          </w:r>
                        </w:p>
                        <w:p w14:paraId="39F09595" w14:textId="77777777" w:rsidR="003C5FD9" w:rsidRDefault="003C5FD9">
                          <w:pPr>
                            <w:jc w:val="right"/>
                          </w:pPr>
                          <w:r>
                            <w:t>5</w:t>
                          </w:r>
                        </w:p>
                        <w:p w14:paraId="5DA73890" w14:textId="77777777" w:rsidR="003C5FD9" w:rsidRDefault="003C5FD9">
                          <w:pPr>
                            <w:jc w:val="right"/>
                          </w:pPr>
                          <w:r>
                            <w:t>6</w:t>
                          </w:r>
                        </w:p>
                        <w:p w14:paraId="7331D86E" w14:textId="77777777" w:rsidR="003C5FD9" w:rsidRDefault="003C5FD9">
                          <w:pPr>
                            <w:jc w:val="right"/>
                          </w:pPr>
                          <w:r>
                            <w:t>7</w:t>
                          </w:r>
                        </w:p>
                        <w:p w14:paraId="5A48F848" w14:textId="77777777" w:rsidR="003C5FD9" w:rsidRDefault="003C5FD9">
                          <w:pPr>
                            <w:jc w:val="right"/>
                          </w:pPr>
                          <w:r>
                            <w:t>8</w:t>
                          </w:r>
                        </w:p>
                        <w:p w14:paraId="3C69D9F8" w14:textId="77777777" w:rsidR="003C5FD9" w:rsidRDefault="003C5FD9">
                          <w:pPr>
                            <w:jc w:val="right"/>
                          </w:pPr>
                          <w:r>
                            <w:t>9</w:t>
                          </w:r>
                        </w:p>
                        <w:p w14:paraId="43DBC394" w14:textId="77777777" w:rsidR="003C5FD9" w:rsidRDefault="003C5FD9">
                          <w:pPr>
                            <w:jc w:val="right"/>
                          </w:pPr>
                          <w:r>
                            <w:t>10</w:t>
                          </w:r>
                        </w:p>
                        <w:p w14:paraId="60EADF5A" w14:textId="77777777" w:rsidR="003C5FD9" w:rsidRDefault="003C5FD9">
                          <w:pPr>
                            <w:jc w:val="right"/>
                          </w:pPr>
                          <w:r>
                            <w:t>11</w:t>
                          </w:r>
                        </w:p>
                        <w:p w14:paraId="2D8770B0" w14:textId="77777777" w:rsidR="003C5FD9" w:rsidRDefault="003C5FD9">
                          <w:pPr>
                            <w:jc w:val="right"/>
                          </w:pPr>
                          <w:r>
                            <w:t>12</w:t>
                          </w:r>
                        </w:p>
                        <w:p w14:paraId="3FFAE67B" w14:textId="77777777" w:rsidR="003C5FD9" w:rsidRDefault="003C5FD9">
                          <w:pPr>
                            <w:jc w:val="right"/>
                          </w:pPr>
                          <w:r>
                            <w:t>13</w:t>
                          </w:r>
                        </w:p>
                        <w:p w14:paraId="1768CEA8" w14:textId="77777777" w:rsidR="003C5FD9" w:rsidRDefault="003C5FD9">
                          <w:pPr>
                            <w:jc w:val="right"/>
                          </w:pPr>
                          <w:r>
                            <w:t>14</w:t>
                          </w:r>
                        </w:p>
                        <w:p w14:paraId="2ACCD1EF" w14:textId="77777777" w:rsidR="003C5FD9" w:rsidRDefault="003C5FD9">
                          <w:pPr>
                            <w:jc w:val="right"/>
                          </w:pPr>
                          <w:r>
                            <w:t>15</w:t>
                          </w:r>
                        </w:p>
                        <w:p w14:paraId="0E9E7B92" w14:textId="77777777" w:rsidR="003C5FD9" w:rsidRDefault="003C5FD9">
                          <w:pPr>
                            <w:jc w:val="right"/>
                          </w:pPr>
                          <w:r>
                            <w:t>16</w:t>
                          </w:r>
                        </w:p>
                        <w:p w14:paraId="70F736ED" w14:textId="77777777" w:rsidR="003C5FD9" w:rsidRDefault="003C5FD9">
                          <w:pPr>
                            <w:jc w:val="right"/>
                          </w:pPr>
                          <w:r>
                            <w:t>17</w:t>
                          </w:r>
                        </w:p>
                        <w:p w14:paraId="5703065A" w14:textId="77777777" w:rsidR="003C5FD9" w:rsidRDefault="003C5FD9">
                          <w:pPr>
                            <w:jc w:val="right"/>
                          </w:pPr>
                          <w:r>
                            <w:t>18</w:t>
                          </w:r>
                        </w:p>
                        <w:p w14:paraId="2A178609" w14:textId="77777777" w:rsidR="003C5FD9" w:rsidRDefault="003C5FD9">
                          <w:pPr>
                            <w:jc w:val="right"/>
                          </w:pPr>
                          <w:r>
                            <w:t>19</w:t>
                          </w:r>
                        </w:p>
                        <w:p w14:paraId="637DCADA" w14:textId="77777777" w:rsidR="003C5FD9" w:rsidRDefault="003C5FD9">
                          <w:pPr>
                            <w:jc w:val="right"/>
                          </w:pPr>
                          <w:r>
                            <w:t>20</w:t>
                          </w:r>
                        </w:p>
                        <w:p w14:paraId="6BDC0740" w14:textId="77777777" w:rsidR="003C5FD9" w:rsidRDefault="003C5FD9">
                          <w:pPr>
                            <w:jc w:val="right"/>
                          </w:pPr>
                          <w:r>
                            <w:t>21</w:t>
                          </w:r>
                        </w:p>
                        <w:p w14:paraId="730F1E54" w14:textId="77777777" w:rsidR="003C5FD9" w:rsidRDefault="003C5FD9">
                          <w:pPr>
                            <w:jc w:val="right"/>
                          </w:pPr>
                          <w:r>
                            <w:t>22</w:t>
                          </w:r>
                        </w:p>
                        <w:p w14:paraId="260B74ED" w14:textId="77777777" w:rsidR="003C5FD9" w:rsidRDefault="003C5FD9">
                          <w:pPr>
                            <w:jc w:val="right"/>
                          </w:pPr>
                          <w:r>
                            <w:t>23</w:t>
                          </w:r>
                        </w:p>
                        <w:p w14:paraId="20917E0B" w14:textId="77777777" w:rsidR="003C5FD9" w:rsidRDefault="003C5FD9">
                          <w:pPr>
                            <w:jc w:val="right"/>
                          </w:pPr>
                          <w:r>
                            <w:t>24</w:t>
                          </w:r>
                        </w:p>
                        <w:p w14:paraId="089D2C97" w14:textId="77777777" w:rsidR="003C5FD9" w:rsidRDefault="003C5FD9">
                          <w:pPr>
                            <w:jc w:val="right"/>
                          </w:pPr>
                          <w:r>
                            <w:t>25</w:t>
                          </w:r>
                        </w:p>
                        <w:p w14:paraId="10C44000" w14:textId="77777777" w:rsidR="003C5FD9" w:rsidRDefault="003C5FD9">
                          <w:pPr>
                            <w:jc w:val="right"/>
                          </w:pPr>
                          <w:r>
                            <w:t>26</w:t>
                          </w:r>
                        </w:p>
                        <w:p w14:paraId="53D7FABE" w14:textId="77777777" w:rsidR="003C5FD9" w:rsidRDefault="003C5FD9">
                          <w:pPr>
                            <w:jc w:val="right"/>
                          </w:pPr>
                          <w:r>
                            <w:t>27</w:t>
                          </w:r>
                        </w:p>
                        <w:p w14:paraId="1FBB3473" w14:textId="77777777" w:rsidR="003C5FD9" w:rsidRDefault="003C5FD9">
                          <w:pPr>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B3728" id="_x0000_t202" coordsize="21600,21600" o:spt="202" path="m,l,21600r21600,l21600,xe">
              <v:stroke joinstyle="miter"/>
              <v:path gradientshapeok="t" o:connecttype="rect"/>
            </v:shapetype>
            <v:shape id="Text Box 9" o:spid="_x0000_s1026" type="#_x0000_t202" style="position:absolute;margin-left:-32.3pt;margin-top:80.6pt;width:18pt;height:675.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" stroked="f">
              <v:textbox inset="0,0,0,0">
                <w:txbxContent>
                  <w:p w14:paraId="786F744F" w14:textId="77777777" w:rsidR="003C5FD9" w:rsidRDefault="003C5FD9">
                    <w:pPr>
                      <w:jc w:val="right"/>
                    </w:pPr>
                    <w:r>
                      <w:t>1</w:t>
                    </w:r>
                  </w:p>
                  <w:p w14:paraId="66CDF7D4" w14:textId="77777777" w:rsidR="003C5FD9" w:rsidRDefault="003C5FD9">
                    <w:pPr>
                      <w:jc w:val="right"/>
                    </w:pPr>
                    <w:r>
                      <w:t>2</w:t>
                    </w:r>
                  </w:p>
                  <w:p w14:paraId="06A9670C" w14:textId="77777777" w:rsidR="003C5FD9" w:rsidRDefault="003C5FD9">
                    <w:pPr>
                      <w:jc w:val="right"/>
                    </w:pPr>
                    <w:r>
                      <w:t>3</w:t>
                    </w:r>
                  </w:p>
                  <w:p w14:paraId="2BE2E178" w14:textId="77777777" w:rsidR="003C5FD9" w:rsidRDefault="003C5FD9">
                    <w:pPr>
                      <w:jc w:val="right"/>
                    </w:pPr>
                    <w:r>
                      <w:t>4</w:t>
                    </w:r>
                  </w:p>
                  <w:p w14:paraId="39F09595" w14:textId="77777777" w:rsidR="003C5FD9" w:rsidRDefault="003C5FD9">
                    <w:pPr>
                      <w:jc w:val="right"/>
                    </w:pPr>
                    <w:r>
                      <w:t>5</w:t>
                    </w:r>
                  </w:p>
                  <w:p w14:paraId="5DA73890" w14:textId="77777777" w:rsidR="003C5FD9" w:rsidRDefault="003C5FD9">
                    <w:pPr>
                      <w:jc w:val="right"/>
                    </w:pPr>
                    <w:r>
                      <w:t>6</w:t>
                    </w:r>
                  </w:p>
                  <w:p w14:paraId="7331D86E" w14:textId="77777777" w:rsidR="003C5FD9" w:rsidRDefault="003C5FD9">
                    <w:pPr>
                      <w:jc w:val="right"/>
                    </w:pPr>
                    <w:r>
                      <w:t>7</w:t>
                    </w:r>
                  </w:p>
                  <w:p w14:paraId="5A48F848" w14:textId="77777777" w:rsidR="003C5FD9" w:rsidRDefault="003C5FD9">
                    <w:pPr>
                      <w:jc w:val="right"/>
                    </w:pPr>
                    <w:r>
                      <w:t>8</w:t>
                    </w:r>
                  </w:p>
                  <w:p w14:paraId="3C69D9F8" w14:textId="77777777" w:rsidR="003C5FD9" w:rsidRDefault="003C5FD9">
                    <w:pPr>
                      <w:jc w:val="right"/>
                    </w:pPr>
                    <w:r>
                      <w:t>9</w:t>
                    </w:r>
                  </w:p>
                  <w:p w14:paraId="43DBC394" w14:textId="77777777" w:rsidR="003C5FD9" w:rsidRDefault="003C5FD9">
                    <w:pPr>
                      <w:jc w:val="right"/>
                    </w:pPr>
                    <w:r>
                      <w:t>10</w:t>
                    </w:r>
                  </w:p>
                  <w:p w14:paraId="60EADF5A" w14:textId="77777777" w:rsidR="003C5FD9" w:rsidRDefault="003C5FD9">
                    <w:pPr>
                      <w:jc w:val="right"/>
                    </w:pPr>
                    <w:r>
                      <w:t>11</w:t>
                    </w:r>
                  </w:p>
                  <w:p w14:paraId="2D8770B0" w14:textId="77777777" w:rsidR="003C5FD9" w:rsidRDefault="003C5FD9">
                    <w:pPr>
                      <w:jc w:val="right"/>
                    </w:pPr>
                    <w:r>
                      <w:t>12</w:t>
                    </w:r>
                  </w:p>
                  <w:p w14:paraId="3FFAE67B" w14:textId="77777777" w:rsidR="003C5FD9" w:rsidRDefault="003C5FD9">
                    <w:pPr>
                      <w:jc w:val="right"/>
                    </w:pPr>
                    <w:r>
                      <w:t>13</w:t>
                    </w:r>
                  </w:p>
                  <w:p w14:paraId="1768CEA8" w14:textId="77777777" w:rsidR="003C5FD9" w:rsidRDefault="003C5FD9">
                    <w:pPr>
                      <w:jc w:val="right"/>
                    </w:pPr>
                    <w:r>
                      <w:t>14</w:t>
                    </w:r>
                  </w:p>
                  <w:p w14:paraId="2ACCD1EF" w14:textId="77777777" w:rsidR="003C5FD9" w:rsidRDefault="003C5FD9">
                    <w:pPr>
                      <w:jc w:val="right"/>
                    </w:pPr>
                    <w:r>
                      <w:t>15</w:t>
                    </w:r>
                  </w:p>
                  <w:p w14:paraId="0E9E7B92" w14:textId="77777777" w:rsidR="003C5FD9" w:rsidRDefault="003C5FD9">
                    <w:pPr>
                      <w:jc w:val="right"/>
                    </w:pPr>
                    <w:r>
                      <w:t>16</w:t>
                    </w:r>
                  </w:p>
                  <w:p w14:paraId="70F736ED" w14:textId="77777777" w:rsidR="003C5FD9" w:rsidRDefault="003C5FD9">
                    <w:pPr>
                      <w:jc w:val="right"/>
                    </w:pPr>
                    <w:r>
                      <w:t>17</w:t>
                    </w:r>
                  </w:p>
                  <w:p w14:paraId="5703065A" w14:textId="77777777" w:rsidR="003C5FD9" w:rsidRDefault="003C5FD9">
                    <w:pPr>
                      <w:jc w:val="right"/>
                    </w:pPr>
                    <w:r>
                      <w:t>18</w:t>
                    </w:r>
                  </w:p>
                  <w:p w14:paraId="2A178609" w14:textId="77777777" w:rsidR="003C5FD9" w:rsidRDefault="003C5FD9">
                    <w:pPr>
                      <w:jc w:val="right"/>
                    </w:pPr>
                    <w:r>
                      <w:t>19</w:t>
                    </w:r>
                  </w:p>
                  <w:p w14:paraId="637DCADA" w14:textId="77777777" w:rsidR="003C5FD9" w:rsidRDefault="003C5FD9">
                    <w:pPr>
                      <w:jc w:val="right"/>
                    </w:pPr>
                    <w:r>
                      <w:t>20</w:t>
                    </w:r>
                  </w:p>
                  <w:p w14:paraId="6BDC0740" w14:textId="77777777" w:rsidR="003C5FD9" w:rsidRDefault="003C5FD9">
                    <w:pPr>
                      <w:jc w:val="right"/>
                    </w:pPr>
                    <w:r>
                      <w:t>21</w:t>
                    </w:r>
                  </w:p>
                  <w:p w14:paraId="730F1E54" w14:textId="77777777" w:rsidR="003C5FD9" w:rsidRDefault="003C5FD9">
                    <w:pPr>
                      <w:jc w:val="right"/>
                    </w:pPr>
                    <w:r>
                      <w:t>22</w:t>
                    </w:r>
                  </w:p>
                  <w:p w14:paraId="260B74ED" w14:textId="77777777" w:rsidR="003C5FD9" w:rsidRDefault="003C5FD9">
                    <w:pPr>
                      <w:jc w:val="right"/>
                    </w:pPr>
                    <w:r>
                      <w:t>23</w:t>
                    </w:r>
                  </w:p>
                  <w:p w14:paraId="20917E0B" w14:textId="77777777" w:rsidR="003C5FD9" w:rsidRDefault="003C5FD9">
                    <w:pPr>
                      <w:jc w:val="right"/>
                    </w:pPr>
                    <w:r>
                      <w:t>24</w:t>
                    </w:r>
                  </w:p>
                  <w:p w14:paraId="089D2C97" w14:textId="77777777" w:rsidR="003C5FD9" w:rsidRDefault="003C5FD9">
                    <w:pPr>
                      <w:jc w:val="right"/>
                    </w:pPr>
                    <w:r>
                      <w:t>25</w:t>
                    </w:r>
                  </w:p>
                  <w:p w14:paraId="10C44000" w14:textId="77777777" w:rsidR="003C5FD9" w:rsidRDefault="003C5FD9">
                    <w:pPr>
                      <w:jc w:val="right"/>
                    </w:pPr>
                    <w:r>
                      <w:t>26</w:t>
                    </w:r>
                  </w:p>
                  <w:p w14:paraId="53D7FABE" w14:textId="77777777" w:rsidR="003C5FD9" w:rsidRDefault="003C5FD9">
                    <w:pPr>
                      <w:jc w:val="right"/>
                    </w:pPr>
                    <w:r>
                      <w:t>27</w:t>
                    </w:r>
                  </w:p>
                  <w:p w14:paraId="1FBB3473" w14:textId="77777777" w:rsidR="003C5FD9" w:rsidRDefault="003C5FD9">
                    <w:pPr>
                      <w:jc w:val="right"/>
                    </w:pPr>
                    <w:r>
                      <w:t>28</w:t>
                    </w:r>
                  </w:p>
                </w:txbxContent>
              </v:textbox>
              <w10:wrap type="through" anchorx="margin" anchory="page"/>
              <w10:anchorlock/>
            </v:shape>
          </w:pict>
        </mc:Fallback>
      </mc:AlternateContent>
    </w:r>
    <w:r>
      <w:rPr>
        <w:noProof/>
        <w:sz w:val="20"/>
      </w:rPr>
      <mc:AlternateContent>
        <mc:Choice Requires="wps">
          <w:drawing>
            <wp:anchor distT="0" distB="0" distL="114300" distR="114300" simplePos="0" relativeHeight="251666432" behindDoc="0" locked="0" layoutInCell="1" allowOverlap="1" wp14:anchorId="653FDC36" wp14:editId="2C873CDB">
              <wp:simplePos x="0" y="0"/>
              <wp:positionH relativeFrom="page">
                <wp:posOffset>7406640</wp:posOffset>
              </wp:positionH>
              <wp:positionV relativeFrom="page">
                <wp:posOffset>0</wp:posOffset>
              </wp:positionV>
              <wp:extent cx="0" cy="10160000"/>
              <wp:effectExtent l="5715" t="9525" r="13335" b="12700"/>
              <wp:wrapNone/>
              <wp:docPr id="75991729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F9062"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2pt,0" to="583.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">
              <w10:wrap anchorx="page" anchory="page"/>
            </v:line>
          </w:pict>
        </mc:Fallback>
      </mc:AlternateContent>
    </w:r>
    <w:r>
      <w:rPr>
        <w:noProof/>
        <w:sz w:val="20"/>
      </w:rPr>
      <mc:AlternateContent>
        <mc:Choice Requires="wps">
          <w:drawing>
            <wp:anchor distT="0" distB="0" distL="114300" distR="114300" simplePos="0" relativeHeight="251665408" behindDoc="0" locked="0" layoutInCell="1" allowOverlap="1" wp14:anchorId="5DEFE5FF" wp14:editId="18E5894C">
              <wp:simplePos x="0" y="0"/>
              <wp:positionH relativeFrom="margin">
                <wp:posOffset>-91440</wp:posOffset>
              </wp:positionH>
              <wp:positionV relativeFrom="page">
                <wp:posOffset>0</wp:posOffset>
              </wp:positionV>
              <wp:extent cx="0" cy="10160000"/>
              <wp:effectExtent l="22860" t="19050" r="24765" b="22225"/>
              <wp:wrapNone/>
              <wp:docPr id="140354146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9A1F3"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" strokeweight="3pt">
              <v:stroke linestyle="thinThin"/>
              <w10:wrap anchorx="margin" anchory="page"/>
            </v:line>
          </w:pict>
        </mc:Fallback>
      </mc:AlternateContent>
    </w:r>
    <w:r>
      <w:rPr>
        <w:noProof/>
        <w:sz w:val="20"/>
      </w:rPr>
      <mc:AlternateContent>
        <mc:Choice Requires="wps">
          <w:drawing>
            <wp:anchor distT="0" distB="0" distL="114300" distR="114300" simplePos="0" relativeHeight="251664384" behindDoc="1" locked="1" layoutInCell="1" allowOverlap="1" wp14:anchorId="5757546E" wp14:editId="42271099">
              <wp:simplePos x="0" y="0"/>
              <wp:positionH relativeFrom="margin">
                <wp:posOffset>-410210</wp:posOffset>
              </wp:positionH>
              <wp:positionV relativeFrom="page">
                <wp:posOffset>950595</wp:posOffset>
              </wp:positionV>
              <wp:extent cx="228600" cy="8649970"/>
              <wp:effectExtent l="0" t="0" r="0" b="0"/>
              <wp:wrapThrough wrapText="bothSides">
                <wp:wrapPolygon edited="0">
                  <wp:start x="0" y="0"/>
                  <wp:lineTo x="0" y="21549"/>
                  <wp:lineTo x="19800" y="21549"/>
                  <wp:lineTo x="19800" y="0"/>
                  <wp:lineTo x="0" y="0"/>
                </wp:wrapPolygon>
              </wp:wrapThrough>
              <wp:docPr id="1314119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649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4B0A6" w14:textId="49C67B12" w:rsidR="003C5FD9" w:rsidRDefault="003C5FD9">
                          <w:pPr>
                            <w:jc w:val="right"/>
                          </w:pPr>
                        </w:p>
                        <w:p w14:paraId="15C9C62B" w14:textId="77777777" w:rsidR="003C5FD9" w:rsidRDefault="003C5FD9">
                          <w:pPr>
                            <w:jc w:val="right"/>
                          </w:pPr>
                          <w:r>
                            <w:t>2</w:t>
                          </w:r>
                        </w:p>
                        <w:p w14:paraId="78C42EBE" w14:textId="77777777" w:rsidR="003C5FD9" w:rsidRDefault="003C5FD9">
                          <w:pPr>
                            <w:jc w:val="right"/>
                          </w:pPr>
                          <w:r>
                            <w:t>3</w:t>
                          </w:r>
                        </w:p>
                        <w:p w14:paraId="19422809" w14:textId="77777777" w:rsidR="003C5FD9" w:rsidRDefault="003C5FD9">
                          <w:pPr>
                            <w:jc w:val="right"/>
                          </w:pPr>
                          <w:r>
                            <w:t>4</w:t>
                          </w:r>
                        </w:p>
                        <w:p w14:paraId="1A06A23C" w14:textId="77777777" w:rsidR="003C5FD9" w:rsidRDefault="003C5FD9">
                          <w:pPr>
                            <w:jc w:val="right"/>
                          </w:pPr>
                          <w:r>
                            <w:t>5</w:t>
                          </w:r>
                        </w:p>
                        <w:p w14:paraId="0B8A9DC9" w14:textId="77777777" w:rsidR="003C5FD9" w:rsidRDefault="003C5FD9">
                          <w:pPr>
                            <w:jc w:val="right"/>
                          </w:pPr>
                          <w:r>
                            <w:t>6</w:t>
                          </w:r>
                        </w:p>
                        <w:p w14:paraId="5FD3CE28" w14:textId="77777777" w:rsidR="003C5FD9" w:rsidRDefault="003C5FD9">
                          <w:pPr>
                            <w:jc w:val="right"/>
                          </w:pPr>
                          <w:r>
                            <w:t>7</w:t>
                          </w:r>
                        </w:p>
                        <w:p w14:paraId="5B98BFD4" w14:textId="77777777" w:rsidR="003C5FD9" w:rsidRDefault="003C5FD9">
                          <w:pPr>
                            <w:jc w:val="right"/>
                          </w:pPr>
                          <w:r>
                            <w:t>8</w:t>
                          </w:r>
                        </w:p>
                        <w:p w14:paraId="0E04060E" w14:textId="77777777" w:rsidR="003C5FD9" w:rsidRDefault="003C5FD9">
                          <w:pPr>
                            <w:jc w:val="right"/>
                          </w:pPr>
                          <w:r>
                            <w:t>9</w:t>
                          </w:r>
                        </w:p>
                        <w:p w14:paraId="4B68F8FD" w14:textId="77777777" w:rsidR="003C5FD9" w:rsidRDefault="003C5FD9">
                          <w:pPr>
                            <w:jc w:val="right"/>
                          </w:pPr>
                          <w:r>
                            <w:t>10</w:t>
                          </w:r>
                        </w:p>
                        <w:p w14:paraId="1524DAB4" w14:textId="77777777" w:rsidR="003C5FD9" w:rsidRDefault="003C5FD9">
                          <w:pPr>
                            <w:jc w:val="right"/>
                          </w:pPr>
                          <w:r>
                            <w:t>11</w:t>
                          </w:r>
                        </w:p>
                        <w:p w14:paraId="41E6E83C" w14:textId="77777777" w:rsidR="003C5FD9" w:rsidRDefault="003C5FD9">
                          <w:pPr>
                            <w:jc w:val="right"/>
                          </w:pPr>
                          <w:r>
                            <w:t>12</w:t>
                          </w:r>
                        </w:p>
                        <w:p w14:paraId="52680C27" w14:textId="77777777" w:rsidR="003C5FD9" w:rsidRDefault="003C5FD9">
                          <w:pPr>
                            <w:jc w:val="right"/>
                          </w:pPr>
                          <w:r>
                            <w:t>13</w:t>
                          </w:r>
                        </w:p>
                        <w:p w14:paraId="7CA72382" w14:textId="77777777" w:rsidR="003C5FD9" w:rsidRDefault="003C5FD9">
                          <w:pPr>
                            <w:jc w:val="right"/>
                          </w:pPr>
                          <w:r>
                            <w:t>14</w:t>
                          </w:r>
                        </w:p>
                        <w:p w14:paraId="330A2F48" w14:textId="77777777" w:rsidR="003C5FD9" w:rsidRDefault="003C5FD9">
                          <w:pPr>
                            <w:jc w:val="right"/>
                          </w:pPr>
                          <w:r>
                            <w:t>15</w:t>
                          </w:r>
                        </w:p>
                        <w:p w14:paraId="28C4BD24" w14:textId="77777777" w:rsidR="003C5FD9" w:rsidRDefault="003C5FD9">
                          <w:pPr>
                            <w:jc w:val="right"/>
                          </w:pPr>
                          <w:r>
                            <w:t>16</w:t>
                          </w:r>
                        </w:p>
                        <w:p w14:paraId="1E98DBB5" w14:textId="77777777" w:rsidR="003C5FD9" w:rsidRDefault="003C5FD9">
                          <w:pPr>
                            <w:jc w:val="right"/>
                          </w:pPr>
                          <w:r>
                            <w:t>17</w:t>
                          </w:r>
                        </w:p>
                        <w:p w14:paraId="6931691F" w14:textId="77777777" w:rsidR="003C5FD9" w:rsidRDefault="003C5FD9">
                          <w:pPr>
                            <w:jc w:val="right"/>
                          </w:pPr>
                          <w:r>
                            <w:t>18</w:t>
                          </w:r>
                        </w:p>
                        <w:p w14:paraId="279AB736" w14:textId="77777777" w:rsidR="003C5FD9" w:rsidRDefault="003C5FD9">
                          <w:pPr>
                            <w:jc w:val="right"/>
                          </w:pPr>
                          <w:r>
                            <w:t>19</w:t>
                          </w:r>
                        </w:p>
                        <w:p w14:paraId="75734A23" w14:textId="77777777" w:rsidR="003C5FD9" w:rsidRDefault="003C5FD9">
                          <w:pPr>
                            <w:jc w:val="right"/>
                          </w:pPr>
                          <w:r>
                            <w:t>20</w:t>
                          </w:r>
                        </w:p>
                        <w:p w14:paraId="62F01168" w14:textId="77777777" w:rsidR="003C5FD9" w:rsidRDefault="003C5FD9">
                          <w:pPr>
                            <w:jc w:val="right"/>
                          </w:pPr>
                          <w:r>
                            <w:t>21</w:t>
                          </w:r>
                        </w:p>
                        <w:p w14:paraId="2ED8A3D1" w14:textId="77777777" w:rsidR="003C5FD9" w:rsidRDefault="003C5FD9">
                          <w:pPr>
                            <w:jc w:val="right"/>
                          </w:pPr>
                          <w:r>
                            <w:t>22</w:t>
                          </w:r>
                        </w:p>
                        <w:p w14:paraId="48114505" w14:textId="77777777" w:rsidR="003C5FD9" w:rsidRDefault="003C5FD9">
                          <w:pPr>
                            <w:jc w:val="right"/>
                          </w:pPr>
                          <w:r>
                            <w:t>23</w:t>
                          </w:r>
                        </w:p>
                        <w:p w14:paraId="59919E37" w14:textId="77777777" w:rsidR="003C5FD9" w:rsidRDefault="003C5FD9">
                          <w:pPr>
                            <w:jc w:val="right"/>
                          </w:pPr>
                          <w:r>
                            <w:t>24</w:t>
                          </w:r>
                        </w:p>
                        <w:p w14:paraId="426F962C" w14:textId="77777777" w:rsidR="003C5FD9" w:rsidRDefault="003C5FD9">
                          <w:pPr>
                            <w:jc w:val="right"/>
                          </w:pPr>
                          <w:r>
                            <w:t>25</w:t>
                          </w:r>
                        </w:p>
                        <w:p w14:paraId="4DE0E8EE" w14:textId="77777777" w:rsidR="003C5FD9" w:rsidRDefault="003C5FD9">
                          <w:pPr>
                            <w:jc w:val="right"/>
                          </w:pPr>
                          <w:r>
                            <w:t>26</w:t>
                          </w:r>
                        </w:p>
                        <w:p w14:paraId="4854CF39" w14:textId="77777777" w:rsidR="003C5FD9" w:rsidRDefault="003C5FD9">
                          <w:pPr>
                            <w:jc w:val="right"/>
                          </w:pPr>
                          <w:r>
                            <w:t>27</w:t>
                          </w:r>
                        </w:p>
                        <w:p w14:paraId="789E9299" w14:textId="77777777" w:rsidR="003C5FD9" w:rsidRDefault="003C5FD9">
                          <w:pPr>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7546E" id="Text Box 6" o:spid="_x0000_s1027" type="#_x0000_t202" style="position:absolute;margin-left:-32.3pt;margin-top:74.85pt;width:18pt;height:681.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" stroked="f">
              <v:textbox inset="0,0,0,0">
                <w:txbxContent>
                  <w:p w14:paraId="5514B0A6" w14:textId="49C67B12" w:rsidR="003C5FD9" w:rsidRDefault="003C5FD9">
                    <w:pPr>
                      <w:jc w:val="right"/>
                    </w:pPr>
                  </w:p>
                  <w:p w14:paraId="15C9C62B" w14:textId="77777777" w:rsidR="003C5FD9" w:rsidRDefault="003C5FD9">
                    <w:pPr>
                      <w:jc w:val="right"/>
                    </w:pPr>
                    <w:r>
                      <w:t>2</w:t>
                    </w:r>
                  </w:p>
                  <w:p w14:paraId="78C42EBE" w14:textId="77777777" w:rsidR="003C5FD9" w:rsidRDefault="003C5FD9">
                    <w:pPr>
                      <w:jc w:val="right"/>
                    </w:pPr>
                    <w:r>
                      <w:t>3</w:t>
                    </w:r>
                  </w:p>
                  <w:p w14:paraId="19422809" w14:textId="77777777" w:rsidR="003C5FD9" w:rsidRDefault="003C5FD9">
                    <w:pPr>
                      <w:jc w:val="right"/>
                    </w:pPr>
                    <w:r>
                      <w:t>4</w:t>
                    </w:r>
                  </w:p>
                  <w:p w14:paraId="1A06A23C" w14:textId="77777777" w:rsidR="003C5FD9" w:rsidRDefault="003C5FD9">
                    <w:pPr>
                      <w:jc w:val="right"/>
                    </w:pPr>
                    <w:r>
                      <w:t>5</w:t>
                    </w:r>
                  </w:p>
                  <w:p w14:paraId="0B8A9DC9" w14:textId="77777777" w:rsidR="003C5FD9" w:rsidRDefault="003C5FD9">
                    <w:pPr>
                      <w:jc w:val="right"/>
                    </w:pPr>
                    <w:r>
                      <w:t>6</w:t>
                    </w:r>
                  </w:p>
                  <w:p w14:paraId="5FD3CE28" w14:textId="77777777" w:rsidR="003C5FD9" w:rsidRDefault="003C5FD9">
                    <w:pPr>
                      <w:jc w:val="right"/>
                    </w:pPr>
                    <w:r>
                      <w:t>7</w:t>
                    </w:r>
                  </w:p>
                  <w:p w14:paraId="5B98BFD4" w14:textId="77777777" w:rsidR="003C5FD9" w:rsidRDefault="003C5FD9">
                    <w:pPr>
                      <w:jc w:val="right"/>
                    </w:pPr>
                    <w:r>
                      <w:t>8</w:t>
                    </w:r>
                  </w:p>
                  <w:p w14:paraId="0E04060E" w14:textId="77777777" w:rsidR="003C5FD9" w:rsidRDefault="003C5FD9">
                    <w:pPr>
                      <w:jc w:val="right"/>
                    </w:pPr>
                    <w:r>
                      <w:t>9</w:t>
                    </w:r>
                  </w:p>
                  <w:p w14:paraId="4B68F8FD" w14:textId="77777777" w:rsidR="003C5FD9" w:rsidRDefault="003C5FD9">
                    <w:pPr>
                      <w:jc w:val="right"/>
                    </w:pPr>
                    <w:r>
                      <w:t>10</w:t>
                    </w:r>
                  </w:p>
                  <w:p w14:paraId="1524DAB4" w14:textId="77777777" w:rsidR="003C5FD9" w:rsidRDefault="003C5FD9">
                    <w:pPr>
                      <w:jc w:val="right"/>
                    </w:pPr>
                    <w:r>
                      <w:t>11</w:t>
                    </w:r>
                  </w:p>
                  <w:p w14:paraId="41E6E83C" w14:textId="77777777" w:rsidR="003C5FD9" w:rsidRDefault="003C5FD9">
                    <w:pPr>
                      <w:jc w:val="right"/>
                    </w:pPr>
                    <w:r>
                      <w:t>12</w:t>
                    </w:r>
                  </w:p>
                  <w:p w14:paraId="52680C27" w14:textId="77777777" w:rsidR="003C5FD9" w:rsidRDefault="003C5FD9">
                    <w:pPr>
                      <w:jc w:val="right"/>
                    </w:pPr>
                    <w:r>
                      <w:t>13</w:t>
                    </w:r>
                  </w:p>
                  <w:p w14:paraId="7CA72382" w14:textId="77777777" w:rsidR="003C5FD9" w:rsidRDefault="003C5FD9">
                    <w:pPr>
                      <w:jc w:val="right"/>
                    </w:pPr>
                    <w:r>
                      <w:t>14</w:t>
                    </w:r>
                  </w:p>
                  <w:p w14:paraId="330A2F48" w14:textId="77777777" w:rsidR="003C5FD9" w:rsidRDefault="003C5FD9">
                    <w:pPr>
                      <w:jc w:val="right"/>
                    </w:pPr>
                    <w:r>
                      <w:t>15</w:t>
                    </w:r>
                  </w:p>
                  <w:p w14:paraId="28C4BD24" w14:textId="77777777" w:rsidR="003C5FD9" w:rsidRDefault="003C5FD9">
                    <w:pPr>
                      <w:jc w:val="right"/>
                    </w:pPr>
                    <w:r>
                      <w:t>16</w:t>
                    </w:r>
                  </w:p>
                  <w:p w14:paraId="1E98DBB5" w14:textId="77777777" w:rsidR="003C5FD9" w:rsidRDefault="003C5FD9">
                    <w:pPr>
                      <w:jc w:val="right"/>
                    </w:pPr>
                    <w:r>
                      <w:t>17</w:t>
                    </w:r>
                  </w:p>
                  <w:p w14:paraId="6931691F" w14:textId="77777777" w:rsidR="003C5FD9" w:rsidRDefault="003C5FD9">
                    <w:pPr>
                      <w:jc w:val="right"/>
                    </w:pPr>
                    <w:r>
                      <w:t>18</w:t>
                    </w:r>
                  </w:p>
                  <w:p w14:paraId="279AB736" w14:textId="77777777" w:rsidR="003C5FD9" w:rsidRDefault="003C5FD9">
                    <w:pPr>
                      <w:jc w:val="right"/>
                    </w:pPr>
                    <w:r>
                      <w:t>19</w:t>
                    </w:r>
                  </w:p>
                  <w:p w14:paraId="75734A23" w14:textId="77777777" w:rsidR="003C5FD9" w:rsidRDefault="003C5FD9">
                    <w:pPr>
                      <w:jc w:val="right"/>
                    </w:pPr>
                    <w:r>
                      <w:t>20</w:t>
                    </w:r>
                  </w:p>
                  <w:p w14:paraId="62F01168" w14:textId="77777777" w:rsidR="003C5FD9" w:rsidRDefault="003C5FD9">
                    <w:pPr>
                      <w:jc w:val="right"/>
                    </w:pPr>
                    <w:r>
                      <w:t>21</w:t>
                    </w:r>
                  </w:p>
                  <w:p w14:paraId="2ED8A3D1" w14:textId="77777777" w:rsidR="003C5FD9" w:rsidRDefault="003C5FD9">
                    <w:pPr>
                      <w:jc w:val="right"/>
                    </w:pPr>
                    <w:r>
                      <w:t>22</w:t>
                    </w:r>
                  </w:p>
                  <w:p w14:paraId="48114505" w14:textId="77777777" w:rsidR="003C5FD9" w:rsidRDefault="003C5FD9">
                    <w:pPr>
                      <w:jc w:val="right"/>
                    </w:pPr>
                    <w:r>
                      <w:t>23</w:t>
                    </w:r>
                  </w:p>
                  <w:p w14:paraId="59919E37" w14:textId="77777777" w:rsidR="003C5FD9" w:rsidRDefault="003C5FD9">
                    <w:pPr>
                      <w:jc w:val="right"/>
                    </w:pPr>
                    <w:r>
                      <w:t>24</w:t>
                    </w:r>
                  </w:p>
                  <w:p w14:paraId="426F962C" w14:textId="77777777" w:rsidR="003C5FD9" w:rsidRDefault="003C5FD9">
                    <w:pPr>
                      <w:jc w:val="right"/>
                    </w:pPr>
                    <w:r>
                      <w:t>25</w:t>
                    </w:r>
                  </w:p>
                  <w:p w14:paraId="4DE0E8EE" w14:textId="77777777" w:rsidR="003C5FD9" w:rsidRDefault="003C5FD9">
                    <w:pPr>
                      <w:jc w:val="right"/>
                    </w:pPr>
                    <w:r>
                      <w:t>26</w:t>
                    </w:r>
                  </w:p>
                  <w:p w14:paraId="4854CF39" w14:textId="77777777" w:rsidR="003C5FD9" w:rsidRDefault="003C5FD9">
                    <w:pPr>
                      <w:jc w:val="right"/>
                    </w:pPr>
                    <w:r>
                      <w:t>27</w:t>
                    </w:r>
                  </w:p>
                  <w:p w14:paraId="789E9299" w14:textId="77777777" w:rsidR="003C5FD9" w:rsidRDefault="003C5FD9">
                    <w:pPr>
                      <w:jc w:val="right"/>
                    </w:pPr>
                    <w:r>
                      <w:t>28</w:t>
                    </w:r>
                  </w:p>
                </w:txbxContent>
              </v:textbox>
              <w10:wrap type="through" anchorx="margin" anchory="page"/>
              <w10:anchorlock/>
            </v:shape>
          </w:pict>
        </mc:Fallback>
      </mc:AlternateContent>
    </w:r>
    <w:r>
      <w:rPr>
        <w:noProof/>
        <w:sz w:val="20"/>
      </w:rPr>
      <mc:AlternateContent>
        <mc:Choice Requires="wps">
          <w:drawing>
            <wp:anchor distT="0" distB="0" distL="114300" distR="114300" simplePos="0" relativeHeight="251663360" behindDoc="0" locked="0" layoutInCell="1" allowOverlap="1" wp14:anchorId="4C4EF646" wp14:editId="43DAE97F">
              <wp:simplePos x="0" y="0"/>
              <wp:positionH relativeFrom="page">
                <wp:posOffset>7406640</wp:posOffset>
              </wp:positionH>
              <wp:positionV relativeFrom="page">
                <wp:posOffset>0</wp:posOffset>
              </wp:positionV>
              <wp:extent cx="0" cy="10160000"/>
              <wp:effectExtent l="5715" t="9525" r="13335" b="12700"/>
              <wp:wrapNone/>
              <wp:docPr id="18819916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E2CC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2pt,0" to="583.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">
              <w10:wrap anchorx="page" anchory="page"/>
            </v:line>
          </w:pict>
        </mc:Fallback>
      </mc:AlternateContent>
    </w:r>
    <w:r>
      <w:rPr>
        <w:noProof/>
        <w:sz w:val="20"/>
      </w:rPr>
      <mc:AlternateContent>
        <mc:Choice Requires="wps">
          <w:drawing>
            <wp:anchor distT="0" distB="0" distL="114300" distR="114300" simplePos="0" relativeHeight="251662336" behindDoc="0" locked="0" layoutInCell="1" allowOverlap="1" wp14:anchorId="0C4AAE01" wp14:editId="0DB8F3F3">
              <wp:simplePos x="0" y="0"/>
              <wp:positionH relativeFrom="margin">
                <wp:posOffset>-91440</wp:posOffset>
              </wp:positionH>
              <wp:positionV relativeFrom="page">
                <wp:posOffset>0</wp:posOffset>
              </wp:positionV>
              <wp:extent cx="0" cy="10160000"/>
              <wp:effectExtent l="22860" t="19050" r="24765" b="22225"/>
              <wp:wrapNone/>
              <wp:docPr id="14563610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32B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" strokeweight="3pt">
              <v:stroke linestyle="thinThin"/>
              <w10:wrap anchorx="margin" anchory="page"/>
            </v:line>
          </w:pict>
        </mc:Fallback>
      </mc:AlternateContent>
    </w:r>
    <w:r>
      <w:rPr>
        <w:noProof/>
        <w:sz w:val="20"/>
      </w:rPr>
      <mc:AlternateContent>
        <mc:Choice Requires="wps">
          <w:drawing>
            <wp:anchor distT="0" distB="0" distL="114300" distR="114300" simplePos="0" relativeHeight="251661312" behindDoc="1" locked="1" layoutInCell="1" allowOverlap="1" wp14:anchorId="28021649" wp14:editId="054BB4AC">
              <wp:simplePos x="0" y="0"/>
              <wp:positionH relativeFrom="margin">
                <wp:posOffset>-410845</wp:posOffset>
              </wp:positionH>
              <wp:positionV relativeFrom="page">
                <wp:posOffset>914400</wp:posOffset>
              </wp:positionV>
              <wp:extent cx="228600" cy="8686800"/>
              <wp:effectExtent l="0" t="0" r="1270" b="0"/>
              <wp:wrapThrough wrapText="bothSides">
                <wp:wrapPolygon edited="0">
                  <wp:start x="-900" y="0"/>
                  <wp:lineTo x="-900" y="21576"/>
                  <wp:lineTo x="21600" y="21576"/>
                  <wp:lineTo x="21600" y="0"/>
                  <wp:lineTo x="-900" y="0"/>
                </wp:wrapPolygon>
              </wp:wrapThrough>
              <wp:docPr id="1501330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89902" w14:textId="77777777" w:rsidR="003C5FD9" w:rsidRDefault="003C5FD9">
                          <w:pPr>
                            <w:jc w:val="right"/>
                          </w:pPr>
                          <w:r>
                            <w:t>1</w:t>
                          </w:r>
                        </w:p>
                        <w:p w14:paraId="3662E407" w14:textId="77777777" w:rsidR="003C5FD9" w:rsidRDefault="003C5FD9">
                          <w:pPr>
                            <w:jc w:val="right"/>
                          </w:pPr>
                          <w:r>
                            <w:t>2</w:t>
                          </w:r>
                        </w:p>
                        <w:p w14:paraId="0AD2B597" w14:textId="77777777" w:rsidR="003C5FD9" w:rsidRDefault="003C5FD9">
                          <w:pPr>
                            <w:jc w:val="right"/>
                          </w:pPr>
                          <w:r>
                            <w:t>3</w:t>
                          </w:r>
                        </w:p>
                        <w:p w14:paraId="508D1B8D" w14:textId="77777777" w:rsidR="003C5FD9" w:rsidRDefault="003C5FD9">
                          <w:pPr>
                            <w:jc w:val="right"/>
                          </w:pPr>
                          <w:r>
                            <w:t>4</w:t>
                          </w:r>
                        </w:p>
                        <w:p w14:paraId="5066C4D1" w14:textId="77777777" w:rsidR="003C5FD9" w:rsidRDefault="003C5FD9">
                          <w:pPr>
                            <w:jc w:val="right"/>
                          </w:pPr>
                          <w:r>
                            <w:t>5</w:t>
                          </w:r>
                        </w:p>
                        <w:p w14:paraId="1199628A" w14:textId="77777777" w:rsidR="003C5FD9" w:rsidRDefault="003C5FD9">
                          <w:pPr>
                            <w:jc w:val="right"/>
                          </w:pPr>
                          <w:r>
                            <w:t>6</w:t>
                          </w:r>
                        </w:p>
                        <w:p w14:paraId="44660F17" w14:textId="77777777" w:rsidR="003C5FD9" w:rsidRDefault="003C5FD9">
                          <w:pPr>
                            <w:jc w:val="right"/>
                          </w:pPr>
                          <w:r>
                            <w:t>7</w:t>
                          </w:r>
                        </w:p>
                        <w:p w14:paraId="1A5DBFB9" w14:textId="77777777" w:rsidR="003C5FD9" w:rsidRDefault="003C5FD9">
                          <w:pPr>
                            <w:jc w:val="right"/>
                          </w:pPr>
                          <w:r>
                            <w:t>8</w:t>
                          </w:r>
                        </w:p>
                        <w:p w14:paraId="1990D1EF" w14:textId="77777777" w:rsidR="003C5FD9" w:rsidRDefault="003C5FD9">
                          <w:pPr>
                            <w:jc w:val="right"/>
                          </w:pPr>
                          <w:r>
                            <w:t>9</w:t>
                          </w:r>
                        </w:p>
                        <w:p w14:paraId="63D27A5D" w14:textId="77777777" w:rsidR="003C5FD9" w:rsidRDefault="003C5FD9">
                          <w:pPr>
                            <w:jc w:val="right"/>
                          </w:pPr>
                          <w:r>
                            <w:t>10</w:t>
                          </w:r>
                        </w:p>
                        <w:p w14:paraId="1CAD3900" w14:textId="77777777" w:rsidR="003C5FD9" w:rsidRDefault="003C5FD9">
                          <w:pPr>
                            <w:jc w:val="right"/>
                          </w:pPr>
                          <w:r>
                            <w:t>11</w:t>
                          </w:r>
                        </w:p>
                        <w:p w14:paraId="3C70681A" w14:textId="77777777" w:rsidR="003C5FD9" w:rsidRDefault="003C5FD9">
                          <w:pPr>
                            <w:jc w:val="right"/>
                          </w:pPr>
                          <w:r>
                            <w:t>12</w:t>
                          </w:r>
                        </w:p>
                        <w:p w14:paraId="3F5682A4" w14:textId="77777777" w:rsidR="003C5FD9" w:rsidRDefault="003C5FD9">
                          <w:pPr>
                            <w:jc w:val="right"/>
                          </w:pPr>
                          <w:r>
                            <w:t>13</w:t>
                          </w:r>
                        </w:p>
                        <w:p w14:paraId="74DE9535" w14:textId="77777777" w:rsidR="003C5FD9" w:rsidRDefault="003C5FD9">
                          <w:pPr>
                            <w:jc w:val="right"/>
                          </w:pPr>
                          <w:r>
                            <w:t>14</w:t>
                          </w:r>
                        </w:p>
                        <w:p w14:paraId="1A0F04F9" w14:textId="77777777" w:rsidR="003C5FD9" w:rsidRDefault="003C5FD9">
                          <w:pPr>
                            <w:jc w:val="right"/>
                          </w:pPr>
                          <w:r>
                            <w:t>15</w:t>
                          </w:r>
                        </w:p>
                        <w:p w14:paraId="4D3E7B87" w14:textId="77777777" w:rsidR="003C5FD9" w:rsidRDefault="003C5FD9">
                          <w:pPr>
                            <w:jc w:val="right"/>
                          </w:pPr>
                          <w:r>
                            <w:t>16</w:t>
                          </w:r>
                        </w:p>
                        <w:p w14:paraId="7115D749" w14:textId="77777777" w:rsidR="003C5FD9" w:rsidRDefault="003C5FD9">
                          <w:pPr>
                            <w:jc w:val="right"/>
                          </w:pPr>
                          <w:r>
                            <w:t>17</w:t>
                          </w:r>
                        </w:p>
                        <w:p w14:paraId="6DF10547" w14:textId="77777777" w:rsidR="003C5FD9" w:rsidRDefault="003C5FD9">
                          <w:pPr>
                            <w:jc w:val="right"/>
                          </w:pPr>
                          <w:r>
                            <w:t>18</w:t>
                          </w:r>
                        </w:p>
                        <w:p w14:paraId="52645513" w14:textId="77777777" w:rsidR="003C5FD9" w:rsidRDefault="003C5FD9">
                          <w:pPr>
                            <w:jc w:val="right"/>
                          </w:pPr>
                          <w:r>
                            <w:t>19</w:t>
                          </w:r>
                        </w:p>
                        <w:p w14:paraId="6E20A379" w14:textId="77777777" w:rsidR="003C5FD9" w:rsidRDefault="003C5FD9">
                          <w:pPr>
                            <w:jc w:val="right"/>
                          </w:pPr>
                          <w:r>
                            <w:t>20</w:t>
                          </w:r>
                        </w:p>
                        <w:p w14:paraId="752C5689" w14:textId="77777777" w:rsidR="003C5FD9" w:rsidRDefault="003C5FD9">
                          <w:pPr>
                            <w:jc w:val="right"/>
                          </w:pPr>
                          <w:r>
                            <w:t>21</w:t>
                          </w:r>
                        </w:p>
                        <w:p w14:paraId="4100B018" w14:textId="77777777" w:rsidR="003C5FD9" w:rsidRDefault="003C5FD9">
                          <w:pPr>
                            <w:jc w:val="right"/>
                          </w:pPr>
                          <w:r>
                            <w:t>22</w:t>
                          </w:r>
                        </w:p>
                        <w:p w14:paraId="527058F7" w14:textId="77777777" w:rsidR="003C5FD9" w:rsidRDefault="003C5FD9">
                          <w:pPr>
                            <w:jc w:val="right"/>
                          </w:pPr>
                          <w:r>
                            <w:t>23</w:t>
                          </w:r>
                        </w:p>
                        <w:p w14:paraId="3B11EA2D" w14:textId="77777777" w:rsidR="003C5FD9" w:rsidRDefault="003C5FD9">
                          <w:pPr>
                            <w:jc w:val="right"/>
                          </w:pPr>
                          <w:r>
                            <w:t>24</w:t>
                          </w:r>
                        </w:p>
                        <w:p w14:paraId="39519026" w14:textId="77777777" w:rsidR="003C5FD9" w:rsidRDefault="003C5FD9">
                          <w:pPr>
                            <w:jc w:val="right"/>
                          </w:pPr>
                          <w:r>
                            <w:t>25</w:t>
                          </w:r>
                        </w:p>
                        <w:p w14:paraId="0913C671" w14:textId="77777777" w:rsidR="003C5FD9" w:rsidRDefault="003C5FD9">
                          <w:pPr>
                            <w:jc w:val="right"/>
                          </w:pPr>
                          <w:r>
                            <w:t>26</w:t>
                          </w:r>
                        </w:p>
                        <w:p w14:paraId="56B09F36" w14:textId="77777777" w:rsidR="003C5FD9" w:rsidRDefault="003C5FD9">
                          <w:pPr>
                            <w:jc w:val="right"/>
                          </w:pPr>
                          <w:r>
                            <w:t>27</w:t>
                          </w:r>
                        </w:p>
                        <w:p w14:paraId="50D8C35E" w14:textId="77777777" w:rsidR="003C5FD9" w:rsidRDefault="003C5FD9">
                          <w:pPr>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21649" id="Text Box 3" o:spid="_x0000_s1028" type="#_x0000_t202" style="position:absolute;margin-left:-32.35pt;margin-top:1in;width:18pt;height:6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" stroked="f">
              <v:textbox inset="0,0,0,0">
                <w:txbxContent>
                  <w:p w14:paraId="7F889902" w14:textId="77777777" w:rsidR="003C5FD9" w:rsidRDefault="003C5FD9">
                    <w:pPr>
                      <w:jc w:val="right"/>
                    </w:pPr>
                    <w:r>
                      <w:t>1</w:t>
                    </w:r>
                  </w:p>
                  <w:p w14:paraId="3662E407" w14:textId="77777777" w:rsidR="003C5FD9" w:rsidRDefault="003C5FD9">
                    <w:pPr>
                      <w:jc w:val="right"/>
                    </w:pPr>
                    <w:r>
                      <w:t>2</w:t>
                    </w:r>
                  </w:p>
                  <w:p w14:paraId="0AD2B597" w14:textId="77777777" w:rsidR="003C5FD9" w:rsidRDefault="003C5FD9">
                    <w:pPr>
                      <w:jc w:val="right"/>
                    </w:pPr>
                    <w:r>
                      <w:t>3</w:t>
                    </w:r>
                  </w:p>
                  <w:p w14:paraId="508D1B8D" w14:textId="77777777" w:rsidR="003C5FD9" w:rsidRDefault="003C5FD9">
                    <w:pPr>
                      <w:jc w:val="right"/>
                    </w:pPr>
                    <w:r>
                      <w:t>4</w:t>
                    </w:r>
                  </w:p>
                  <w:p w14:paraId="5066C4D1" w14:textId="77777777" w:rsidR="003C5FD9" w:rsidRDefault="003C5FD9">
                    <w:pPr>
                      <w:jc w:val="right"/>
                    </w:pPr>
                    <w:r>
                      <w:t>5</w:t>
                    </w:r>
                  </w:p>
                  <w:p w14:paraId="1199628A" w14:textId="77777777" w:rsidR="003C5FD9" w:rsidRDefault="003C5FD9">
                    <w:pPr>
                      <w:jc w:val="right"/>
                    </w:pPr>
                    <w:r>
                      <w:t>6</w:t>
                    </w:r>
                  </w:p>
                  <w:p w14:paraId="44660F17" w14:textId="77777777" w:rsidR="003C5FD9" w:rsidRDefault="003C5FD9">
                    <w:pPr>
                      <w:jc w:val="right"/>
                    </w:pPr>
                    <w:r>
                      <w:t>7</w:t>
                    </w:r>
                  </w:p>
                  <w:p w14:paraId="1A5DBFB9" w14:textId="77777777" w:rsidR="003C5FD9" w:rsidRDefault="003C5FD9">
                    <w:pPr>
                      <w:jc w:val="right"/>
                    </w:pPr>
                    <w:r>
                      <w:t>8</w:t>
                    </w:r>
                  </w:p>
                  <w:p w14:paraId="1990D1EF" w14:textId="77777777" w:rsidR="003C5FD9" w:rsidRDefault="003C5FD9">
                    <w:pPr>
                      <w:jc w:val="right"/>
                    </w:pPr>
                    <w:r>
                      <w:t>9</w:t>
                    </w:r>
                  </w:p>
                  <w:p w14:paraId="63D27A5D" w14:textId="77777777" w:rsidR="003C5FD9" w:rsidRDefault="003C5FD9">
                    <w:pPr>
                      <w:jc w:val="right"/>
                    </w:pPr>
                    <w:r>
                      <w:t>10</w:t>
                    </w:r>
                  </w:p>
                  <w:p w14:paraId="1CAD3900" w14:textId="77777777" w:rsidR="003C5FD9" w:rsidRDefault="003C5FD9">
                    <w:pPr>
                      <w:jc w:val="right"/>
                    </w:pPr>
                    <w:r>
                      <w:t>11</w:t>
                    </w:r>
                  </w:p>
                  <w:p w14:paraId="3C70681A" w14:textId="77777777" w:rsidR="003C5FD9" w:rsidRDefault="003C5FD9">
                    <w:pPr>
                      <w:jc w:val="right"/>
                    </w:pPr>
                    <w:r>
                      <w:t>12</w:t>
                    </w:r>
                  </w:p>
                  <w:p w14:paraId="3F5682A4" w14:textId="77777777" w:rsidR="003C5FD9" w:rsidRDefault="003C5FD9">
                    <w:pPr>
                      <w:jc w:val="right"/>
                    </w:pPr>
                    <w:r>
                      <w:t>13</w:t>
                    </w:r>
                  </w:p>
                  <w:p w14:paraId="74DE9535" w14:textId="77777777" w:rsidR="003C5FD9" w:rsidRDefault="003C5FD9">
                    <w:pPr>
                      <w:jc w:val="right"/>
                    </w:pPr>
                    <w:r>
                      <w:t>14</w:t>
                    </w:r>
                  </w:p>
                  <w:p w14:paraId="1A0F04F9" w14:textId="77777777" w:rsidR="003C5FD9" w:rsidRDefault="003C5FD9">
                    <w:pPr>
                      <w:jc w:val="right"/>
                    </w:pPr>
                    <w:r>
                      <w:t>15</w:t>
                    </w:r>
                  </w:p>
                  <w:p w14:paraId="4D3E7B87" w14:textId="77777777" w:rsidR="003C5FD9" w:rsidRDefault="003C5FD9">
                    <w:pPr>
                      <w:jc w:val="right"/>
                    </w:pPr>
                    <w:r>
                      <w:t>16</w:t>
                    </w:r>
                  </w:p>
                  <w:p w14:paraId="7115D749" w14:textId="77777777" w:rsidR="003C5FD9" w:rsidRDefault="003C5FD9">
                    <w:pPr>
                      <w:jc w:val="right"/>
                    </w:pPr>
                    <w:r>
                      <w:t>17</w:t>
                    </w:r>
                  </w:p>
                  <w:p w14:paraId="6DF10547" w14:textId="77777777" w:rsidR="003C5FD9" w:rsidRDefault="003C5FD9">
                    <w:pPr>
                      <w:jc w:val="right"/>
                    </w:pPr>
                    <w:r>
                      <w:t>18</w:t>
                    </w:r>
                  </w:p>
                  <w:p w14:paraId="52645513" w14:textId="77777777" w:rsidR="003C5FD9" w:rsidRDefault="003C5FD9">
                    <w:pPr>
                      <w:jc w:val="right"/>
                    </w:pPr>
                    <w:r>
                      <w:t>19</w:t>
                    </w:r>
                  </w:p>
                  <w:p w14:paraId="6E20A379" w14:textId="77777777" w:rsidR="003C5FD9" w:rsidRDefault="003C5FD9">
                    <w:pPr>
                      <w:jc w:val="right"/>
                    </w:pPr>
                    <w:r>
                      <w:t>20</w:t>
                    </w:r>
                  </w:p>
                  <w:p w14:paraId="752C5689" w14:textId="77777777" w:rsidR="003C5FD9" w:rsidRDefault="003C5FD9">
                    <w:pPr>
                      <w:jc w:val="right"/>
                    </w:pPr>
                    <w:r>
                      <w:t>21</w:t>
                    </w:r>
                  </w:p>
                  <w:p w14:paraId="4100B018" w14:textId="77777777" w:rsidR="003C5FD9" w:rsidRDefault="003C5FD9">
                    <w:pPr>
                      <w:jc w:val="right"/>
                    </w:pPr>
                    <w:r>
                      <w:t>22</w:t>
                    </w:r>
                  </w:p>
                  <w:p w14:paraId="527058F7" w14:textId="77777777" w:rsidR="003C5FD9" w:rsidRDefault="003C5FD9">
                    <w:pPr>
                      <w:jc w:val="right"/>
                    </w:pPr>
                    <w:r>
                      <w:t>23</w:t>
                    </w:r>
                  </w:p>
                  <w:p w14:paraId="3B11EA2D" w14:textId="77777777" w:rsidR="003C5FD9" w:rsidRDefault="003C5FD9">
                    <w:pPr>
                      <w:jc w:val="right"/>
                    </w:pPr>
                    <w:r>
                      <w:t>24</w:t>
                    </w:r>
                  </w:p>
                  <w:p w14:paraId="39519026" w14:textId="77777777" w:rsidR="003C5FD9" w:rsidRDefault="003C5FD9">
                    <w:pPr>
                      <w:jc w:val="right"/>
                    </w:pPr>
                    <w:r>
                      <w:t>25</w:t>
                    </w:r>
                  </w:p>
                  <w:p w14:paraId="0913C671" w14:textId="77777777" w:rsidR="003C5FD9" w:rsidRDefault="003C5FD9">
                    <w:pPr>
                      <w:jc w:val="right"/>
                    </w:pPr>
                    <w:r>
                      <w:t>26</w:t>
                    </w:r>
                  </w:p>
                  <w:p w14:paraId="56B09F36" w14:textId="77777777" w:rsidR="003C5FD9" w:rsidRDefault="003C5FD9">
                    <w:pPr>
                      <w:jc w:val="right"/>
                    </w:pPr>
                    <w:r>
                      <w:t>27</w:t>
                    </w:r>
                  </w:p>
                  <w:p w14:paraId="50D8C35E" w14:textId="77777777" w:rsidR="003C5FD9" w:rsidRDefault="003C5FD9">
                    <w:pPr>
                      <w:jc w:val="right"/>
                    </w:pPr>
                    <w:r>
                      <w:t>28</w:t>
                    </w:r>
                  </w:p>
                </w:txbxContent>
              </v:textbox>
              <w10:wrap type="through" anchorx="margin" anchory="page"/>
              <w10:anchorlock/>
            </v:shape>
          </w:pict>
        </mc:Fallback>
      </mc:AlternateContent>
    </w:r>
    <w:r>
      <w:rPr>
        <w:noProof/>
        <w:sz w:val="20"/>
      </w:rPr>
      <mc:AlternateContent>
        <mc:Choice Requires="wps">
          <w:drawing>
            <wp:anchor distT="0" distB="0" distL="114300" distR="114300" simplePos="0" relativeHeight="251660288" behindDoc="0" locked="0" layoutInCell="1" allowOverlap="1" wp14:anchorId="731DB1A7" wp14:editId="16CE94B7">
              <wp:simplePos x="0" y="0"/>
              <wp:positionH relativeFrom="page">
                <wp:posOffset>7406640</wp:posOffset>
              </wp:positionH>
              <wp:positionV relativeFrom="page">
                <wp:posOffset>0</wp:posOffset>
              </wp:positionV>
              <wp:extent cx="0" cy="10160000"/>
              <wp:effectExtent l="5715" t="9525" r="13335" b="12700"/>
              <wp:wrapNone/>
              <wp:docPr id="2693314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D2FC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2pt,0" to="583.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">
              <w10:wrap anchorx="page" anchory="page"/>
            </v:line>
          </w:pict>
        </mc:Fallback>
      </mc:AlternateContent>
    </w:r>
    <w:r>
      <w:rPr>
        <w:noProof/>
        <w:sz w:val="20"/>
      </w:rPr>
      <mc:AlternateContent>
        <mc:Choice Requires="wps">
          <w:drawing>
            <wp:anchor distT="0" distB="0" distL="114300" distR="114300" simplePos="0" relativeHeight="251659264" behindDoc="0" locked="0" layoutInCell="1" allowOverlap="1" wp14:anchorId="55354A47" wp14:editId="4A7A93BB">
              <wp:simplePos x="0" y="0"/>
              <wp:positionH relativeFrom="margin">
                <wp:posOffset>-91440</wp:posOffset>
              </wp:positionH>
              <wp:positionV relativeFrom="page">
                <wp:posOffset>0</wp:posOffset>
              </wp:positionV>
              <wp:extent cx="0" cy="10160000"/>
              <wp:effectExtent l="22860" t="19050" r="24765" b="22225"/>
              <wp:wrapNone/>
              <wp:docPr id="20869252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861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" strokeweight="3pt">
              <v:stroke linestyle="thinThin"/>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3E6A"/>
    <w:multiLevelType w:val="hybridMultilevel"/>
    <w:tmpl w:val="4BB0F77C"/>
    <w:lvl w:ilvl="0" w:tplc="04E2C94A">
      <w:start w:val="1"/>
      <w:numFmt w:val="bullet"/>
      <w:lvlText w:val=""/>
      <w:lvlJc w:val="left"/>
      <w:pPr>
        <w:ind w:left="1080" w:hanging="360"/>
      </w:pPr>
      <w:rPr>
        <w:rFonts w:ascii="Symbol" w:hAnsi="Symbol"/>
      </w:rPr>
    </w:lvl>
    <w:lvl w:ilvl="1" w:tplc="D2BAA886">
      <w:start w:val="1"/>
      <w:numFmt w:val="bullet"/>
      <w:lvlText w:val=""/>
      <w:lvlJc w:val="left"/>
      <w:pPr>
        <w:ind w:left="1080" w:hanging="360"/>
      </w:pPr>
      <w:rPr>
        <w:rFonts w:ascii="Symbol" w:hAnsi="Symbol"/>
      </w:rPr>
    </w:lvl>
    <w:lvl w:ilvl="2" w:tplc="C6C61A9C">
      <w:start w:val="1"/>
      <w:numFmt w:val="bullet"/>
      <w:lvlText w:val=""/>
      <w:lvlJc w:val="left"/>
      <w:pPr>
        <w:ind w:left="1080" w:hanging="360"/>
      </w:pPr>
      <w:rPr>
        <w:rFonts w:ascii="Symbol" w:hAnsi="Symbol"/>
      </w:rPr>
    </w:lvl>
    <w:lvl w:ilvl="3" w:tplc="5BD4583A">
      <w:start w:val="1"/>
      <w:numFmt w:val="bullet"/>
      <w:lvlText w:val=""/>
      <w:lvlJc w:val="left"/>
      <w:pPr>
        <w:ind w:left="1080" w:hanging="360"/>
      </w:pPr>
      <w:rPr>
        <w:rFonts w:ascii="Symbol" w:hAnsi="Symbol"/>
      </w:rPr>
    </w:lvl>
    <w:lvl w:ilvl="4" w:tplc="09543AEA">
      <w:start w:val="1"/>
      <w:numFmt w:val="bullet"/>
      <w:lvlText w:val=""/>
      <w:lvlJc w:val="left"/>
      <w:pPr>
        <w:ind w:left="1080" w:hanging="360"/>
      </w:pPr>
      <w:rPr>
        <w:rFonts w:ascii="Symbol" w:hAnsi="Symbol"/>
      </w:rPr>
    </w:lvl>
    <w:lvl w:ilvl="5" w:tplc="8FD09966">
      <w:start w:val="1"/>
      <w:numFmt w:val="bullet"/>
      <w:lvlText w:val=""/>
      <w:lvlJc w:val="left"/>
      <w:pPr>
        <w:ind w:left="1080" w:hanging="360"/>
      </w:pPr>
      <w:rPr>
        <w:rFonts w:ascii="Symbol" w:hAnsi="Symbol"/>
      </w:rPr>
    </w:lvl>
    <w:lvl w:ilvl="6" w:tplc="5900BB9C">
      <w:start w:val="1"/>
      <w:numFmt w:val="bullet"/>
      <w:lvlText w:val=""/>
      <w:lvlJc w:val="left"/>
      <w:pPr>
        <w:ind w:left="1080" w:hanging="360"/>
      </w:pPr>
      <w:rPr>
        <w:rFonts w:ascii="Symbol" w:hAnsi="Symbol"/>
      </w:rPr>
    </w:lvl>
    <w:lvl w:ilvl="7" w:tplc="D662279E">
      <w:start w:val="1"/>
      <w:numFmt w:val="bullet"/>
      <w:lvlText w:val=""/>
      <w:lvlJc w:val="left"/>
      <w:pPr>
        <w:ind w:left="1080" w:hanging="360"/>
      </w:pPr>
      <w:rPr>
        <w:rFonts w:ascii="Symbol" w:hAnsi="Symbol"/>
      </w:rPr>
    </w:lvl>
    <w:lvl w:ilvl="8" w:tplc="3AAAED14">
      <w:start w:val="1"/>
      <w:numFmt w:val="bullet"/>
      <w:lvlText w:val=""/>
      <w:lvlJc w:val="left"/>
      <w:pPr>
        <w:ind w:left="1080" w:hanging="360"/>
      </w:pPr>
      <w:rPr>
        <w:rFonts w:ascii="Symbol" w:hAnsi="Symbol"/>
      </w:rPr>
    </w:lvl>
  </w:abstractNum>
  <w:abstractNum w:abstractNumId="1" w15:restartNumberingAfterBreak="0">
    <w:nsid w:val="638B052E"/>
    <w:multiLevelType w:val="hybridMultilevel"/>
    <w:tmpl w:val="8E34E6E4"/>
    <w:lvl w:ilvl="0" w:tplc="587E59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142DB7"/>
    <w:multiLevelType w:val="hybridMultilevel"/>
    <w:tmpl w:val="F3FC8B58"/>
    <w:lvl w:ilvl="0" w:tplc="468006C8">
      <w:start w:val="1"/>
      <w:numFmt w:val="bullet"/>
      <w:lvlText w:val=""/>
      <w:lvlJc w:val="left"/>
      <w:pPr>
        <w:ind w:left="1080" w:hanging="360"/>
      </w:pPr>
      <w:rPr>
        <w:rFonts w:ascii="Symbol" w:hAnsi="Symbol"/>
      </w:rPr>
    </w:lvl>
    <w:lvl w:ilvl="1" w:tplc="870EC2CA">
      <w:start w:val="1"/>
      <w:numFmt w:val="bullet"/>
      <w:lvlText w:val=""/>
      <w:lvlJc w:val="left"/>
      <w:pPr>
        <w:ind w:left="1080" w:hanging="360"/>
      </w:pPr>
      <w:rPr>
        <w:rFonts w:ascii="Symbol" w:hAnsi="Symbol"/>
      </w:rPr>
    </w:lvl>
    <w:lvl w:ilvl="2" w:tplc="66567B90">
      <w:start w:val="1"/>
      <w:numFmt w:val="bullet"/>
      <w:lvlText w:val=""/>
      <w:lvlJc w:val="left"/>
      <w:pPr>
        <w:ind w:left="1080" w:hanging="360"/>
      </w:pPr>
      <w:rPr>
        <w:rFonts w:ascii="Symbol" w:hAnsi="Symbol"/>
      </w:rPr>
    </w:lvl>
    <w:lvl w:ilvl="3" w:tplc="D6B0C036">
      <w:start w:val="1"/>
      <w:numFmt w:val="bullet"/>
      <w:lvlText w:val=""/>
      <w:lvlJc w:val="left"/>
      <w:pPr>
        <w:ind w:left="1080" w:hanging="360"/>
      </w:pPr>
      <w:rPr>
        <w:rFonts w:ascii="Symbol" w:hAnsi="Symbol"/>
      </w:rPr>
    </w:lvl>
    <w:lvl w:ilvl="4" w:tplc="48E4D79A">
      <w:start w:val="1"/>
      <w:numFmt w:val="bullet"/>
      <w:lvlText w:val=""/>
      <w:lvlJc w:val="left"/>
      <w:pPr>
        <w:ind w:left="1080" w:hanging="360"/>
      </w:pPr>
      <w:rPr>
        <w:rFonts w:ascii="Symbol" w:hAnsi="Symbol"/>
      </w:rPr>
    </w:lvl>
    <w:lvl w:ilvl="5" w:tplc="BD9CB0C0">
      <w:start w:val="1"/>
      <w:numFmt w:val="bullet"/>
      <w:lvlText w:val=""/>
      <w:lvlJc w:val="left"/>
      <w:pPr>
        <w:ind w:left="1080" w:hanging="360"/>
      </w:pPr>
      <w:rPr>
        <w:rFonts w:ascii="Symbol" w:hAnsi="Symbol"/>
      </w:rPr>
    </w:lvl>
    <w:lvl w:ilvl="6" w:tplc="33DE31A8">
      <w:start w:val="1"/>
      <w:numFmt w:val="bullet"/>
      <w:lvlText w:val=""/>
      <w:lvlJc w:val="left"/>
      <w:pPr>
        <w:ind w:left="1080" w:hanging="360"/>
      </w:pPr>
      <w:rPr>
        <w:rFonts w:ascii="Symbol" w:hAnsi="Symbol"/>
      </w:rPr>
    </w:lvl>
    <w:lvl w:ilvl="7" w:tplc="8B105586">
      <w:start w:val="1"/>
      <w:numFmt w:val="bullet"/>
      <w:lvlText w:val=""/>
      <w:lvlJc w:val="left"/>
      <w:pPr>
        <w:ind w:left="1080" w:hanging="360"/>
      </w:pPr>
      <w:rPr>
        <w:rFonts w:ascii="Symbol" w:hAnsi="Symbol"/>
      </w:rPr>
    </w:lvl>
    <w:lvl w:ilvl="8" w:tplc="7D1640C8">
      <w:start w:val="1"/>
      <w:numFmt w:val="bullet"/>
      <w:lvlText w:val=""/>
      <w:lvlJc w:val="left"/>
      <w:pPr>
        <w:ind w:left="1080" w:hanging="360"/>
      </w:pPr>
      <w:rPr>
        <w:rFonts w:ascii="Symbol" w:hAnsi="Symbol"/>
      </w:rPr>
    </w:lvl>
  </w:abstractNum>
  <w:num w:numId="1" w16cid:durableId="100534525">
    <w:abstractNumId w:val="1"/>
  </w:num>
  <w:num w:numId="2" w16cid:durableId="1332565519">
    <w:abstractNumId w:val="2"/>
  </w:num>
  <w:num w:numId="3" w16cid:durableId="135826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3D"/>
    <w:rsid w:val="000115EB"/>
    <w:rsid w:val="0001235F"/>
    <w:rsid w:val="00022B04"/>
    <w:rsid w:val="00047CF3"/>
    <w:rsid w:val="00080AD9"/>
    <w:rsid w:val="00082D10"/>
    <w:rsid w:val="00092244"/>
    <w:rsid w:val="00094771"/>
    <w:rsid w:val="00096DF0"/>
    <w:rsid w:val="000E760C"/>
    <w:rsid w:val="000F466F"/>
    <w:rsid w:val="001110B1"/>
    <w:rsid w:val="001154F8"/>
    <w:rsid w:val="001165C0"/>
    <w:rsid w:val="00133DE4"/>
    <w:rsid w:val="001361CF"/>
    <w:rsid w:val="001467BB"/>
    <w:rsid w:val="001542C1"/>
    <w:rsid w:val="00161674"/>
    <w:rsid w:val="0018517C"/>
    <w:rsid w:val="00185267"/>
    <w:rsid w:val="001B0380"/>
    <w:rsid w:val="001B7557"/>
    <w:rsid w:val="001B7B9D"/>
    <w:rsid w:val="001C5245"/>
    <w:rsid w:val="001C6346"/>
    <w:rsid w:val="001C69C4"/>
    <w:rsid w:val="001D2C11"/>
    <w:rsid w:val="001F2A1B"/>
    <w:rsid w:val="00213265"/>
    <w:rsid w:val="00217720"/>
    <w:rsid w:val="002223A5"/>
    <w:rsid w:val="002260E2"/>
    <w:rsid w:val="0022625B"/>
    <w:rsid w:val="00226516"/>
    <w:rsid w:val="00243C1E"/>
    <w:rsid w:val="00251998"/>
    <w:rsid w:val="0025647F"/>
    <w:rsid w:val="00273F53"/>
    <w:rsid w:val="00276B5D"/>
    <w:rsid w:val="002851CE"/>
    <w:rsid w:val="002853AC"/>
    <w:rsid w:val="002854D0"/>
    <w:rsid w:val="00291EB8"/>
    <w:rsid w:val="00296F96"/>
    <w:rsid w:val="00297C1C"/>
    <w:rsid w:val="002A61B9"/>
    <w:rsid w:val="002A6E43"/>
    <w:rsid w:val="002B31B6"/>
    <w:rsid w:val="002D289C"/>
    <w:rsid w:val="002D3B27"/>
    <w:rsid w:val="002E1A1D"/>
    <w:rsid w:val="002E26E0"/>
    <w:rsid w:val="002E7E8A"/>
    <w:rsid w:val="002F5D98"/>
    <w:rsid w:val="00300837"/>
    <w:rsid w:val="003027F7"/>
    <w:rsid w:val="00305B68"/>
    <w:rsid w:val="003117B0"/>
    <w:rsid w:val="00313F23"/>
    <w:rsid w:val="00317D90"/>
    <w:rsid w:val="00330CB2"/>
    <w:rsid w:val="00340A57"/>
    <w:rsid w:val="00347B81"/>
    <w:rsid w:val="00356B33"/>
    <w:rsid w:val="00357DB8"/>
    <w:rsid w:val="003662EC"/>
    <w:rsid w:val="00370581"/>
    <w:rsid w:val="003708B5"/>
    <w:rsid w:val="00370F93"/>
    <w:rsid w:val="00376C53"/>
    <w:rsid w:val="003772E0"/>
    <w:rsid w:val="00382CCD"/>
    <w:rsid w:val="00390892"/>
    <w:rsid w:val="00394081"/>
    <w:rsid w:val="003C27AD"/>
    <w:rsid w:val="003C5FD9"/>
    <w:rsid w:val="003C7F95"/>
    <w:rsid w:val="003D3DB2"/>
    <w:rsid w:val="003D6933"/>
    <w:rsid w:val="003E6DA3"/>
    <w:rsid w:val="003F3377"/>
    <w:rsid w:val="003F50C9"/>
    <w:rsid w:val="004127C2"/>
    <w:rsid w:val="00416F85"/>
    <w:rsid w:val="00422995"/>
    <w:rsid w:val="00437634"/>
    <w:rsid w:val="00453099"/>
    <w:rsid w:val="00484E27"/>
    <w:rsid w:val="00487D37"/>
    <w:rsid w:val="004A2E8E"/>
    <w:rsid w:val="004A4267"/>
    <w:rsid w:val="004B0BB7"/>
    <w:rsid w:val="004E0DDE"/>
    <w:rsid w:val="004E4CDA"/>
    <w:rsid w:val="00505BA1"/>
    <w:rsid w:val="00505E32"/>
    <w:rsid w:val="00506A31"/>
    <w:rsid w:val="005310C8"/>
    <w:rsid w:val="0056269E"/>
    <w:rsid w:val="00591F2A"/>
    <w:rsid w:val="005A0A4B"/>
    <w:rsid w:val="005A1BF1"/>
    <w:rsid w:val="005A5A10"/>
    <w:rsid w:val="005A66C2"/>
    <w:rsid w:val="005B2494"/>
    <w:rsid w:val="005D5CF6"/>
    <w:rsid w:val="005E7AFA"/>
    <w:rsid w:val="005F6FEB"/>
    <w:rsid w:val="0060274C"/>
    <w:rsid w:val="00634CEC"/>
    <w:rsid w:val="00653CD6"/>
    <w:rsid w:val="00656334"/>
    <w:rsid w:val="0066086A"/>
    <w:rsid w:val="00663B97"/>
    <w:rsid w:val="00674293"/>
    <w:rsid w:val="00676B41"/>
    <w:rsid w:val="00686DB5"/>
    <w:rsid w:val="006D4891"/>
    <w:rsid w:val="006E1098"/>
    <w:rsid w:val="006F2FD7"/>
    <w:rsid w:val="00701077"/>
    <w:rsid w:val="00704CE8"/>
    <w:rsid w:val="00706A30"/>
    <w:rsid w:val="00707873"/>
    <w:rsid w:val="007315D5"/>
    <w:rsid w:val="00732966"/>
    <w:rsid w:val="00735F9E"/>
    <w:rsid w:val="00736D0A"/>
    <w:rsid w:val="007527DE"/>
    <w:rsid w:val="00752D90"/>
    <w:rsid w:val="00756124"/>
    <w:rsid w:val="007644AE"/>
    <w:rsid w:val="00766AF1"/>
    <w:rsid w:val="0077683E"/>
    <w:rsid w:val="00785337"/>
    <w:rsid w:val="00793821"/>
    <w:rsid w:val="007953CD"/>
    <w:rsid w:val="00795F58"/>
    <w:rsid w:val="007C548D"/>
    <w:rsid w:val="007D4143"/>
    <w:rsid w:val="007D6F10"/>
    <w:rsid w:val="007F10FA"/>
    <w:rsid w:val="00821D06"/>
    <w:rsid w:val="008251BF"/>
    <w:rsid w:val="00837FA5"/>
    <w:rsid w:val="00842753"/>
    <w:rsid w:val="00844D0A"/>
    <w:rsid w:val="00863B5B"/>
    <w:rsid w:val="0086654F"/>
    <w:rsid w:val="008869F0"/>
    <w:rsid w:val="008A2AC5"/>
    <w:rsid w:val="008A3FBD"/>
    <w:rsid w:val="008B291F"/>
    <w:rsid w:val="008B29C6"/>
    <w:rsid w:val="008C39FE"/>
    <w:rsid w:val="0090522F"/>
    <w:rsid w:val="00906C9C"/>
    <w:rsid w:val="00916223"/>
    <w:rsid w:val="00935E8E"/>
    <w:rsid w:val="00940E8C"/>
    <w:rsid w:val="00941CD5"/>
    <w:rsid w:val="00956409"/>
    <w:rsid w:val="00961DB7"/>
    <w:rsid w:val="009934B2"/>
    <w:rsid w:val="009A0A01"/>
    <w:rsid w:val="009B5A0C"/>
    <w:rsid w:val="009C12B7"/>
    <w:rsid w:val="009C75DF"/>
    <w:rsid w:val="009D437C"/>
    <w:rsid w:val="009E1B01"/>
    <w:rsid w:val="009E390D"/>
    <w:rsid w:val="009E579D"/>
    <w:rsid w:val="00A05142"/>
    <w:rsid w:val="00A06985"/>
    <w:rsid w:val="00A25B1B"/>
    <w:rsid w:val="00A33406"/>
    <w:rsid w:val="00A455C5"/>
    <w:rsid w:val="00A5306E"/>
    <w:rsid w:val="00A5525B"/>
    <w:rsid w:val="00A82459"/>
    <w:rsid w:val="00A87286"/>
    <w:rsid w:val="00A8747A"/>
    <w:rsid w:val="00AA37CA"/>
    <w:rsid w:val="00AB20F7"/>
    <w:rsid w:val="00AC0CF5"/>
    <w:rsid w:val="00AC5D30"/>
    <w:rsid w:val="00AF28A2"/>
    <w:rsid w:val="00AF7FDB"/>
    <w:rsid w:val="00B0063D"/>
    <w:rsid w:val="00B04B3C"/>
    <w:rsid w:val="00B07346"/>
    <w:rsid w:val="00B20580"/>
    <w:rsid w:val="00B22E9C"/>
    <w:rsid w:val="00B3443B"/>
    <w:rsid w:val="00B36CA1"/>
    <w:rsid w:val="00B47493"/>
    <w:rsid w:val="00B474C6"/>
    <w:rsid w:val="00B532C6"/>
    <w:rsid w:val="00B54DFF"/>
    <w:rsid w:val="00B55DB2"/>
    <w:rsid w:val="00B62AA2"/>
    <w:rsid w:val="00B726AF"/>
    <w:rsid w:val="00B956C5"/>
    <w:rsid w:val="00BA064A"/>
    <w:rsid w:val="00BB3035"/>
    <w:rsid w:val="00BC3E44"/>
    <w:rsid w:val="00BD48A1"/>
    <w:rsid w:val="00C077C3"/>
    <w:rsid w:val="00C2272E"/>
    <w:rsid w:val="00C24259"/>
    <w:rsid w:val="00C479A8"/>
    <w:rsid w:val="00C61C47"/>
    <w:rsid w:val="00CC049E"/>
    <w:rsid w:val="00CC124D"/>
    <w:rsid w:val="00CD7FDD"/>
    <w:rsid w:val="00CF53AC"/>
    <w:rsid w:val="00D14562"/>
    <w:rsid w:val="00D2097A"/>
    <w:rsid w:val="00D23696"/>
    <w:rsid w:val="00D3047C"/>
    <w:rsid w:val="00D45150"/>
    <w:rsid w:val="00D45476"/>
    <w:rsid w:val="00D60D12"/>
    <w:rsid w:val="00D62319"/>
    <w:rsid w:val="00D62494"/>
    <w:rsid w:val="00D64F75"/>
    <w:rsid w:val="00D8323C"/>
    <w:rsid w:val="00DB4506"/>
    <w:rsid w:val="00DC341F"/>
    <w:rsid w:val="00DF3523"/>
    <w:rsid w:val="00E14995"/>
    <w:rsid w:val="00E27973"/>
    <w:rsid w:val="00E51F5C"/>
    <w:rsid w:val="00E52F85"/>
    <w:rsid w:val="00E53499"/>
    <w:rsid w:val="00E5760D"/>
    <w:rsid w:val="00E61149"/>
    <w:rsid w:val="00E61BA8"/>
    <w:rsid w:val="00E61EC7"/>
    <w:rsid w:val="00E6219F"/>
    <w:rsid w:val="00E75A5B"/>
    <w:rsid w:val="00E85A1D"/>
    <w:rsid w:val="00EB1E90"/>
    <w:rsid w:val="00EB4816"/>
    <w:rsid w:val="00EC0D28"/>
    <w:rsid w:val="00ED02A1"/>
    <w:rsid w:val="00ED62FF"/>
    <w:rsid w:val="00EF603E"/>
    <w:rsid w:val="00F049EA"/>
    <w:rsid w:val="00F265E6"/>
    <w:rsid w:val="00F34B0D"/>
    <w:rsid w:val="00F45743"/>
    <w:rsid w:val="00F65B77"/>
    <w:rsid w:val="00F65D1C"/>
    <w:rsid w:val="00F6755C"/>
    <w:rsid w:val="00F72B9E"/>
    <w:rsid w:val="00F733B1"/>
    <w:rsid w:val="00F9339B"/>
    <w:rsid w:val="00F934F8"/>
    <w:rsid w:val="00F969F6"/>
    <w:rsid w:val="00FD198F"/>
    <w:rsid w:val="00FE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07F54"/>
  <w15:chartTrackingRefBased/>
  <w15:docId w15:val="{1D3DC90C-A866-4F74-AE12-151108EC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3D"/>
    <w:pPr>
      <w:spacing w:after="0" w:line="41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0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63D"/>
    <w:rPr>
      <w:rFonts w:eastAsiaTheme="majorEastAsia" w:cstheme="majorBidi"/>
      <w:color w:val="272727" w:themeColor="text1" w:themeTint="D8"/>
    </w:rPr>
  </w:style>
  <w:style w:type="paragraph" w:styleId="Title">
    <w:name w:val="Title"/>
    <w:basedOn w:val="Normal"/>
    <w:next w:val="Normal"/>
    <w:link w:val="TitleChar"/>
    <w:uiPriority w:val="10"/>
    <w:qFormat/>
    <w:rsid w:val="00B00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3D"/>
    <w:pPr>
      <w:spacing w:before="160"/>
      <w:jc w:val="center"/>
    </w:pPr>
    <w:rPr>
      <w:i/>
      <w:iCs/>
      <w:color w:val="404040" w:themeColor="text1" w:themeTint="BF"/>
    </w:rPr>
  </w:style>
  <w:style w:type="character" w:customStyle="1" w:styleId="QuoteChar">
    <w:name w:val="Quote Char"/>
    <w:basedOn w:val="DefaultParagraphFont"/>
    <w:link w:val="Quote"/>
    <w:uiPriority w:val="29"/>
    <w:rsid w:val="00B0063D"/>
    <w:rPr>
      <w:i/>
      <w:iCs/>
      <w:color w:val="404040" w:themeColor="text1" w:themeTint="BF"/>
    </w:rPr>
  </w:style>
  <w:style w:type="paragraph" w:styleId="ListParagraph">
    <w:name w:val="List Paragraph"/>
    <w:basedOn w:val="Normal"/>
    <w:uiPriority w:val="34"/>
    <w:qFormat/>
    <w:rsid w:val="00B0063D"/>
    <w:pPr>
      <w:ind w:left="720"/>
      <w:contextualSpacing/>
    </w:pPr>
  </w:style>
  <w:style w:type="character" w:styleId="IntenseEmphasis">
    <w:name w:val="Intense Emphasis"/>
    <w:basedOn w:val="DefaultParagraphFont"/>
    <w:uiPriority w:val="21"/>
    <w:qFormat/>
    <w:rsid w:val="00B0063D"/>
    <w:rPr>
      <w:i/>
      <w:iCs/>
      <w:color w:val="0F4761" w:themeColor="accent1" w:themeShade="BF"/>
    </w:rPr>
  </w:style>
  <w:style w:type="paragraph" w:styleId="IntenseQuote">
    <w:name w:val="Intense Quote"/>
    <w:basedOn w:val="Normal"/>
    <w:next w:val="Normal"/>
    <w:link w:val="IntenseQuoteChar"/>
    <w:uiPriority w:val="30"/>
    <w:qFormat/>
    <w:rsid w:val="00B00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63D"/>
    <w:rPr>
      <w:i/>
      <w:iCs/>
      <w:color w:val="0F4761" w:themeColor="accent1" w:themeShade="BF"/>
    </w:rPr>
  </w:style>
  <w:style w:type="character" w:styleId="IntenseReference">
    <w:name w:val="Intense Reference"/>
    <w:basedOn w:val="DefaultParagraphFont"/>
    <w:uiPriority w:val="32"/>
    <w:qFormat/>
    <w:rsid w:val="00B0063D"/>
    <w:rPr>
      <w:b/>
      <w:bCs/>
      <w:smallCaps/>
      <w:color w:val="0F4761" w:themeColor="accent1" w:themeShade="BF"/>
      <w:spacing w:val="5"/>
    </w:rPr>
  </w:style>
  <w:style w:type="paragraph" w:styleId="Footer">
    <w:name w:val="footer"/>
    <w:basedOn w:val="Normal"/>
    <w:link w:val="FooterChar"/>
    <w:semiHidden/>
    <w:rsid w:val="00B0063D"/>
    <w:pPr>
      <w:tabs>
        <w:tab w:val="center" w:pos="4320"/>
        <w:tab w:val="right" w:pos="8640"/>
      </w:tabs>
    </w:pPr>
  </w:style>
  <w:style w:type="character" w:customStyle="1" w:styleId="FooterChar">
    <w:name w:val="Footer Char"/>
    <w:basedOn w:val="DefaultParagraphFont"/>
    <w:link w:val="Footer"/>
    <w:semiHidden/>
    <w:rsid w:val="00B0063D"/>
    <w:rPr>
      <w:rFonts w:ascii="Times New Roman" w:eastAsia="Times New Roman" w:hAnsi="Times New Roman" w:cs="Times New Roman"/>
      <w:kern w:val="0"/>
      <w14:ligatures w14:val="none"/>
    </w:rPr>
  </w:style>
  <w:style w:type="paragraph" w:styleId="Header">
    <w:name w:val="header"/>
    <w:basedOn w:val="Normal"/>
    <w:link w:val="HeaderChar"/>
    <w:semiHidden/>
    <w:rsid w:val="00B0063D"/>
    <w:pPr>
      <w:tabs>
        <w:tab w:val="center" w:pos="4320"/>
        <w:tab w:val="right" w:pos="8640"/>
      </w:tabs>
    </w:pPr>
  </w:style>
  <w:style w:type="character" w:customStyle="1" w:styleId="HeaderChar">
    <w:name w:val="Header Char"/>
    <w:basedOn w:val="DefaultParagraphFont"/>
    <w:link w:val="Header"/>
    <w:semiHidden/>
    <w:rsid w:val="00B0063D"/>
    <w:rPr>
      <w:rFonts w:ascii="Times New Roman" w:eastAsia="Times New Roman" w:hAnsi="Times New Roman" w:cs="Times New Roman"/>
      <w:kern w:val="0"/>
      <w14:ligatures w14:val="none"/>
    </w:rPr>
  </w:style>
  <w:style w:type="paragraph" w:styleId="BodyText">
    <w:name w:val="Body Text"/>
    <w:basedOn w:val="Normal"/>
    <w:link w:val="BodyTextChar"/>
    <w:semiHidden/>
    <w:rsid w:val="00B0063D"/>
    <w:pPr>
      <w:spacing w:line="205" w:lineRule="auto"/>
    </w:pPr>
  </w:style>
  <w:style w:type="character" w:customStyle="1" w:styleId="BodyTextChar">
    <w:name w:val="Body Text Char"/>
    <w:basedOn w:val="DefaultParagraphFont"/>
    <w:link w:val="BodyText"/>
    <w:semiHidden/>
    <w:rsid w:val="00B0063D"/>
    <w:rPr>
      <w:rFonts w:ascii="Times New Roman" w:eastAsia="Times New Roman" w:hAnsi="Times New Roman" w:cs="Times New Roman"/>
      <w:kern w:val="0"/>
      <w14:ligatures w14:val="none"/>
    </w:rPr>
  </w:style>
  <w:style w:type="character" w:styleId="PageNumber">
    <w:name w:val="page number"/>
    <w:basedOn w:val="DefaultParagraphFont"/>
    <w:semiHidden/>
    <w:rsid w:val="00B0063D"/>
  </w:style>
  <w:style w:type="character" w:styleId="Hyperlink">
    <w:name w:val="Hyperlink"/>
    <w:semiHidden/>
    <w:rsid w:val="00B0063D"/>
    <w:rPr>
      <w:color w:val="0000FF"/>
      <w:u w:val="single"/>
    </w:rPr>
  </w:style>
  <w:style w:type="paragraph" w:customStyle="1" w:styleId="SingleSpacing">
    <w:name w:val="Single Spacing"/>
    <w:basedOn w:val="Normal"/>
    <w:rsid w:val="00B0063D"/>
    <w:pPr>
      <w:spacing w:line="245" w:lineRule="exact"/>
    </w:pPr>
    <w:rPr>
      <w:sz w:val="20"/>
      <w:szCs w:val="20"/>
    </w:rPr>
  </w:style>
  <w:style w:type="paragraph" w:styleId="FootnoteText">
    <w:name w:val="footnote text"/>
    <w:basedOn w:val="Normal"/>
    <w:link w:val="FootnoteTextChar1"/>
    <w:semiHidden/>
    <w:rsid w:val="00B0063D"/>
    <w:rPr>
      <w:sz w:val="20"/>
      <w:szCs w:val="20"/>
    </w:rPr>
  </w:style>
  <w:style w:type="character" w:customStyle="1" w:styleId="FootnoteTextChar">
    <w:name w:val="Footnote Text Char"/>
    <w:basedOn w:val="DefaultParagraphFont"/>
    <w:uiPriority w:val="99"/>
    <w:semiHidden/>
    <w:rsid w:val="00B0063D"/>
    <w:rPr>
      <w:rFonts w:ascii="Times New Roman" w:eastAsia="Times New Roman" w:hAnsi="Times New Roman" w:cs="Times New Roman"/>
      <w:kern w:val="0"/>
      <w:sz w:val="20"/>
      <w:szCs w:val="20"/>
      <w14:ligatures w14:val="none"/>
    </w:rPr>
  </w:style>
  <w:style w:type="character" w:styleId="FootnoteReference">
    <w:name w:val="footnote reference"/>
    <w:semiHidden/>
    <w:rsid w:val="00B0063D"/>
    <w:rPr>
      <w:vertAlign w:val="superscript"/>
    </w:rPr>
  </w:style>
  <w:style w:type="character" w:customStyle="1" w:styleId="FootnoteTextChar1">
    <w:name w:val="Footnote Text Char1"/>
    <w:link w:val="FootnoteText"/>
    <w:semiHidden/>
    <w:rsid w:val="00B0063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A5525B"/>
    <w:rPr>
      <w:sz w:val="16"/>
      <w:szCs w:val="16"/>
    </w:rPr>
  </w:style>
  <w:style w:type="paragraph" w:styleId="CommentText">
    <w:name w:val="annotation text"/>
    <w:basedOn w:val="Normal"/>
    <w:link w:val="CommentTextChar"/>
    <w:uiPriority w:val="99"/>
    <w:unhideWhenUsed/>
    <w:rsid w:val="00A5525B"/>
    <w:pPr>
      <w:spacing w:line="240" w:lineRule="auto"/>
    </w:pPr>
    <w:rPr>
      <w:sz w:val="20"/>
      <w:szCs w:val="20"/>
    </w:rPr>
  </w:style>
  <w:style w:type="character" w:customStyle="1" w:styleId="CommentTextChar">
    <w:name w:val="Comment Text Char"/>
    <w:basedOn w:val="DefaultParagraphFont"/>
    <w:link w:val="CommentText"/>
    <w:uiPriority w:val="99"/>
    <w:rsid w:val="00A5525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525B"/>
    <w:rPr>
      <w:b/>
      <w:bCs/>
    </w:rPr>
  </w:style>
  <w:style w:type="character" w:customStyle="1" w:styleId="CommentSubjectChar">
    <w:name w:val="Comment Subject Char"/>
    <w:basedOn w:val="CommentTextChar"/>
    <w:link w:val="CommentSubject"/>
    <w:uiPriority w:val="99"/>
    <w:semiHidden/>
    <w:rsid w:val="00A5525B"/>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70581"/>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A2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89084-646B-4E15-9FDE-DC726E57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Henrichs</dc:creator>
  <cp:keywords/>
  <dc:description/>
  <cp:lastModifiedBy>Katherine Henrichs</cp:lastModifiedBy>
  <cp:revision>12</cp:revision>
  <cp:lastPrinted>2025-04-29T02:35:00Z</cp:lastPrinted>
  <dcterms:created xsi:type="dcterms:W3CDTF">2025-04-30T16:25:00Z</dcterms:created>
  <dcterms:modified xsi:type="dcterms:W3CDTF">2025-04-30T20:15:00Z</dcterms:modified>
</cp:coreProperties>
</file>