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AA7" w:rsidRDefault="00567971">
      <w:pPr>
        <w:rPr>
          <w:sz w:val="28"/>
          <w:szCs w:val="28"/>
          <w:vertAlign w:val="baseline"/>
        </w:rPr>
      </w:pPr>
      <w:r>
        <w:rPr>
          <w:sz w:val="28"/>
          <w:szCs w:val="28"/>
          <w:vertAlign w:val="baseline"/>
        </w:rPr>
        <w:t>Kevin D. Heade</w:t>
      </w:r>
    </w:p>
    <w:p w:rsidR="006E5AA7" w:rsidRDefault="009E605E">
      <w:pPr>
        <w:rPr>
          <w:sz w:val="28"/>
          <w:szCs w:val="28"/>
          <w:vertAlign w:val="baseline"/>
        </w:rPr>
      </w:pPr>
      <w:r>
        <w:rPr>
          <w:sz w:val="28"/>
          <w:szCs w:val="28"/>
          <w:vertAlign w:val="baseline"/>
        </w:rPr>
        <w:t xml:space="preserve">AZ State Bar # </w:t>
      </w:r>
      <w:r w:rsidR="00131EB3">
        <w:rPr>
          <w:color w:val="222222"/>
          <w:sz w:val="28"/>
          <w:szCs w:val="28"/>
          <w:highlight w:val="white"/>
          <w:vertAlign w:val="baseline"/>
        </w:rPr>
        <w:t>029909</w:t>
      </w:r>
    </w:p>
    <w:p w:rsidR="00C62BBA" w:rsidRDefault="00C62BBA">
      <w:pPr>
        <w:rPr>
          <w:sz w:val="28"/>
          <w:szCs w:val="28"/>
          <w:vertAlign w:val="baseline"/>
        </w:rPr>
      </w:pPr>
      <w:r>
        <w:rPr>
          <w:sz w:val="28"/>
          <w:szCs w:val="28"/>
          <w:vertAlign w:val="baseline"/>
        </w:rPr>
        <w:t>Arizona Attorneys for Criminal Justice</w:t>
      </w:r>
    </w:p>
    <w:p w:rsidR="006E5AA7" w:rsidRDefault="009E605E">
      <w:pPr>
        <w:rPr>
          <w:sz w:val="28"/>
          <w:szCs w:val="28"/>
          <w:vertAlign w:val="baseline"/>
        </w:rPr>
      </w:pPr>
      <w:r>
        <w:rPr>
          <w:sz w:val="28"/>
          <w:szCs w:val="28"/>
          <w:vertAlign w:val="baseline"/>
        </w:rPr>
        <w:t>P.O. Box 2457</w:t>
      </w:r>
    </w:p>
    <w:p w:rsidR="006E5AA7" w:rsidRDefault="009E605E">
      <w:pPr>
        <w:rPr>
          <w:sz w:val="28"/>
          <w:szCs w:val="28"/>
          <w:vertAlign w:val="baseline"/>
        </w:rPr>
      </w:pPr>
      <w:r>
        <w:rPr>
          <w:sz w:val="28"/>
          <w:szCs w:val="28"/>
          <w:vertAlign w:val="baseline"/>
        </w:rPr>
        <w:t>Florence, AZ 85132</w:t>
      </w:r>
    </w:p>
    <w:p w:rsidR="006E5AA7" w:rsidRDefault="009E605E">
      <w:pPr>
        <w:rPr>
          <w:sz w:val="28"/>
          <w:szCs w:val="28"/>
          <w:vertAlign w:val="baseline"/>
        </w:rPr>
      </w:pPr>
      <w:r>
        <w:rPr>
          <w:sz w:val="28"/>
          <w:szCs w:val="28"/>
          <w:vertAlign w:val="baseline"/>
        </w:rPr>
        <w:t>(520) 866-7199</w:t>
      </w:r>
    </w:p>
    <w:p w:rsidR="003206D1" w:rsidRDefault="003206D1">
      <w:pPr>
        <w:rPr>
          <w:sz w:val="28"/>
          <w:szCs w:val="28"/>
          <w:vertAlign w:val="baseline"/>
        </w:rPr>
      </w:pPr>
      <w:r>
        <w:rPr>
          <w:sz w:val="28"/>
          <w:szCs w:val="28"/>
          <w:vertAlign w:val="baseline"/>
        </w:rPr>
        <w:t>Kevin.Heade@Gmail.com</w:t>
      </w:r>
    </w:p>
    <w:p w:rsidR="006E5AA7" w:rsidRDefault="006E5AA7">
      <w:pPr>
        <w:keepNext/>
        <w:jc w:val="center"/>
        <w:rPr>
          <w:b/>
          <w:sz w:val="28"/>
          <w:szCs w:val="28"/>
          <w:vertAlign w:val="baseline"/>
        </w:rPr>
      </w:pPr>
    </w:p>
    <w:p w:rsidR="006E5AA7" w:rsidRDefault="006E5AA7">
      <w:pPr>
        <w:keepNext/>
        <w:jc w:val="center"/>
        <w:rPr>
          <w:b/>
          <w:sz w:val="28"/>
          <w:szCs w:val="28"/>
          <w:vertAlign w:val="baseline"/>
        </w:rPr>
      </w:pPr>
    </w:p>
    <w:p w:rsidR="006E5AA7" w:rsidRDefault="009E605E">
      <w:pPr>
        <w:keepNext/>
        <w:jc w:val="center"/>
        <w:rPr>
          <w:b/>
          <w:sz w:val="28"/>
          <w:szCs w:val="28"/>
          <w:vertAlign w:val="baseline"/>
        </w:rPr>
      </w:pPr>
      <w:r>
        <w:rPr>
          <w:b/>
          <w:sz w:val="28"/>
          <w:szCs w:val="28"/>
          <w:vertAlign w:val="baseline"/>
        </w:rPr>
        <w:t>IN THE SUPREME COURT</w:t>
      </w:r>
    </w:p>
    <w:p w:rsidR="006E5AA7" w:rsidRDefault="009E605E">
      <w:pPr>
        <w:keepNext/>
        <w:jc w:val="center"/>
        <w:rPr>
          <w:b/>
          <w:sz w:val="28"/>
          <w:szCs w:val="28"/>
          <w:vertAlign w:val="baseline"/>
        </w:rPr>
      </w:pPr>
      <w:r>
        <w:rPr>
          <w:b/>
          <w:sz w:val="28"/>
          <w:szCs w:val="28"/>
          <w:vertAlign w:val="baseline"/>
        </w:rPr>
        <w:t>IN AND FOR THE STATE OF ARIZONA</w:t>
      </w:r>
    </w:p>
    <w:p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trPr>
          <w:trHeight w:val="2655"/>
        </w:trPr>
        <w:tc>
          <w:tcPr>
            <w:tcW w:w="4767" w:type="dxa"/>
            <w:tcBorders>
              <w:bottom w:val="single" w:sz="4" w:space="0" w:color="000000"/>
            </w:tcBorders>
          </w:tcPr>
          <w:p w:rsidR="006E5AA7" w:rsidRDefault="009E605E">
            <w:pPr>
              <w:spacing w:after="120"/>
              <w:ind w:right="87"/>
              <w:rPr>
                <w:sz w:val="28"/>
                <w:szCs w:val="28"/>
                <w:vertAlign w:val="baseline"/>
              </w:rPr>
            </w:pPr>
            <w:bookmarkStart w:id="0" w:name="bookmark=id.gjdgxs" w:colFirst="0" w:colLast="0"/>
            <w:bookmarkEnd w:id="0"/>
            <w:r>
              <w:rPr>
                <w:sz w:val="28"/>
                <w:szCs w:val="28"/>
                <w:vertAlign w:val="baseline"/>
              </w:rPr>
              <w:t>In the matter of:</w:t>
            </w:r>
          </w:p>
          <w:p w:rsidR="006E5AA7" w:rsidRPr="00CE2874" w:rsidRDefault="006E5AA7">
            <w:pPr>
              <w:spacing w:after="120"/>
              <w:ind w:right="87"/>
              <w:rPr>
                <w:sz w:val="28"/>
                <w:szCs w:val="28"/>
                <w:vertAlign w:val="baseline"/>
              </w:rPr>
            </w:pPr>
          </w:p>
          <w:p w:rsidR="006E5AA7" w:rsidRDefault="009E605E" w:rsidP="00567971">
            <w:pPr>
              <w:spacing w:after="120"/>
              <w:ind w:right="87"/>
              <w:rPr>
                <w:sz w:val="28"/>
                <w:szCs w:val="28"/>
                <w:vertAlign w:val="baseline"/>
              </w:rPr>
            </w:pPr>
            <w:r w:rsidRPr="00CE2874">
              <w:rPr>
                <w:sz w:val="28"/>
                <w:szCs w:val="28"/>
                <w:vertAlign w:val="baseline"/>
              </w:rPr>
              <w:t xml:space="preserve">Petition </w:t>
            </w:r>
            <w:r w:rsidR="00CE2874">
              <w:rPr>
                <w:sz w:val="28"/>
                <w:szCs w:val="28"/>
                <w:vertAlign w:val="baseline"/>
              </w:rPr>
              <w:t xml:space="preserve">to </w:t>
            </w:r>
            <w:r w:rsidR="00CE2874" w:rsidRPr="00CE2874">
              <w:rPr>
                <w:sz w:val="28"/>
                <w:szCs w:val="28"/>
                <w:vertAlign w:val="baseline"/>
              </w:rPr>
              <w:t>Amend ARCAP 4, 16, and 23, Ariz. R. Crim. P. 31.6, 31.15, and 31.21, and Ariz. R. P. Juv. Ct. 609.</w:t>
            </w:r>
          </w:p>
        </w:tc>
        <w:tc>
          <w:tcPr>
            <w:tcW w:w="25" w:type="dxa"/>
            <w:tcBorders>
              <w:right w:val="single" w:sz="4" w:space="0" w:color="000000"/>
            </w:tcBorders>
          </w:tcPr>
          <w:p w:rsidR="006E5AA7" w:rsidRDefault="009E605E">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rsidR="006E5AA7" w:rsidRDefault="009E605E">
            <w:pPr>
              <w:spacing w:line="254" w:lineRule="auto"/>
              <w:ind w:left="248" w:right="-40"/>
              <w:rPr>
                <w:sz w:val="28"/>
                <w:szCs w:val="28"/>
                <w:vertAlign w:val="baseline"/>
              </w:rPr>
            </w:pPr>
            <w:bookmarkStart w:id="1" w:name="bookmark=id.30j0zll" w:colFirst="0" w:colLast="0"/>
            <w:bookmarkEnd w:id="1"/>
            <w:r>
              <w:rPr>
                <w:sz w:val="28"/>
                <w:szCs w:val="28"/>
                <w:vertAlign w:val="baseline"/>
              </w:rPr>
              <w:t xml:space="preserve">Arizona Supreme Court </w:t>
            </w:r>
          </w:p>
          <w:p w:rsidR="006E5AA7" w:rsidRDefault="00567971">
            <w:pPr>
              <w:spacing w:line="254" w:lineRule="auto"/>
              <w:ind w:left="248" w:right="-40"/>
              <w:rPr>
                <w:b/>
                <w:sz w:val="28"/>
                <w:szCs w:val="28"/>
                <w:vertAlign w:val="baseline"/>
              </w:rPr>
            </w:pPr>
            <w:r>
              <w:rPr>
                <w:sz w:val="28"/>
                <w:szCs w:val="28"/>
                <w:vertAlign w:val="baseline"/>
              </w:rPr>
              <w:t>No. R-2</w:t>
            </w:r>
            <w:r w:rsidR="00CE2874">
              <w:rPr>
                <w:sz w:val="28"/>
                <w:szCs w:val="28"/>
                <w:vertAlign w:val="baseline"/>
              </w:rPr>
              <w:t>5-0005</w:t>
            </w:r>
          </w:p>
          <w:p w:rsidR="006E5AA7" w:rsidRDefault="006E5AA7">
            <w:pPr>
              <w:spacing w:line="254" w:lineRule="auto"/>
              <w:ind w:right="-40"/>
              <w:rPr>
                <w:b/>
                <w:sz w:val="28"/>
                <w:szCs w:val="28"/>
                <w:vertAlign w:val="baseline"/>
              </w:rPr>
            </w:pPr>
          </w:p>
          <w:p w:rsidR="006E5AA7" w:rsidRDefault="00567971">
            <w:pPr>
              <w:ind w:left="248" w:right="-40"/>
              <w:rPr>
                <w:b/>
                <w:sz w:val="28"/>
                <w:szCs w:val="28"/>
                <w:vertAlign w:val="baseline"/>
              </w:rPr>
            </w:pPr>
            <w:bookmarkStart w:id="2" w:name="bookmark=id.tyjcwt" w:colFirst="0" w:colLast="0"/>
            <w:bookmarkEnd w:id="2"/>
            <w:r>
              <w:rPr>
                <w:b/>
                <w:sz w:val="28"/>
                <w:szCs w:val="28"/>
                <w:vertAlign w:val="baseline"/>
              </w:rPr>
              <w:t xml:space="preserve">Arizona Attorneys for Criminal Justice (AACJ) Comment </w:t>
            </w:r>
            <w:r w:rsidR="00CE2874">
              <w:rPr>
                <w:b/>
                <w:sz w:val="28"/>
                <w:szCs w:val="28"/>
                <w:vertAlign w:val="baseline"/>
              </w:rPr>
              <w:t xml:space="preserve">Opposing Changes to Simultaneous Supplemental Briefing </w:t>
            </w:r>
            <w:r w:rsidR="007F3ABC">
              <w:rPr>
                <w:b/>
                <w:sz w:val="28"/>
                <w:szCs w:val="28"/>
                <w:vertAlign w:val="baseline"/>
              </w:rPr>
              <w:t xml:space="preserve">but Supporting Substituting Word Limits for Page Counts </w:t>
            </w:r>
            <w:r w:rsidR="00CE2874">
              <w:rPr>
                <w:b/>
                <w:sz w:val="28"/>
                <w:szCs w:val="28"/>
                <w:vertAlign w:val="baseline"/>
              </w:rPr>
              <w:t>in the Arizona Supreme Court.</w:t>
            </w:r>
          </w:p>
        </w:tc>
      </w:tr>
    </w:tbl>
    <w:p w:rsidR="002F482A" w:rsidRDefault="002F482A" w:rsidP="00C62BBA">
      <w:pPr>
        <w:ind w:firstLine="720"/>
        <w:jc w:val="both"/>
        <w:rPr>
          <w:sz w:val="28"/>
          <w:szCs w:val="28"/>
          <w:vertAlign w:val="baseline"/>
        </w:rPr>
      </w:pPr>
    </w:p>
    <w:p w:rsidR="00CE2874" w:rsidRDefault="009E605E" w:rsidP="00567971">
      <w:pPr>
        <w:spacing w:line="480" w:lineRule="auto"/>
        <w:ind w:firstLine="720"/>
        <w:jc w:val="both"/>
        <w:rPr>
          <w:sz w:val="28"/>
          <w:szCs w:val="28"/>
          <w:vertAlign w:val="baseline"/>
        </w:rPr>
      </w:pPr>
      <w:r w:rsidRPr="00C62BBA">
        <w:rPr>
          <w:sz w:val="28"/>
          <w:szCs w:val="28"/>
          <w:vertAlign w:val="baseline"/>
        </w:rPr>
        <w:t xml:space="preserve">Pursuant to </w:t>
      </w:r>
      <w:bookmarkStart w:id="3" w:name="bookmark=id.3dy6vkm" w:colFirst="0" w:colLast="0"/>
      <w:bookmarkEnd w:id="3"/>
      <w:r w:rsidRPr="00C62BBA">
        <w:rPr>
          <w:sz w:val="28"/>
          <w:szCs w:val="28"/>
          <w:vertAlign w:val="baseline"/>
        </w:rPr>
        <w:fldChar w:fldCharType="begin"/>
      </w:r>
      <w:r w:rsidRPr="00C62BBA">
        <w:rPr>
          <w:sz w:val="28"/>
          <w:szCs w:val="28"/>
          <w:vertAlign w:val="baseline"/>
        </w:rPr>
        <w:instrText xml:space="preserve"> HYPERLINK "https://www.westlaw.com/Document/NFC04BF0066DC11DCA632B52023A193A9/View/FullText.html?transitionType=Default&amp;contextData=(sc.Default)&amp;VR=3.0&amp;RS=da3.0" \h </w:instrText>
      </w:r>
      <w:r w:rsidRPr="00C62BBA">
        <w:rPr>
          <w:sz w:val="28"/>
          <w:szCs w:val="28"/>
          <w:vertAlign w:val="baseline"/>
        </w:rPr>
        <w:fldChar w:fldCharType="separate"/>
      </w:r>
      <w:r w:rsidRPr="00C62BBA">
        <w:rPr>
          <w:sz w:val="28"/>
          <w:szCs w:val="28"/>
          <w:vertAlign w:val="baseline"/>
        </w:rPr>
        <w:t>Rule 28(e) of the Arizona Supreme Court Rules</w:t>
      </w:r>
      <w:r w:rsidRPr="00C62BBA">
        <w:rPr>
          <w:sz w:val="28"/>
          <w:szCs w:val="28"/>
          <w:vertAlign w:val="baseline"/>
        </w:rPr>
        <w:fldChar w:fldCharType="end"/>
      </w:r>
      <w:bookmarkStart w:id="4" w:name="bookmark=id.1t3h5sf" w:colFirst="0" w:colLast="0"/>
      <w:bookmarkEnd w:id="4"/>
      <w:r w:rsidRPr="00C62BBA">
        <w:rPr>
          <w:sz w:val="28"/>
          <w:szCs w:val="28"/>
          <w:vertAlign w:val="baseline"/>
        </w:rPr>
        <w:t xml:space="preserve">, </w:t>
      </w:r>
      <w:r w:rsidR="00567971" w:rsidRPr="00C62BBA">
        <w:rPr>
          <w:sz w:val="28"/>
          <w:szCs w:val="28"/>
          <w:vertAlign w:val="baseline"/>
        </w:rPr>
        <w:t xml:space="preserve">Arizona Attorneys for Criminal Justice (“AACJ”) </w:t>
      </w:r>
      <w:r w:rsidRPr="00C62BBA">
        <w:rPr>
          <w:sz w:val="28"/>
          <w:szCs w:val="28"/>
          <w:vertAlign w:val="baseline"/>
        </w:rPr>
        <w:t>respectfully submits this comment</w:t>
      </w:r>
      <w:r w:rsidR="00CE2874">
        <w:rPr>
          <w:sz w:val="28"/>
          <w:szCs w:val="28"/>
          <w:vertAlign w:val="baseline"/>
        </w:rPr>
        <w:t xml:space="preserve"> opposing the Petition’s proposal to abandon simultaneous briefing</w:t>
      </w:r>
      <w:r w:rsidR="001F7259">
        <w:rPr>
          <w:sz w:val="28"/>
          <w:szCs w:val="28"/>
          <w:vertAlign w:val="baseline"/>
        </w:rPr>
        <w:t xml:space="preserve"> but</w:t>
      </w:r>
      <w:r w:rsidR="00D854E6">
        <w:rPr>
          <w:sz w:val="28"/>
          <w:szCs w:val="28"/>
          <w:vertAlign w:val="baseline"/>
        </w:rPr>
        <w:t xml:space="preserve"> supporting the proposal to adopt word limits in lieu of page counts in</w:t>
      </w:r>
      <w:r w:rsidR="00CE2874">
        <w:rPr>
          <w:sz w:val="28"/>
          <w:szCs w:val="28"/>
          <w:vertAlign w:val="baseline"/>
        </w:rPr>
        <w:t xml:space="preserve"> </w:t>
      </w:r>
      <w:r w:rsidR="00D854E6">
        <w:rPr>
          <w:sz w:val="28"/>
          <w:szCs w:val="28"/>
          <w:vertAlign w:val="baseline"/>
        </w:rPr>
        <w:t>briefs filed before the Arizona Supreme Court.</w:t>
      </w:r>
    </w:p>
    <w:p w:rsidR="001F7259" w:rsidRDefault="001F7259" w:rsidP="00567971">
      <w:pPr>
        <w:spacing w:line="480" w:lineRule="auto"/>
        <w:ind w:firstLine="720"/>
        <w:jc w:val="both"/>
        <w:rPr>
          <w:sz w:val="28"/>
          <w:szCs w:val="28"/>
          <w:vertAlign w:val="baseline"/>
        </w:rPr>
      </w:pPr>
    </w:p>
    <w:p w:rsidR="001F7259" w:rsidRDefault="001F7259" w:rsidP="00567971">
      <w:pPr>
        <w:spacing w:line="480" w:lineRule="auto"/>
        <w:ind w:firstLine="720"/>
        <w:jc w:val="both"/>
        <w:rPr>
          <w:sz w:val="28"/>
          <w:szCs w:val="28"/>
          <w:vertAlign w:val="baseline"/>
        </w:rPr>
      </w:pPr>
    </w:p>
    <w:p w:rsidR="001F7259" w:rsidRDefault="001F7259" w:rsidP="00567971">
      <w:pPr>
        <w:spacing w:line="480" w:lineRule="auto"/>
        <w:ind w:firstLine="720"/>
        <w:jc w:val="both"/>
        <w:rPr>
          <w:sz w:val="28"/>
          <w:szCs w:val="28"/>
          <w:vertAlign w:val="baseline"/>
        </w:rPr>
      </w:pPr>
    </w:p>
    <w:p w:rsidR="001F7259" w:rsidRDefault="001F7259" w:rsidP="00567971">
      <w:pPr>
        <w:spacing w:line="480" w:lineRule="auto"/>
        <w:ind w:firstLine="720"/>
        <w:jc w:val="both"/>
        <w:rPr>
          <w:sz w:val="28"/>
          <w:szCs w:val="28"/>
          <w:vertAlign w:val="baseline"/>
        </w:rPr>
      </w:pPr>
    </w:p>
    <w:p w:rsidR="001F7259" w:rsidRPr="00EA6219" w:rsidRDefault="001F7259" w:rsidP="00EA6219">
      <w:pPr>
        <w:pStyle w:val="ListParagraph"/>
        <w:numPr>
          <w:ilvl w:val="0"/>
          <w:numId w:val="10"/>
        </w:numPr>
        <w:spacing w:line="480" w:lineRule="auto"/>
        <w:ind w:left="720"/>
        <w:jc w:val="both"/>
        <w:rPr>
          <w:b/>
          <w:sz w:val="28"/>
          <w:szCs w:val="28"/>
          <w:vertAlign w:val="baseline"/>
        </w:rPr>
      </w:pPr>
      <w:r w:rsidRPr="00EA6219">
        <w:rPr>
          <w:b/>
          <w:sz w:val="28"/>
          <w:szCs w:val="28"/>
          <w:vertAlign w:val="baseline"/>
        </w:rPr>
        <w:lastRenderedPageBreak/>
        <w:t xml:space="preserve">Statement of Interest. </w:t>
      </w:r>
    </w:p>
    <w:p w:rsidR="00D64E08" w:rsidRDefault="00D64E08" w:rsidP="00D64E08">
      <w:pPr>
        <w:spacing w:line="480" w:lineRule="auto"/>
        <w:ind w:firstLine="720"/>
        <w:jc w:val="both"/>
        <w:rPr>
          <w:sz w:val="28"/>
          <w:szCs w:val="28"/>
          <w:vertAlign w:val="baseline"/>
        </w:rPr>
      </w:pPr>
      <w:r w:rsidRPr="00D64E08">
        <w:rPr>
          <w:sz w:val="28"/>
          <w:szCs w:val="28"/>
          <w:vertAlign w:val="baseline"/>
        </w:rPr>
        <w:t>Arizona Attorneys for Criminal Justice (“AACJ”), the Arizona state affiliate of the National Association of Criminal Defense Lawyers, was founded in 1986 to give a voice to the rights of the criminally accused and to those attorneys who defend them.</w:t>
      </w:r>
    </w:p>
    <w:p w:rsidR="00D64E08" w:rsidRDefault="00D64E08" w:rsidP="00D64E08">
      <w:pPr>
        <w:spacing w:line="480" w:lineRule="auto"/>
        <w:ind w:firstLine="720"/>
        <w:jc w:val="both"/>
        <w:rPr>
          <w:sz w:val="28"/>
          <w:szCs w:val="28"/>
          <w:vertAlign w:val="baseline"/>
        </w:rPr>
      </w:pPr>
      <w:r>
        <w:rPr>
          <w:sz w:val="28"/>
          <w:szCs w:val="28"/>
          <w:vertAlign w:val="baseline"/>
        </w:rPr>
        <w:t xml:space="preserve">AACJ opposes the proposal to move from simultaneous briefing to </w:t>
      </w:r>
      <w:r w:rsidR="002D731C">
        <w:rPr>
          <w:sz w:val="28"/>
          <w:szCs w:val="28"/>
          <w:vertAlign w:val="baseline"/>
        </w:rPr>
        <w:t xml:space="preserve">sequential </w:t>
      </w:r>
      <w:r>
        <w:rPr>
          <w:sz w:val="28"/>
          <w:szCs w:val="28"/>
          <w:vertAlign w:val="baseline"/>
        </w:rPr>
        <w:t>briefing in cases before the Arizona Supreme Court because the existing practice effectively prioritizes efficiency and fairness. Both values are integral to the interests of criminal defendants and their counsel, particularly since waiting for finality on appeal is often accompanied by significant cost</w:t>
      </w:r>
      <w:r w:rsidR="00D8750B">
        <w:rPr>
          <w:sz w:val="28"/>
          <w:szCs w:val="28"/>
          <w:vertAlign w:val="baseline"/>
        </w:rPr>
        <w:t xml:space="preserve">s for criminal defendants. </w:t>
      </w:r>
    </w:p>
    <w:p w:rsidR="00D8750B" w:rsidRPr="00D64E08" w:rsidRDefault="006A49D7" w:rsidP="00D64E08">
      <w:pPr>
        <w:spacing w:line="480" w:lineRule="auto"/>
        <w:ind w:firstLine="720"/>
        <w:jc w:val="both"/>
        <w:rPr>
          <w:sz w:val="28"/>
          <w:szCs w:val="28"/>
          <w:vertAlign w:val="baseline"/>
        </w:rPr>
      </w:pPr>
      <w:r>
        <w:rPr>
          <w:sz w:val="28"/>
          <w:szCs w:val="28"/>
          <w:vertAlign w:val="baseline"/>
        </w:rPr>
        <w:t xml:space="preserve">However, AACJ supports the portion of the proposal to move away from page limits in favor or word counts in briefs filed before the Arizona Supreme Court. In a digital age, word counts promote comprehension and reduce the cognitive load. This promotes fairer resolutions of disputes that are often complex.   </w:t>
      </w:r>
    </w:p>
    <w:p w:rsidR="002932B6" w:rsidRPr="006A49D7" w:rsidRDefault="001F7259" w:rsidP="006A49D7">
      <w:pPr>
        <w:pStyle w:val="ListParagraph"/>
        <w:numPr>
          <w:ilvl w:val="0"/>
          <w:numId w:val="10"/>
        </w:numPr>
        <w:spacing w:line="480" w:lineRule="auto"/>
        <w:ind w:left="720"/>
        <w:jc w:val="both"/>
        <w:rPr>
          <w:b/>
          <w:sz w:val="28"/>
          <w:szCs w:val="28"/>
          <w:vertAlign w:val="baseline"/>
        </w:rPr>
      </w:pPr>
      <w:r w:rsidRPr="006A49D7">
        <w:rPr>
          <w:b/>
          <w:sz w:val="28"/>
          <w:szCs w:val="28"/>
          <w:vertAlign w:val="baseline"/>
        </w:rPr>
        <w:t xml:space="preserve">The Efficiency of Simultaneous Briefing Protects Multiple Interests. </w:t>
      </w:r>
    </w:p>
    <w:p w:rsidR="00EA6219" w:rsidRDefault="00D8750B" w:rsidP="00D8750B">
      <w:pPr>
        <w:spacing w:line="480" w:lineRule="auto"/>
        <w:ind w:firstLine="720"/>
        <w:jc w:val="both"/>
        <w:rPr>
          <w:sz w:val="28"/>
          <w:szCs w:val="28"/>
          <w:vertAlign w:val="baseline"/>
        </w:rPr>
      </w:pPr>
      <w:r>
        <w:rPr>
          <w:sz w:val="28"/>
          <w:szCs w:val="28"/>
          <w:vertAlign w:val="baseline"/>
        </w:rPr>
        <w:t xml:space="preserve">The Petition acknowledges that shifting from simultaneous briefing to </w:t>
      </w:r>
      <w:r w:rsidR="002D731C">
        <w:rPr>
          <w:sz w:val="28"/>
          <w:szCs w:val="28"/>
          <w:vertAlign w:val="baseline"/>
        </w:rPr>
        <w:t xml:space="preserve">sequential </w:t>
      </w:r>
      <w:r>
        <w:rPr>
          <w:sz w:val="28"/>
          <w:szCs w:val="28"/>
          <w:vertAlign w:val="baseline"/>
        </w:rPr>
        <w:t>briefing will generally delay proceedings before the Arizona Supreme Court.</w:t>
      </w:r>
      <w:r w:rsidR="002D731C">
        <w:rPr>
          <w:sz w:val="28"/>
          <w:szCs w:val="28"/>
          <w:vertAlign w:val="baseline"/>
        </w:rPr>
        <w:t xml:space="preserve"> </w:t>
      </w:r>
      <w:r>
        <w:rPr>
          <w:sz w:val="28"/>
          <w:szCs w:val="28"/>
          <w:vertAlign w:val="baseline"/>
        </w:rPr>
        <w:t xml:space="preserve">To counter-balance the delay, the proposal suggests cutting more than two full weeks off the time counsel has to prepare for argument. </w:t>
      </w:r>
      <w:r w:rsidR="00EA6219">
        <w:rPr>
          <w:sz w:val="28"/>
          <w:szCs w:val="28"/>
          <w:vertAlign w:val="baseline"/>
        </w:rPr>
        <w:t xml:space="preserve"> </w:t>
      </w:r>
      <w:hyperlink r:id="rId9" w:history="1">
        <w:r w:rsidR="00EA6219" w:rsidRPr="00EA6219">
          <w:rPr>
            <w:rStyle w:val="Hyperlink"/>
            <w:sz w:val="28"/>
            <w:szCs w:val="28"/>
            <w:u w:val="none"/>
            <w:vertAlign w:val="baseline"/>
          </w:rPr>
          <w:t>Petition at 4-10.</w:t>
        </w:r>
      </w:hyperlink>
      <w:r w:rsidR="00EA6219">
        <w:rPr>
          <w:sz w:val="28"/>
          <w:szCs w:val="28"/>
          <w:vertAlign w:val="baseline"/>
        </w:rPr>
        <w:t xml:space="preserve"> </w:t>
      </w:r>
    </w:p>
    <w:p w:rsidR="00D8750B" w:rsidRPr="00D8750B" w:rsidRDefault="00D8750B" w:rsidP="00D8750B">
      <w:pPr>
        <w:spacing w:line="480" w:lineRule="auto"/>
        <w:ind w:firstLine="720"/>
        <w:jc w:val="both"/>
        <w:rPr>
          <w:sz w:val="28"/>
          <w:szCs w:val="28"/>
          <w:vertAlign w:val="baseline"/>
        </w:rPr>
      </w:pPr>
      <w:r>
        <w:rPr>
          <w:sz w:val="28"/>
          <w:szCs w:val="28"/>
          <w:vertAlign w:val="baseline"/>
        </w:rPr>
        <w:lastRenderedPageBreak/>
        <w:t xml:space="preserve">But the proposal fails to account for the </w:t>
      </w:r>
      <w:r w:rsidR="00EA6219">
        <w:rPr>
          <w:sz w:val="28"/>
          <w:szCs w:val="28"/>
          <w:vertAlign w:val="baseline"/>
        </w:rPr>
        <w:t xml:space="preserve">significant </w:t>
      </w:r>
      <w:r>
        <w:rPr>
          <w:sz w:val="28"/>
          <w:szCs w:val="28"/>
          <w:vertAlign w:val="baseline"/>
        </w:rPr>
        <w:t xml:space="preserve">costs it would uniquely impose upon criminal defendants. </w:t>
      </w:r>
    </w:p>
    <w:p w:rsidR="002932B6" w:rsidRPr="0034462C" w:rsidRDefault="002932B6" w:rsidP="002932B6">
      <w:pPr>
        <w:pStyle w:val="ListParagraph"/>
        <w:numPr>
          <w:ilvl w:val="0"/>
          <w:numId w:val="11"/>
        </w:numPr>
        <w:spacing w:line="480" w:lineRule="auto"/>
        <w:jc w:val="both"/>
        <w:rPr>
          <w:b/>
          <w:sz w:val="28"/>
          <w:szCs w:val="28"/>
          <w:vertAlign w:val="baseline"/>
        </w:rPr>
      </w:pPr>
      <w:r w:rsidRPr="0034462C">
        <w:rPr>
          <w:b/>
          <w:sz w:val="28"/>
          <w:szCs w:val="28"/>
          <w:vertAlign w:val="baseline"/>
        </w:rPr>
        <w:t xml:space="preserve">Even “modest” delays </w:t>
      </w:r>
      <w:r w:rsidR="00D64E08" w:rsidRPr="0034462C">
        <w:rPr>
          <w:b/>
          <w:sz w:val="28"/>
          <w:szCs w:val="28"/>
          <w:vertAlign w:val="baseline"/>
        </w:rPr>
        <w:t xml:space="preserve">are substantial for criminal defendants. </w:t>
      </w:r>
    </w:p>
    <w:p w:rsidR="005232D8" w:rsidRPr="006A49D7" w:rsidRDefault="00F834E5" w:rsidP="005232D8">
      <w:pPr>
        <w:shd w:val="clear" w:color="auto" w:fill="FFFFFF"/>
        <w:spacing w:line="480" w:lineRule="auto"/>
        <w:ind w:firstLine="720"/>
        <w:jc w:val="both"/>
        <w:rPr>
          <w:color w:val="000000"/>
          <w:sz w:val="28"/>
          <w:szCs w:val="28"/>
          <w:vertAlign w:val="baseline"/>
        </w:rPr>
      </w:pPr>
      <w:hyperlink r:id="rId10" w:history="1">
        <w:r w:rsidR="005232D8" w:rsidRPr="006A49D7">
          <w:rPr>
            <w:rStyle w:val="Hyperlink"/>
            <w:sz w:val="28"/>
            <w:szCs w:val="28"/>
            <w:u w:val="none"/>
            <w:vertAlign w:val="baseline"/>
          </w:rPr>
          <w:t>Rule 7.2(c)(1)(B)</w:t>
        </w:r>
      </w:hyperlink>
      <w:r w:rsidR="005232D8" w:rsidRPr="006A49D7">
        <w:rPr>
          <w:sz w:val="28"/>
          <w:szCs w:val="28"/>
          <w:vertAlign w:val="baseline"/>
        </w:rPr>
        <w:t xml:space="preserve"> of the Arizona Rules of Criminal Procedure imposes strict limits on a trial court’s ability to grant bail to a criminal defendant after a “sentence involving imprisonment” is issued.  Bail pending an appeal is permissible only if the defendant establishes that </w:t>
      </w:r>
      <w:r w:rsidR="002D731C">
        <w:rPr>
          <w:sz w:val="28"/>
          <w:szCs w:val="28"/>
          <w:vertAlign w:val="baseline"/>
        </w:rPr>
        <w:t>s/</w:t>
      </w:r>
      <w:r w:rsidR="005232D8" w:rsidRPr="006A49D7">
        <w:rPr>
          <w:sz w:val="28"/>
          <w:szCs w:val="28"/>
          <w:vertAlign w:val="baseline"/>
        </w:rPr>
        <w:t xml:space="preserve">he is “in such physical condition that continued confinement would endanger the defendant’s life.” </w:t>
      </w:r>
      <w:hyperlink r:id="rId11" w:history="1">
        <w:r w:rsidR="005232D8" w:rsidRPr="006A49D7">
          <w:rPr>
            <w:rStyle w:val="Hyperlink"/>
            <w:i/>
            <w:sz w:val="28"/>
            <w:szCs w:val="28"/>
            <w:u w:val="none"/>
            <w:vertAlign w:val="baseline"/>
          </w:rPr>
          <w:t>Id</w:t>
        </w:r>
        <w:r w:rsidR="005232D8" w:rsidRPr="006A49D7">
          <w:rPr>
            <w:rStyle w:val="Hyperlink"/>
            <w:sz w:val="28"/>
            <w:szCs w:val="28"/>
            <w:u w:val="none"/>
            <w:vertAlign w:val="baseline"/>
          </w:rPr>
          <w:t>.</w:t>
        </w:r>
      </w:hyperlink>
      <w:r w:rsidR="005232D8" w:rsidRPr="006A49D7">
        <w:rPr>
          <w:sz w:val="28"/>
          <w:szCs w:val="28"/>
          <w:vertAlign w:val="baseline"/>
        </w:rPr>
        <w:t xml:space="preserve">  Although consistent with the general consensus that a criminal defendant has no constitutional right to bail following a criminal conviction, Arizona’s approach to bail pending appeal nonetheless differs from other jurisdictions with “liberal” policies permitting bail pending appeal if certain circumstances are met. </w:t>
      </w:r>
      <w:r w:rsidR="005232D8" w:rsidRPr="006A49D7">
        <w:rPr>
          <w:i/>
          <w:sz w:val="28"/>
          <w:szCs w:val="28"/>
          <w:vertAlign w:val="baseline"/>
        </w:rPr>
        <w:t>See</w:t>
      </w:r>
      <w:r w:rsidR="005232D8" w:rsidRPr="006A49D7">
        <w:rPr>
          <w:sz w:val="28"/>
          <w:szCs w:val="28"/>
          <w:vertAlign w:val="baseline"/>
        </w:rPr>
        <w:t xml:space="preserve"> </w:t>
      </w:r>
      <w:hyperlink r:id="rId12" w:history="1">
        <w:r w:rsidR="005232D8" w:rsidRPr="006A49D7">
          <w:rPr>
            <w:rStyle w:val="Hyperlink"/>
            <w:sz w:val="28"/>
            <w:szCs w:val="28"/>
            <w:u w:val="none"/>
            <w:vertAlign w:val="baseline"/>
          </w:rPr>
          <w:t>8 C.J.S. Bail § 66</w:t>
        </w:r>
      </w:hyperlink>
      <w:r w:rsidR="005232D8" w:rsidRPr="006A49D7">
        <w:rPr>
          <w:color w:val="000000"/>
          <w:sz w:val="28"/>
          <w:szCs w:val="28"/>
          <w:vertAlign w:val="baseline"/>
        </w:rPr>
        <w:t xml:space="preserve">.  Under more “liberal” approaches to bail, defendants may stay incarceration by establishing that the appeal is taken in good faith, not frivolous, and that there is no risk to the community for his </w:t>
      </w:r>
      <w:r w:rsidR="002D731C">
        <w:rPr>
          <w:color w:val="000000"/>
          <w:sz w:val="28"/>
          <w:szCs w:val="28"/>
          <w:vertAlign w:val="baseline"/>
        </w:rPr>
        <w:t xml:space="preserve">or her </w:t>
      </w:r>
      <w:r w:rsidR="005232D8" w:rsidRPr="006A49D7">
        <w:rPr>
          <w:color w:val="000000"/>
          <w:sz w:val="28"/>
          <w:szCs w:val="28"/>
          <w:vertAlign w:val="baseline"/>
        </w:rPr>
        <w:t xml:space="preserve">release pending appeal. </w:t>
      </w:r>
      <w:hyperlink r:id="rId13" w:history="1">
        <w:r w:rsidR="005232D8" w:rsidRPr="006A49D7">
          <w:rPr>
            <w:rStyle w:val="Hyperlink"/>
            <w:i/>
            <w:sz w:val="28"/>
            <w:szCs w:val="28"/>
            <w:u w:val="none"/>
            <w:vertAlign w:val="baseline"/>
          </w:rPr>
          <w:t>Id</w:t>
        </w:r>
        <w:r w:rsidR="005232D8" w:rsidRPr="006A49D7">
          <w:rPr>
            <w:rStyle w:val="Hyperlink"/>
            <w:sz w:val="28"/>
            <w:szCs w:val="28"/>
            <w:u w:val="none"/>
            <w:vertAlign w:val="baseline"/>
          </w:rPr>
          <w:t>.</w:t>
        </w:r>
      </w:hyperlink>
      <w:r w:rsidR="005232D8" w:rsidRPr="006A49D7">
        <w:rPr>
          <w:color w:val="000000"/>
          <w:sz w:val="28"/>
          <w:szCs w:val="28"/>
          <w:vertAlign w:val="baseline"/>
        </w:rPr>
        <w:t xml:space="preserve"> </w:t>
      </w:r>
    </w:p>
    <w:p w:rsidR="00BB2DE8" w:rsidRDefault="005232D8" w:rsidP="005232D8">
      <w:pPr>
        <w:shd w:val="clear" w:color="auto" w:fill="FFFFFF"/>
        <w:spacing w:line="480" w:lineRule="auto"/>
        <w:ind w:firstLine="720"/>
        <w:jc w:val="both"/>
        <w:rPr>
          <w:color w:val="000000"/>
          <w:sz w:val="28"/>
          <w:szCs w:val="28"/>
          <w:vertAlign w:val="baseline"/>
        </w:rPr>
      </w:pPr>
      <w:r>
        <w:rPr>
          <w:color w:val="000000"/>
          <w:sz w:val="28"/>
          <w:szCs w:val="28"/>
          <w:vertAlign w:val="baseline"/>
        </w:rPr>
        <w:t xml:space="preserve"> It is evident that if a case is granted discretionary review by this Court that it would not be frivolous.  Yet, defendants whose criminal convictions are tainted with </w:t>
      </w:r>
      <w:r w:rsidR="001666E1">
        <w:rPr>
          <w:color w:val="000000"/>
          <w:sz w:val="28"/>
          <w:szCs w:val="28"/>
          <w:vertAlign w:val="baseline"/>
        </w:rPr>
        <w:t xml:space="preserve">legal </w:t>
      </w:r>
      <w:r>
        <w:rPr>
          <w:color w:val="000000"/>
          <w:sz w:val="28"/>
          <w:szCs w:val="28"/>
          <w:vertAlign w:val="baseline"/>
        </w:rPr>
        <w:t>error</w:t>
      </w:r>
      <w:r w:rsidR="001666E1">
        <w:rPr>
          <w:color w:val="000000"/>
          <w:sz w:val="28"/>
          <w:szCs w:val="28"/>
          <w:vertAlign w:val="baseline"/>
        </w:rPr>
        <w:t xml:space="preserve"> and </w:t>
      </w:r>
      <w:r w:rsidR="00EA6219">
        <w:rPr>
          <w:color w:val="000000"/>
          <w:sz w:val="28"/>
          <w:szCs w:val="28"/>
          <w:vertAlign w:val="baseline"/>
        </w:rPr>
        <w:t xml:space="preserve">even those </w:t>
      </w:r>
      <w:r w:rsidR="001666E1">
        <w:rPr>
          <w:color w:val="000000"/>
          <w:sz w:val="28"/>
          <w:szCs w:val="28"/>
          <w:vertAlign w:val="baseline"/>
        </w:rPr>
        <w:t>whose appeal contain</w:t>
      </w:r>
      <w:r w:rsidR="00EA6219">
        <w:rPr>
          <w:color w:val="000000"/>
          <w:sz w:val="28"/>
          <w:szCs w:val="28"/>
          <w:vertAlign w:val="baseline"/>
        </w:rPr>
        <w:t>s</w:t>
      </w:r>
      <w:r w:rsidR="001666E1">
        <w:rPr>
          <w:color w:val="000000"/>
          <w:sz w:val="28"/>
          <w:szCs w:val="28"/>
          <w:vertAlign w:val="baseline"/>
        </w:rPr>
        <w:t xml:space="preserve"> a substantial probability of </w:t>
      </w:r>
      <w:r w:rsidR="001666E1">
        <w:rPr>
          <w:color w:val="000000"/>
          <w:sz w:val="28"/>
          <w:szCs w:val="28"/>
          <w:vertAlign w:val="baseline"/>
        </w:rPr>
        <w:lastRenderedPageBreak/>
        <w:t>prevailing</w:t>
      </w:r>
      <w:r>
        <w:rPr>
          <w:color w:val="000000"/>
          <w:sz w:val="28"/>
          <w:szCs w:val="28"/>
          <w:vertAlign w:val="baseline"/>
        </w:rPr>
        <w:t xml:space="preserve"> must often wait in prison for a final resolution of the</w:t>
      </w:r>
      <w:r w:rsidR="00EA6219">
        <w:rPr>
          <w:color w:val="000000"/>
          <w:sz w:val="28"/>
          <w:szCs w:val="28"/>
          <w:vertAlign w:val="baseline"/>
        </w:rPr>
        <w:t>ir</w:t>
      </w:r>
      <w:r>
        <w:rPr>
          <w:color w:val="000000"/>
          <w:sz w:val="28"/>
          <w:szCs w:val="28"/>
          <w:vertAlign w:val="baseline"/>
        </w:rPr>
        <w:t xml:space="preserve"> constitutionally guaranteed right to appeal.</w:t>
      </w:r>
      <w:r w:rsidR="001666E1">
        <w:rPr>
          <w:rStyle w:val="FootnoteReference"/>
          <w:color w:val="000000"/>
          <w:szCs w:val="28"/>
        </w:rPr>
        <w:footnoteReference w:id="1"/>
      </w:r>
      <w:r>
        <w:rPr>
          <w:color w:val="000000"/>
          <w:sz w:val="28"/>
          <w:szCs w:val="28"/>
          <w:vertAlign w:val="baseline"/>
        </w:rPr>
        <w:t xml:space="preserve">  </w:t>
      </w:r>
    </w:p>
    <w:p w:rsidR="00BB2DE8" w:rsidRPr="00BB2DE8" w:rsidRDefault="00BB2DE8" w:rsidP="00BB2DE8">
      <w:pPr>
        <w:shd w:val="clear" w:color="auto" w:fill="FFFFFF"/>
        <w:spacing w:line="480" w:lineRule="auto"/>
        <w:ind w:firstLine="720"/>
        <w:jc w:val="both"/>
        <w:rPr>
          <w:color w:val="000000"/>
          <w:sz w:val="28"/>
          <w:szCs w:val="28"/>
          <w:vertAlign w:val="baseline"/>
        </w:rPr>
      </w:pPr>
      <w:r w:rsidRPr="00BB2DE8">
        <w:rPr>
          <w:color w:val="000000"/>
          <w:sz w:val="28"/>
          <w:szCs w:val="28"/>
          <w:vertAlign w:val="baseline"/>
        </w:rPr>
        <w:t>And s</w:t>
      </w:r>
      <w:r w:rsidR="001666E1" w:rsidRPr="00BB2DE8">
        <w:rPr>
          <w:color w:val="000000"/>
          <w:sz w:val="28"/>
          <w:szCs w:val="28"/>
          <w:vertAlign w:val="baseline"/>
        </w:rPr>
        <w:t xml:space="preserve">pending just one day </w:t>
      </w:r>
      <w:r w:rsidRPr="00BB2DE8">
        <w:rPr>
          <w:color w:val="000000"/>
          <w:sz w:val="28"/>
          <w:szCs w:val="28"/>
          <w:vertAlign w:val="baseline"/>
        </w:rPr>
        <w:t xml:space="preserve">behind bars </w:t>
      </w:r>
      <w:r w:rsidR="001666E1" w:rsidRPr="00BB2DE8">
        <w:rPr>
          <w:color w:val="000000"/>
          <w:sz w:val="28"/>
          <w:szCs w:val="28"/>
          <w:vertAlign w:val="baseline"/>
        </w:rPr>
        <w:t>beyond what is nec</w:t>
      </w:r>
      <w:r w:rsidRPr="00BB2DE8">
        <w:rPr>
          <w:color w:val="000000"/>
          <w:sz w:val="28"/>
          <w:szCs w:val="28"/>
          <w:vertAlign w:val="baseline"/>
        </w:rPr>
        <w:t xml:space="preserve">essary can have devastating impacts on criminal defendants.  This is because, “[f]rom the prosaic to the exceptional, constitutional </w:t>
      </w:r>
      <w:r w:rsidRPr="00BB2DE8">
        <w:rPr>
          <w:color w:val="000000"/>
          <w:sz w:val="28"/>
          <w:szCs w:val="28"/>
          <w:bdr w:val="none" w:sz="0" w:space="0" w:color="auto" w:frame="1"/>
          <w:shd w:val="clear" w:color="auto" w:fill="FFFFFF"/>
          <w:vertAlign w:val="baseline"/>
        </w:rPr>
        <w:t>prison</w:t>
      </w:r>
      <w:r w:rsidRPr="00BB2DE8">
        <w:rPr>
          <w:color w:val="000000"/>
          <w:sz w:val="28"/>
          <w:szCs w:val="28"/>
          <w:vertAlign w:val="baseline"/>
        </w:rPr>
        <w:t xml:space="preserve"> law fails to ameliorate many of the inhumane and dangerous conditions people experience in </w:t>
      </w:r>
      <w:r w:rsidRPr="00BB2DE8">
        <w:rPr>
          <w:color w:val="000000"/>
          <w:sz w:val="28"/>
          <w:szCs w:val="28"/>
          <w:bdr w:val="none" w:sz="0" w:space="0" w:color="auto" w:frame="1"/>
          <w:shd w:val="clear" w:color="auto" w:fill="FFFFFF"/>
          <w:vertAlign w:val="baseline"/>
        </w:rPr>
        <w:t>prisons</w:t>
      </w:r>
      <w:r w:rsidRPr="00BB2DE8">
        <w:rPr>
          <w:color w:val="000000"/>
          <w:sz w:val="28"/>
          <w:szCs w:val="28"/>
          <w:vertAlign w:val="baseline"/>
        </w:rPr>
        <w:t xml:space="preserve"> and </w:t>
      </w:r>
      <w:r w:rsidRPr="00BB2DE8">
        <w:rPr>
          <w:color w:val="000000"/>
          <w:sz w:val="28"/>
          <w:szCs w:val="28"/>
          <w:bdr w:val="none" w:sz="0" w:space="0" w:color="auto" w:frame="1"/>
          <w:shd w:val="clear" w:color="auto" w:fill="FFFFFF"/>
          <w:vertAlign w:val="baseline"/>
        </w:rPr>
        <w:t>jails</w:t>
      </w:r>
      <w:r w:rsidRPr="00BB2DE8">
        <w:rPr>
          <w:color w:val="000000"/>
          <w:sz w:val="28"/>
          <w:szCs w:val="28"/>
          <w:vertAlign w:val="baseline"/>
        </w:rPr>
        <w:t xml:space="preserve">. </w:t>
      </w:r>
      <w:r w:rsidRPr="00BB2DE8">
        <w:rPr>
          <w:color w:val="000000"/>
          <w:sz w:val="28"/>
          <w:szCs w:val="28"/>
          <w:bdr w:val="none" w:sz="0" w:space="0" w:color="auto" w:frame="1"/>
          <w:shd w:val="clear" w:color="auto" w:fill="FFFFFF"/>
          <w:vertAlign w:val="baseline"/>
        </w:rPr>
        <w:t>Prison</w:t>
      </w:r>
      <w:r w:rsidRPr="00BB2DE8">
        <w:rPr>
          <w:color w:val="000000"/>
          <w:sz w:val="28"/>
          <w:szCs w:val="28"/>
          <w:vertAlign w:val="baseline"/>
        </w:rPr>
        <w:t xml:space="preserve"> and </w:t>
      </w:r>
      <w:r w:rsidRPr="00BB2DE8">
        <w:rPr>
          <w:color w:val="000000"/>
          <w:sz w:val="28"/>
          <w:szCs w:val="28"/>
          <w:bdr w:val="none" w:sz="0" w:space="0" w:color="auto" w:frame="1"/>
          <w:shd w:val="clear" w:color="auto" w:fill="FFFFFF"/>
          <w:vertAlign w:val="baseline"/>
        </w:rPr>
        <w:t>jail</w:t>
      </w:r>
      <w:r w:rsidRPr="00BB2DE8">
        <w:rPr>
          <w:color w:val="000000"/>
          <w:sz w:val="28"/>
          <w:szCs w:val="28"/>
          <w:vertAlign w:val="baseline"/>
        </w:rPr>
        <w:t xml:space="preserve"> officials can breach the regulatory state's safeguards with constitutional impunity. </w:t>
      </w:r>
      <w:hyperlink r:id="rId14" w:history="1">
        <w:r w:rsidRPr="006A49D7">
          <w:rPr>
            <w:rStyle w:val="Hyperlink"/>
            <w:sz w:val="28"/>
            <w:szCs w:val="28"/>
            <w:u w:val="none"/>
            <w:vertAlign w:val="baseline"/>
          </w:rPr>
          <w:t xml:space="preserve">Aaron Littman, </w:t>
        </w:r>
        <w:r w:rsidRPr="006A49D7">
          <w:rPr>
            <w:rStyle w:val="Hyperlink"/>
            <w:i/>
            <w:sz w:val="28"/>
            <w:szCs w:val="28"/>
            <w:u w:val="none"/>
            <w:bdr w:val="none" w:sz="0" w:space="0" w:color="auto" w:frame="1"/>
            <w:vertAlign w:val="baseline"/>
          </w:rPr>
          <w:t>Free-World Law Behind Bars</w:t>
        </w:r>
        <w:r w:rsidRPr="006A49D7">
          <w:rPr>
            <w:rStyle w:val="Hyperlink"/>
            <w:sz w:val="28"/>
            <w:szCs w:val="28"/>
            <w:u w:val="none"/>
            <w:vertAlign w:val="baseline"/>
          </w:rPr>
          <w:t>, 131 Yale L.J. 1385, 1394 (2022)</w:t>
        </w:r>
      </w:hyperlink>
      <w:r w:rsidRPr="006A49D7">
        <w:rPr>
          <w:color w:val="000000"/>
          <w:sz w:val="28"/>
          <w:szCs w:val="28"/>
          <w:vertAlign w:val="baseline"/>
        </w:rPr>
        <w:t xml:space="preserve"> </w:t>
      </w:r>
      <w:r w:rsidRPr="00BB2DE8">
        <w:rPr>
          <w:color w:val="000000"/>
          <w:sz w:val="28"/>
          <w:szCs w:val="28"/>
          <w:vertAlign w:val="baseline"/>
        </w:rPr>
        <w:t>(advocating for more regulatory oversight of prisons and detailing conditions in prisons found to pass constitutional muster, including foreign objects in food such as “teeth, a</w:t>
      </w:r>
      <w:r>
        <w:rPr>
          <w:color w:val="000000"/>
          <w:sz w:val="28"/>
          <w:szCs w:val="28"/>
          <w:vertAlign w:val="baseline"/>
        </w:rPr>
        <w:t xml:space="preserve"> </w:t>
      </w:r>
      <w:r w:rsidRPr="00BB2DE8">
        <w:rPr>
          <w:color w:val="000000"/>
          <w:sz w:val="28"/>
          <w:szCs w:val="28"/>
          <w:vertAlign w:val="baseline"/>
        </w:rPr>
        <w:t xml:space="preserve">rock, a worm, vermin, and maggots.”); </w:t>
      </w:r>
      <w:r w:rsidRPr="0034462C">
        <w:rPr>
          <w:i/>
          <w:color w:val="000000"/>
          <w:sz w:val="28"/>
          <w:szCs w:val="28"/>
          <w:vertAlign w:val="baseline"/>
        </w:rPr>
        <w:t>see</w:t>
      </w:r>
      <w:r w:rsidRPr="00BB2DE8">
        <w:rPr>
          <w:color w:val="000000"/>
          <w:sz w:val="28"/>
          <w:szCs w:val="28"/>
          <w:vertAlign w:val="baseline"/>
        </w:rPr>
        <w:t xml:space="preserve">, </w:t>
      </w:r>
      <w:r w:rsidRPr="0034462C">
        <w:rPr>
          <w:i/>
          <w:color w:val="000000"/>
          <w:sz w:val="28"/>
          <w:szCs w:val="28"/>
          <w:vertAlign w:val="baseline"/>
        </w:rPr>
        <w:t>also</w:t>
      </w:r>
      <w:r w:rsidR="0034462C">
        <w:rPr>
          <w:color w:val="000000"/>
          <w:sz w:val="28"/>
          <w:szCs w:val="28"/>
          <w:vertAlign w:val="baseline"/>
        </w:rPr>
        <w:t xml:space="preserve">, </w:t>
      </w:r>
      <w:r w:rsidRPr="00BB2DE8">
        <w:rPr>
          <w:color w:val="000000"/>
          <w:sz w:val="28"/>
          <w:szCs w:val="28"/>
          <w:vertAlign w:val="baseline"/>
        </w:rPr>
        <w:t xml:space="preserve"> Kris</w:t>
      </w:r>
      <w:r w:rsidR="0034462C">
        <w:rPr>
          <w:color w:val="000000"/>
          <w:sz w:val="28"/>
          <w:szCs w:val="28"/>
          <w:vertAlign w:val="baseline"/>
        </w:rPr>
        <w:t>t</w:t>
      </w:r>
      <w:r w:rsidRPr="00BB2DE8">
        <w:rPr>
          <w:color w:val="000000"/>
          <w:sz w:val="28"/>
          <w:szCs w:val="28"/>
          <w:vertAlign w:val="baseline"/>
        </w:rPr>
        <w:t xml:space="preserve">en Dorman, </w:t>
      </w:r>
      <w:r w:rsidRPr="0034462C">
        <w:rPr>
          <w:i/>
          <w:color w:val="000000"/>
          <w:sz w:val="28"/>
          <w:szCs w:val="28"/>
          <w:vertAlign w:val="baseline"/>
        </w:rPr>
        <w:t>ACLU: Inmates lives can’t wait for slow fixes to Arizona prison health care.</w:t>
      </w:r>
      <w:r w:rsidRPr="00BB2DE8">
        <w:rPr>
          <w:color w:val="000000"/>
          <w:sz w:val="28"/>
          <w:szCs w:val="28"/>
          <w:vertAlign w:val="baseline"/>
        </w:rPr>
        <w:t xml:space="preserve"> KJZZ.org (available at </w:t>
      </w:r>
      <w:hyperlink r:id="rId15" w:history="1">
        <w:r w:rsidRPr="00BB2DE8">
          <w:rPr>
            <w:rStyle w:val="Hyperlink"/>
            <w:sz w:val="28"/>
            <w:szCs w:val="28"/>
            <w:vertAlign w:val="baseline"/>
          </w:rPr>
          <w:t>https://www.kjzz.org/kjzz-news/2025-02-21/aclu-inmates-lives-cant-wait-for-slow-fixes-to-arizona-prison-health-care</w:t>
        </w:r>
      </w:hyperlink>
      <w:r w:rsidRPr="00BB2DE8">
        <w:rPr>
          <w:color w:val="000000"/>
          <w:sz w:val="28"/>
          <w:szCs w:val="28"/>
          <w:vertAlign w:val="baseline"/>
        </w:rPr>
        <w:t xml:space="preserve">) (detailing decade-long federal lawsuit over healthcare concerns in Arizona’s prisons.) </w:t>
      </w:r>
    </w:p>
    <w:p w:rsidR="00BB2DE8" w:rsidRDefault="0034462C" w:rsidP="0034462C">
      <w:pPr>
        <w:shd w:val="clear" w:color="auto" w:fill="FFFFFF"/>
        <w:spacing w:line="480" w:lineRule="auto"/>
        <w:jc w:val="both"/>
        <w:rPr>
          <w:color w:val="000000"/>
          <w:sz w:val="28"/>
          <w:szCs w:val="28"/>
          <w:vertAlign w:val="baseline"/>
        </w:rPr>
      </w:pPr>
      <w:r>
        <w:rPr>
          <w:color w:val="000000"/>
          <w:sz w:val="28"/>
          <w:szCs w:val="28"/>
          <w:vertAlign w:val="baseline"/>
        </w:rPr>
        <w:t xml:space="preserve"> </w:t>
      </w:r>
      <w:r>
        <w:rPr>
          <w:color w:val="000000"/>
          <w:sz w:val="28"/>
          <w:szCs w:val="28"/>
          <w:vertAlign w:val="baseline"/>
        </w:rPr>
        <w:tab/>
        <w:t xml:space="preserve">Given the realities of life in prison, few people waiting for a new trial or dismissal of a criminal case would characterize the prospect of spending six or more additional days in prison as “modest.” </w:t>
      </w:r>
      <w:r w:rsidRPr="00EA6219">
        <w:rPr>
          <w:i/>
          <w:color w:val="000000"/>
          <w:sz w:val="28"/>
          <w:szCs w:val="28"/>
          <w:vertAlign w:val="baseline"/>
        </w:rPr>
        <w:t>See</w:t>
      </w:r>
      <w:r>
        <w:rPr>
          <w:color w:val="000000"/>
          <w:sz w:val="28"/>
          <w:szCs w:val="28"/>
          <w:vertAlign w:val="baseline"/>
        </w:rPr>
        <w:t xml:space="preserve"> </w:t>
      </w:r>
      <w:hyperlink r:id="rId16" w:history="1">
        <w:r w:rsidRPr="00EA6219">
          <w:rPr>
            <w:rStyle w:val="Hyperlink"/>
            <w:sz w:val="28"/>
            <w:szCs w:val="28"/>
            <w:u w:val="none"/>
            <w:vertAlign w:val="baseline"/>
          </w:rPr>
          <w:t>Petition at  10</w:t>
        </w:r>
      </w:hyperlink>
      <w:r w:rsidRPr="00EA6219">
        <w:rPr>
          <w:color w:val="000000"/>
          <w:sz w:val="28"/>
          <w:szCs w:val="28"/>
          <w:vertAlign w:val="baseline"/>
        </w:rPr>
        <w:t xml:space="preserve"> </w:t>
      </w:r>
      <w:r>
        <w:rPr>
          <w:color w:val="000000"/>
          <w:sz w:val="28"/>
          <w:szCs w:val="28"/>
          <w:vertAlign w:val="baseline"/>
        </w:rPr>
        <w:t xml:space="preserve">(describing increased </w:t>
      </w:r>
      <w:r>
        <w:rPr>
          <w:color w:val="000000"/>
          <w:sz w:val="28"/>
          <w:szCs w:val="28"/>
          <w:vertAlign w:val="baseline"/>
        </w:rPr>
        <w:lastRenderedPageBreak/>
        <w:t xml:space="preserve">timeline). But criminal defendants </w:t>
      </w:r>
      <w:r w:rsidR="00EA6219">
        <w:rPr>
          <w:color w:val="000000"/>
          <w:sz w:val="28"/>
          <w:szCs w:val="28"/>
          <w:vertAlign w:val="baseline"/>
        </w:rPr>
        <w:t xml:space="preserve">will </w:t>
      </w:r>
      <w:r>
        <w:rPr>
          <w:color w:val="000000"/>
          <w:sz w:val="28"/>
          <w:szCs w:val="28"/>
          <w:vertAlign w:val="baseline"/>
        </w:rPr>
        <w:t>also be forced to bear additional financial costs if this Court shifts from simultaneous to s</w:t>
      </w:r>
      <w:r w:rsidR="002E1522">
        <w:rPr>
          <w:color w:val="000000"/>
          <w:sz w:val="28"/>
          <w:szCs w:val="28"/>
          <w:vertAlign w:val="baseline"/>
        </w:rPr>
        <w:t xml:space="preserve">equential </w:t>
      </w:r>
      <w:r>
        <w:rPr>
          <w:color w:val="000000"/>
          <w:sz w:val="28"/>
          <w:szCs w:val="28"/>
          <w:vertAlign w:val="baseline"/>
        </w:rPr>
        <w:t xml:space="preserve">briefing. </w:t>
      </w:r>
    </w:p>
    <w:p w:rsidR="00D64E08" w:rsidRDefault="00D64E08" w:rsidP="002E1522">
      <w:pPr>
        <w:pStyle w:val="ListParagraph"/>
        <w:numPr>
          <w:ilvl w:val="0"/>
          <w:numId w:val="11"/>
        </w:numPr>
        <w:jc w:val="both"/>
        <w:rPr>
          <w:b/>
          <w:sz w:val="28"/>
          <w:szCs w:val="28"/>
          <w:vertAlign w:val="baseline"/>
        </w:rPr>
      </w:pPr>
      <w:r w:rsidRPr="002E1522">
        <w:rPr>
          <w:b/>
          <w:sz w:val="28"/>
          <w:szCs w:val="28"/>
          <w:vertAlign w:val="baseline"/>
        </w:rPr>
        <w:t>More briefing</w:t>
      </w:r>
      <w:r w:rsidR="002E1522" w:rsidRPr="002E1522">
        <w:rPr>
          <w:b/>
          <w:sz w:val="28"/>
          <w:szCs w:val="28"/>
          <w:vertAlign w:val="baseline"/>
        </w:rPr>
        <w:t xml:space="preserve"> and less </w:t>
      </w:r>
      <w:r w:rsidR="002E1522">
        <w:rPr>
          <w:b/>
          <w:sz w:val="28"/>
          <w:szCs w:val="28"/>
          <w:vertAlign w:val="baseline"/>
        </w:rPr>
        <w:t>time to prepare for argument does not promote efficiency</w:t>
      </w:r>
      <w:r w:rsidR="002C4600">
        <w:rPr>
          <w:b/>
          <w:sz w:val="28"/>
          <w:szCs w:val="28"/>
          <w:vertAlign w:val="baseline"/>
        </w:rPr>
        <w:t xml:space="preserve">. </w:t>
      </w:r>
    </w:p>
    <w:p w:rsidR="002E1522" w:rsidRPr="002E1522" w:rsidRDefault="002E1522" w:rsidP="002E1522">
      <w:pPr>
        <w:pStyle w:val="ListParagraph"/>
        <w:ind w:left="1080"/>
        <w:jc w:val="both"/>
        <w:rPr>
          <w:b/>
          <w:sz w:val="28"/>
          <w:szCs w:val="28"/>
          <w:vertAlign w:val="baseline"/>
        </w:rPr>
      </w:pPr>
    </w:p>
    <w:p w:rsidR="00D64E08" w:rsidRDefault="00CE2874" w:rsidP="00D64E08">
      <w:pPr>
        <w:spacing w:line="480" w:lineRule="auto"/>
        <w:ind w:firstLine="720"/>
        <w:jc w:val="both"/>
        <w:rPr>
          <w:sz w:val="28"/>
          <w:szCs w:val="28"/>
          <w:vertAlign w:val="baseline"/>
        </w:rPr>
      </w:pPr>
      <w:r w:rsidRPr="00D64E08">
        <w:rPr>
          <w:sz w:val="28"/>
          <w:szCs w:val="28"/>
          <w:vertAlign w:val="baseline"/>
        </w:rPr>
        <w:t xml:space="preserve">The proposal will also impose </w:t>
      </w:r>
      <w:r w:rsidR="002E1522">
        <w:rPr>
          <w:sz w:val="28"/>
          <w:szCs w:val="28"/>
          <w:vertAlign w:val="baseline"/>
        </w:rPr>
        <w:t xml:space="preserve">additional </w:t>
      </w:r>
      <w:r w:rsidRPr="00D64E08">
        <w:rPr>
          <w:sz w:val="28"/>
          <w:szCs w:val="28"/>
          <w:vertAlign w:val="baseline"/>
        </w:rPr>
        <w:t xml:space="preserve">costs and burdens on criminal defendants and their counsel. </w:t>
      </w:r>
      <w:r w:rsidR="002E1522">
        <w:rPr>
          <w:sz w:val="28"/>
          <w:szCs w:val="28"/>
          <w:vertAlign w:val="baseline"/>
        </w:rPr>
        <w:t xml:space="preserve"> Whether employed in private practice or by a public defender office, attorneys who appear before the Arizona Supreme Court invariably do so while juggling demanding caseloads. Sequential briefing will add a reply brief to the process while potentially taking away more than two weeks to prepare for argument. </w:t>
      </w:r>
      <w:r w:rsidR="002E1522" w:rsidRPr="002E1522">
        <w:rPr>
          <w:i/>
          <w:sz w:val="28"/>
          <w:szCs w:val="28"/>
          <w:vertAlign w:val="baseline"/>
        </w:rPr>
        <w:t>See</w:t>
      </w:r>
      <w:r w:rsidR="002E1522">
        <w:rPr>
          <w:sz w:val="28"/>
          <w:szCs w:val="28"/>
          <w:vertAlign w:val="baseline"/>
        </w:rPr>
        <w:t xml:space="preserve"> </w:t>
      </w:r>
      <w:hyperlink r:id="rId17" w:history="1">
        <w:r w:rsidR="002E1522" w:rsidRPr="00EA6219">
          <w:rPr>
            <w:rStyle w:val="Hyperlink"/>
            <w:sz w:val="28"/>
            <w:szCs w:val="28"/>
            <w:u w:val="none"/>
            <w:vertAlign w:val="baseline"/>
          </w:rPr>
          <w:t>Petition at 7-8.</w:t>
        </w:r>
      </w:hyperlink>
      <w:r w:rsidR="002E1522">
        <w:rPr>
          <w:sz w:val="28"/>
          <w:szCs w:val="28"/>
          <w:vertAlign w:val="baseline"/>
        </w:rPr>
        <w:t xml:space="preserve"> </w:t>
      </w:r>
    </w:p>
    <w:p w:rsidR="002E1522" w:rsidRDefault="002E1522" w:rsidP="002E1522">
      <w:pPr>
        <w:spacing w:line="480" w:lineRule="auto"/>
        <w:ind w:firstLine="720"/>
        <w:jc w:val="both"/>
        <w:rPr>
          <w:sz w:val="28"/>
          <w:szCs w:val="28"/>
          <w:vertAlign w:val="baseline"/>
        </w:rPr>
      </w:pPr>
      <w:r>
        <w:rPr>
          <w:sz w:val="28"/>
          <w:szCs w:val="28"/>
          <w:vertAlign w:val="baseline"/>
        </w:rPr>
        <w:t>Often by the time a criminal defendant gets to the Arizona Supreme Court, his resources to retain counsel will have been substantially depleted by the cost of trial and the intermediate appeal. Paying for counsel to file a reply brief or review a reply brief will add to the</w:t>
      </w:r>
      <w:r w:rsidR="00EA6219">
        <w:rPr>
          <w:sz w:val="28"/>
          <w:szCs w:val="28"/>
          <w:vertAlign w:val="baseline"/>
        </w:rPr>
        <w:t xml:space="preserve"> already</w:t>
      </w:r>
      <w:r>
        <w:rPr>
          <w:sz w:val="28"/>
          <w:szCs w:val="28"/>
          <w:vertAlign w:val="baseline"/>
        </w:rPr>
        <w:t xml:space="preserve"> significant cost</w:t>
      </w:r>
      <w:r w:rsidR="00EA6219">
        <w:rPr>
          <w:sz w:val="28"/>
          <w:szCs w:val="28"/>
          <w:vertAlign w:val="baseline"/>
        </w:rPr>
        <w:t>s</w:t>
      </w:r>
      <w:r>
        <w:rPr>
          <w:sz w:val="28"/>
          <w:szCs w:val="28"/>
          <w:vertAlign w:val="baseline"/>
        </w:rPr>
        <w:t xml:space="preserve"> of the proceedings. </w:t>
      </w:r>
      <w:r w:rsidR="00EA6219">
        <w:rPr>
          <w:sz w:val="28"/>
          <w:szCs w:val="28"/>
          <w:vertAlign w:val="baseline"/>
        </w:rPr>
        <w:t>And u</w:t>
      </w:r>
      <w:r>
        <w:rPr>
          <w:sz w:val="28"/>
          <w:szCs w:val="28"/>
          <w:vertAlign w:val="baseline"/>
        </w:rPr>
        <w:t xml:space="preserve">nlike civil cases, criminal defendants have no recourse to recoup their expenses if they prevail on appeal. </w:t>
      </w:r>
      <w:r w:rsidRPr="002C4600">
        <w:rPr>
          <w:i/>
          <w:sz w:val="28"/>
          <w:szCs w:val="28"/>
          <w:vertAlign w:val="baseline"/>
        </w:rPr>
        <w:t>See</w:t>
      </w:r>
      <w:r>
        <w:rPr>
          <w:sz w:val="28"/>
          <w:szCs w:val="28"/>
          <w:vertAlign w:val="baseline"/>
        </w:rPr>
        <w:t xml:space="preserve">, </w:t>
      </w:r>
      <w:r w:rsidRPr="002C4600">
        <w:rPr>
          <w:i/>
          <w:sz w:val="28"/>
          <w:szCs w:val="28"/>
          <w:vertAlign w:val="baseline"/>
        </w:rPr>
        <w:t>e.g.</w:t>
      </w:r>
      <w:r>
        <w:rPr>
          <w:sz w:val="28"/>
          <w:szCs w:val="28"/>
          <w:vertAlign w:val="baseline"/>
        </w:rPr>
        <w:t xml:space="preserve">, </w:t>
      </w:r>
      <w:hyperlink r:id="rId18" w:history="1">
        <w:r w:rsidRPr="002C4600">
          <w:rPr>
            <w:rStyle w:val="Hyperlink"/>
            <w:i/>
            <w:sz w:val="28"/>
            <w:szCs w:val="28"/>
            <w:u w:val="none"/>
            <w:vertAlign w:val="baseline"/>
          </w:rPr>
          <w:t>Cao v. PFP Dorsey Investments</w:t>
        </w:r>
        <w:r w:rsidRPr="002C4600">
          <w:rPr>
            <w:rStyle w:val="Hyperlink"/>
            <w:sz w:val="28"/>
            <w:szCs w:val="28"/>
            <w:u w:val="none"/>
            <w:vertAlign w:val="baseline"/>
          </w:rPr>
          <w:t>, LLC, 257 Ariz. 109, ¶</w:t>
        </w:r>
        <w:r w:rsidR="002C4600" w:rsidRPr="002C4600">
          <w:rPr>
            <w:rStyle w:val="Hyperlink"/>
            <w:sz w:val="28"/>
            <w:szCs w:val="28"/>
            <w:u w:val="none"/>
            <w:vertAlign w:val="baseline"/>
          </w:rPr>
          <w:t>¶</w:t>
        </w:r>
        <w:r w:rsidRPr="002C4600">
          <w:rPr>
            <w:rStyle w:val="Hyperlink"/>
            <w:sz w:val="28"/>
            <w:szCs w:val="28"/>
            <w:u w:val="none"/>
            <w:vertAlign w:val="baseline"/>
          </w:rPr>
          <w:t xml:space="preserve"> 46</w:t>
        </w:r>
        <w:r w:rsidR="002C4600" w:rsidRPr="002C4600">
          <w:rPr>
            <w:rStyle w:val="Hyperlink"/>
            <w:sz w:val="28"/>
            <w:szCs w:val="28"/>
            <w:u w:val="none"/>
            <w:vertAlign w:val="baseline"/>
          </w:rPr>
          <w:t xml:space="preserve">-47 </w:t>
        </w:r>
        <w:r w:rsidRPr="002C4600">
          <w:rPr>
            <w:rStyle w:val="Hyperlink"/>
            <w:sz w:val="28"/>
            <w:szCs w:val="28"/>
            <w:u w:val="none"/>
            <w:vertAlign w:val="baseline"/>
          </w:rPr>
          <w:t>(2024)</w:t>
        </w:r>
      </w:hyperlink>
      <w:r w:rsidR="002C4600" w:rsidRPr="002C4600">
        <w:rPr>
          <w:sz w:val="28"/>
          <w:szCs w:val="28"/>
          <w:vertAlign w:val="baseline"/>
        </w:rPr>
        <w:t xml:space="preserve"> </w:t>
      </w:r>
      <w:r w:rsidR="002C4600">
        <w:rPr>
          <w:sz w:val="28"/>
          <w:szCs w:val="28"/>
          <w:vertAlign w:val="baseline"/>
        </w:rPr>
        <w:t xml:space="preserve">(differentiating attorneys fees awards for contract violation and eminent domain). </w:t>
      </w:r>
    </w:p>
    <w:p w:rsidR="002C4600" w:rsidRDefault="00EA6219" w:rsidP="002C4600">
      <w:pPr>
        <w:shd w:val="clear" w:color="auto" w:fill="FFFFFF"/>
        <w:spacing w:line="480" w:lineRule="auto"/>
        <w:ind w:firstLine="720"/>
        <w:jc w:val="both"/>
        <w:rPr>
          <w:color w:val="000000"/>
          <w:sz w:val="28"/>
          <w:szCs w:val="28"/>
          <w:vertAlign w:val="baseline"/>
        </w:rPr>
      </w:pPr>
      <w:r>
        <w:rPr>
          <w:sz w:val="28"/>
          <w:szCs w:val="28"/>
          <w:vertAlign w:val="baseline"/>
        </w:rPr>
        <w:t>I</w:t>
      </w:r>
      <w:r w:rsidR="002C4600">
        <w:rPr>
          <w:sz w:val="28"/>
          <w:szCs w:val="28"/>
          <w:vertAlign w:val="baseline"/>
        </w:rPr>
        <w:t xml:space="preserve">ndigent defense attorneys who appear before the Arizona Supreme Court do so subject to the pressures of a continuous stream of appointed cases. Although appointed counsel may regulate his or her caseload by declining to take a case at the </w:t>
      </w:r>
      <w:r w:rsidR="002C4600">
        <w:rPr>
          <w:sz w:val="28"/>
          <w:szCs w:val="28"/>
          <w:vertAlign w:val="baseline"/>
        </w:rPr>
        <w:lastRenderedPageBreak/>
        <w:t>o</w:t>
      </w:r>
      <w:r w:rsidR="00C71A24">
        <w:rPr>
          <w:sz w:val="28"/>
          <w:szCs w:val="28"/>
          <w:vertAlign w:val="baseline"/>
        </w:rPr>
        <w:t>n</w:t>
      </w:r>
      <w:r w:rsidR="002C4600">
        <w:rPr>
          <w:sz w:val="28"/>
          <w:szCs w:val="28"/>
          <w:vertAlign w:val="baseline"/>
        </w:rPr>
        <w:t>set of an appeal, s/he has no control over the timelines set by an order from the Arizona Supreme Court granting review.</w:t>
      </w:r>
      <w:r w:rsidR="00C71A24">
        <w:rPr>
          <w:sz w:val="28"/>
          <w:szCs w:val="28"/>
          <w:vertAlign w:val="baseline"/>
        </w:rPr>
        <w:t xml:space="preserve"> </w:t>
      </w:r>
      <w:r w:rsidR="002C4600">
        <w:rPr>
          <w:sz w:val="28"/>
          <w:szCs w:val="28"/>
          <w:vertAlign w:val="baseline"/>
        </w:rPr>
        <w:t xml:space="preserve">Adding an additional brief while subtracting more than two weeks of time to prepare oral argument will put an immense additional strain on indigent defense counsel’s time to prepare. </w:t>
      </w:r>
      <w:r w:rsidR="00DE5BEB">
        <w:rPr>
          <w:sz w:val="28"/>
          <w:szCs w:val="28"/>
          <w:vertAlign w:val="baseline"/>
        </w:rPr>
        <w:t>Oral argument preparation is essential since w</w:t>
      </w:r>
      <w:r w:rsidR="002C4600">
        <w:rPr>
          <w:sz w:val="28"/>
          <w:szCs w:val="28"/>
          <w:vertAlign w:val="baseline"/>
        </w:rPr>
        <w:t>ell-briefed criminal appeals often involve complex and always-evolving constitutional issues that may cause even the most seasoned jurist</w:t>
      </w:r>
      <w:r w:rsidR="00B25425">
        <w:rPr>
          <w:sz w:val="28"/>
          <w:szCs w:val="28"/>
          <w:vertAlign w:val="baseline"/>
        </w:rPr>
        <w:t>s</w:t>
      </w:r>
      <w:r w:rsidR="002C4600">
        <w:rPr>
          <w:sz w:val="28"/>
          <w:szCs w:val="28"/>
          <w:vertAlign w:val="baseline"/>
        </w:rPr>
        <w:t xml:space="preserve"> to be confused.  </w:t>
      </w:r>
      <w:r w:rsidR="002C4600" w:rsidRPr="002C4600">
        <w:rPr>
          <w:i/>
          <w:sz w:val="28"/>
          <w:szCs w:val="28"/>
          <w:vertAlign w:val="baseline"/>
        </w:rPr>
        <w:t>See, e.g</w:t>
      </w:r>
      <w:r w:rsidR="002C4600" w:rsidRPr="00581E83">
        <w:rPr>
          <w:i/>
          <w:sz w:val="28"/>
          <w:szCs w:val="28"/>
          <w:vertAlign w:val="baseline"/>
        </w:rPr>
        <w:t xml:space="preserve">. </w:t>
      </w:r>
      <w:hyperlink r:id="rId19" w:history="1">
        <w:r w:rsidR="002C4600" w:rsidRPr="00581E83">
          <w:rPr>
            <w:rStyle w:val="Hyperlink"/>
            <w:i/>
            <w:sz w:val="28"/>
            <w:szCs w:val="28"/>
            <w:u w:val="none"/>
            <w:bdr w:val="none" w:sz="0" w:space="0" w:color="auto" w:frame="1"/>
            <w:vertAlign w:val="baseline"/>
          </w:rPr>
          <w:t>State v. Melende</w:t>
        </w:r>
        <w:r w:rsidR="002C4600" w:rsidRPr="00581E83">
          <w:rPr>
            <w:rStyle w:val="Hyperlink"/>
            <w:sz w:val="28"/>
            <w:szCs w:val="28"/>
            <w:u w:val="none"/>
            <w:bdr w:val="none" w:sz="0" w:space="0" w:color="auto" w:frame="1"/>
            <w:vertAlign w:val="baseline"/>
          </w:rPr>
          <w:t>z</w:t>
        </w:r>
        <w:r w:rsidR="002C4600" w:rsidRPr="00581E83">
          <w:rPr>
            <w:rStyle w:val="Hyperlink"/>
            <w:sz w:val="28"/>
            <w:szCs w:val="28"/>
            <w:u w:val="none"/>
            <w:vertAlign w:val="baseline"/>
          </w:rPr>
          <w:t>, CR-23-0215-PR, 2025 WL 940025, at *16 (Ariz. Mar. 28, 2025)</w:t>
        </w:r>
      </w:hyperlink>
      <w:r w:rsidR="002C4600" w:rsidRPr="002C4600">
        <w:rPr>
          <w:color w:val="000000"/>
          <w:sz w:val="28"/>
          <w:szCs w:val="28"/>
          <w:vertAlign w:val="baseline"/>
        </w:rPr>
        <w:t xml:space="preserve"> (Timmer, C.J., concurring) (discussing the confusing constitutional status of </w:t>
      </w:r>
      <w:r w:rsidR="002C4600" w:rsidRPr="002C4600">
        <w:rPr>
          <w:i/>
          <w:color w:val="000000"/>
          <w:sz w:val="28"/>
          <w:szCs w:val="28"/>
          <w:vertAlign w:val="baseline"/>
        </w:rPr>
        <w:t>Miranda v. Arizona</w:t>
      </w:r>
      <w:r w:rsidR="002C4600" w:rsidRPr="002C4600">
        <w:rPr>
          <w:color w:val="000000"/>
          <w:sz w:val="28"/>
          <w:szCs w:val="28"/>
          <w:vertAlign w:val="baseline"/>
        </w:rPr>
        <w:t>, 384 U.S. 436 (1966)</w:t>
      </w:r>
      <w:r w:rsidR="00581E83">
        <w:rPr>
          <w:color w:val="000000"/>
          <w:sz w:val="28"/>
          <w:szCs w:val="28"/>
          <w:vertAlign w:val="baseline"/>
        </w:rPr>
        <w:t>,</w:t>
      </w:r>
      <w:r w:rsidR="002C4600" w:rsidRPr="002C4600">
        <w:rPr>
          <w:color w:val="000000"/>
          <w:sz w:val="28"/>
          <w:szCs w:val="28"/>
          <w:vertAlign w:val="baseline"/>
        </w:rPr>
        <w:t xml:space="preserve"> under our federalist system of justice.) </w:t>
      </w:r>
    </w:p>
    <w:p w:rsidR="002C4600" w:rsidRDefault="00B07731" w:rsidP="002C4600">
      <w:pPr>
        <w:shd w:val="clear" w:color="auto" w:fill="FFFFFF"/>
        <w:spacing w:line="480" w:lineRule="auto"/>
        <w:ind w:firstLine="720"/>
        <w:jc w:val="both"/>
        <w:rPr>
          <w:color w:val="000000"/>
          <w:sz w:val="28"/>
          <w:szCs w:val="28"/>
          <w:vertAlign w:val="baseline"/>
        </w:rPr>
      </w:pPr>
      <w:r>
        <w:rPr>
          <w:color w:val="000000"/>
          <w:sz w:val="28"/>
          <w:szCs w:val="28"/>
          <w:vertAlign w:val="baseline"/>
        </w:rPr>
        <w:t xml:space="preserve">Concerns for efficiency over unnecessary delay also promotes victims interests in finality.  </w:t>
      </w:r>
      <w:r w:rsidRPr="006A49D7">
        <w:rPr>
          <w:i/>
          <w:color w:val="000000"/>
          <w:sz w:val="28"/>
          <w:szCs w:val="28"/>
          <w:vertAlign w:val="baseline"/>
        </w:rPr>
        <w:t xml:space="preserve">See </w:t>
      </w:r>
      <w:hyperlink r:id="rId20" w:history="1">
        <w:r w:rsidRPr="006A49D7">
          <w:rPr>
            <w:rStyle w:val="Hyperlink"/>
            <w:sz w:val="28"/>
            <w:szCs w:val="28"/>
            <w:u w:val="none"/>
            <w:vertAlign w:val="baseline"/>
          </w:rPr>
          <w:t>Ariz. Const. Art. II, Sec. 2.1(10)</w:t>
        </w:r>
      </w:hyperlink>
      <w:r>
        <w:rPr>
          <w:color w:val="000000"/>
          <w:sz w:val="28"/>
          <w:szCs w:val="28"/>
          <w:vertAlign w:val="baseline"/>
        </w:rPr>
        <w:t xml:space="preserve"> (providing for right to “prompt and final conclusion of he case after the conviction and sentence.”) And the same concerns are consistent with the rationale of the Arizona Attorney General’s Office for opposing the adoption of intermediate </w:t>
      </w:r>
      <w:proofErr w:type="spellStart"/>
      <w:r>
        <w:rPr>
          <w:color w:val="000000"/>
          <w:sz w:val="28"/>
          <w:szCs w:val="28"/>
          <w:vertAlign w:val="baseline"/>
        </w:rPr>
        <w:t>en</w:t>
      </w:r>
      <w:proofErr w:type="spellEnd"/>
      <w:r>
        <w:rPr>
          <w:color w:val="000000"/>
          <w:sz w:val="28"/>
          <w:szCs w:val="28"/>
          <w:vertAlign w:val="baseline"/>
        </w:rPr>
        <w:t xml:space="preserve"> banc reconsideration.  </w:t>
      </w:r>
      <w:r w:rsidRPr="00B07731">
        <w:rPr>
          <w:i/>
          <w:color w:val="000000"/>
          <w:sz w:val="28"/>
          <w:szCs w:val="28"/>
          <w:vertAlign w:val="baseline"/>
        </w:rPr>
        <w:t>See</w:t>
      </w:r>
      <w:r>
        <w:rPr>
          <w:color w:val="000000"/>
          <w:sz w:val="28"/>
          <w:szCs w:val="28"/>
          <w:vertAlign w:val="baseline"/>
        </w:rPr>
        <w:t xml:space="preserve">  Arizona Attorney General’s Office  Comment at 4-10, </w:t>
      </w:r>
      <w:hyperlink r:id="rId21" w:history="1">
        <w:r w:rsidRPr="006A49D7">
          <w:rPr>
            <w:rStyle w:val="Hyperlink"/>
            <w:sz w:val="28"/>
            <w:szCs w:val="28"/>
            <w:u w:val="none"/>
            <w:vertAlign w:val="baseline"/>
          </w:rPr>
          <w:t>R-25-0012</w:t>
        </w:r>
      </w:hyperlink>
      <w:r>
        <w:rPr>
          <w:color w:val="000000"/>
          <w:sz w:val="28"/>
          <w:szCs w:val="28"/>
          <w:vertAlign w:val="baseline"/>
        </w:rPr>
        <w:t xml:space="preserve"> (filed Apr. 25, 202</w:t>
      </w:r>
      <w:r w:rsidR="008E5DEB">
        <w:rPr>
          <w:color w:val="000000"/>
          <w:sz w:val="28"/>
          <w:szCs w:val="28"/>
          <w:vertAlign w:val="baseline"/>
        </w:rPr>
        <w:t>5</w:t>
      </w:r>
      <w:r>
        <w:rPr>
          <w:color w:val="000000"/>
          <w:sz w:val="28"/>
          <w:szCs w:val="28"/>
          <w:vertAlign w:val="baseline"/>
        </w:rPr>
        <w:t xml:space="preserve">) (opposing </w:t>
      </w:r>
      <w:proofErr w:type="spellStart"/>
      <w:r>
        <w:rPr>
          <w:color w:val="000000"/>
          <w:sz w:val="28"/>
          <w:szCs w:val="28"/>
          <w:vertAlign w:val="baseline"/>
        </w:rPr>
        <w:t>en</w:t>
      </w:r>
      <w:proofErr w:type="spellEnd"/>
      <w:r>
        <w:rPr>
          <w:color w:val="000000"/>
          <w:sz w:val="28"/>
          <w:szCs w:val="28"/>
          <w:vertAlign w:val="baseline"/>
        </w:rPr>
        <w:t xml:space="preserve"> banc reconsideration</w:t>
      </w:r>
      <w:r w:rsidR="006A49D7">
        <w:rPr>
          <w:color w:val="000000"/>
          <w:sz w:val="28"/>
          <w:szCs w:val="28"/>
          <w:vertAlign w:val="baseline"/>
        </w:rPr>
        <w:t xml:space="preserve"> proposal</w:t>
      </w:r>
      <w:r>
        <w:rPr>
          <w:color w:val="000000"/>
          <w:sz w:val="28"/>
          <w:szCs w:val="28"/>
          <w:vertAlign w:val="baseline"/>
        </w:rPr>
        <w:t xml:space="preserve"> because of</w:t>
      </w:r>
      <w:r w:rsidR="006A49D7">
        <w:rPr>
          <w:color w:val="000000"/>
          <w:sz w:val="28"/>
          <w:szCs w:val="28"/>
          <w:vertAlign w:val="baseline"/>
        </w:rPr>
        <w:t xml:space="preserve"> increased</w:t>
      </w:r>
      <w:r>
        <w:rPr>
          <w:color w:val="000000"/>
          <w:sz w:val="28"/>
          <w:szCs w:val="28"/>
          <w:vertAlign w:val="baseline"/>
        </w:rPr>
        <w:t xml:space="preserve"> costs and delay). </w:t>
      </w:r>
    </w:p>
    <w:p w:rsidR="00B07731" w:rsidRPr="002C4600" w:rsidRDefault="00B07731" w:rsidP="00B07731">
      <w:pPr>
        <w:shd w:val="clear" w:color="auto" w:fill="FFFFFF"/>
        <w:spacing w:line="480" w:lineRule="auto"/>
        <w:jc w:val="both"/>
        <w:rPr>
          <w:color w:val="000000"/>
          <w:sz w:val="28"/>
          <w:szCs w:val="28"/>
          <w:vertAlign w:val="baseline"/>
        </w:rPr>
      </w:pPr>
      <w:r>
        <w:rPr>
          <w:color w:val="000000"/>
          <w:sz w:val="28"/>
          <w:szCs w:val="28"/>
          <w:vertAlign w:val="baseline"/>
        </w:rPr>
        <w:lastRenderedPageBreak/>
        <w:tab/>
      </w:r>
      <w:r w:rsidR="00EA6219">
        <w:rPr>
          <w:color w:val="000000"/>
          <w:sz w:val="28"/>
          <w:szCs w:val="28"/>
          <w:vertAlign w:val="baseline"/>
        </w:rPr>
        <w:t xml:space="preserve">These burdens should be weighed in favor of keeping the existing simultaneous briefing system. </w:t>
      </w:r>
      <w:r>
        <w:rPr>
          <w:color w:val="000000"/>
          <w:sz w:val="28"/>
          <w:szCs w:val="28"/>
          <w:vertAlign w:val="baseline"/>
        </w:rPr>
        <w:t xml:space="preserve">Moreover, the proposal will not eliminate the </w:t>
      </w:r>
      <w:r w:rsidR="00EA6219">
        <w:rPr>
          <w:color w:val="000000"/>
          <w:sz w:val="28"/>
          <w:szCs w:val="28"/>
          <w:vertAlign w:val="baseline"/>
        </w:rPr>
        <w:t>Petitioners</w:t>
      </w:r>
      <w:r w:rsidR="00C71A24">
        <w:rPr>
          <w:color w:val="000000"/>
          <w:sz w:val="28"/>
          <w:szCs w:val="28"/>
          <w:vertAlign w:val="baseline"/>
        </w:rPr>
        <w:t>’</w:t>
      </w:r>
      <w:r w:rsidR="00EA6219">
        <w:rPr>
          <w:color w:val="000000"/>
          <w:sz w:val="28"/>
          <w:szCs w:val="28"/>
          <w:vertAlign w:val="baseline"/>
        </w:rPr>
        <w:t xml:space="preserve"> </w:t>
      </w:r>
      <w:r>
        <w:rPr>
          <w:color w:val="000000"/>
          <w:sz w:val="28"/>
          <w:szCs w:val="28"/>
          <w:vertAlign w:val="baseline"/>
        </w:rPr>
        <w:t xml:space="preserve">concerns with </w:t>
      </w:r>
      <w:r w:rsidR="00EA6219">
        <w:rPr>
          <w:color w:val="000000"/>
          <w:sz w:val="28"/>
          <w:szCs w:val="28"/>
          <w:vertAlign w:val="baseline"/>
        </w:rPr>
        <w:t xml:space="preserve">new issues briefed for the first time before this Court. </w:t>
      </w:r>
      <w:r>
        <w:rPr>
          <w:color w:val="000000"/>
          <w:sz w:val="28"/>
          <w:szCs w:val="28"/>
          <w:vertAlign w:val="baseline"/>
        </w:rPr>
        <w:t xml:space="preserve"> </w:t>
      </w:r>
    </w:p>
    <w:p w:rsidR="00D64E08" w:rsidRPr="00B07731" w:rsidRDefault="00D64E08" w:rsidP="00D64E08">
      <w:pPr>
        <w:pStyle w:val="ListParagraph"/>
        <w:numPr>
          <w:ilvl w:val="0"/>
          <w:numId w:val="11"/>
        </w:numPr>
        <w:spacing w:line="480" w:lineRule="auto"/>
        <w:jc w:val="both"/>
        <w:rPr>
          <w:b/>
          <w:sz w:val="28"/>
          <w:szCs w:val="28"/>
          <w:vertAlign w:val="baseline"/>
        </w:rPr>
      </w:pPr>
      <w:r w:rsidRPr="00B07731">
        <w:rPr>
          <w:b/>
          <w:sz w:val="28"/>
          <w:szCs w:val="28"/>
          <w:vertAlign w:val="baseline"/>
        </w:rPr>
        <w:t xml:space="preserve">Existing procedures promote efficiency and fairness. </w:t>
      </w:r>
    </w:p>
    <w:p w:rsidR="002C4600" w:rsidRDefault="002C4600" w:rsidP="002C4600">
      <w:pPr>
        <w:spacing w:line="480" w:lineRule="auto"/>
        <w:ind w:firstLine="720"/>
        <w:jc w:val="both"/>
        <w:rPr>
          <w:sz w:val="28"/>
          <w:szCs w:val="28"/>
          <w:vertAlign w:val="baseline"/>
        </w:rPr>
      </w:pPr>
      <w:r>
        <w:rPr>
          <w:sz w:val="28"/>
          <w:szCs w:val="28"/>
          <w:vertAlign w:val="baseline"/>
        </w:rPr>
        <w:t xml:space="preserve">The Petition claims that sequential briefing will prevent the parties from raising new and unpreserved claims for the first time in the Arizona Supreme Court. </w:t>
      </w:r>
      <w:hyperlink r:id="rId22" w:history="1">
        <w:r w:rsidR="00B07731" w:rsidRPr="006D356E">
          <w:rPr>
            <w:rStyle w:val="Hyperlink"/>
            <w:sz w:val="28"/>
            <w:szCs w:val="28"/>
            <w:u w:val="none"/>
            <w:vertAlign w:val="baseline"/>
          </w:rPr>
          <w:t>Petition at 4.</w:t>
        </w:r>
      </w:hyperlink>
      <w:r w:rsidR="00B07731" w:rsidRPr="006D356E">
        <w:rPr>
          <w:sz w:val="28"/>
          <w:szCs w:val="28"/>
          <w:vertAlign w:val="baseline"/>
        </w:rPr>
        <w:t xml:space="preserve"> </w:t>
      </w:r>
      <w:r w:rsidR="00B07731">
        <w:rPr>
          <w:sz w:val="28"/>
          <w:szCs w:val="28"/>
          <w:vertAlign w:val="baseline"/>
        </w:rPr>
        <w:t xml:space="preserve">But the </w:t>
      </w:r>
      <w:r w:rsidR="006A49D7">
        <w:rPr>
          <w:sz w:val="28"/>
          <w:szCs w:val="28"/>
          <w:vertAlign w:val="baseline"/>
        </w:rPr>
        <w:t>Petition</w:t>
      </w:r>
      <w:r w:rsidR="00B07731">
        <w:rPr>
          <w:sz w:val="28"/>
          <w:szCs w:val="28"/>
          <w:vertAlign w:val="baseline"/>
        </w:rPr>
        <w:t xml:space="preserve"> offers no analysis as to why sequential briefing would not also i</w:t>
      </w:r>
      <w:r w:rsidR="00EA6219">
        <w:rPr>
          <w:sz w:val="28"/>
          <w:szCs w:val="28"/>
          <w:vertAlign w:val="baseline"/>
        </w:rPr>
        <w:t>ncentivize</w:t>
      </w:r>
      <w:r w:rsidR="00B07731">
        <w:rPr>
          <w:sz w:val="28"/>
          <w:szCs w:val="28"/>
          <w:vertAlign w:val="baseline"/>
        </w:rPr>
        <w:t xml:space="preserve"> </w:t>
      </w:r>
      <w:r w:rsidR="00DE5BEB">
        <w:rPr>
          <w:sz w:val="28"/>
          <w:szCs w:val="28"/>
          <w:vertAlign w:val="baseline"/>
        </w:rPr>
        <w:t xml:space="preserve">raising new issues </w:t>
      </w:r>
      <w:r w:rsidR="00B07731">
        <w:rPr>
          <w:sz w:val="28"/>
          <w:szCs w:val="28"/>
          <w:vertAlign w:val="baseline"/>
        </w:rPr>
        <w:t xml:space="preserve">for the first time before the Arizona Supreme Court. Surely, sequential briefing would not deprive a party of the opportunity to respond to new arguments </w:t>
      </w:r>
      <w:r w:rsidR="00EA6219">
        <w:rPr>
          <w:sz w:val="28"/>
          <w:szCs w:val="28"/>
          <w:vertAlign w:val="baseline"/>
        </w:rPr>
        <w:t xml:space="preserve">by guaranteeing the parties </w:t>
      </w:r>
      <w:r w:rsidR="006A49D7">
        <w:rPr>
          <w:sz w:val="28"/>
          <w:szCs w:val="28"/>
          <w:vertAlign w:val="baseline"/>
        </w:rPr>
        <w:t xml:space="preserve">responsive briefing. </w:t>
      </w:r>
    </w:p>
    <w:p w:rsidR="006A49D7" w:rsidRPr="002C4600" w:rsidRDefault="006A49D7" w:rsidP="002C4600">
      <w:pPr>
        <w:spacing w:line="480" w:lineRule="auto"/>
        <w:ind w:firstLine="720"/>
        <w:jc w:val="both"/>
        <w:rPr>
          <w:sz w:val="28"/>
          <w:szCs w:val="28"/>
          <w:vertAlign w:val="baseline"/>
        </w:rPr>
      </w:pPr>
      <w:r>
        <w:rPr>
          <w:sz w:val="28"/>
          <w:szCs w:val="28"/>
          <w:vertAlign w:val="baseline"/>
        </w:rPr>
        <w:t xml:space="preserve">And as David </w:t>
      </w:r>
      <w:proofErr w:type="spellStart"/>
      <w:r>
        <w:rPr>
          <w:sz w:val="28"/>
          <w:szCs w:val="28"/>
          <w:vertAlign w:val="baseline"/>
        </w:rPr>
        <w:t>Euchner’s</w:t>
      </w:r>
      <w:proofErr w:type="spellEnd"/>
      <w:r>
        <w:rPr>
          <w:sz w:val="28"/>
          <w:szCs w:val="28"/>
          <w:vertAlign w:val="baseline"/>
        </w:rPr>
        <w:t xml:space="preserve"> comment establishes, new arguments are generally rejected when raised for the first time in the Arizona Supreme Court. A more faithful application of th</w:t>
      </w:r>
      <w:r w:rsidR="00DE5BEB">
        <w:rPr>
          <w:sz w:val="28"/>
          <w:szCs w:val="28"/>
          <w:vertAlign w:val="baseline"/>
        </w:rPr>
        <w:t>is</w:t>
      </w:r>
      <w:r>
        <w:rPr>
          <w:sz w:val="28"/>
          <w:szCs w:val="28"/>
          <w:vertAlign w:val="baseline"/>
        </w:rPr>
        <w:t xml:space="preserve"> rule with simultaneous briefing would discourage such new and undeveloped arguments</w:t>
      </w:r>
      <w:r w:rsidR="00EA6219">
        <w:rPr>
          <w:sz w:val="28"/>
          <w:szCs w:val="28"/>
          <w:vertAlign w:val="baseline"/>
        </w:rPr>
        <w:t xml:space="preserve"> being raised for the first time before the Arizona Supreme Court</w:t>
      </w:r>
      <w:r>
        <w:rPr>
          <w:sz w:val="28"/>
          <w:szCs w:val="28"/>
          <w:vertAlign w:val="baseline"/>
        </w:rPr>
        <w:t xml:space="preserve"> more than providing responsive briefing</w:t>
      </w:r>
      <w:r w:rsidR="00EA6219">
        <w:rPr>
          <w:sz w:val="28"/>
          <w:szCs w:val="28"/>
          <w:vertAlign w:val="baseline"/>
        </w:rPr>
        <w:t xml:space="preserve">. </w:t>
      </w:r>
      <w:r w:rsidRPr="00EA6219">
        <w:rPr>
          <w:i/>
          <w:sz w:val="28"/>
          <w:szCs w:val="28"/>
          <w:vertAlign w:val="baseline"/>
        </w:rPr>
        <w:t>See</w:t>
      </w:r>
      <w:r>
        <w:rPr>
          <w:sz w:val="28"/>
          <w:szCs w:val="28"/>
          <w:vertAlign w:val="baseline"/>
        </w:rPr>
        <w:t xml:space="preserve"> </w:t>
      </w:r>
      <w:r w:rsidR="00581E83">
        <w:rPr>
          <w:sz w:val="28"/>
          <w:szCs w:val="28"/>
          <w:vertAlign w:val="baseline"/>
        </w:rPr>
        <w:t xml:space="preserve">Comment of David </w:t>
      </w:r>
      <w:proofErr w:type="spellStart"/>
      <w:r w:rsidR="00581E83">
        <w:rPr>
          <w:sz w:val="28"/>
          <w:szCs w:val="28"/>
          <w:vertAlign w:val="baseline"/>
        </w:rPr>
        <w:t>Euchner</w:t>
      </w:r>
      <w:proofErr w:type="spellEnd"/>
      <w:r w:rsidR="0089502F">
        <w:rPr>
          <w:sz w:val="28"/>
          <w:szCs w:val="28"/>
          <w:vertAlign w:val="baseline"/>
        </w:rPr>
        <w:t xml:space="preserve"> at 6-8</w:t>
      </w:r>
      <w:r w:rsidR="00581E83">
        <w:rPr>
          <w:sz w:val="28"/>
          <w:szCs w:val="28"/>
          <w:vertAlign w:val="baseline"/>
        </w:rPr>
        <w:t xml:space="preserve">, </w:t>
      </w:r>
      <w:hyperlink r:id="rId23" w:history="1">
        <w:r w:rsidR="00581E83" w:rsidRPr="00581E83">
          <w:rPr>
            <w:rStyle w:val="Hyperlink"/>
            <w:sz w:val="28"/>
            <w:szCs w:val="28"/>
            <w:u w:val="none"/>
            <w:vertAlign w:val="baseline"/>
          </w:rPr>
          <w:t>R-25-0005</w:t>
        </w:r>
      </w:hyperlink>
      <w:r w:rsidR="00581E83">
        <w:rPr>
          <w:sz w:val="28"/>
          <w:szCs w:val="28"/>
          <w:vertAlign w:val="baseline"/>
        </w:rPr>
        <w:t xml:space="preserve"> (filed Apr. 23, 2025). </w:t>
      </w:r>
    </w:p>
    <w:p w:rsidR="001F7259" w:rsidRPr="00581E83" w:rsidRDefault="001F7259" w:rsidP="001F7259">
      <w:pPr>
        <w:pStyle w:val="ListParagraph"/>
        <w:numPr>
          <w:ilvl w:val="0"/>
          <w:numId w:val="10"/>
        </w:numPr>
        <w:spacing w:line="480" w:lineRule="auto"/>
        <w:jc w:val="both"/>
        <w:rPr>
          <w:b/>
          <w:sz w:val="28"/>
          <w:szCs w:val="28"/>
          <w:vertAlign w:val="baseline"/>
        </w:rPr>
      </w:pPr>
      <w:r w:rsidRPr="00581E83">
        <w:rPr>
          <w:b/>
          <w:sz w:val="28"/>
          <w:szCs w:val="28"/>
          <w:vertAlign w:val="baseline"/>
        </w:rPr>
        <w:t xml:space="preserve">Word Limits Promote Better Writing in the Digital Age. </w:t>
      </w:r>
    </w:p>
    <w:p w:rsidR="0089502F" w:rsidRDefault="00CE2874" w:rsidP="00EA6219">
      <w:pPr>
        <w:shd w:val="clear" w:color="auto" w:fill="FFFFFF"/>
        <w:spacing w:line="480" w:lineRule="auto"/>
        <w:ind w:firstLine="720"/>
        <w:jc w:val="both"/>
        <w:rPr>
          <w:color w:val="000000"/>
          <w:sz w:val="28"/>
          <w:szCs w:val="28"/>
          <w:vertAlign w:val="baseline"/>
        </w:rPr>
      </w:pPr>
      <w:r w:rsidRPr="00581E83">
        <w:rPr>
          <w:sz w:val="28"/>
          <w:szCs w:val="28"/>
          <w:vertAlign w:val="baseline"/>
        </w:rPr>
        <w:t xml:space="preserve">AACJ </w:t>
      </w:r>
      <w:r w:rsidR="00581E83" w:rsidRPr="00581E83">
        <w:rPr>
          <w:sz w:val="28"/>
          <w:szCs w:val="28"/>
          <w:vertAlign w:val="baseline"/>
        </w:rPr>
        <w:t xml:space="preserve">supports </w:t>
      </w:r>
      <w:r w:rsidRPr="00581E83">
        <w:rPr>
          <w:sz w:val="28"/>
          <w:szCs w:val="28"/>
          <w:vertAlign w:val="baseline"/>
        </w:rPr>
        <w:t>moving to word</w:t>
      </w:r>
      <w:r w:rsidR="0089502F">
        <w:rPr>
          <w:sz w:val="28"/>
          <w:szCs w:val="28"/>
          <w:vertAlign w:val="baseline"/>
        </w:rPr>
        <w:t xml:space="preserve"> </w:t>
      </w:r>
      <w:r w:rsidRPr="00581E83">
        <w:rPr>
          <w:sz w:val="28"/>
          <w:szCs w:val="28"/>
          <w:vertAlign w:val="baseline"/>
        </w:rPr>
        <w:t xml:space="preserve">limits instead of page numbers as a means of governing the size of briefs filed before this Court. </w:t>
      </w:r>
      <w:r w:rsidR="00581E83" w:rsidRPr="00581E83">
        <w:rPr>
          <w:sz w:val="28"/>
          <w:szCs w:val="28"/>
          <w:vertAlign w:val="baseline"/>
        </w:rPr>
        <w:t>“</w:t>
      </w:r>
      <w:r w:rsidR="00581E83" w:rsidRPr="00581E83">
        <w:rPr>
          <w:color w:val="000000"/>
          <w:sz w:val="28"/>
          <w:szCs w:val="28"/>
          <w:vertAlign w:val="baseline"/>
        </w:rPr>
        <w:t xml:space="preserve">The experience of the reader is a paramount consideration for legal writers, and as the profession transitions from </w:t>
      </w:r>
      <w:r w:rsidR="00581E83" w:rsidRPr="00581E83">
        <w:rPr>
          <w:color w:val="000000"/>
          <w:sz w:val="28"/>
          <w:szCs w:val="28"/>
          <w:vertAlign w:val="baseline"/>
        </w:rPr>
        <w:lastRenderedPageBreak/>
        <w:t xml:space="preserve">paper to electronic files, numerous issues arise relating to how visual aspects of the document affect that experience.” </w:t>
      </w:r>
      <w:hyperlink r:id="rId24" w:history="1">
        <w:r w:rsidR="00581E83" w:rsidRPr="00581E83">
          <w:rPr>
            <w:rStyle w:val="Hyperlink"/>
            <w:sz w:val="28"/>
            <w:szCs w:val="28"/>
            <w:u w:val="none"/>
            <w:vertAlign w:val="baseline"/>
          </w:rPr>
          <w:t xml:space="preserve">Ellie Margolis, </w:t>
        </w:r>
        <w:r w:rsidR="00581E83" w:rsidRPr="00581E83">
          <w:rPr>
            <w:rStyle w:val="Hyperlink"/>
            <w:i/>
            <w:sz w:val="28"/>
            <w:szCs w:val="28"/>
            <w:u w:val="none"/>
            <w:bdr w:val="none" w:sz="0" w:space="0" w:color="auto" w:frame="1"/>
            <w:vertAlign w:val="baseline"/>
          </w:rPr>
          <w:t>Visual Legal Writing A Bibliography</w:t>
        </w:r>
        <w:r w:rsidR="00581E83" w:rsidRPr="00581E83">
          <w:rPr>
            <w:rStyle w:val="Hyperlink"/>
            <w:sz w:val="28"/>
            <w:szCs w:val="28"/>
            <w:u w:val="none"/>
            <w:vertAlign w:val="baseline"/>
          </w:rPr>
          <w:t>, 18 Legal Comm. &amp; Rhetoric: JALWD 195, 197 (2021)</w:t>
        </w:r>
      </w:hyperlink>
      <w:r w:rsidR="00EA6219">
        <w:rPr>
          <w:color w:val="000000"/>
          <w:sz w:val="28"/>
          <w:szCs w:val="28"/>
          <w:vertAlign w:val="baseline"/>
        </w:rPr>
        <w:t xml:space="preserve">. </w:t>
      </w:r>
    </w:p>
    <w:p w:rsidR="0089502F" w:rsidRDefault="00EA6219" w:rsidP="00EA6219">
      <w:pPr>
        <w:shd w:val="clear" w:color="auto" w:fill="FFFFFF"/>
        <w:spacing w:line="480" w:lineRule="auto"/>
        <w:ind w:firstLine="720"/>
        <w:jc w:val="both"/>
        <w:rPr>
          <w:color w:val="000000"/>
          <w:sz w:val="28"/>
          <w:szCs w:val="28"/>
          <w:vertAlign w:val="baseline"/>
        </w:rPr>
      </w:pPr>
      <w:r>
        <w:rPr>
          <w:color w:val="000000"/>
          <w:sz w:val="28"/>
          <w:szCs w:val="28"/>
          <w:vertAlign w:val="baseline"/>
        </w:rPr>
        <w:t>Among the topics considered by experts is the importance of white space in brief</w:t>
      </w:r>
      <w:r w:rsidR="00C71A24">
        <w:rPr>
          <w:color w:val="000000"/>
          <w:sz w:val="28"/>
          <w:szCs w:val="28"/>
          <w:vertAlign w:val="baseline"/>
        </w:rPr>
        <w:t>s</w:t>
      </w:r>
      <w:r>
        <w:rPr>
          <w:color w:val="000000"/>
          <w:sz w:val="28"/>
          <w:szCs w:val="28"/>
          <w:vertAlign w:val="baseline"/>
        </w:rPr>
        <w:t xml:space="preserve">. </w:t>
      </w:r>
    </w:p>
    <w:p w:rsidR="00581E83" w:rsidRDefault="00CE2874" w:rsidP="00EA6219">
      <w:pPr>
        <w:shd w:val="clear" w:color="auto" w:fill="FFFFFF"/>
        <w:spacing w:line="480" w:lineRule="auto"/>
        <w:ind w:firstLine="720"/>
        <w:jc w:val="both"/>
        <w:rPr>
          <w:sz w:val="28"/>
          <w:szCs w:val="28"/>
          <w:vertAlign w:val="baseline"/>
        </w:rPr>
      </w:pPr>
      <w:r w:rsidRPr="00581E83">
        <w:rPr>
          <w:sz w:val="28"/>
          <w:szCs w:val="28"/>
          <w:vertAlign w:val="baseline"/>
        </w:rPr>
        <w:t xml:space="preserve">Briefs should be written </w:t>
      </w:r>
      <w:r w:rsidR="00335E9F" w:rsidRPr="00581E83">
        <w:rPr>
          <w:sz w:val="28"/>
          <w:szCs w:val="28"/>
          <w:vertAlign w:val="baseline"/>
        </w:rPr>
        <w:t xml:space="preserve">to reduce the cognitive load on the reader, and the increased use of white space in digital briefs is essential to this goal. </w:t>
      </w:r>
      <w:hyperlink r:id="rId25" w:history="1">
        <w:r w:rsidR="00335E9F" w:rsidRPr="00581E83">
          <w:rPr>
            <w:rStyle w:val="Hyperlink"/>
            <w:sz w:val="28"/>
            <w:szCs w:val="28"/>
            <w:u w:val="none"/>
            <w:vertAlign w:val="baseline"/>
          </w:rPr>
          <w:t xml:space="preserve">Mary Beth Beazley, </w:t>
        </w:r>
        <w:r w:rsidR="00335E9F" w:rsidRPr="00581E83">
          <w:rPr>
            <w:rStyle w:val="Hyperlink"/>
            <w:i/>
            <w:sz w:val="28"/>
            <w:szCs w:val="28"/>
            <w:u w:val="none"/>
            <w:bdr w:val="none" w:sz="0" w:space="0" w:color="auto" w:frame="1"/>
            <w:vertAlign w:val="baseline"/>
          </w:rPr>
          <w:t>Writing for A Mind at Work: Appellate Advocacy and the Science of Digital Reading</w:t>
        </w:r>
        <w:r w:rsidR="00335E9F" w:rsidRPr="00581E83">
          <w:rPr>
            <w:rStyle w:val="Hyperlink"/>
            <w:sz w:val="28"/>
            <w:szCs w:val="28"/>
            <w:u w:val="none"/>
            <w:vertAlign w:val="baseline"/>
          </w:rPr>
          <w:t xml:space="preserve">, 54 </w:t>
        </w:r>
        <w:proofErr w:type="spellStart"/>
        <w:r w:rsidR="00335E9F" w:rsidRPr="00581E83">
          <w:rPr>
            <w:rStyle w:val="Hyperlink"/>
            <w:sz w:val="28"/>
            <w:szCs w:val="28"/>
            <w:u w:val="none"/>
            <w:vertAlign w:val="baseline"/>
          </w:rPr>
          <w:t>Duq</w:t>
        </w:r>
        <w:proofErr w:type="spellEnd"/>
        <w:r w:rsidR="00335E9F" w:rsidRPr="00581E83">
          <w:rPr>
            <w:rStyle w:val="Hyperlink"/>
            <w:sz w:val="28"/>
            <w:szCs w:val="28"/>
            <w:u w:val="none"/>
            <w:vertAlign w:val="baseline"/>
          </w:rPr>
          <w:t>. L. Rev. 415, 448 (2016).</w:t>
        </w:r>
      </w:hyperlink>
      <w:r w:rsidR="00581E83" w:rsidRPr="00581E83">
        <w:rPr>
          <w:sz w:val="28"/>
          <w:szCs w:val="28"/>
          <w:vertAlign w:val="baseline"/>
        </w:rPr>
        <w:t xml:space="preserve">  </w:t>
      </w:r>
    </w:p>
    <w:p w:rsidR="00EA6219" w:rsidRPr="00581E83" w:rsidRDefault="00EA6219" w:rsidP="00EA6219">
      <w:pPr>
        <w:shd w:val="clear" w:color="auto" w:fill="FFFFFF"/>
        <w:spacing w:line="480" w:lineRule="auto"/>
        <w:ind w:firstLine="720"/>
        <w:jc w:val="both"/>
        <w:rPr>
          <w:color w:val="000000"/>
          <w:sz w:val="28"/>
          <w:szCs w:val="28"/>
          <w:vertAlign w:val="baseline"/>
        </w:rPr>
      </w:pPr>
      <w:r>
        <w:rPr>
          <w:color w:val="000000"/>
          <w:sz w:val="28"/>
          <w:szCs w:val="28"/>
          <w:vertAlign w:val="baseline"/>
        </w:rPr>
        <w:t xml:space="preserve">By shifting to word limits and away from page counts, lawyers and jurists alike will benefit from reduced cognitive load and improved comprehension. </w:t>
      </w:r>
    </w:p>
    <w:p w:rsidR="007F3ABC" w:rsidRDefault="007F3ABC">
      <w:pPr>
        <w:ind w:right="58"/>
        <w:jc w:val="center"/>
        <w:rPr>
          <w:sz w:val="28"/>
          <w:szCs w:val="28"/>
          <w:vertAlign w:val="baseline"/>
        </w:rPr>
      </w:pPr>
    </w:p>
    <w:p w:rsidR="00C71A24" w:rsidRDefault="00C71A24">
      <w:pPr>
        <w:ind w:right="58"/>
        <w:jc w:val="center"/>
        <w:rPr>
          <w:sz w:val="28"/>
          <w:szCs w:val="28"/>
          <w:vertAlign w:val="baseline"/>
        </w:rPr>
      </w:pPr>
    </w:p>
    <w:p w:rsidR="006E5AA7" w:rsidRDefault="009E605E">
      <w:pPr>
        <w:ind w:right="58"/>
        <w:jc w:val="center"/>
        <w:rPr>
          <w:sz w:val="28"/>
          <w:szCs w:val="28"/>
          <w:vertAlign w:val="baseline"/>
        </w:rPr>
      </w:pPr>
      <w:r>
        <w:rPr>
          <w:sz w:val="28"/>
          <w:szCs w:val="28"/>
          <w:vertAlign w:val="baseline"/>
        </w:rPr>
        <w:t>Respectfully submitted this</w:t>
      </w:r>
      <w:r w:rsidR="00C71A24">
        <w:rPr>
          <w:sz w:val="28"/>
          <w:szCs w:val="28"/>
          <w:vertAlign w:val="baseline"/>
        </w:rPr>
        <w:t xml:space="preserve"> 30</w:t>
      </w:r>
      <w:r w:rsidR="00C71A24" w:rsidRPr="00C71A24">
        <w:rPr>
          <w:sz w:val="28"/>
          <w:szCs w:val="28"/>
        </w:rPr>
        <w:t>th</w:t>
      </w:r>
      <w:r w:rsidR="00C71A24">
        <w:rPr>
          <w:sz w:val="28"/>
          <w:szCs w:val="28"/>
          <w:vertAlign w:val="baseline"/>
        </w:rPr>
        <w:t xml:space="preserve"> </w:t>
      </w:r>
      <w:r w:rsidR="003206D1">
        <w:rPr>
          <w:sz w:val="28"/>
          <w:szCs w:val="28"/>
          <w:vertAlign w:val="baseline"/>
        </w:rPr>
        <w:t>day of</w:t>
      </w:r>
      <w:r w:rsidR="00C71A24">
        <w:rPr>
          <w:sz w:val="28"/>
          <w:szCs w:val="28"/>
          <w:vertAlign w:val="baseline"/>
        </w:rPr>
        <w:t xml:space="preserve"> April</w:t>
      </w:r>
      <w:bookmarkStart w:id="5" w:name="_GoBack"/>
      <w:bookmarkEnd w:id="5"/>
      <w:r w:rsidR="003206D1">
        <w:rPr>
          <w:sz w:val="28"/>
          <w:szCs w:val="28"/>
          <w:vertAlign w:val="baseline"/>
        </w:rPr>
        <w:t>, 202</w:t>
      </w:r>
      <w:r w:rsidR="00CE2874">
        <w:rPr>
          <w:sz w:val="28"/>
          <w:szCs w:val="28"/>
          <w:vertAlign w:val="baseline"/>
        </w:rPr>
        <w:t>5</w:t>
      </w:r>
    </w:p>
    <w:p w:rsidR="006E5AA7" w:rsidRDefault="006E5AA7">
      <w:pPr>
        <w:ind w:right="58"/>
        <w:jc w:val="center"/>
        <w:rPr>
          <w:sz w:val="28"/>
          <w:szCs w:val="28"/>
          <w:vertAlign w:val="baseline"/>
        </w:rPr>
      </w:pPr>
    </w:p>
    <w:p w:rsidR="006E5AA7" w:rsidRDefault="009E605E">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3206D1">
        <w:rPr>
          <w:i/>
          <w:sz w:val="28"/>
          <w:szCs w:val="28"/>
          <w:u w:val="single"/>
          <w:vertAlign w:val="baseline"/>
        </w:rPr>
        <w:t xml:space="preserve">Kevin D. Heade </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3206D1">
        <w:rPr>
          <w:sz w:val="28"/>
          <w:szCs w:val="28"/>
          <w:vertAlign w:val="baseline"/>
        </w:rPr>
        <w:t xml:space="preserve">     Kevin D. Heade</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w:t>
      </w:r>
      <w:r w:rsidR="003206D1">
        <w:rPr>
          <w:sz w:val="28"/>
          <w:szCs w:val="28"/>
          <w:vertAlign w:val="baseline"/>
        </w:rPr>
        <w:t>Arizona Attorneys for Criminal Justice</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p>
    <w:p w:rsidR="006E5AA7" w:rsidRDefault="006E5AA7">
      <w:pPr>
        <w:rPr>
          <w:sz w:val="28"/>
          <w:szCs w:val="28"/>
          <w:vertAlign w:val="baseline"/>
        </w:rPr>
      </w:pPr>
    </w:p>
    <w:sectPr w:rsidR="006E5AA7">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4E5" w:rsidRDefault="00F834E5">
      <w:r>
        <w:separator/>
      </w:r>
    </w:p>
  </w:endnote>
  <w:endnote w:type="continuationSeparator" w:id="0">
    <w:p w:rsidR="00F834E5" w:rsidRDefault="00F8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A7" w:rsidRDefault="009E605E">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131EB3">
      <w:rPr>
        <w:noProof/>
        <w:color w:val="000000"/>
        <w:sz w:val="28"/>
        <w:szCs w:val="28"/>
        <w:vertAlign w:val="baseline"/>
      </w:rPr>
      <w:t>4</w:t>
    </w:r>
    <w:r>
      <w:rPr>
        <w:color w:val="000000"/>
        <w:sz w:val="28"/>
        <w:szCs w:val="28"/>
        <w:vertAlign w:val="baseline"/>
      </w:rPr>
      <w:fldChar w:fldCharType="end"/>
    </w:r>
  </w:p>
  <w:p w:rsidR="006E5AA7" w:rsidRDefault="006E5A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4E5" w:rsidRDefault="00F834E5">
      <w:r>
        <w:separator/>
      </w:r>
    </w:p>
  </w:footnote>
  <w:footnote w:type="continuationSeparator" w:id="0">
    <w:p w:rsidR="00F834E5" w:rsidRDefault="00F834E5">
      <w:r>
        <w:continuationSeparator/>
      </w:r>
    </w:p>
  </w:footnote>
  <w:footnote w:id="1">
    <w:p w:rsidR="001666E1" w:rsidRDefault="001666E1">
      <w:pPr>
        <w:pStyle w:val="FootnoteText"/>
      </w:pPr>
      <w:r>
        <w:rPr>
          <w:rStyle w:val="FootnoteReference"/>
        </w:rPr>
        <w:footnoteRef/>
      </w:r>
      <w:r>
        <w:t xml:space="preserve"> </w:t>
      </w:r>
      <w:r w:rsidRPr="001666E1">
        <w:rPr>
          <w:i/>
          <w:color w:val="000000"/>
          <w:sz w:val="28"/>
          <w:szCs w:val="28"/>
          <w:vertAlign w:val="baseline"/>
        </w:rPr>
        <w:t xml:space="preserve">See </w:t>
      </w:r>
      <w:r>
        <w:rPr>
          <w:color w:val="000000"/>
          <w:sz w:val="28"/>
          <w:szCs w:val="28"/>
          <w:vertAlign w:val="baseline"/>
        </w:rPr>
        <w:t>Ariz. Const. Art. II, Sec. 24 (guaranteeing right to appeal).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1E2541"/>
    <w:multiLevelType w:val="hybridMultilevel"/>
    <w:tmpl w:val="9B7EC58E"/>
    <w:lvl w:ilvl="0" w:tplc="F774A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FD69DA"/>
    <w:multiLevelType w:val="hybridMultilevel"/>
    <w:tmpl w:val="882C6368"/>
    <w:lvl w:ilvl="0" w:tplc="C3B80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0"/>
  </w:num>
  <w:num w:numId="3">
    <w:abstractNumId w:val="9"/>
  </w:num>
  <w:num w:numId="4">
    <w:abstractNumId w:val="4"/>
  </w:num>
  <w:num w:numId="5">
    <w:abstractNumId w:val="3"/>
  </w:num>
  <w:num w:numId="6">
    <w:abstractNumId w:val="2"/>
  </w:num>
  <w:num w:numId="7">
    <w:abstractNumId w:val="1"/>
  </w:num>
  <w:num w:numId="8">
    <w:abstractNumId w:val="0"/>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22CDB"/>
    <w:rsid w:val="00131EB3"/>
    <w:rsid w:val="001666E1"/>
    <w:rsid w:val="001F7259"/>
    <w:rsid w:val="002006A1"/>
    <w:rsid w:val="002932B6"/>
    <w:rsid w:val="002C4600"/>
    <w:rsid w:val="002D731C"/>
    <w:rsid w:val="002E1522"/>
    <w:rsid w:val="002F482A"/>
    <w:rsid w:val="00317F9C"/>
    <w:rsid w:val="003206D1"/>
    <w:rsid w:val="0033192E"/>
    <w:rsid w:val="00335E9F"/>
    <w:rsid w:val="0034462C"/>
    <w:rsid w:val="00385003"/>
    <w:rsid w:val="00392373"/>
    <w:rsid w:val="004310A4"/>
    <w:rsid w:val="0051589B"/>
    <w:rsid w:val="005232D8"/>
    <w:rsid w:val="00567971"/>
    <w:rsid w:val="00581E83"/>
    <w:rsid w:val="005B4887"/>
    <w:rsid w:val="00643B04"/>
    <w:rsid w:val="006A49D7"/>
    <w:rsid w:val="006D356E"/>
    <w:rsid w:val="006E5AA7"/>
    <w:rsid w:val="007710B6"/>
    <w:rsid w:val="007F3ABC"/>
    <w:rsid w:val="00803A5A"/>
    <w:rsid w:val="0089502F"/>
    <w:rsid w:val="008E5DEB"/>
    <w:rsid w:val="00913130"/>
    <w:rsid w:val="009E605E"/>
    <w:rsid w:val="00A31E14"/>
    <w:rsid w:val="00A46F46"/>
    <w:rsid w:val="00AE43B7"/>
    <w:rsid w:val="00B07731"/>
    <w:rsid w:val="00B21536"/>
    <w:rsid w:val="00B25425"/>
    <w:rsid w:val="00BB2DE8"/>
    <w:rsid w:val="00C62BBA"/>
    <w:rsid w:val="00C71A24"/>
    <w:rsid w:val="00CE2874"/>
    <w:rsid w:val="00D64E08"/>
    <w:rsid w:val="00D854E6"/>
    <w:rsid w:val="00D8750B"/>
    <w:rsid w:val="00DC29AA"/>
    <w:rsid w:val="00DE5BEB"/>
    <w:rsid w:val="00EA6219"/>
    <w:rsid w:val="00EB038C"/>
    <w:rsid w:val="00F8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8F3F"/>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customStyle="1" w:styleId="coconcept3439">
    <w:name w:val="co_concept_34_39"/>
    <w:basedOn w:val="DefaultParagraphFont"/>
    <w:rsid w:val="00BB2DE8"/>
  </w:style>
  <w:style w:type="character" w:customStyle="1" w:styleId="coconcept2629">
    <w:name w:val="co_concept_26_29"/>
    <w:basedOn w:val="DefaultParagraphFont"/>
    <w:rsid w:val="00BB2DE8"/>
  </w:style>
  <w:style w:type="character" w:styleId="UnresolvedMention">
    <w:name w:val="Unresolved Mention"/>
    <w:basedOn w:val="DefaultParagraphFont"/>
    <w:uiPriority w:val="99"/>
    <w:semiHidden/>
    <w:unhideWhenUsed/>
    <w:rsid w:val="00BB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8002292">
      <w:bodyDiv w:val="1"/>
      <w:marLeft w:val="0"/>
      <w:marRight w:val="0"/>
      <w:marTop w:val="0"/>
      <w:marBottom w:val="0"/>
      <w:divBdr>
        <w:top w:val="none" w:sz="0" w:space="0" w:color="auto"/>
        <w:left w:val="none" w:sz="0" w:space="0" w:color="auto"/>
        <w:bottom w:val="none" w:sz="0" w:space="0" w:color="auto"/>
        <w:right w:val="none" w:sz="0" w:space="0" w:color="auto"/>
      </w:divBdr>
      <w:divsChild>
        <w:div w:id="1439056969">
          <w:marLeft w:val="0"/>
          <w:marRight w:val="0"/>
          <w:marTop w:val="0"/>
          <w:marBottom w:val="0"/>
          <w:divBdr>
            <w:top w:val="none" w:sz="0" w:space="0" w:color="3D3D3D"/>
            <w:left w:val="none" w:sz="0" w:space="0" w:color="3D3D3D"/>
            <w:bottom w:val="none" w:sz="0" w:space="0" w:color="3D3D3D"/>
            <w:right w:val="none" w:sz="0" w:space="0" w:color="3D3D3D"/>
          </w:divBdr>
          <w:divsChild>
            <w:div w:id="18742958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1622548">
      <w:bodyDiv w:val="1"/>
      <w:marLeft w:val="0"/>
      <w:marRight w:val="0"/>
      <w:marTop w:val="0"/>
      <w:marBottom w:val="0"/>
      <w:divBdr>
        <w:top w:val="none" w:sz="0" w:space="0" w:color="auto"/>
        <w:left w:val="none" w:sz="0" w:space="0" w:color="auto"/>
        <w:bottom w:val="none" w:sz="0" w:space="0" w:color="auto"/>
        <w:right w:val="none" w:sz="0" w:space="0" w:color="auto"/>
      </w:divBdr>
      <w:divsChild>
        <w:div w:id="1275745097">
          <w:marLeft w:val="0"/>
          <w:marRight w:val="0"/>
          <w:marTop w:val="0"/>
          <w:marBottom w:val="0"/>
          <w:divBdr>
            <w:top w:val="none" w:sz="0" w:space="0" w:color="3D3D3D"/>
            <w:left w:val="none" w:sz="0" w:space="0" w:color="3D3D3D"/>
            <w:bottom w:val="none" w:sz="0" w:space="0" w:color="3D3D3D"/>
            <w:right w:val="none" w:sz="0" w:space="0" w:color="3D3D3D"/>
          </w:divBdr>
          <w:divsChild>
            <w:div w:id="11125521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5581231">
      <w:bodyDiv w:val="1"/>
      <w:marLeft w:val="0"/>
      <w:marRight w:val="0"/>
      <w:marTop w:val="0"/>
      <w:marBottom w:val="0"/>
      <w:divBdr>
        <w:top w:val="none" w:sz="0" w:space="0" w:color="auto"/>
        <w:left w:val="none" w:sz="0" w:space="0" w:color="auto"/>
        <w:bottom w:val="none" w:sz="0" w:space="0" w:color="auto"/>
        <w:right w:val="none" w:sz="0" w:space="0" w:color="auto"/>
      </w:divBdr>
      <w:divsChild>
        <w:div w:id="1508522737">
          <w:marLeft w:val="0"/>
          <w:marRight w:val="0"/>
          <w:marTop w:val="0"/>
          <w:marBottom w:val="0"/>
          <w:divBdr>
            <w:top w:val="none" w:sz="0" w:space="0" w:color="3D3D3D"/>
            <w:left w:val="none" w:sz="0" w:space="0" w:color="3D3D3D"/>
            <w:bottom w:val="none" w:sz="0" w:space="0" w:color="3D3D3D"/>
            <w:right w:val="none" w:sz="0" w:space="0" w:color="3D3D3D"/>
          </w:divBdr>
          <w:divsChild>
            <w:div w:id="4037938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9167991">
      <w:bodyDiv w:val="1"/>
      <w:marLeft w:val="0"/>
      <w:marRight w:val="0"/>
      <w:marTop w:val="0"/>
      <w:marBottom w:val="0"/>
      <w:divBdr>
        <w:top w:val="none" w:sz="0" w:space="0" w:color="auto"/>
        <w:left w:val="none" w:sz="0" w:space="0" w:color="auto"/>
        <w:bottom w:val="none" w:sz="0" w:space="0" w:color="auto"/>
        <w:right w:val="none" w:sz="0" w:space="0" w:color="auto"/>
      </w:divBdr>
      <w:divsChild>
        <w:div w:id="147788373">
          <w:marLeft w:val="0"/>
          <w:marRight w:val="0"/>
          <w:marTop w:val="0"/>
          <w:marBottom w:val="0"/>
          <w:divBdr>
            <w:top w:val="none" w:sz="0" w:space="0" w:color="3D3D3D"/>
            <w:left w:val="none" w:sz="0" w:space="0" w:color="3D3D3D"/>
            <w:bottom w:val="none" w:sz="0" w:space="0" w:color="3D3D3D"/>
            <w:right w:val="none" w:sz="0" w:space="0" w:color="3D3D3D"/>
          </w:divBdr>
          <w:divsChild>
            <w:div w:id="12273800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6899964">
      <w:bodyDiv w:val="1"/>
      <w:marLeft w:val="0"/>
      <w:marRight w:val="0"/>
      <w:marTop w:val="0"/>
      <w:marBottom w:val="0"/>
      <w:divBdr>
        <w:top w:val="none" w:sz="0" w:space="0" w:color="auto"/>
        <w:left w:val="none" w:sz="0" w:space="0" w:color="auto"/>
        <w:bottom w:val="none" w:sz="0" w:space="0" w:color="auto"/>
        <w:right w:val="none" w:sz="0" w:space="0" w:color="auto"/>
      </w:divBdr>
      <w:divsChild>
        <w:div w:id="459767766">
          <w:marLeft w:val="0"/>
          <w:marRight w:val="0"/>
          <w:marTop w:val="0"/>
          <w:marBottom w:val="0"/>
          <w:divBdr>
            <w:top w:val="none" w:sz="0" w:space="0" w:color="3D3D3D"/>
            <w:left w:val="none" w:sz="0" w:space="0" w:color="3D3D3D"/>
            <w:bottom w:val="none" w:sz="0" w:space="0" w:color="3D3D3D"/>
            <w:right w:val="none" w:sz="0" w:space="0" w:color="3D3D3D"/>
          </w:divBdr>
          <w:divsChild>
            <w:div w:id="782171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next.westlaw.com/Document/Ib9363e31b67c11d9a49dec8cdbddd959/View/FullText.html?navigationPath=Search%2Fv1%2Fresults%2Fnavigation%2Fi0a9399b100000196827bc8f625123ed3%3Fppcid%3D6b971fe72f624523a92b384e25c37052%26Nav%3DANALYTICAL%26fragmentIdentifier%3DIb9363e31b67c11d9a49dec8cdbddd959%26parentRank%3D0%26startIndex%3D1%26contextData%3D%2528sc.Search%2529%26transitionType%3DSearchItem&amp;listSource=Search&amp;listPageSource=fc60249bacedd112f67a3e558317bd4f&amp;list=ANALYTICAL&amp;rank=12&amp;sessionScopeId=1e8702e8d9d87b6e74eb290f58f39beea95f053328120a93d6a0b81f127b9271&amp;ppcid=6b971fe72f624523a92b384e25c37052&amp;originationContext=Search%20Result&amp;transitionType=SearchItem&amp;contextData=%28sc.Search%29" TargetMode="External"/><Relationship Id="rId18" Type="http://schemas.openxmlformats.org/officeDocument/2006/relationships/hyperlink" Target="https://1.next.westlaw.com/Document/Icdc1af50e87e11eebe9fb3bd33cc2895/View/FullText.html?navigationPath=Search%2Fv1%2Fresults%2Fnavigation%2Fi0a9399b10000019682c36030fd6323c2%3Fppcid%3De01eb1d619fe47738f67108169551c9f%26Nav%3DCASE%26fragmentIdentifier%3DIcdc1af50e87e11eebe9fb3bd33cc2895%26parentRank%3D0%26startIndex%3D1%26contextData%3D%2528sc.Search%2529%26transitionType%3DSearchItem&amp;listSource=Search&amp;listPageSource=bc4739b82a22760a3c9e1f449757dc52&amp;list=CASE&amp;rank=11&amp;sessionScopeId=1e8702e8d9d87b6e74eb290f58f39beea95f053328120a93d6a0b81f127b9271&amp;ppcid=e01eb1d619fe47738f67108169551c9f&amp;originationContext=Search%20Result&amp;transitionType=SearchItem&amp;contextData=%28sc.Search%29"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azcourts.gov/Rules-Forum/aft/1697" TargetMode="External"/><Relationship Id="rId7" Type="http://schemas.openxmlformats.org/officeDocument/2006/relationships/footnotes" Target="footnotes.xml"/><Relationship Id="rId12" Type="http://schemas.openxmlformats.org/officeDocument/2006/relationships/hyperlink" Target="https://1.next.westlaw.com/Document/Ib9363e31b67c11d9a49dec8cdbddd959/View/FullText.html?navigationPath=Search%2Fv1%2Fresults%2Fnavigation%2Fi0a9399b100000196827bc8f625123ed3%3Fppcid%3D6b971fe72f624523a92b384e25c37052%26Nav%3DANALYTICAL%26fragmentIdentifier%3DIb9363e31b67c11d9a49dec8cdbddd959%26parentRank%3D0%26startIndex%3D1%26contextData%3D%2528sc.Search%2529%26transitionType%3DSearchItem&amp;listSource=Search&amp;listPageSource=fc60249bacedd112f67a3e558317bd4f&amp;list=ANALYTICAL&amp;rank=12&amp;sessionScopeId=1e8702e8d9d87b6e74eb290f58f39beea95f053328120a93d6a0b81f127b9271&amp;ppcid=6b971fe72f624523a92b384e25c37052&amp;originationContext=Search%20Result&amp;transitionType=SearchItem&amp;contextData=%28sc.Search%29" TargetMode="External"/><Relationship Id="rId17" Type="http://schemas.openxmlformats.org/officeDocument/2006/relationships/hyperlink" Target="https://www.azcourts.gov/Rules-Forum/aft/1686" TargetMode="External"/><Relationship Id="rId25" Type="http://schemas.openxmlformats.org/officeDocument/2006/relationships/hyperlink" Target="https://1.next.westlaw.com/Document/I78f8f2f22ec711e798dc8b09b4f043e0/View/FullText.html?transitionType=UniqueDocItem&amp;contextData=(sc.Default)&amp;userEnteredCitation=54+Duq.+L.+Rev.+415" TargetMode="External"/><Relationship Id="rId2" Type="http://schemas.openxmlformats.org/officeDocument/2006/relationships/customXml" Target="../customXml/item2.xml"/><Relationship Id="rId16" Type="http://schemas.openxmlformats.org/officeDocument/2006/relationships/hyperlink" Target="https://www.azcourts.gov/Rules-Forum/aft/1686" TargetMode="External"/><Relationship Id="rId20" Type="http://schemas.openxmlformats.org/officeDocument/2006/relationships/hyperlink" Target="https://1.next.westlaw.com/Document/NE0E8049070BE11DAA16E8D4AC7636430/View/FullText.html?originationContext=documenttoc&amp;transitionType=CategoryPageItem&amp;contextData=(sc.Defau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next.westlaw.com/Document/N05C7DE20C30911ED96AD96B995216319/View/FullText.html?originationContext=documenttoc&amp;transitionType=CategoryPageItem&amp;contextData=(sc.Default)" TargetMode="External"/><Relationship Id="rId24" Type="http://schemas.openxmlformats.org/officeDocument/2006/relationships/hyperlink" Target="https://1.next.westlaw.com/Document/I7cbc27cf908811ec9f24ec7b211d8087/View/FullText.html?navigationPath=%2FRelatedInfo%2Fv1%2FkcCitingReferences%2Fnav%3FdocGuid%3DI78f8f2f22ec711e798dc8b09b4f043e0%26midlineIndex%3D3%26warningFlag%3DX%26planIcons%3DYES%26skipOutOfPlan%3DNO%26sort%3Ddepthdesc%26category%3DkcCitingReferences%26origDocSource%3D82e4f77bc26e420193256ce2adc671cc&amp;listSource=RelatedInfo&amp;list=CitingReferences&amp;rank=3&amp;docFamilyGuid=I811d519c909211ec8d95db3b25d74de2&amp;overruleRisk=true&amp;ppcid=14e2adbae0dc401bb28bf4a969b144d8&amp;originationContext=citingreferences&amp;transitionType=CitingReferencesItem&amp;contextData=%28sc.UserEnteredCitation%29" TargetMode="External"/><Relationship Id="rId5" Type="http://schemas.openxmlformats.org/officeDocument/2006/relationships/settings" Target="settings.xml"/><Relationship Id="rId15" Type="http://schemas.openxmlformats.org/officeDocument/2006/relationships/hyperlink" Target="https://www.kjzz.org/kjzz-news/2025-02-21/aclu-inmates-lives-cant-wait-for-slow-fixes-to-arizona-prison-health-care" TargetMode="External"/><Relationship Id="rId23" Type="http://schemas.openxmlformats.org/officeDocument/2006/relationships/hyperlink" Target="https://www.azcourts.gov/Rules-Forum/aft/1686" TargetMode="External"/><Relationship Id="rId28" Type="http://schemas.openxmlformats.org/officeDocument/2006/relationships/theme" Target="theme/theme1.xml"/><Relationship Id="rId10" Type="http://schemas.openxmlformats.org/officeDocument/2006/relationships/hyperlink" Target="https://1.next.westlaw.com/Document/N05C7DE20C30911ED96AD96B995216319/View/FullText.html?originationContext=documenttoc&amp;transitionType=CategoryPageItem&amp;contextData=(sc.Default)" TargetMode="External"/><Relationship Id="rId19" Type="http://schemas.openxmlformats.org/officeDocument/2006/relationships/hyperlink" Target="https://1.next.westlaw.com/Document/Id0a7d1e00c0e11f0bf53f246ba9abbaf/View/FullText.html?navigationPath=%2FFoldering%2Fv3%2FKevin.Heade%2Fhistory%2Fitems%2FdocumentNavigation%2F14ee9387-6602-436e-9c49-df857318d308%2FGQmSm5T4wd7Rr%60nBEu54CHGwV%7CxkiwGQD4J9IXvQQHvcopvoxH7omJx3c%7CzFvsy7PrhlnQbFu9A6HApvrrpUNUJQQ%7CbsC2q%60Ut9XBA%7CextM-&amp;listSource=Foldering&amp;list=historyDocuments&amp;rank=4&amp;sessionScopeId=1e8702e8d9d87b6e74eb290f58f39beea95f053328120a93d6a0b81f127b9271&amp;originationContext=MyResearchHistoryAll&amp;transitionType=MyResearchHistoryItem&amp;contextData=%28oc.Search%29&amp;VR=3.0&amp;RS=cblt1.0" TargetMode="External"/><Relationship Id="rId4" Type="http://schemas.openxmlformats.org/officeDocument/2006/relationships/styles" Target="styles.xml"/><Relationship Id="rId9" Type="http://schemas.openxmlformats.org/officeDocument/2006/relationships/hyperlink" Target="https://www.azcourts.gov/Rules-Forum/aft/1686" TargetMode="External"/><Relationship Id="rId14" Type="http://schemas.openxmlformats.org/officeDocument/2006/relationships/hyperlink" Target="https://1.next.westlaw.com/Document/I934cb2b2ba3611ec9f24ec7b211d8087/View/FullText.html?navigationPath=Search%2Fv1%2Fresults%2Fnavigation%2Fi0a9399b100000196829adf1525126862%3Fppcid%3Dfe5e1149878b4bb2a22cdd2af88be179%26Nav%3DANALYTICAL%26fragmentIdentifier%3DI934cb2b2ba3611ec9f24ec7b211d8087%26parentRank%3D0%26startIndex%3D1%26contextData%3D%2528sc.Search%2529%26transitionType%3DSearchItem&amp;listSource=Search&amp;listPageSource=fd28c7af9729c7cada4947352f9d0f93&amp;list=ANALYTICAL&amp;rank=18&amp;sessionScopeId=1e8702e8d9d87b6e74eb290f58f39beea95f053328120a93d6a0b81f127b9271&amp;ppcid=fe5e1149878b4bb2a22cdd2af88be179&amp;originationContext=Search%20Result&amp;transitionType=SearchItem&amp;contextData=%28sc.Search%29" TargetMode="External"/><Relationship Id="rId22" Type="http://schemas.openxmlformats.org/officeDocument/2006/relationships/hyperlink" Target="https://www.azcourts.gov/Rules-Forum/aft/16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B724E2-F4E8-4000-A8B2-36729622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2532</Words>
  <Characters>13321</Characters>
  <Application>Microsoft Office Word</Application>
  <DocSecurity>0</DocSecurity>
  <Lines>317</Lines>
  <Paragraphs>111</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8</cp:revision>
  <dcterms:created xsi:type="dcterms:W3CDTF">2025-04-29T19:13:00Z</dcterms:created>
  <dcterms:modified xsi:type="dcterms:W3CDTF">2025-04-30T19:12:00Z</dcterms:modified>
</cp:coreProperties>
</file>