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24D6" w14:textId="2543A8C4" w:rsidR="003D6070" w:rsidRDefault="003D6070"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6A1D4470" w14:textId="77777777" w:rsidR="00B233C2"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7FD77099"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570AF0AA"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32032A8B" w:rsidR="00A74317" w:rsidRDefault="00AC3538" w:rsidP="00A74317">
      <w:pPr>
        <w:pStyle w:val="AttorneyName"/>
        <w:spacing w:line="240" w:lineRule="auto"/>
        <w:rPr>
          <w:rFonts w:ascii="Times New Roman" w:hAnsi="Times New Roman"/>
          <w:b/>
          <w:sz w:val="24"/>
          <w:szCs w:val="24"/>
        </w:rPr>
      </w:pPr>
      <w:hyperlink r:id="rId11" w:history="1">
        <w:r w:rsidRPr="00B370A5">
          <w:rPr>
            <w:rStyle w:val="Hyperlink"/>
            <w:rFonts w:ascii="Times New Roman" w:hAnsi="Times New Roman"/>
            <w:b/>
            <w:sz w:val="24"/>
            <w:szCs w:val="24"/>
          </w:rPr>
          <w:t>david.euchner@pima.gov</w:t>
        </w:r>
      </w:hyperlink>
      <w:r w:rsidR="00AE0F9E">
        <w:rPr>
          <w:rFonts w:ascii="Times New Roman" w:hAnsi="Times New Roman"/>
          <w:b/>
          <w:sz w:val="24"/>
          <w:szCs w:val="24"/>
        </w:rPr>
        <w:t xml:space="preserve"> </w:t>
      </w:r>
    </w:p>
    <w:p w14:paraId="639FC7D5" w14:textId="77777777" w:rsidR="00B233C2" w:rsidRDefault="00B233C2" w:rsidP="00A74317">
      <w:pPr>
        <w:pStyle w:val="AttorneyName"/>
        <w:spacing w:line="240" w:lineRule="auto"/>
        <w:rPr>
          <w:rFonts w:ascii="Times New Roman" w:hAnsi="Times New Roman"/>
          <w:b/>
          <w:sz w:val="24"/>
          <w:szCs w:val="24"/>
        </w:rPr>
      </w:pPr>
    </w:p>
    <w:p w14:paraId="46E98688" w14:textId="3B48F103" w:rsidR="00B233C2" w:rsidRDefault="00B233C2" w:rsidP="00A74317">
      <w:pPr>
        <w:pStyle w:val="AttorneyName"/>
        <w:spacing w:line="240" w:lineRule="auto"/>
        <w:rPr>
          <w:rFonts w:ascii="Times New Roman" w:hAnsi="Times New Roman"/>
          <w:b/>
          <w:sz w:val="24"/>
          <w:szCs w:val="24"/>
        </w:rPr>
      </w:pPr>
      <w:r>
        <w:rPr>
          <w:rFonts w:ascii="Times New Roman" w:hAnsi="Times New Roman"/>
          <w:b/>
          <w:sz w:val="24"/>
          <w:szCs w:val="24"/>
        </w:rPr>
        <w:t xml:space="preserve">Seth </w:t>
      </w:r>
      <w:r w:rsidR="00AD043A">
        <w:rPr>
          <w:rFonts w:ascii="Times New Roman" w:hAnsi="Times New Roman"/>
          <w:b/>
          <w:sz w:val="24"/>
          <w:szCs w:val="24"/>
        </w:rPr>
        <w:t xml:space="preserve">M. </w:t>
      </w:r>
      <w:r>
        <w:rPr>
          <w:rFonts w:ascii="Times New Roman" w:hAnsi="Times New Roman"/>
          <w:b/>
          <w:sz w:val="24"/>
          <w:szCs w:val="24"/>
        </w:rPr>
        <w:t>Apfel</w:t>
      </w:r>
      <w:r w:rsidR="0030088E">
        <w:rPr>
          <w:rFonts w:ascii="Times New Roman" w:hAnsi="Times New Roman"/>
          <w:b/>
          <w:sz w:val="24"/>
          <w:szCs w:val="24"/>
        </w:rPr>
        <w:t>, SB#032225</w:t>
      </w:r>
    </w:p>
    <w:p w14:paraId="2A690668" w14:textId="4A002259" w:rsidR="00B233C2" w:rsidRDefault="00AD043A" w:rsidP="00A74317">
      <w:pPr>
        <w:pStyle w:val="AttorneyName"/>
        <w:spacing w:line="240" w:lineRule="auto"/>
        <w:rPr>
          <w:rFonts w:ascii="Times New Roman" w:hAnsi="Times New Roman"/>
          <w:b/>
          <w:sz w:val="24"/>
          <w:szCs w:val="24"/>
        </w:rPr>
      </w:pPr>
      <w:r>
        <w:rPr>
          <w:rFonts w:ascii="Times New Roman" w:hAnsi="Times New Roman"/>
          <w:b/>
          <w:sz w:val="24"/>
          <w:szCs w:val="24"/>
        </w:rPr>
        <w:t>Apfel Law Group</w:t>
      </w:r>
      <w:r w:rsidR="0030088E">
        <w:rPr>
          <w:rFonts w:ascii="Times New Roman" w:hAnsi="Times New Roman"/>
          <w:b/>
          <w:sz w:val="24"/>
          <w:szCs w:val="24"/>
        </w:rPr>
        <w:t>, P.L.L.C.</w:t>
      </w:r>
    </w:p>
    <w:p w14:paraId="1E0F0AAB" w14:textId="11DC5BE3" w:rsidR="0030088E" w:rsidRDefault="0030088E" w:rsidP="00A74317">
      <w:pPr>
        <w:pStyle w:val="AttorneyName"/>
        <w:spacing w:line="240" w:lineRule="auto"/>
        <w:rPr>
          <w:rFonts w:ascii="Times New Roman" w:hAnsi="Times New Roman"/>
          <w:b/>
          <w:sz w:val="24"/>
          <w:szCs w:val="24"/>
        </w:rPr>
      </w:pPr>
      <w:r>
        <w:rPr>
          <w:rFonts w:ascii="Times New Roman" w:hAnsi="Times New Roman"/>
          <w:b/>
          <w:sz w:val="24"/>
          <w:szCs w:val="24"/>
        </w:rPr>
        <w:t>PO Box 8808</w:t>
      </w:r>
    </w:p>
    <w:p w14:paraId="2580EA57" w14:textId="115DB0B7" w:rsidR="0030088E" w:rsidRDefault="0030088E" w:rsidP="00A74317">
      <w:pPr>
        <w:pStyle w:val="AttorneyName"/>
        <w:spacing w:line="240" w:lineRule="auto"/>
        <w:rPr>
          <w:rFonts w:ascii="Times New Roman" w:hAnsi="Times New Roman"/>
          <w:b/>
          <w:sz w:val="24"/>
          <w:szCs w:val="24"/>
        </w:rPr>
      </w:pPr>
      <w:r>
        <w:rPr>
          <w:rFonts w:ascii="Times New Roman" w:hAnsi="Times New Roman"/>
          <w:b/>
          <w:sz w:val="24"/>
          <w:szCs w:val="24"/>
        </w:rPr>
        <w:t>Phoenix, AZ 85066</w:t>
      </w:r>
    </w:p>
    <w:p w14:paraId="02B9C03B" w14:textId="44629E29" w:rsidR="0030088E" w:rsidRDefault="0030088E" w:rsidP="00A74317">
      <w:pPr>
        <w:pStyle w:val="AttorneyName"/>
        <w:spacing w:line="240" w:lineRule="auto"/>
        <w:rPr>
          <w:rFonts w:ascii="Times New Roman" w:hAnsi="Times New Roman"/>
          <w:b/>
          <w:sz w:val="24"/>
          <w:szCs w:val="24"/>
        </w:rPr>
      </w:pPr>
      <w:r>
        <w:rPr>
          <w:rFonts w:ascii="Times New Roman" w:hAnsi="Times New Roman"/>
          <w:b/>
          <w:sz w:val="24"/>
          <w:szCs w:val="24"/>
        </w:rPr>
        <w:t>(602) 499-8468</w:t>
      </w:r>
    </w:p>
    <w:p w14:paraId="7A9C2C18" w14:textId="28D626B2" w:rsidR="00AD043A" w:rsidRDefault="00AD043A" w:rsidP="00A74317">
      <w:pPr>
        <w:pStyle w:val="AttorneyName"/>
        <w:spacing w:line="240" w:lineRule="auto"/>
        <w:rPr>
          <w:rFonts w:ascii="Times New Roman" w:hAnsi="Times New Roman"/>
          <w:b/>
          <w:sz w:val="24"/>
          <w:szCs w:val="24"/>
        </w:rPr>
      </w:pPr>
      <w:hyperlink r:id="rId12" w:history="1">
        <w:r w:rsidRPr="00B23FD1">
          <w:rPr>
            <w:rStyle w:val="Hyperlink"/>
            <w:rFonts w:ascii="Times New Roman" w:hAnsi="Times New Roman"/>
            <w:b/>
            <w:sz w:val="24"/>
            <w:szCs w:val="24"/>
          </w:rPr>
          <w:t>seth@apfellawgroup.com</w:t>
        </w:r>
      </w:hyperlink>
    </w:p>
    <w:p w14:paraId="5B1D807E" w14:textId="77777777" w:rsidR="00AD043A" w:rsidRDefault="00AD043A" w:rsidP="00A74317">
      <w:pPr>
        <w:pStyle w:val="AttorneyName"/>
        <w:spacing w:line="240" w:lineRule="auto"/>
        <w:rPr>
          <w:rStyle w:val="Hyperlink"/>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3586C806"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6098E">
              <w:rPr>
                <w:rFonts w:ascii="Times New Roman" w:hAnsi="Times New Roman"/>
                <w:sz w:val="28"/>
                <w:szCs w:val="28"/>
              </w:rPr>
              <w:t xml:space="preserve">add </w:t>
            </w:r>
            <w:r w:rsidR="00C52935" w:rsidRPr="003E5547">
              <w:rPr>
                <w:rFonts w:ascii="Times New Roman" w:hAnsi="Times New Roman"/>
                <w:sz w:val="28"/>
                <w:szCs w:val="28"/>
              </w:rPr>
              <w:t>Ariz</w:t>
            </w:r>
            <w:r w:rsidR="00C52935">
              <w:rPr>
                <w:rFonts w:ascii="Times New Roman" w:hAnsi="Times New Roman"/>
                <w:sz w:val="28"/>
                <w:szCs w:val="28"/>
              </w:rPr>
              <w:t>.</w:t>
            </w:r>
            <w:r w:rsidR="00C52935" w:rsidRPr="003E5547">
              <w:rPr>
                <w:rFonts w:ascii="Times New Roman" w:hAnsi="Times New Roman"/>
                <w:sz w:val="28"/>
                <w:szCs w:val="28"/>
              </w:rPr>
              <w:t xml:space="preserve"> R</w:t>
            </w:r>
            <w:r w:rsidR="00C52935">
              <w:rPr>
                <w:rFonts w:ascii="Times New Roman" w:hAnsi="Times New Roman"/>
                <w:sz w:val="28"/>
                <w:szCs w:val="28"/>
              </w:rPr>
              <w:t>.</w:t>
            </w:r>
            <w:r w:rsidR="00C52935" w:rsidRPr="003E5547">
              <w:rPr>
                <w:rFonts w:ascii="Times New Roman" w:hAnsi="Times New Roman"/>
                <w:sz w:val="28"/>
                <w:szCs w:val="28"/>
              </w:rPr>
              <w:t xml:space="preserve"> </w:t>
            </w:r>
            <w:r w:rsidR="00C52935">
              <w:rPr>
                <w:rFonts w:ascii="Times New Roman" w:hAnsi="Times New Roman"/>
                <w:sz w:val="28"/>
                <w:szCs w:val="28"/>
              </w:rPr>
              <w:t xml:space="preserve">Crim. P. </w:t>
            </w:r>
            <w:r w:rsidR="00D6098E">
              <w:rPr>
                <w:rFonts w:ascii="Times New Roman" w:hAnsi="Times New Roman"/>
                <w:sz w:val="28"/>
                <w:szCs w:val="28"/>
              </w:rPr>
              <w:t xml:space="preserve">12.10 and </w:t>
            </w:r>
            <w:r w:rsidR="00D0294B">
              <w:rPr>
                <w:rFonts w:ascii="Times New Roman" w:hAnsi="Times New Roman"/>
                <w:sz w:val="28"/>
                <w:szCs w:val="28"/>
              </w:rPr>
              <w:t>A</w:t>
            </w:r>
            <w:r w:rsidR="003D6070">
              <w:rPr>
                <w:rFonts w:ascii="Times New Roman" w:hAnsi="Times New Roman"/>
                <w:sz w:val="28"/>
                <w:szCs w:val="28"/>
              </w:rPr>
              <w:t>mend</w:t>
            </w:r>
            <w:r w:rsidRPr="0014499B">
              <w:rPr>
                <w:rFonts w:ascii="Times New Roman" w:hAnsi="Times New Roman"/>
                <w:sz w:val="28"/>
                <w:szCs w:val="28"/>
              </w:rPr>
              <w:t xml:space="preserve"> </w:t>
            </w:r>
            <w:bookmarkEnd w:id="1"/>
            <w:r w:rsidR="003E5547" w:rsidRPr="003E5547">
              <w:rPr>
                <w:rFonts w:ascii="Times New Roman" w:hAnsi="Times New Roman"/>
                <w:sz w:val="28"/>
                <w:szCs w:val="28"/>
              </w:rPr>
              <w:t>Ariz</w:t>
            </w:r>
            <w:r w:rsidR="003E5547">
              <w:rPr>
                <w:rFonts w:ascii="Times New Roman" w:hAnsi="Times New Roman"/>
                <w:sz w:val="28"/>
                <w:szCs w:val="28"/>
              </w:rPr>
              <w:t>.</w:t>
            </w:r>
            <w:r w:rsidR="003E5547" w:rsidRPr="003E5547">
              <w:rPr>
                <w:rFonts w:ascii="Times New Roman" w:hAnsi="Times New Roman"/>
                <w:sz w:val="28"/>
                <w:szCs w:val="28"/>
              </w:rPr>
              <w:t xml:space="preserve"> R</w:t>
            </w:r>
            <w:r w:rsidR="003E5547">
              <w:rPr>
                <w:rFonts w:ascii="Times New Roman" w:hAnsi="Times New Roman"/>
                <w:sz w:val="28"/>
                <w:szCs w:val="28"/>
              </w:rPr>
              <w:t>.</w:t>
            </w:r>
            <w:r w:rsidR="003E5547" w:rsidRPr="003E5547">
              <w:rPr>
                <w:rFonts w:ascii="Times New Roman" w:hAnsi="Times New Roman"/>
                <w:sz w:val="28"/>
                <w:szCs w:val="28"/>
              </w:rPr>
              <w:t xml:space="preserve"> </w:t>
            </w:r>
            <w:r w:rsidR="00D6098E">
              <w:rPr>
                <w:rFonts w:ascii="Times New Roman" w:hAnsi="Times New Roman"/>
                <w:sz w:val="28"/>
                <w:szCs w:val="28"/>
              </w:rPr>
              <w:t>Crim. P.</w:t>
            </w:r>
            <w:r w:rsidR="003D6070">
              <w:rPr>
                <w:rFonts w:ascii="Times New Roman" w:hAnsi="Times New Roman"/>
                <w:sz w:val="28"/>
                <w:szCs w:val="28"/>
              </w:rPr>
              <w:t xml:space="preserve"> </w:t>
            </w:r>
            <w:r w:rsidR="00D6098E">
              <w:rPr>
                <w:rFonts w:ascii="Times New Roman" w:hAnsi="Times New Roman"/>
                <w:sz w:val="28"/>
                <w:szCs w:val="28"/>
              </w:rPr>
              <w:t>12.7</w:t>
            </w:r>
            <w:r w:rsidR="00C52935">
              <w:rPr>
                <w:rFonts w:ascii="Times New Roman" w:hAnsi="Times New Roman"/>
                <w:sz w:val="28"/>
                <w:szCs w:val="28"/>
              </w:rPr>
              <w:t>, 12.21,</w:t>
            </w:r>
            <w:r w:rsidR="00D6098E">
              <w:rPr>
                <w:rFonts w:ascii="Times New Roman" w:hAnsi="Times New Roman"/>
                <w:sz w:val="28"/>
                <w:szCs w:val="28"/>
              </w:rPr>
              <w:t xml:space="preserve"> and 12.25</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2F720806"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3812FE">
              <w:rPr>
                <w:rFonts w:ascii="Times New Roman" w:hAnsi="Times New Roman"/>
                <w:sz w:val="28"/>
                <w:szCs w:val="28"/>
              </w:rPr>
              <w:t>2</w:t>
            </w:r>
            <w:r w:rsidR="00D6098E">
              <w:rPr>
                <w:rFonts w:ascii="Times New Roman" w:hAnsi="Times New Roman"/>
                <w:sz w:val="28"/>
                <w:szCs w:val="28"/>
              </w:rPr>
              <w:t>5</w:t>
            </w:r>
            <w:r w:rsidR="003812FE">
              <w:rPr>
                <w:rFonts w:ascii="Times New Roman" w:hAnsi="Times New Roman"/>
                <w:sz w:val="28"/>
                <w:szCs w:val="28"/>
              </w:rPr>
              <w:t>-</w:t>
            </w:r>
            <w:r w:rsidR="003D6070">
              <w:rPr>
                <w:rFonts w:ascii="Times New Roman" w:hAnsi="Times New Roman"/>
                <w:sz w:val="28"/>
                <w:szCs w:val="28"/>
              </w:rPr>
              <w:t>00</w:t>
            </w:r>
            <w:r w:rsidR="00D6098E">
              <w:rPr>
                <w:rFonts w:ascii="Times New Roman" w:hAnsi="Times New Roman"/>
                <w:sz w:val="28"/>
                <w:szCs w:val="28"/>
              </w:rPr>
              <w:t>34</w:t>
            </w:r>
          </w:p>
          <w:p w14:paraId="268AB802" w14:textId="748F7E60" w:rsidR="00DC38DE" w:rsidRPr="0014499B" w:rsidRDefault="00DC38DE" w:rsidP="00DB2614">
            <w:pPr>
              <w:pStyle w:val="SingleSpacing"/>
              <w:spacing w:line="240" w:lineRule="auto"/>
              <w:rPr>
                <w:rFonts w:ascii="Times New Roman" w:hAnsi="Times New Roman"/>
                <w:sz w:val="28"/>
                <w:szCs w:val="28"/>
              </w:rPr>
            </w:pPr>
          </w:p>
          <w:p w14:paraId="268AB803" w14:textId="40606817" w:rsidR="00DC38DE" w:rsidRPr="00F84E06" w:rsidRDefault="003D6070" w:rsidP="00C76BAA">
            <w:pPr>
              <w:pStyle w:val="SingleSpacing"/>
              <w:spacing w:line="240" w:lineRule="auto"/>
              <w:rPr>
                <w:rFonts w:ascii="Times New Roman" w:hAnsi="Times New Roman"/>
                <w:b/>
                <w:i/>
                <w:sz w:val="28"/>
                <w:szCs w:val="28"/>
              </w:rPr>
            </w:pPr>
            <w:r>
              <w:rPr>
                <w:rFonts w:ascii="Times New Roman" w:hAnsi="Times New Roman"/>
                <w:b/>
                <w:sz w:val="28"/>
                <w:szCs w:val="28"/>
              </w:rPr>
              <w:t>Comment of Arizona Attorneys for Criminal Justice regarding Petition</w:t>
            </w:r>
            <w:r w:rsidR="003812FE">
              <w:rPr>
                <w:rFonts w:ascii="Times New Roman" w:hAnsi="Times New Roman"/>
                <w:b/>
                <w:sz w:val="28"/>
                <w:szCs w:val="28"/>
              </w:rPr>
              <w:t xml:space="preserve"> to </w:t>
            </w:r>
            <w:r w:rsidR="003B7505">
              <w:rPr>
                <w:rFonts w:ascii="Times New Roman" w:hAnsi="Times New Roman"/>
                <w:b/>
                <w:sz w:val="28"/>
                <w:szCs w:val="28"/>
              </w:rPr>
              <w:t xml:space="preserve">Add </w:t>
            </w:r>
            <w:r w:rsidR="00C52935">
              <w:rPr>
                <w:rFonts w:ascii="Times New Roman" w:hAnsi="Times New Roman"/>
                <w:b/>
                <w:sz w:val="28"/>
                <w:szCs w:val="28"/>
              </w:rPr>
              <w:t xml:space="preserve">Ariz. R. Crim. P. </w:t>
            </w:r>
            <w:r w:rsidR="003B7505">
              <w:rPr>
                <w:rFonts w:ascii="Times New Roman" w:hAnsi="Times New Roman"/>
                <w:b/>
                <w:sz w:val="28"/>
                <w:szCs w:val="28"/>
              </w:rPr>
              <w:t xml:space="preserve">12.10 and </w:t>
            </w:r>
            <w:r w:rsidR="003812FE">
              <w:rPr>
                <w:rFonts w:ascii="Times New Roman" w:hAnsi="Times New Roman"/>
                <w:b/>
                <w:sz w:val="28"/>
                <w:szCs w:val="28"/>
              </w:rPr>
              <w:t xml:space="preserve">Amend </w:t>
            </w:r>
            <w:r w:rsidR="003B7505">
              <w:rPr>
                <w:rFonts w:ascii="Times New Roman" w:hAnsi="Times New Roman"/>
                <w:b/>
                <w:sz w:val="28"/>
                <w:szCs w:val="28"/>
              </w:rPr>
              <w:t>Ariz. R. Crim. P. 12.7</w:t>
            </w:r>
            <w:r w:rsidR="00C52935">
              <w:rPr>
                <w:rFonts w:ascii="Times New Roman" w:hAnsi="Times New Roman"/>
                <w:b/>
                <w:sz w:val="28"/>
                <w:szCs w:val="28"/>
              </w:rPr>
              <w:t>, 12.21,</w:t>
            </w:r>
            <w:r w:rsidR="003B7505">
              <w:rPr>
                <w:rFonts w:ascii="Times New Roman" w:hAnsi="Times New Roman"/>
                <w:b/>
                <w:sz w:val="28"/>
                <w:szCs w:val="28"/>
              </w:rPr>
              <w:t xml:space="preserve"> and 12.25</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2086590F" w14:textId="53D7A4F4" w:rsidR="003D6070" w:rsidRDefault="003D6070" w:rsidP="003D6070">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Pr>
          <w:rFonts w:ascii="Times New Roman" w:hAnsi="Times New Roman"/>
          <w:sz w:val="28"/>
          <w:szCs w:val="28"/>
        </w:rPr>
        <w:t xml:space="preserve">comment on the </w:t>
      </w:r>
      <w:r w:rsidRPr="0014499B">
        <w:rPr>
          <w:rFonts w:ascii="Times New Roman" w:hAnsi="Times New Roman"/>
          <w:sz w:val="28"/>
          <w:szCs w:val="28"/>
        </w:rPr>
        <w:t>petition</w:t>
      </w:r>
      <w:r>
        <w:rPr>
          <w:rFonts w:ascii="Times New Roman" w:hAnsi="Times New Roman"/>
          <w:sz w:val="28"/>
          <w:szCs w:val="28"/>
        </w:rPr>
        <w:t xml:space="preserve"> to </w:t>
      </w:r>
      <w:r w:rsidR="00D6098E">
        <w:rPr>
          <w:rFonts w:ascii="Times New Roman" w:hAnsi="Times New Roman"/>
          <w:sz w:val="28"/>
          <w:szCs w:val="28"/>
        </w:rPr>
        <w:t>add Rule of Criminal Procedure 12.10 and Amend</w:t>
      </w:r>
      <w:r w:rsidR="00D6098E" w:rsidRPr="0014499B">
        <w:rPr>
          <w:rFonts w:ascii="Times New Roman" w:hAnsi="Times New Roman"/>
          <w:sz w:val="28"/>
          <w:szCs w:val="28"/>
        </w:rPr>
        <w:t xml:space="preserve"> </w:t>
      </w:r>
      <w:r w:rsidR="00D6098E" w:rsidRPr="003E5547">
        <w:rPr>
          <w:rFonts w:ascii="Times New Roman" w:hAnsi="Times New Roman"/>
          <w:sz w:val="28"/>
          <w:szCs w:val="28"/>
        </w:rPr>
        <w:t>Ariz</w:t>
      </w:r>
      <w:r w:rsidR="00D6098E">
        <w:rPr>
          <w:rFonts w:ascii="Times New Roman" w:hAnsi="Times New Roman"/>
          <w:sz w:val="28"/>
          <w:szCs w:val="28"/>
        </w:rPr>
        <w:t>.</w:t>
      </w:r>
      <w:r w:rsidR="00D6098E" w:rsidRPr="003E5547">
        <w:rPr>
          <w:rFonts w:ascii="Times New Roman" w:hAnsi="Times New Roman"/>
          <w:sz w:val="28"/>
          <w:szCs w:val="28"/>
        </w:rPr>
        <w:t xml:space="preserve"> R</w:t>
      </w:r>
      <w:r w:rsidR="00D6098E">
        <w:rPr>
          <w:rFonts w:ascii="Times New Roman" w:hAnsi="Times New Roman"/>
          <w:sz w:val="28"/>
          <w:szCs w:val="28"/>
        </w:rPr>
        <w:t>.</w:t>
      </w:r>
      <w:r w:rsidR="00D6098E" w:rsidRPr="003E5547">
        <w:rPr>
          <w:rFonts w:ascii="Times New Roman" w:hAnsi="Times New Roman"/>
          <w:sz w:val="28"/>
          <w:szCs w:val="28"/>
        </w:rPr>
        <w:t xml:space="preserve"> </w:t>
      </w:r>
      <w:r w:rsidR="00D6098E">
        <w:rPr>
          <w:rFonts w:ascii="Times New Roman" w:hAnsi="Times New Roman"/>
          <w:sz w:val="28"/>
          <w:szCs w:val="28"/>
        </w:rPr>
        <w:t>Crim. P. 12.7 and 12.25</w:t>
      </w:r>
      <w:r>
        <w:rPr>
          <w:rFonts w:ascii="Times New Roman" w:hAnsi="Times New Roman"/>
          <w:sz w:val="28"/>
          <w:szCs w:val="28"/>
        </w:rPr>
        <w:t>.</w:t>
      </w:r>
    </w:p>
    <w:p w14:paraId="180EBEFD" w14:textId="77777777" w:rsidR="00AD3DC3" w:rsidRDefault="00AD3DC3" w:rsidP="00AD3DC3">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w:t>
      </w:r>
      <w:r w:rsidRPr="00A629F8">
        <w:rPr>
          <w:rFonts w:ascii="Times New Roman" w:hAnsi="Times New Roman"/>
          <w:sz w:val="28"/>
          <w:szCs w:val="28"/>
        </w:rPr>
        <w:lastRenderedPageBreak/>
        <w:t>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02FA3D70" w14:textId="35076271" w:rsidR="006E658F" w:rsidRDefault="00EF7C20" w:rsidP="00AD3DC3">
      <w:pPr>
        <w:spacing w:line="480" w:lineRule="auto"/>
        <w:ind w:firstLine="720"/>
        <w:jc w:val="both"/>
        <w:rPr>
          <w:rFonts w:ascii="Times New Roman" w:hAnsi="Times New Roman"/>
          <w:sz w:val="28"/>
          <w:szCs w:val="28"/>
        </w:rPr>
      </w:pPr>
      <w:r>
        <w:rPr>
          <w:rFonts w:ascii="Times New Roman" w:hAnsi="Times New Roman"/>
          <w:sz w:val="28"/>
          <w:szCs w:val="28"/>
        </w:rPr>
        <w:t>Petitioner</w:t>
      </w:r>
      <w:r w:rsidR="00D6098E">
        <w:rPr>
          <w:rFonts w:ascii="Times New Roman" w:hAnsi="Times New Roman"/>
          <w:sz w:val="28"/>
          <w:szCs w:val="28"/>
        </w:rPr>
        <w:t xml:space="preserve"> </w:t>
      </w:r>
      <w:r w:rsidR="00B465F4">
        <w:rPr>
          <w:rFonts w:ascii="Times New Roman" w:hAnsi="Times New Roman"/>
          <w:sz w:val="28"/>
          <w:szCs w:val="28"/>
        </w:rPr>
        <w:t xml:space="preserve">raises valid concerns respecting protection of grand juror privacy and the need to protect the integrity of physical evidence. The proposal aims to address real concerns as to both issues. </w:t>
      </w:r>
      <w:r w:rsidR="003B7505">
        <w:rPr>
          <w:rFonts w:ascii="Times New Roman" w:hAnsi="Times New Roman"/>
          <w:sz w:val="28"/>
          <w:szCs w:val="28"/>
        </w:rPr>
        <w:t>D</w:t>
      </w:r>
      <w:r w:rsidR="00B465F4">
        <w:rPr>
          <w:rFonts w:ascii="Times New Roman" w:hAnsi="Times New Roman"/>
          <w:sz w:val="28"/>
          <w:szCs w:val="28"/>
        </w:rPr>
        <w:t>efense attorneys</w:t>
      </w:r>
      <w:r w:rsidR="003B7505">
        <w:rPr>
          <w:rFonts w:ascii="Times New Roman" w:hAnsi="Times New Roman"/>
          <w:sz w:val="28"/>
          <w:szCs w:val="28"/>
        </w:rPr>
        <w:t xml:space="preserve"> frequently</w:t>
      </w:r>
      <w:r w:rsidR="00B465F4">
        <w:rPr>
          <w:rFonts w:ascii="Times New Roman" w:hAnsi="Times New Roman"/>
          <w:sz w:val="28"/>
          <w:szCs w:val="28"/>
        </w:rPr>
        <w:t xml:space="preserve"> file motions </w:t>
      </w:r>
      <w:r w:rsidR="003B7505">
        <w:rPr>
          <w:rFonts w:ascii="Times New Roman" w:hAnsi="Times New Roman"/>
          <w:sz w:val="28"/>
          <w:szCs w:val="28"/>
        </w:rPr>
        <w:t xml:space="preserve">to </w:t>
      </w:r>
      <w:r w:rsidR="00B465F4">
        <w:rPr>
          <w:rFonts w:ascii="Times New Roman" w:hAnsi="Times New Roman"/>
          <w:sz w:val="28"/>
          <w:szCs w:val="28"/>
        </w:rPr>
        <w:t>remand</w:t>
      </w:r>
      <w:r w:rsidR="003B7505">
        <w:rPr>
          <w:rFonts w:ascii="Times New Roman" w:hAnsi="Times New Roman"/>
          <w:sz w:val="28"/>
          <w:szCs w:val="28"/>
        </w:rPr>
        <w:t xml:space="preserve"> for a redetermination of probable cause</w:t>
      </w:r>
      <w:r w:rsidR="00B465F4">
        <w:rPr>
          <w:rFonts w:ascii="Times New Roman" w:hAnsi="Times New Roman"/>
          <w:sz w:val="28"/>
          <w:szCs w:val="28"/>
        </w:rPr>
        <w:t xml:space="preserve"> and/or other motions to which </w:t>
      </w:r>
      <w:r w:rsidR="003B7505">
        <w:rPr>
          <w:rFonts w:ascii="Times New Roman" w:hAnsi="Times New Roman"/>
          <w:sz w:val="28"/>
          <w:szCs w:val="28"/>
        </w:rPr>
        <w:t xml:space="preserve">they attach the </w:t>
      </w:r>
      <w:r w:rsidR="00B465F4">
        <w:rPr>
          <w:rFonts w:ascii="Times New Roman" w:hAnsi="Times New Roman"/>
          <w:sz w:val="28"/>
          <w:szCs w:val="28"/>
        </w:rPr>
        <w:t>grand jury transcripts</w:t>
      </w:r>
      <w:r w:rsidR="006E658F">
        <w:rPr>
          <w:rFonts w:ascii="Times New Roman" w:hAnsi="Times New Roman"/>
          <w:sz w:val="28"/>
          <w:szCs w:val="28"/>
        </w:rPr>
        <w:t>, including an unredacted list of the grand jurors who deliberated</w:t>
      </w:r>
      <w:r w:rsidR="00B465F4">
        <w:rPr>
          <w:rFonts w:ascii="Times New Roman" w:hAnsi="Times New Roman"/>
          <w:sz w:val="28"/>
          <w:szCs w:val="28"/>
        </w:rPr>
        <w:t>. Similarly, where physical evidence has been submitted to a grand jury, the preservation of such evidence is</w:t>
      </w:r>
      <w:r w:rsidR="003B7505">
        <w:rPr>
          <w:rFonts w:ascii="Times New Roman" w:hAnsi="Times New Roman"/>
          <w:sz w:val="28"/>
          <w:szCs w:val="28"/>
        </w:rPr>
        <w:t xml:space="preserve"> important</w:t>
      </w:r>
      <w:r w:rsidR="00B465F4">
        <w:rPr>
          <w:rFonts w:ascii="Times New Roman" w:hAnsi="Times New Roman"/>
          <w:sz w:val="28"/>
          <w:szCs w:val="28"/>
        </w:rPr>
        <w:t xml:space="preserve"> to both the defense and the State.</w:t>
      </w:r>
      <w:r w:rsidR="00C52935">
        <w:rPr>
          <w:rFonts w:ascii="Times New Roman" w:hAnsi="Times New Roman"/>
          <w:sz w:val="28"/>
          <w:szCs w:val="28"/>
        </w:rPr>
        <w:t xml:space="preserve"> </w:t>
      </w:r>
    </w:p>
    <w:p w14:paraId="365504CE" w14:textId="0B505BD0" w:rsidR="00D6098E" w:rsidRDefault="00C52935" w:rsidP="00AD3DC3">
      <w:pPr>
        <w:spacing w:line="480" w:lineRule="auto"/>
        <w:ind w:firstLine="720"/>
        <w:jc w:val="both"/>
        <w:rPr>
          <w:rFonts w:ascii="Times New Roman" w:hAnsi="Times New Roman"/>
          <w:sz w:val="28"/>
          <w:szCs w:val="28"/>
        </w:rPr>
      </w:pPr>
      <w:r>
        <w:rPr>
          <w:rFonts w:ascii="Times New Roman" w:hAnsi="Times New Roman"/>
          <w:sz w:val="28"/>
          <w:szCs w:val="28"/>
        </w:rPr>
        <w:t>However, the proposed cure goes far beyond what is necessary to protect the integrity of the grand jury. AACJ proposes alternative changes that are more narrowly tailored to the concerns</w:t>
      </w:r>
      <w:r w:rsidR="006E658F">
        <w:rPr>
          <w:rFonts w:ascii="Times New Roman" w:hAnsi="Times New Roman"/>
          <w:sz w:val="28"/>
          <w:szCs w:val="28"/>
        </w:rPr>
        <w:t xml:space="preserve"> Petitioner raises</w:t>
      </w:r>
      <w:r>
        <w:rPr>
          <w:rFonts w:ascii="Times New Roman" w:hAnsi="Times New Roman"/>
          <w:sz w:val="28"/>
          <w:szCs w:val="28"/>
        </w:rPr>
        <w:t>.</w:t>
      </w:r>
    </w:p>
    <w:p w14:paraId="04C3A4D4" w14:textId="697ED982" w:rsidR="00C52935" w:rsidRPr="00C52935" w:rsidRDefault="00C52935" w:rsidP="00C52935">
      <w:pPr>
        <w:pStyle w:val="ListParagraph"/>
        <w:numPr>
          <w:ilvl w:val="0"/>
          <w:numId w:val="27"/>
        </w:numPr>
        <w:spacing w:line="480" w:lineRule="auto"/>
        <w:ind w:left="720"/>
        <w:jc w:val="both"/>
        <w:rPr>
          <w:rFonts w:ascii="Times New Roman" w:hAnsi="Times New Roman"/>
          <w:b/>
          <w:bCs/>
          <w:sz w:val="28"/>
          <w:szCs w:val="28"/>
        </w:rPr>
      </w:pPr>
      <w:r w:rsidRPr="00C52935">
        <w:rPr>
          <w:rFonts w:ascii="Times New Roman" w:hAnsi="Times New Roman"/>
          <w:b/>
          <w:bCs/>
          <w:sz w:val="28"/>
          <w:szCs w:val="28"/>
        </w:rPr>
        <w:t>Rule 12.7.</w:t>
      </w:r>
    </w:p>
    <w:p w14:paraId="56AF24CA" w14:textId="77777777" w:rsidR="00C52935" w:rsidRDefault="00B465F4" w:rsidP="00AD3DC3">
      <w:pPr>
        <w:spacing w:line="480" w:lineRule="auto"/>
        <w:ind w:firstLine="720"/>
        <w:jc w:val="both"/>
        <w:rPr>
          <w:rFonts w:ascii="Times New Roman" w:hAnsi="Times New Roman"/>
          <w:sz w:val="28"/>
          <w:szCs w:val="28"/>
        </w:rPr>
      </w:pPr>
      <w:r>
        <w:rPr>
          <w:rFonts w:ascii="Times New Roman" w:hAnsi="Times New Roman"/>
          <w:sz w:val="28"/>
          <w:szCs w:val="28"/>
        </w:rPr>
        <w:t>The proposal seek</w:t>
      </w:r>
      <w:r w:rsidR="0099409D">
        <w:rPr>
          <w:rFonts w:ascii="Times New Roman" w:hAnsi="Times New Roman"/>
          <w:sz w:val="28"/>
          <w:szCs w:val="28"/>
        </w:rPr>
        <w:t>s</w:t>
      </w:r>
      <w:r>
        <w:rPr>
          <w:rFonts w:ascii="Times New Roman" w:hAnsi="Times New Roman"/>
          <w:sz w:val="28"/>
          <w:szCs w:val="28"/>
        </w:rPr>
        <w:t xml:space="preserve"> to protect the privacy of grand juror identities by </w:t>
      </w:r>
      <w:r w:rsidR="004A10AA">
        <w:rPr>
          <w:rFonts w:ascii="Times New Roman" w:hAnsi="Times New Roman"/>
          <w:sz w:val="28"/>
          <w:szCs w:val="28"/>
        </w:rPr>
        <w:t xml:space="preserve">amending Rule 12.7 with the addition of subsection (d) </w:t>
      </w:r>
      <w:r>
        <w:rPr>
          <w:rFonts w:ascii="Times New Roman" w:hAnsi="Times New Roman"/>
          <w:sz w:val="28"/>
          <w:szCs w:val="28"/>
        </w:rPr>
        <w:t xml:space="preserve">prohibiting the inclusion of the names of grand jurors in grand jury transcripts. Instead, the transcript may only provide the </w:t>
      </w:r>
      <w:r>
        <w:rPr>
          <w:rFonts w:ascii="Times New Roman" w:hAnsi="Times New Roman"/>
          <w:sz w:val="28"/>
          <w:szCs w:val="28"/>
        </w:rPr>
        <w:lastRenderedPageBreak/>
        <w:t xml:space="preserve">initials of grand jurors, while the actual list of names must be sealed, only to be accessible to the defense upon the filing of a motion. </w:t>
      </w:r>
    </w:p>
    <w:p w14:paraId="5A67B716" w14:textId="75EF90EC" w:rsidR="00E81EDB" w:rsidRDefault="00413ECF" w:rsidP="00AD3DC3">
      <w:pPr>
        <w:spacing w:line="480" w:lineRule="auto"/>
        <w:ind w:firstLine="720"/>
        <w:jc w:val="both"/>
        <w:rPr>
          <w:rFonts w:ascii="Times New Roman" w:hAnsi="Times New Roman"/>
          <w:sz w:val="28"/>
          <w:szCs w:val="28"/>
        </w:rPr>
      </w:pPr>
      <w:r w:rsidRPr="00413ECF">
        <w:rPr>
          <w:rFonts w:ascii="Times New Roman" w:hAnsi="Times New Roman"/>
          <w:sz w:val="28"/>
          <w:szCs w:val="28"/>
        </w:rPr>
        <w:t xml:space="preserve">“Individuals who are called for jury duty do not forfeit their privacy rights when they are called for jury duty.” </w:t>
      </w:r>
      <w:r w:rsidRPr="00413ECF">
        <w:rPr>
          <w:rFonts w:ascii="Times New Roman" w:hAnsi="Times New Roman"/>
          <w:i/>
          <w:iCs/>
          <w:sz w:val="28"/>
          <w:szCs w:val="28"/>
        </w:rPr>
        <w:t>Stewart v. Carroll</w:t>
      </w:r>
      <w:r w:rsidRPr="00413ECF">
        <w:rPr>
          <w:rFonts w:ascii="Times New Roman" w:hAnsi="Times New Roman"/>
          <w:sz w:val="28"/>
          <w:szCs w:val="28"/>
        </w:rPr>
        <w:t xml:space="preserve">, 214 Ariz. 480, </w:t>
      </w:r>
      <w:r>
        <w:rPr>
          <w:rFonts w:ascii="Times New Roman" w:hAnsi="Times New Roman"/>
          <w:sz w:val="28"/>
          <w:szCs w:val="28"/>
        </w:rPr>
        <w:t xml:space="preserve">484 </w:t>
      </w:r>
      <w:r w:rsidRPr="00413ECF">
        <w:rPr>
          <w:rFonts w:ascii="Times New Roman" w:hAnsi="Times New Roman"/>
          <w:sz w:val="28"/>
          <w:szCs w:val="28"/>
        </w:rPr>
        <w:t xml:space="preserve">¶ 20 (App. 2007). </w:t>
      </w:r>
      <w:r w:rsidR="00E81EDB">
        <w:rPr>
          <w:rFonts w:ascii="Times New Roman" w:hAnsi="Times New Roman"/>
          <w:sz w:val="28"/>
          <w:szCs w:val="28"/>
        </w:rPr>
        <w:t xml:space="preserve">This Court has recognized that the First Amendment does not guarantee that the press should have an unfettered right to the identities of trial jurors. </w:t>
      </w:r>
      <w:r w:rsidR="00E81EDB" w:rsidRPr="00E81EDB">
        <w:rPr>
          <w:rFonts w:ascii="Times New Roman" w:hAnsi="Times New Roman"/>
          <w:i/>
          <w:iCs/>
          <w:sz w:val="28"/>
          <w:szCs w:val="28"/>
        </w:rPr>
        <w:t>Morgan v. Dickerson</w:t>
      </w:r>
      <w:r w:rsidR="00E81EDB">
        <w:rPr>
          <w:rFonts w:ascii="Times New Roman" w:hAnsi="Times New Roman"/>
          <w:sz w:val="28"/>
          <w:szCs w:val="28"/>
        </w:rPr>
        <w:t>, 253 Ariz. 207 (2022).</w:t>
      </w:r>
      <w:r w:rsidR="00441E05">
        <w:rPr>
          <w:rFonts w:ascii="Times New Roman" w:hAnsi="Times New Roman"/>
          <w:sz w:val="28"/>
          <w:szCs w:val="28"/>
        </w:rPr>
        <w:t xml:space="preserve"> The restrictions on access to the identities of trial jurors in Cochise County at issue in </w:t>
      </w:r>
      <w:r w:rsidR="00441E05" w:rsidRPr="00E81EDB">
        <w:rPr>
          <w:rFonts w:ascii="Times New Roman" w:hAnsi="Times New Roman"/>
          <w:i/>
          <w:iCs/>
          <w:sz w:val="28"/>
          <w:szCs w:val="28"/>
        </w:rPr>
        <w:t>Morgan</w:t>
      </w:r>
      <w:r w:rsidR="00441E05">
        <w:rPr>
          <w:rFonts w:ascii="Times New Roman" w:hAnsi="Times New Roman"/>
          <w:sz w:val="28"/>
          <w:szCs w:val="28"/>
        </w:rPr>
        <w:t xml:space="preserve"> likely came about because Morgan posted video depicting jurors while a trial was ongoing, causing the superior court to grant the defendant a new trial. </w:t>
      </w:r>
      <w:r w:rsidR="00441E05" w:rsidRPr="00441E05">
        <w:rPr>
          <w:rFonts w:ascii="Times New Roman" w:hAnsi="Times New Roman"/>
          <w:i/>
          <w:iCs/>
          <w:sz w:val="28"/>
          <w:szCs w:val="28"/>
        </w:rPr>
        <w:t>See State v. Rojas</w:t>
      </w:r>
      <w:r w:rsidR="00441E05">
        <w:rPr>
          <w:rFonts w:ascii="Times New Roman" w:hAnsi="Times New Roman"/>
          <w:sz w:val="28"/>
          <w:szCs w:val="28"/>
        </w:rPr>
        <w:t>, 247 Ariz. 399, 400-01 ¶¶ 2-8 (App. 2019). This concern should apply equally to grand jurors, particularly when there is a high-profile case of great public interest.</w:t>
      </w:r>
    </w:p>
    <w:p w14:paraId="58713FE4" w14:textId="1A90F695" w:rsidR="0099409D" w:rsidRDefault="001913EB" w:rsidP="00B25F2B">
      <w:pPr>
        <w:spacing w:line="480" w:lineRule="auto"/>
        <w:ind w:firstLine="720"/>
        <w:jc w:val="both"/>
        <w:rPr>
          <w:rFonts w:ascii="Times New Roman" w:hAnsi="Times New Roman"/>
          <w:sz w:val="28"/>
          <w:szCs w:val="28"/>
        </w:rPr>
      </w:pPr>
      <w:r>
        <w:rPr>
          <w:rFonts w:ascii="Times New Roman" w:hAnsi="Times New Roman"/>
          <w:sz w:val="28"/>
          <w:szCs w:val="28"/>
        </w:rPr>
        <w:t>T</w:t>
      </w:r>
      <w:r w:rsidR="0099409D">
        <w:rPr>
          <w:rFonts w:ascii="Times New Roman" w:hAnsi="Times New Roman"/>
          <w:sz w:val="28"/>
          <w:szCs w:val="28"/>
        </w:rPr>
        <w:t xml:space="preserve">here are multiple situations in which the names of grand jurors are important to litigation arising from grand jury presentations. In considering issues related to grand juries, </w:t>
      </w:r>
      <w:r w:rsidR="0099409D" w:rsidRPr="0099409D">
        <w:rPr>
          <w:rFonts w:ascii="Times New Roman" w:hAnsi="Times New Roman"/>
          <w:sz w:val="28"/>
          <w:szCs w:val="28"/>
        </w:rPr>
        <w:t>a “defendant has no representative to watch out for his interests before the grand jury</w:t>
      </w:r>
      <w:r w:rsidR="005F48E3">
        <w:rPr>
          <w:rFonts w:ascii="Times New Roman" w:hAnsi="Times New Roman"/>
          <w:sz w:val="28"/>
          <w:szCs w:val="28"/>
        </w:rPr>
        <w:t>.</w:t>
      </w:r>
      <w:r w:rsidR="0099409D" w:rsidRPr="0099409D">
        <w:rPr>
          <w:rFonts w:ascii="Times New Roman" w:hAnsi="Times New Roman"/>
          <w:sz w:val="28"/>
          <w:szCs w:val="28"/>
        </w:rPr>
        <w:t xml:space="preserve">” </w:t>
      </w:r>
      <w:r w:rsidR="005F48E3" w:rsidRPr="0099409D">
        <w:rPr>
          <w:rFonts w:ascii="Times New Roman" w:hAnsi="Times New Roman"/>
          <w:i/>
          <w:sz w:val="28"/>
          <w:szCs w:val="28"/>
        </w:rPr>
        <w:t>Maretick v. Jarrett</w:t>
      </w:r>
      <w:r w:rsidR="005F48E3" w:rsidRPr="0099409D">
        <w:rPr>
          <w:rFonts w:ascii="Times New Roman" w:hAnsi="Times New Roman"/>
          <w:sz w:val="28"/>
          <w:szCs w:val="28"/>
        </w:rPr>
        <w:t>, 204 Ariz. 194, 197</w:t>
      </w:r>
      <w:r w:rsidR="005F48E3">
        <w:rPr>
          <w:rFonts w:ascii="Times New Roman" w:hAnsi="Times New Roman"/>
          <w:sz w:val="28"/>
          <w:szCs w:val="28"/>
        </w:rPr>
        <w:t xml:space="preserve"> ¶ 10</w:t>
      </w:r>
      <w:r w:rsidR="005F48E3" w:rsidRPr="0099409D">
        <w:rPr>
          <w:rFonts w:ascii="Times New Roman" w:hAnsi="Times New Roman"/>
          <w:sz w:val="28"/>
          <w:szCs w:val="28"/>
        </w:rPr>
        <w:t xml:space="preserve"> (2003)</w:t>
      </w:r>
      <w:r w:rsidR="005F48E3">
        <w:rPr>
          <w:rFonts w:ascii="Times New Roman" w:hAnsi="Times New Roman"/>
          <w:sz w:val="28"/>
          <w:szCs w:val="28"/>
        </w:rPr>
        <w:t>.</w:t>
      </w:r>
      <w:r w:rsidR="0099409D" w:rsidRPr="0099409D">
        <w:rPr>
          <w:rFonts w:ascii="Times New Roman" w:hAnsi="Times New Roman"/>
          <w:sz w:val="28"/>
          <w:szCs w:val="28"/>
        </w:rPr>
        <w:t xml:space="preserve"> </w:t>
      </w:r>
      <w:r w:rsidR="005F48E3">
        <w:rPr>
          <w:rFonts w:ascii="Times New Roman" w:hAnsi="Times New Roman"/>
          <w:sz w:val="28"/>
          <w:szCs w:val="28"/>
        </w:rPr>
        <w:t xml:space="preserve">“Because </w:t>
      </w:r>
      <w:r w:rsidR="0099409D" w:rsidRPr="0099409D">
        <w:rPr>
          <w:rFonts w:ascii="Times New Roman" w:hAnsi="Times New Roman"/>
          <w:sz w:val="28"/>
          <w:szCs w:val="28"/>
        </w:rPr>
        <w:t xml:space="preserve">defendants enjoy few procedural rights before the grand jury, grand juries must be unbiased and must act </w:t>
      </w:r>
      <w:r w:rsidR="005F48E3">
        <w:rPr>
          <w:rFonts w:ascii="Times New Roman" w:hAnsi="Times New Roman"/>
          <w:sz w:val="28"/>
          <w:szCs w:val="28"/>
        </w:rPr>
        <w:t>‘</w:t>
      </w:r>
      <w:r w:rsidR="0099409D" w:rsidRPr="0099409D">
        <w:rPr>
          <w:rFonts w:ascii="Times New Roman" w:hAnsi="Times New Roman"/>
          <w:sz w:val="28"/>
          <w:szCs w:val="28"/>
        </w:rPr>
        <w:t>independently of either prosecutor or judge.</w:t>
      </w:r>
      <w:r w:rsidR="005F48E3">
        <w:rPr>
          <w:rFonts w:ascii="Times New Roman" w:hAnsi="Times New Roman"/>
          <w:sz w:val="28"/>
          <w:szCs w:val="28"/>
        </w:rPr>
        <w:t>’</w:t>
      </w:r>
      <w:r w:rsidR="0099409D" w:rsidRPr="0099409D">
        <w:rPr>
          <w:rFonts w:ascii="Times New Roman" w:hAnsi="Times New Roman"/>
          <w:sz w:val="28"/>
          <w:szCs w:val="28"/>
        </w:rPr>
        <w:t>”</w:t>
      </w:r>
      <w:r w:rsidR="005F48E3">
        <w:rPr>
          <w:rFonts w:ascii="Times New Roman" w:hAnsi="Times New Roman"/>
          <w:sz w:val="28"/>
          <w:szCs w:val="28"/>
        </w:rPr>
        <w:t xml:space="preserve"> </w:t>
      </w:r>
      <w:r w:rsidR="005F48E3" w:rsidRPr="005F48E3">
        <w:rPr>
          <w:rFonts w:ascii="Times New Roman" w:hAnsi="Times New Roman"/>
          <w:i/>
          <w:iCs/>
          <w:sz w:val="28"/>
          <w:szCs w:val="28"/>
        </w:rPr>
        <w:t>Id</w:t>
      </w:r>
      <w:r w:rsidR="005F48E3">
        <w:rPr>
          <w:rFonts w:ascii="Times New Roman" w:hAnsi="Times New Roman"/>
          <w:sz w:val="28"/>
          <w:szCs w:val="28"/>
        </w:rPr>
        <w:t xml:space="preserve">. ¶ 8 (quoting </w:t>
      </w:r>
      <w:r w:rsidR="005F48E3" w:rsidRPr="005F48E3">
        <w:rPr>
          <w:rFonts w:ascii="Times New Roman" w:hAnsi="Times New Roman"/>
          <w:i/>
          <w:iCs/>
          <w:sz w:val="28"/>
          <w:szCs w:val="28"/>
        </w:rPr>
        <w:t>Marston’s Inc. v. Strand</w:t>
      </w:r>
      <w:r w:rsidR="005F48E3">
        <w:rPr>
          <w:rFonts w:ascii="Times New Roman" w:hAnsi="Times New Roman"/>
          <w:sz w:val="28"/>
          <w:szCs w:val="28"/>
        </w:rPr>
        <w:t>, 114 Ariz. 260, 264 (1977))</w:t>
      </w:r>
      <w:r w:rsidR="0099409D">
        <w:rPr>
          <w:rFonts w:ascii="Times New Roman" w:hAnsi="Times New Roman"/>
          <w:sz w:val="28"/>
          <w:szCs w:val="28"/>
        </w:rPr>
        <w:t xml:space="preserve">. </w:t>
      </w:r>
      <w:r w:rsidR="0099409D" w:rsidRPr="0099409D">
        <w:rPr>
          <w:rFonts w:ascii="Times New Roman" w:hAnsi="Times New Roman"/>
          <w:sz w:val="28"/>
          <w:szCs w:val="28"/>
        </w:rPr>
        <w:t xml:space="preserve">A.R.S. § 21-414 requires that “[a]n indictment shall not be </w:t>
      </w:r>
      <w:r w:rsidR="0099409D" w:rsidRPr="006E658F">
        <w:rPr>
          <w:rFonts w:ascii="Times New Roman" w:hAnsi="Times New Roman"/>
          <w:iCs/>
          <w:sz w:val="28"/>
          <w:szCs w:val="28"/>
        </w:rPr>
        <w:t>returned</w:t>
      </w:r>
      <w:r w:rsidR="0099409D" w:rsidRPr="0099409D">
        <w:rPr>
          <w:rFonts w:ascii="Times New Roman" w:hAnsi="Times New Roman"/>
          <w:sz w:val="28"/>
          <w:szCs w:val="28"/>
        </w:rPr>
        <w:t xml:space="preserve"> without the concurrence of at least 9 grand </w:t>
      </w:r>
      <w:r w:rsidR="0099409D" w:rsidRPr="0099409D">
        <w:rPr>
          <w:rFonts w:ascii="Times New Roman" w:hAnsi="Times New Roman"/>
          <w:sz w:val="28"/>
          <w:szCs w:val="28"/>
        </w:rPr>
        <w:lastRenderedPageBreak/>
        <w:t>jurors.” A.R.S. § 21-414(A).</w:t>
      </w:r>
      <w:r w:rsidR="0099409D">
        <w:rPr>
          <w:rFonts w:ascii="Times New Roman" w:hAnsi="Times New Roman"/>
          <w:sz w:val="28"/>
          <w:szCs w:val="28"/>
        </w:rPr>
        <w:t xml:space="preserve"> While it does not happen often, there are occasions in which review of the list of jurors who are present for returns </w:t>
      </w:r>
      <w:r w:rsidR="00AB547C">
        <w:rPr>
          <w:rFonts w:ascii="Times New Roman" w:hAnsi="Times New Roman"/>
          <w:sz w:val="28"/>
          <w:szCs w:val="28"/>
        </w:rPr>
        <w:t xml:space="preserve">will include only nine grand jurors, the minimum required, but one or two of those grand jurors were not present during the grand jury presentation and thus were not voting grand jurors who concurred in the indictment. </w:t>
      </w:r>
    </w:p>
    <w:p w14:paraId="521E288C" w14:textId="71CBD1C7" w:rsidR="00AB547C" w:rsidRDefault="00AB547C" w:rsidP="00B25F2B">
      <w:pPr>
        <w:spacing w:line="480" w:lineRule="auto"/>
        <w:ind w:firstLine="720"/>
        <w:jc w:val="both"/>
        <w:rPr>
          <w:rFonts w:ascii="Times New Roman" w:hAnsi="Times New Roman"/>
          <w:sz w:val="28"/>
          <w:szCs w:val="28"/>
        </w:rPr>
      </w:pPr>
      <w:r>
        <w:rPr>
          <w:rFonts w:ascii="Times New Roman" w:hAnsi="Times New Roman"/>
          <w:sz w:val="28"/>
          <w:szCs w:val="28"/>
        </w:rPr>
        <w:t xml:space="preserve">There have also been situations in which the State has asked whether any grand jurors feel unable to be impartial following a brief description of the case, a particular grand juror has indicated issues with impartiality and removed him/herself from the presentation, but then participated in returns or even remained present and participated in the vote. While not as common a concern in larger counties as in smaller counties, it is generally prudent for the defense, including the defendant, to review the names of grand jurors to determine whether any are personally known to the defendant such that the grand juror’s participation in the presentation and vote may raise concerns. In the context of a trial, such concerns are not a significant issue because voir dire allows the defense the opportunity to expose biases. With a grand jury, the defense’s only knowledge of the proceedings is the transcript, and there is no opportunity for voir dire. </w:t>
      </w:r>
    </w:p>
    <w:p w14:paraId="3F384991" w14:textId="77777777" w:rsidR="005F48E3" w:rsidRDefault="00AB547C" w:rsidP="00B25F2B">
      <w:pPr>
        <w:spacing w:line="480" w:lineRule="auto"/>
        <w:ind w:firstLine="720"/>
        <w:jc w:val="both"/>
        <w:rPr>
          <w:rFonts w:ascii="Times New Roman" w:hAnsi="Times New Roman"/>
          <w:sz w:val="28"/>
          <w:szCs w:val="28"/>
        </w:rPr>
      </w:pPr>
      <w:r>
        <w:rPr>
          <w:rFonts w:ascii="Times New Roman" w:hAnsi="Times New Roman"/>
          <w:sz w:val="28"/>
          <w:szCs w:val="28"/>
        </w:rPr>
        <w:t xml:space="preserve">Respecting </w:t>
      </w:r>
      <w:r w:rsidR="004A590C">
        <w:rPr>
          <w:rFonts w:ascii="Times New Roman" w:hAnsi="Times New Roman"/>
          <w:sz w:val="28"/>
          <w:szCs w:val="28"/>
        </w:rPr>
        <w:t>the possible issues discussed above</w:t>
      </w:r>
      <w:r>
        <w:rPr>
          <w:rFonts w:ascii="Times New Roman" w:hAnsi="Times New Roman"/>
          <w:sz w:val="28"/>
          <w:szCs w:val="28"/>
        </w:rPr>
        <w:t xml:space="preserve">, the use of initials minimizes </w:t>
      </w:r>
      <w:r w:rsidR="004A590C">
        <w:rPr>
          <w:rFonts w:ascii="Times New Roman" w:hAnsi="Times New Roman"/>
          <w:sz w:val="28"/>
          <w:szCs w:val="28"/>
        </w:rPr>
        <w:t>but does not eliminate the concerns expressed. For example, the proposed rule does not address circumstances in which multiple grand jurors have the same initials.</w:t>
      </w:r>
    </w:p>
    <w:p w14:paraId="14653160" w14:textId="172D7C39" w:rsidR="00AB547C" w:rsidRDefault="00AB547C" w:rsidP="00B25F2B">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AACJ believes the intent of the petition can be achieved through </w:t>
      </w:r>
      <w:r w:rsidR="004A590C">
        <w:rPr>
          <w:rFonts w:ascii="Times New Roman" w:hAnsi="Times New Roman"/>
          <w:sz w:val="28"/>
          <w:szCs w:val="28"/>
        </w:rPr>
        <w:t xml:space="preserve">a different approach. </w:t>
      </w:r>
      <w:r w:rsidR="005F48E3">
        <w:rPr>
          <w:rFonts w:ascii="Times New Roman" w:hAnsi="Times New Roman"/>
          <w:sz w:val="28"/>
          <w:szCs w:val="28"/>
        </w:rPr>
        <w:t>R</w:t>
      </w:r>
      <w:r w:rsidR="004A590C">
        <w:rPr>
          <w:rFonts w:ascii="Times New Roman" w:hAnsi="Times New Roman"/>
          <w:sz w:val="28"/>
          <w:szCs w:val="28"/>
        </w:rPr>
        <w:t xml:space="preserve">ather than </w:t>
      </w:r>
      <w:r w:rsidR="005F48E3">
        <w:rPr>
          <w:rFonts w:ascii="Times New Roman" w:hAnsi="Times New Roman"/>
          <w:sz w:val="28"/>
          <w:szCs w:val="28"/>
        </w:rPr>
        <w:t xml:space="preserve">replacing </w:t>
      </w:r>
      <w:r w:rsidR="004A590C">
        <w:rPr>
          <w:rFonts w:ascii="Times New Roman" w:hAnsi="Times New Roman"/>
          <w:sz w:val="28"/>
          <w:szCs w:val="28"/>
        </w:rPr>
        <w:t xml:space="preserve">the names with initials, </w:t>
      </w:r>
      <w:r w:rsidR="004A10AA">
        <w:rPr>
          <w:rFonts w:ascii="Times New Roman" w:hAnsi="Times New Roman"/>
          <w:sz w:val="28"/>
          <w:szCs w:val="28"/>
        </w:rPr>
        <w:t>a better</w:t>
      </w:r>
      <w:r w:rsidR="004A590C">
        <w:rPr>
          <w:rFonts w:ascii="Times New Roman" w:hAnsi="Times New Roman"/>
          <w:sz w:val="28"/>
          <w:szCs w:val="28"/>
        </w:rPr>
        <w:t xml:space="preserve"> approach is to require </w:t>
      </w:r>
      <w:r w:rsidR="005F48E3">
        <w:rPr>
          <w:rFonts w:ascii="Times New Roman" w:hAnsi="Times New Roman"/>
          <w:sz w:val="28"/>
          <w:szCs w:val="28"/>
        </w:rPr>
        <w:t>the parties</w:t>
      </w:r>
      <w:r w:rsidR="004A590C">
        <w:rPr>
          <w:rFonts w:ascii="Times New Roman" w:hAnsi="Times New Roman"/>
          <w:sz w:val="28"/>
          <w:szCs w:val="28"/>
        </w:rPr>
        <w:t xml:space="preserve"> to redact the names of grand jurors</w:t>
      </w:r>
      <w:r w:rsidR="005F48E3" w:rsidRPr="005F48E3">
        <w:rPr>
          <w:rFonts w:ascii="Times New Roman" w:hAnsi="Times New Roman"/>
          <w:sz w:val="28"/>
          <w:szCs w:val="28"/>
        </w:rPr>
        <w:t xml:space="preserve"> </w:t>
      </w:r>
      <w:r w:rsidR="005F48E3">
        <w:rPr>
          <w:rFonts w:ascii="Times New Roman" w:hAnsi="Times New Roman"/>
          <w:sz w:val="28"/>
          <w:szCs w:val="28"/>
        </w:rPr>
        <w:t>when attaching grand jury transcripts to a filing</w:t>
      </w:r>
      <w:r w:rsidR="004A590C">
        <w:rPr>
          <w:rFonts w:ascii="Times New Roman" w:hAnsi="Times New Roman"/>
          <w:sz w:val="28"/>
          <w:szCs w:val="28"/>
        </w:rPr>
        <w:t>. In the motion to which the transcript is attached,</w:t>
      </w:r>
      <w:r w:rsidR="001913EB">
        <w:rPr>
          <w:rFonts w:ascii="Times New Roman" w:hAnsi="Times New Roman"/>
          <w:sz w:val="28"/>
          <w:szCs w:val="28"/>
        </w:rPr>
        <w:t xml:space="preserve"> in the unlikely event that identifying a particular grand juror is necessary, then</w:t>
      </w:r>
      <w:r w:rsidR="004A590C">
        <w:rPr>
          <w:rFonts w:ascii="Times New Roman" w:hAnsi="Times New Roman"/>
          <w:sz w:val="28"/>
          <w:szCs w:val="28"/>
        </w:rPr>
        <w:t xml:space="preserve"> initials may be used, with proper adjustments for circumstances in which multiple grand jurors have the same initials. </w:t>
      </w:r>
      <w:r w:rsidR="00351BF7">
        <w:rPr>
          <w:rFonts w:ascii="Times New Roman" w:hAnsi="Times New Roman"/>
          <w:sz w:val="28"/>
          <w:szCs w:val="28"/>
        </w:rPr>
        <w:t>In limited circumstances such as where a grand juror is challenged under Rule 12.8(b)(2), it may be impractical to redact or use initials. In such cases, the defendant could file a motion to file the grand jury transcript (and if necessary, the motion itself) under seal.</w:t>
      </w:r>
    </w:p>
    <w:p w14:paraId="5DAF5306" w14:textId="524AE0AB" w:rsidR="004A590C" w:rsidRDefault="00351BF7" w:rsidP="00B25F2B">
      <w:pPr>
        <w:spacing w:line="480" w:lineRule="auto"/>
        <w:ind w:firstLine="720"/>
        <w:jc w:val="both"/>
        <w:rPr>
          <w:rFonts w:ascii="Times New Roman" w:hAnsi="Times New Roman"/>
          <w:sz w:val="28"/>
          <w:szCs w:val="28"/>
        </w:rPr>
      </w:pPr>
      <w:r>
        <w:rPr>
          <w:rFonts w:ascii="Times New Roman" w:hAnsi="Times New Roman"/>
          <w:sz w:val="28"/>
          <w:szCs w:val="28"/>
        </w:rPr>
        <w:t>AACJ proposes a</w:t>
      </w:r>
      <w:r w:rsidR="004A590C">
        <w:rPr>
          <w:rFonts w:ascii="Times New Roman" w:hAnsi="Times New Roman"/>
          <w:sz w:val="28"/>
          <w:szCs w:val="28"/>
        </w:rPr>
        <w:t xml:space="preserve"> more measured approach to achieve the ends intended by the proposal while also ensuring the protection of the due process rights of defendants.</w:t>
      </w:r>
      <w:r>
        <w:rPr>
          <w:rFonts w:ascii="Times New Roman" w:hAnsi="Times New Roman"/>
          <w:sz w:val="28"/>
          <w:szCs w:val="28"/>
        </w:rPr>
        <w:t xml:space="preserve"> For these reasons, AACJ offers the following alternative proposal for adding Rule 12.7(d):</w:t>
      </w:r>
    </w:p>
    <w:p w14:paraId="7F9D3835" w14:textId="77777777" w:rsidR="00351BF7" w:rsidRPr="009E1CBE" w:rsidRDefault="00351BF7" w:rsidP="00351BF7">
      <w:pPr>
        <w:shd w:val="clear" w:color="auto" w:fill="FFFFFF"/>
        <w:spacing w:after="120" w:line="240" w:lineRule="auto"/>
        <w:jc w:val="center"/>
        <w:rPr>
          <w:rFonts w:ascii="Times New Roman" w:hAnsi="Times New Roman"/>
          <w:b/>
          <w:sz w:val="28"/>
          <w:szCs w:val="28"/>
        </w:rPr>
      </w:pPr>
      <w:r w:rsidRPr="009E1CBE">
        <w:rPr>
          <w:rFonts w:ascii="Times New Roman" w:hAnsi="Times New Roman"/>
          <w:b/>
          <w:sz w:val="28"/>
          <w:szCs w:val="28"/>
        </w:rPr>
        <w:t>Rule 1</w:t>
      </w:r>
      <w:r>
        <w:rPr>
          <w:rFonts w:ascii="Times New Roman" w:hAnsi="Times New Roman"/>
          <w:b/>
          <w:sz w:val="28"/>
          <w:szCs w:val="28"/>
        </w:rPr>
        <w:t>2</w:t>
      </w:r>
      <w:r w:rsidRPr="009E1CBE">
        <w:rPr>
          <w:rFonts w:ascii="Times New Roman" w:hAnsi="Times New Roman"/>
          <w:b/>
          <w:sz w:val="28"/>
          <w:szCs w:val="28"/>
        </w:rPr>
        <w:t>.</w:t>
      </w:r>
      <w:r>
        <w:rPr>
          <w:rFonts w:ascii="Times New Roman" w:hAnsi="Times New Roman"/>
          <w:b/>
          <w:sz w:val="28"/>
          <w:szCs w:val="28"/>
        </w:rPr>
        <w:t>7</w:t>
      </w:r>
      <w:r w:rsidRPr="009E1CBE">
        <w:rPr>
          <w:rFonts w:ascii="Times New Roman" w:hAnsi="Times New Roman"/>
          <w:b/>
          <w:sz w:val="28"/>
          <w:szCs w:val="28"/>
        </w:rPr>
        <w:t xml:space="preserve">. </w:t>
      </w:r>
      <w:r>
        <w:rPr>
          <w:rFonts w:ascii="Times New Roman" w:hAnsi="Times New Roman"/>
          <w:b/>
          <w:sz w:val="28"/>
          <w:szCs w:val="28"/>
        </w:rPr>
        <w:t>Record of Grand Jury Proceedings</w:t>
      </w:r>
    </w:p>
    <w:p w14:paraId="4D8238E6" w14:textId="77777777" w:rsidR="00351BF7" w:rsidRPr="009E1CBE" w:rsidRDefault="00351BF7" w:rsidP="00441E05">
      <w:pPr>
        <w:shd w:val="clear" w:color="auto" w:fill="FFFFFF"/>
        <w:spacing w:after="120" w:line="240" w:lineRule="auto"/>
        <w:ind w:left="720" w:right="720"/>
        <w:jc w:val="both"/>
        <w:rPr>
          <w:rFonts w:ascii="Times New Roman" w:hAnsi="Times New Roman"/>
          <w:sz w:val="28"/>
          <w:szCs w:val="28"/>
        </w:rPr>
      </w:pPr>
      <w:r w:rsidRPr="009E1CBE">
        <w:rPr>
          <w:rFonts w:ascii="Times New Roman" w:hAnsi="Times New Roman"/>
          <w:b/>
          <w:sz w:val="28"/>
          <w:szCs w:val="28"/>
        </w:rPr>
        <w:t>(a) through (</w:t>
      </w:r>
      <w:r>
        <w:rPr>
          <w:rFonts w:ascii="Times New Roman" w:hAnsi="Times New Roman"/>
          <w:b/>
          <w:sz w:val="28"/>
          <w:szCs w:val="28"/>
        </w:rPr>
        <w:t>c</w:t>
      </w:r>
      <w:r w:rsidRPr="009E1CBE">
        <w:rPr>
          <w:rFonts w:ascii="Times New Roman" w:hAnsi="Times New Roman"/>
          <w:b/>
          <w:sz w:val="28"/>
          <w:szCs w:val="28"/>
        </w:rPr>
        <w:t>) [No change</w:t>
      </w:r>
      <w:r>
        <w:rPr>
          <w:rFonts w:ascii="Times New Roman" w:hAnsi="Times New Roman"/>
          <w:b/>
          <w:sz w:val="28"/>
          <w:szCs w:val="28"/>
        </w:rPr>
        <w:t>s</w:t>
      </w:r>
      <w:r w:rsidRPr="009E1CBE">
        <w:rPr>
          <w:rFonts w:ascii="Times New Roman" w:hAnsi="Times New Roman"/>
          <w:b/>
          <w:sz w:val="28"/>
          <w:szCs w:val="28"/>
        </w:rPr>
        <w:t>]</w:t>
      </w:r>
    </w:p>
    <w:p w14:paraId="17CD9BE9" w14:textId="77777777" w:rsidR="00351BF7" w:rsidRDefault="00351BF7" w:rsidP="00441E05">
      <w:pPr>
        <w:shd w:val="clear" w:color="auto" w:fill="FFFFFF"/>
        <w:spacing w:after="120" w:line="240" w:lineRule="auto"/>
        <w:ind w:left="720" w:right="720"/>
        <w:jc w:val="both"/>
        <w:rPr>
          <w:rFonts w:ascii="Times New Roman" w:hAnsi="Times New Roman"/>
          <w:sz w:val="28"/>
          <w:szCs w:val="28"/>
        </w:rPr>
      </w:pPr>
      <w:r w:rsidRPr="009E1CBE">
        <w:rPr>
          <w:rFonts w:ascii="Times New Roman" w:hAnsi="Times New Roman"/>
          <w:b/>
          <w:sz w:val="28"/>
          <w:szCs w:val="28"/>
        </w:rPr>
        <w:t>(</w:t>
      </w:r>
      <w:r>
        <w:rPr>
          <w:rFonts w:ascii="Times New Roman" w:hAnsi="Times New Roman"/>
          <w:b/>
          <w:sz w:val="28"/>
          <w:szCs w:val="28"/>
        </w:rPr>
        <w:t>d</w:t>
      </w:r>
      <w:r w:rsidRPr="009E1CBE">
        <w:rPr>
          <w:rFonts w:ascii="Times New Roman" w:hAnsi="Times New Roman"/>
          <w:b/>
          <w:sz w:val="28"/>
          <w:szCs w:val="28"/>
        </w:rPr>
        <w:t xml:space="preserve">) </w:t>
      </w:r>
      <w:r>
        <w:rPr>
          <w:rFonts w:ascii="Times New Roman" w:hAnsi="Times New Roman"/>
          <w:b/>
          <w:sz w:val="28"/>
          <w:szCs w:val="28"/>
        </w:rPr>
        <w:t>Grand Juror Names</w:t>
      </w:r>
      <w:r w:rsidRPr="009E1CBE">
        <w:rPr>
          <w:rFonts w:ascii="Times New Roman" w:hAnsi="Times New Roman"/>
          <w:b/>
          <w:sz w:val="28"/>
          <w:szCs w:val="28"/>
        </w:rPr>
        <w:t>.</w:t>
      </w:r>
      <w:r w:rsidRPr="009E1CBE">
        <w:rPr>
          <w:rFonts w:ascii="Times New Roman" w:hAnsi="Times New Roman"/>
          <w:sz w:val="28"/>
          <w:szCs w:val="28"/>
        </w:rPr>
        <w:t> </w:t>
      </w:r>
      <w:r>
        <w:rPr>
          <w:rFonts w:ascii="Times New Roman" w:hAnsi="Times New Roman"/>
          <w:sz w:val="28"/>
          <w:szCs w:val="28"/>
        </w:rPr>
        <w:t>No party may release grand juror identities to the public. If a transcript of any grand jury proceedings is used as an exhibit in court or attached to a motion or other pleading, the party must redact the names of the grand jurors</w:t>
      </w:r>
      <w:r w:rsidRPr="009E1CBE">
        <w:rPr>
          <w:rFonts w:ascii="Times New Roman" w:hAnsi="Times New Roman"/>
          <w:sz w:val="28"/>
          <w:szCs w:val="28"/>
        </w:rPr>
        <w:t>.</w:t>
      </w:r>
      <w:r>
        <w:rPr>
          <w:rFonts w:ascii="Times New Roman" w:hAnsi="Times New Roman"/>
          <w:sz w:val="28"/>
          <w:szCs w:val="28"/>
        </w:rPr>
        <w:t xml:space="preserve"> If redacting the transcript is not practical, then the party must file a motion to file the transcript under seal.</w:t>
      </w:r>
    </w:p>
    <w:p w14:paraId="45E2F0A4" w14:textId="28312D03" w:rsidR="00351BF7" w:rsidRDefault="00351BF7" w:rsidP="00351BF7">
      <w:pPr>
        <w:shd w:val="clear" w:color="auto" w:fill="FFFFFF"/>
        <w:spacing w:after="120" w:line="240" w:lineRule="auto"/>
        <w:jc w:val="both"/>
        <w:rPr>
          <w:rFonts w:ascii="Times New Roman" w:hAnsi="Times New Roman"/>
          <w:sz w:val="28"/>
          <w:szCs w:val="28"/>
        </w:rPr>
      </w:pPr>
    </w:p>
    <w:p w14:paraId="2F91F87E" w14:textId="7B582B78" w:rsidR="00351BF7" w:rsidRPr="00351BF7" w:rsidRDefault="00441E05" w:rsidP="00441E05">
      <w:pPr>
        <w:spacing w:line="480" w:lineRule="auto"/>
        <w:jc w:val="both"/>
        <w:rPr>
          <w:rFonts w:ascii="Times New Roman" w:hAnsi="Times New Roman"/>
          <w:b/>
          <w:bCs/>
          <w:sz w:val="28"/>
          <w:szCs w:val="28"/>
        </w:rPr>
      </w:pPr>
      <w:r>
        <w:rPr>
          <w:rFonts w:ascii="Times New Roman" w:hAnsi="Times New Roman"/>
          <w:sz w:val="28"/>
          <w:szCs w:val="28"/>
        </w:rPr>
        <w:lastRenderedPageBreak/>
        <w:t>This proposal adequately protects the privacy of grand jurors, because those who violate the rule may be subject to sanctions.</w:t>
      </w:r>
    </w:p>
    <w:p w14:paraId="294C3D77" w14:textId="026B1305" w:rsidR="00364562" w:rsidRPr="00C52935" w:rsidRDefault="00364562" w:rsidP="00364562">
      <w:pPr>
        <w:pStyle w:val="ListParagraph"/>
        <w:numPr>
          <w:ilvl w:val="0"/>
          <w:numId w:val="27"/>
        </w:numPr>
        <w:spacing w:line="480" w:lineRule="auto"/>
        <w:ind w:left="720"/>
        <w:jc w:val="both"/>
        <w:rPr>
          <w:rFonts w:ascii="Times New Roman" w:hAnsi="Times New Roman"/>
          <w:b/>
          <w:bCs/>
          <w:sz w:val="28"/>
          <w:szCs w:val="28"/>
        </w:rPr>
      </w:pPr>
      <w:r w:rsidRPr="00C52935">
        <w:rPr>
          <w:rFonts w:ascii="Times New Roman" w:hAnsi="Times New Roman"/>
          <w:b/>
          <w:bCs/>
          <w:sz w:val="28"/>
          <w:szCs w:val="28"/>
        </w:rPr>
        <w:t>Rule</w:t>
      </w:r>
      <w:r>
        <w:rPr>
          <w:rFonts w:ascii="Times New Roman" w:hAnsi="Times New Roman"/>
          <w:b/>
          <w:bCs/>
          <w:sz w:val="28"/>
          <w:szCs w:val="28"/>
        </w:rPr>
        <w:t>s</w:t>
      </w:r>
      <w:r w:rsidRPr="00C52935">
        <w:rPr>
          <w:rFonts w:ascii="Times New Roman" w:hAnsi="Times New Roman"/>
          <w:b/>
          <w:bCs/>
          <w:sz w:val="28"/>
          <w:szCs w:val="28"/>
        </w:rPr>
        <w:t xml:space="preserve"> 12.</w:t>
      </w:r>
      <w:r>
        <w:rPr>
          <w:rFonts w:ascii="Times New Roman" w:hAnsi="Times New Roman"/>
          <w:b/>
          <w:bCs/>
          <w:sz w:val="28"/>
          <w:szCs w:val="28"/>
        </w:rPr>
        <w:t>10 and 12.25</w:t>
      </w:r>
      <w:r w:rsidRPr="00C52935">
        <w:rPr>
          <w:rFonts w:ascii="Times New Roman" w:hAnsi="Times New Roman"/>
          <w:b/>
          <w:bCs/>
          <w:sz w:val="28"/>
          <w:szCs w:val="28"/>
        </w:rPr>
        <w:t>.</w:t>
      </w:r>
    </w:p>
    <w:p w14:paraId="39254588" w14:textId="79DB24F1" w:rsidR="00351BF7" w:rsidRDefault="004A590C" w:rsidP="00B25F2B">
      <w:pPr>
        <w:spacing w:line="480" w:lineRule="auto"/>
        <w:ind w:firstLine="720"/>
        <w:jc w:val="both"/>
        <w:rPr>
          <w:rFonts w:ascii="Times New Roman" w:hAnsi="Times New Roman"/>
          <w:sz w:val="28"/>
          <w:szCs w:val="28"/>
        </w:rPr>
      </w:pPr>
      <w:r>
        <w:rPr>
          <w:rFonts w:ascii="Times New Roman" w:hAnsi="Times New Roman"/>
          <w:sz w:val="28"/>
          <w:szCs w:val="28"/>
        </w:rPr>
        <w:t xml:space="preserve">Regarding the </w:t>
      </w:r>
      <w:r w:rsidR="004A10AA">
        <w:rPr>
          <w:rFonts w:ascii="Times New Roman" w:hAnsi="Times New Roman"/>
          <w:sz w:val="28"/>
          <w:szCs w:val="28"/>
        </w:rPr>
        <w:t xml:space="preserve">preservation of physical evidence in proposed new Rule 12.10 and amended Rule 12.25, </w:t>
      </w:r>
      <w:r w:rsidR="00364562">
        <w:rPr>
          <w:rFonts w:ascii="Times New Roman" w:hAnsi="Times New Roman"/>
          <w:sz w:val="28"/>
          <w:szCs w:val="28"/>
        </w:rPr>
        <w:t xml:space="preserve">the proposal seeks to ensure preservation while making the evidence available for inspection and viewing by the parties, but requires the court to impose limitations on access to that evidence. </w:t>
      </w:r>
      <w:r w:rsidR="004A10AA">
        <w:rPr>
          <w:rFonts w:ascii="Times New Roman" w:hAnsi="Times New Roman"/>
          <w:sz w:val="28"/>
          <w:szCs w:val="28"/>
        </w:rPr>
        <w:t>AACJ supports the aim of the proposal</w:t>
      </w:r>
      <w:r w:rsidR="00B2012D">
        <w:rPr>
          <w:rFonts w:ascii="Times New Roman" w:hAnsi="Times New Roman"/>
          <w:sz w:val="28"/>
          <w:szCs w:val="28"/>
        </w:rPr>
        <w:t xml:space="preserve"> while simultaneously seeking</w:t>
      </w:r>
      <w:r w:rsidR="004A10AA">
        <w:rPr>
          <w:rFonts w:ascii="Times New Roman" w:hAnsi="Times New Roman"/>
          <w:sz w:val="28"/>
          <w:szCs w:val="28"/>
        </w:rPr>
        <w:t xml:space="preserve"> to ensure the due process rights of a defendant. </w:t>
      </w:r>
      <w:r w:rsidR="00351BF7">
        <w:rPr>
          <w:rFonts w:ascii="Times New Roman" w:hAnsi="Times New Roman"/>
          <w:sz w:val="28"/>
          <w:szCs w:val="28"/>
        </w:rPr>
        <w:t>Proposed Rule 12.10(a) makes clear that the defendant has equal access to the exhibits as the State, but it is not clear that Proposed Rule 12.10(b) would not also apply to the parties. AACJ is concerned that the language of (b) might serve to restrict the defendant’s access under (a).</w:t>
      </w:r>
      <w:r w:rsidR="00E81EDB">
        <w:rPr>
          <w:rFonts w:ascii="Times New Roman" w:hAnsi="Times New Roman"/>
          <w:sz w:val="28"/>
          <w:szCs w:val="28"/>
        </w:rPr>
        <w:t xml:space="preserve"> </w:t>
      </w:r>
    </w:p>
    <w:p w14:paraId="26451FBD" w14:textId="432337ED" w:rsidR="004A590C" w:rsidRDefault="004A10AA" w:rsidP="00B25F2B">
      <w:pPr>
        <w:spacing w:line="480" w:lineRule="auto"/>
        <w:ind w:firstLine="720"/>
        <w:jc w:val="both"/>
        <w:rPr>
          <w:rFonts w:ascii="Times New Roman" w:hAnsi="Times New Roman"/>
          <w:sz w:val="28"/>
          <w:szCs w:val="28"/>
        </w:rPr>
      </w:pPr>
      <w:r>
        <w:rPr>
          <w:rFonts w:ascii="Times New Roman" w:hAnsi="Times New Roman"/>
          <w:sz w:val="28"/>
          <w:szCs w:val="28"/>
        </w:rPr>
        <w:t>There are meaningful concerns that the lack of discretion in the requirement that judges impose limitation may harm the interests of the parties. Notably, physical evidence includes “records</w:t>
      </w:r>
      <w:r w:rsidR="00B2012D">
        <w:rPr>
          <w:rFonts w:ascii="Times New Roman" w:hAnsi="Times New Roman"/>
          <w:sz w:val="28"/>
          <w:szCs w:val="28"/>
        </w:rPr>
        <w:t>,</w:t>
      </w:r>
      <w:r>
        <w:rPr>
          <w:rFonts w:ascii="Times New Roman" w:hAnsi="Times New Roman"/>
          <w:sz w:val="28"/>
          <w:szCs w:val="28"/>
        </w:rPr>
        <w:t xml:space="preserve">” </w:t>
      </w:r>
      <w:r w:rsidR="00B2012D">
        <w:rPr>
          <w:rFonts w:ascii="Times New Roman" w:hAnsi="Times New Roman"/>
          <w:sz w:val="28"/>
          <w:szCs w:val="28"/>
        </w:rPr>
        <w:t xml:space="preserve">a term that </w:t>
      </w:r>
      <w:r>
        <w:rPr>
          <w:rFonts w:ascii="Times New Roman" w:hAnsi="Times New Roman"/>
          <w:sz w:val="28"/>
          <w:szCs w:val="28"/>
        </w:rPr>
        <w:t xml:space="preserve">is not defined in the Rules of Criminal Procedure but is defined elsewhere. </w:t>
      </w:r>
      <w:r w:rsidRPr="0099409D">
        <w:rPr>
          <w:rFonts w:ascii="Times New Roman" w:hAnsi="Times New Roman"/>
          <w:sz w:val="28"/>
          <w:szCs w:val="28"/>
        </w:rPr>
        <w:t xml:space="preserve">A.R.S. § </w:t>
      </w:r>
      <w:r>
        <w:rPr>
          <w:rFonts w:ascii="Times New Roman" w:hAnsi="Times New Roman"/>
          <w:sz w:val="28"/>
          <w:szCs w:val="28"/>
        </w:rPr>
        <w:t>41-151.18 defines the term as follows:</w:t>
      </w:r>
    </w:p>
    <w:p w14:paraId="2DE120D3" w14:textId="290EC968" w:rsidR="004A10AA" w:rsidRDefault="004A10AA" w:rsidP="004A10AA">
      <w:pPr>
        <w:spacing w:line="240" w:lineRule="auto"/>
        <w:ind w:left="720" w:right="720"/>
        <w:jc w:val="both"/>
        <w:rPr>
          <w:rFonts w:ascii="Times New Roman" w:hAnsi="Times New Roman"/>
          <w:sz w:val="28"/>
          <w:szCs w:val="28"/>
        </w:rPr>
      </w:pPr>
      <w:r w:rsidRPr="004A10AA">
        <w:rPr>
          <w:rFonts w:ascii="Times New Roman" w:hAnsi="Times New Roman"/>
          <w:sz w:val="28"/>
          <w:szCs w:val="28"/>
        </w:rPr>
        <w:t xml:space="preserve">“Records” means all books, papers, maps, photographs or other documentary materials, regardless of physical form or characteristics, including prints or copies of such items produced or reproduced on film </w:t>
      </w:r>
      <w:r w:rsidRPr="006E658F">
        <w:rPr>
          <w:rFonts w:ascii="Times New Roman" w:hAnsi="Times New Roman"/>
          <w:b/>
          <w:bCs/>
          <w:i/>
          <w:iCs/>
          <w:sz w:val="28"/>
          <w:szCs w:val="28"/>
        </w:rPr>
        <w:t>or electronic media</w:t>
      </w:r>
      <w:r w:rsidRPr="004A10AA">
        <w:rPr>
          <w:rFonts w:ascii="Times New Roman" w:hAnsi="Times New Roman"/>
          <w:sz w:val="28"/>
          <w:szCs w:val="28"/>
        </w:rPr>
        <w:t xml:space="preserve"> pursuant to § 41-151.16, made or received by any governmental agency in pursuance of law or in connection with the transaction of public business and preserved or appropriate for preservation by the agency or its legitimate successor as evidence of the organization, functions, policies, decisions, procedures, operations or </w:t>
      </w:r>
      <w:r w:rsidRPr="004A10AA">
        <w:rPr>
          <w:rFonts w:ascii="Times New Roman" w:hAnsi="Times New Roman"/>
          <w:sz w:val="28"/>
          <w:szCs w:val="28"/>
        </w:rPr>
        <w:lastRenderedPageBreak/>
        <w:t>other activities of the government, or because of the informational and historical value of data contained in the record, and includes records that are made confidential by statute.</w:t>
      </w:r>
    </w:p>
    <w:p w14:paraId="480C7DE5" w14:textId="77777777" w:rsidR="004A10AA" w:rsidRDefault="004A10AA" w:rsidP="004A10AA">
      <w:pPr>
        <w:spacing w:line="240" w:lineRule="auto"/>
        <w:ind w:right="720"/>
        <w:jc w:val="both"/>
        <w:rPr>
          <w:rFonts w:ascii="Times New Roman" w:hAnsi="Times New Roman"/>
          <w:sz w:val="28"/>
          <w:szCs w:val="28"/>
        </w:rPr>
      </w:pPr>
    </w:p>
    <w:p w14:paraId="0833EDE2" w14:textId="7510F372" w:rsidR="004A10AA" w:rsidRDefault="004A10AA" w:rsidP="004A10AA">
      <w:pPr>
        <w:spacing w:line="480" w:lineRule="auto"/>
        <w:jc w:val="both"/>
        <w:rPr>
          <w:rFonts w:ascii="Times New Roman" w:hAnsi="Times New Roman"/>
          <w:sz w:val="28"/>
          <w:szCs w:val="28"/>
        </w:rPr>
      </w:pPr>
      <w:r w:rsidRPr="0099409D">
        <w:rPr>
          <w:rFonts w:ascii="Times New Roman" w:hAnsi="Times New Roman"/>
          <w:sz w:val="28"/>
          <w:szCs w:val="28"/>
        </w:rPr>
        <w:t xml:space="preserve">A.R.S. § </w:t>
      </w:r>
      <w:r>
        <w:rPr>
          <w:rFonts w:ascii="Times New Roman" w:hAnsi="Times New Roman"/>
          <w:sz w:val="28"/>
          <w:szCs w:val="28"/>
        </w:rPr>
        <w:t>41-151.18</w:t>
      </w:r>
      <w:r w:rsidR="00506790">
        <w:rPr>
          <w:rFonts w:ascii="Times New Roman" w:hAnsi="Times New Roman"/>
          <w:sz w:val="28"/>
          <w:szCs w:val="28"/>
        </w:rPr>
        <w:t xml:space="preserve"> (emphasis added)</w:t>
      </w:r>
      <w:r>
        <w:rPr>
          <w:rFonts w:ascii="Times New Roman" w:hAnsi="Times New Roman"/>
          <w:sz w:val="28"/>
          <w:szCs w:val="28"/>
        </w:rPr>
        <w:t xml:space="preserve">. </w:t>
      </w:r>
      <w:r w:rsidR="004328CD">
        <w:rPr>
          <w:rFonts w:ascii="Times New Roman" w:hAnsi="Times New Roman"/>
          <w:sz w:val="28"/>
          <w:szCs w:val="28"/>
        </w:rPr>
        <w:t>Regarding the courts themselves, “record” is defined as follows:</w:t>
      </w:r>
    </w:p>
    <w:p w14:paraId="1AF0090B" w14:textId="0597AC6A" w:rsidR="004328CD" w:rsidRDefault="004328CD" w:rsidP="004328CD">
      <w:pPr>
        <w:spacing w:line="240" w:lineRule="auto"/>
        <w:ind w:left="720" w:right="720"/>
        <w:jc w:val="both"/>
        <w:rPr>
          <w:rFonts w:ascii="Times New Roman" w:hAnsi="Times New Roman"/>
          <w:sz w:val="28"/>
          <w:szCs w:val="28"/>
        </w:rPr>
      </w:pPr>
      <w:r w:rsidRPr="005D45D0">
        <w:rPr>
          <w:rFonts w:ascii="Times New Roman" w:hAnsi="Times New Roman"/>
          <w:sz w:val="28"/>
          <w:szCs w:val="28"/>
        </w:rPr>
        <w:t>“Record” means all existing documents, papers, letters, maps, books, tapes, photographs, films, sound recordings or other materials, regardless of physical form or characteristics, made or received pursuant to law or in connection with the transaction of any official business by the court, and preserved or appropriate for preservation by the court as evidence of the organization, functions, policies, decision, procedures, operations or other governmental activities.</w:t>
      </w:r>
    </w:p>
    <w:p w14:paraId="7F43B8E4" w14:textId="77777777" w:rsidR="004328CD" w:rsidRDefault="004328CD" w:rsidP="004328CD">
      <w:pPr>
        <w:spacing w:line="240" w:lineRule="auto"/>
        <w:ind w:right="720"/>
        <w:jc w:val="both"/>
        <w:rPr>
          <w:rFonts w:ascii="Times New Roman" w:hAnsi="Times New Roman"/>
          <w:sz w:val="28"/>
          <w:szCs w:val="28"/>
        </w:rPr>
      </w:pPr>
    </w:p>
    <w:p w14:paraId="15A92871" w14:textId="56B9DB58" w:rsidR="004328CD" w:rsidRPr="004328CD" w:rsidRDefault="004328CD" w:rsidP="004328CD">
      <w:pPr>
        <w:spacing w:line="480" w:lineRule="auto"/>
        <w:jc w:val="both"/>
        <w:rPr>
          <w:rFonts w:ascii="Times New Roman" w:hAnsi="Times New Roman"/>
          <w:sz w:val="28"/>
          <w:szCs w:val="28"/>
        </w:rPr>
      </w:pPr>
      <w:r>
        <w:rPr>
          <w:rFonts w:ascii="Times New Roman" w:hAnsi="Times New Roman"/>
          <w:sz w:val="28"/>
          <w:szCs w:val="28"/>
        </w:rPr>
        <w:t xml:space="preserve">Ariz. </w:t>
      </w:r>
      <w:r w:rsidR="00506790">
        <w:rPr>
          <w:rFonts w:ascii="Times New Roman" w:hAnsi="Times New Roman"/>
          <w:sz w:val="28"/>
          <w:szCs w:val="28"/>
        </w:rPr>
        <w:t xml:space="preserve">R. </w:t>
      </w:r>
      <w:r>
        <w:rPr>
          <w:rFonts w:ascii="Times New Roman" w:hAnsi="Times New Roman"/>
          <w:sz w:val="28"/>
          <w:szCs w:val="28"/>
        </w:rPr>
        <w:t>S</w:t>
      </w:r>
      <w:r w:rsidR="00506790">
        <w:rPr>
          <w:rFonts w:ascii="Times New Roman" w:hAnsi="Times New Roman"/>
          <w:sz w:val="28"/>
          <w:szCs w:val="28"/>
        </w:rPr>
        <w:t>up</w:t>
      </w:r>
      <w:r>
        <w:rPr>
          <w:rFonts w:ascii="Times New Roman" w:hAnsi="Times New Roman"/>
          <w:sz w:val="28"/>
          <w:szCs w:val="28"/>
        </w:rPr>
        <w:t xml:space="preserve">. Ct. 123(b)(18). </w:t>
      </w:r>
      <w:r w:rsidR="007B4508">
        <w:rPr>
          <w:rFonts w:ascii="Times New Roman" w:hAnsi="Times New Roman"/>
          <w:sz w:val="28"/>
          <w:szCs w:val="28"/>
        </w:rPr>
        <w:t>Irrespective of which definition of “record” applies to Criminal Rule 12, the definition will be exceptionally broad.</w:t>
      </w:r>
    </w:p>
    <w:p w14:paraId="3BFA5BA3" w14:textId="2674D76F" w:rsidR="004328CD" w:rsidRDefault="004328CD" w:rsidP="004328CD">
      <w:pPr>
        <w:spacing w:line="480" w:lineRule="auto"/>
        <w:jc w:val="both"/>
        <w:rPr>
          <w:rFonts w:ascii="Times New Roman" w:hAnsi="Times New Roman"/>
          <w:sz w:val="28"/>
          <w:szCs w:val="28"/>
        </w:rPr>
      </w:pPr>
      <w:r>
        <w:rPr>
          <w:rFonts w:ascii="Times New Roman" w:hAnsi="Times New Roman"/>
          <w:sz w:val="28"/>
          <w:szCs w:val="28"/>
        </w:rPr>
        <w:tab/>
        <w:t>The amended rules, rather than guaranteeing reasonable access of a defendant to physical evidence</w:t>
      </w:r>
      <w:r w:rsidR="007B4508">
        <w:rPr>
          <w:rFonts w:ascii="Times New Roman" w:hAnsi="Times New Roman"/>
          <w:sz w:val="28"/>
          <w:szCs w:val="28"/>
        </w:rPr>
        <w:t xml:space="preserve"> (</w:t>
      </w:r>
      <w:r>
        <w:rPr>
          <w:rFonts w:ascii="Times New Roman" w:hAnsi="Times New Roman"/>
          <w:sz w:val="28"/>
          <w:szCs w:val="28"/>
        </w:rPr>
        <w:t>including records</w:t>
      </w:r>
      <w:r w:rsidR="007B4508">
        <w:rPr>
          <w:rFonts w:ascii="Times New Roman" w:hAnsi="Times New Roman"/>
          <w:sz w:val="28"/>
          <w:szCs w:val="28"/>
        </w:rPr>
        <w:t>)</w:t>
      </w:r>
      <w:r>
        <w:rPr>
          <w:rFonts w:ascii="Times New Roman" w:hAnsi="Times New Roman"/>
          <w:sz w:val="28"/>
          <w:szCs w:val="28"/>
        </w:rPr>
        <w:t xml:space="preserve"> presented to the grand jury, instead requires a judge to limit access to such evidence. This raises the concern that </w:t>
      </w:r>
      <w:r w:rsidR="005F48E3">
        <w:rPr>
          <w:rFonts w:ascii="Times New Roman" w:hAnsi="Times New Roman"/>
          <w:sz w:val="28"/>
          <w:szCs w:val="28"/>
        </w:rPr>
        <w:t xml:space="preserve">the State </w:t>
      </w:r>
      <w:r>
        <w:rPr>
          <w:rFonts w:ascii="Times New Roman" w:hAnsi="Times New Roman"/>
          <w:sz w:val="28"/>
          <w:szCs w:val="28"/>
        </w:rPr>
        <w:t xml:space="preserve">may seek to “bury” evidence by presenting it to the grand jury and thereby limiting the </w:t>
      </w:r>
      <w:r w:rsidR="005F48E3">
        <w:rPr>
          <w:rFonts w:ascii="Times New Roman" w:hAnsi="Times New Roman"/>
          <w:sz w:val="28"/>
          <w:szCs w:val="28"/>
        </w:rPr>
        <w:t xml:space="preserve">defendants’ </w:t>
      </w:r>
      <w:r>
        <w:rPr>
          <w:rFonts w:ascii="Times New Roman" w:hAnsi="Times New Roman"/>
          <w:sz w:val="28"/>
          <w:szCs w:val="28"/>
        </w:rPr>
        <w:t>access to it. Another concern arises related to the ability of a defendant, particularly one who is in custody, to view, examine, or inspect the evidence if that evidence is only available for viewing and inspection at the clerk’s office instead of being made available in the same manner as a grand jury transcript. Where actual physical evidence is involved, the amended rule may hamper the ability of a defendant to conduct necessary scientific testing.</w:t>
      </w:r>
    </w:p>
    <w:p w14:paraId="109FFBC6" w14:textId="286EBA1E" w:rsidR="004328CD" w:rsidRPr="004A10AA" w:rsidRDefault="004328CD" w:rsidP="004328CD">
      <w:pPr>
        <w:spacing w:line="480" w:lineRule="auto"/>
        <w:jc w:val="both"/>
        <w:rPr>
          <w:rFonts w:ascii="Times New Roman" w:hAnsi="Times New Roman"/>
          <w:sz w:val="28"/>
          <w:szCs w:val="28"/>
        </w:rPr>
      </w:pPr>
      <w:r>
        <w:rPr>
          <w:rFonts w:ascii="Times New Roman" w:hAnsi="Times New Roman"/>
          <w:sz w:val="28"/>
          <w:szCs w:val="28"/>
        </w:rPr>
        <w:lastRenderedPageBreak/>
        <w:tab/>
        <w:t xml:space="preserve">Given these concerns, AACJ opposes only those parts of the new rule 12.10 and the amended rule 12.25 that requires the imposition of </w:t>
      </w:r>
      <w:r w:rsidR="00FE1586">
        <w:rPr>
          <w:rFonts w:ascii="Times New Roman" w:hAnsi="Times New Roman"/>
          <w:sz w:val="28"/>
          <w:szCs w:val="28"/>
        </w:rPr>
        <w:t>“</w:t>
      </w:r>
      <w:r>
        <w:rPr>
          <w:rFonts w:ascii="Times New Roman" w:hAnsi="Times New Roman"/>
          <w:sz w:val="28"/>
          <w:szCs w:val="28"/>
        </w:rPr>
        <w:t>limitations on access, use, transport, care, and disposal</w:t>
      </w:r>
      <w:r w:rsidR="00FE1586">
        <w:rPr>
          <w:rFonts w:ascii="Times New Roman" w:hAnsi="Times New Roman"/>
          <w:sz w:val="28"/>
          <w:szCs w:val="28"/>
        </w:rPr>
        <w:t xml:space="preserve">,” of physical evidence presented to or considered by a grand jury. AACJ’s concerns can be sufficiently ameliorated by a specification that, to the extent due process and a defendant’s right of access, need </w:t>
      </w:r>
      <w:r w:rsidR="00491C58">
        <w:rPr>
          <w:rFonts w:ascii="Times New Roman" w:hAnsi="Times New Roman"/>
          <w:sz w:val="28"/>
          <w:szCs w:val="28"/>
        </w:rPr>
        <w:t>for</w:t>
      </w:r>
      <w:r w:rsidR="00FE1586">
        <w:rPr>
          <w:rFonts w:ascii="Times New Roman" w:hAnsi="Times New Roman"/>
          <w:sz w:val="28"/>
          <w:szCs w:val="28"/>
        </w:rPr>
        <w:t xml:space="preserve"> testing, or other legitimate need require</w:t>
      </w:r>
      <w:r w:rsidR="00824131">
        <w:rPr>
          <w:rFonts w:ascii="Times New Roman" w:hAnsi="Times New Roman"/>
          <w:sz w:val="28"/>
          <w:szCs w:val="28"/>
        </w:rPr>
        <w:t>s</w:t>
      </w:r>
      <w:r w:rsidR="00FE1586">
        <w:rPr>
          <w:rFonts w:ascii="Times New Roman" w:hAnsi="Times New Roman"/>
          <w:sz w:val="28"/>
          <w:szCs w:val="28"/>
        </w:rPr>
        <w:t>, a court must grant a defendant access to, use of, testing of, copying of, and examination of physical evidence presented to a grand jury unless the court specifically finds, with its reasons in writing, that such access will defeat the ends of justice.</w:t>
      </w:r>
    </w:p>
    <w:p w14:paraId="3BE510B7" w14:textId="272A6782" w:rsidR="00351BF7" w:rsidRDefault="00E81EDB" w:rsidP="00351BF7">
      <w:pPr>
        <w:spacing w:line="480" w:lineRule="auto"/>
        <w:ind w:firstLine="720"/>
        <w:jc w:val="both"/>
        <w:rPr>
          <w:rFonts w:ascii="Times New Roman" w:hAnsi="Times New Roman"/>
          <w:sz w:val="28"/>
          <w:szCs w:val="28"/>
        </w:rPr>
      </w:pPr>
      <w:r>
        <w:rPr>
          <w:rFonts w:ascii="Times New Roman" w:hAnsi="Times New Roman"/>
          <w:sz w:val="28"/>
          <w:szCs w:val="28"/>
        </w:rPr>
        <w:t xml:space="preserve">The spirit of Petitioner’s proposal seems to recognize the defendant’s right as well as the rights of private property owners whose property has become relevant in a grand jury investigation. In order to clarify the rights of all persons involved, </w:t>
      </w:r>
      <w:r w:rsidR="00351BF7">
        <w:rPr>
          <w:rFonts w:ascii="Times New Roman" w:hAnsi="Times New Roman"/>
          <w:sz w:val="28"/>
          <w:szCs w:val="28"/>
        </w:rPr>
        <w:t>AACJ offers the following alternative proposal for Rule</w:t>
      </w:r>
      <w:r>
        <w:rPr>
          <w:rFonts w:ascii="Times New Roman" w:hAnsi="Times New Roman"/>
          <w:sz w:val="28"/>
          <w:szCs w:val="28"/>
        </w:rPr>
        <w:t>s</w:t>
      </w:r>
      <w:r w:rsidR="00351BF7">
        <w:rPr>
          <w:rFonts w:ascii="Times New Roman" w:hAnsi="Times New Roman"/>
          <w:sz w:val="28"/>
          <w:szCs w:val="28"/>
        </w:rPr>
        <w:t xml:space="preserve"> 12.10(b)</w:t>
      </w:r>
      <w:r>
        <w:rPr>
          <w:rFonts w:ascii="Times New Roman" w:hAnsi="Times New Roman"/>
          <w:sz w:val="28"/>
          <w:szCs w:val="28"/>
        </w:rPr>
        <w:t xml:space="preserve"> and 12.25(b)</w:t>
      </w:r>
      <w:r w:rsidR="00351BF7">
        <w:rPr>
          <w:rFonts w:ascii="Times New Roman" w:hAnsi="Times New Roman"/>
          <w:sz w:val="28"/>
          <w:szCs w:val="28"/>
        </w:rPr>
        <w:t>:</w:t>
      </w:r>
    </w:p>
    <w:p w14:paraId="5DBF12DF" w14:textId="16291D85" w:rsidR="00351BF7" w:rsidRPr="009E1CBE" w:rsidRDefault="00351BF7" w:rsidP="00351BF7">
      <w:pPr>
        <w:shd w:val="clear" w:color="auto" w:fill="FFFFFF"/>
        <w:spacing w:after="120" w:line="240" w:lineRule="auto"/>
        <w:jc w:val="center"/>
        <w:rPr>
          <w:rFonts w:ascii="Times New Roman" w:hAnsi="Times New Roman"/>
          <w:b/>
          <w:sz w:val="28"/>
          <w:szCs w:val="28"/>
        </w:rPr>
      </w:pPr>
      <w:r w:rsidRPr="009E1CBE">
        <w:rPr>
          <w:rFonts w:ascii="Times New Roman" w:hAnsi="Times New Roman"/>
          <w:b/>
          <w:sz w:val="28"/>
          <w:szCs w:val="28"/>
        </w:rPr>
        <w:t>Rule 1</w:t>
      </w:r>
      <w:r>
        <w:rPr>
          <w:rFonts w:ascii="Times New Roman" w:hAnsi="Times New Roman"/>
          <w:b/>
          <w:sz w:val="28"/>
          <w:szCs w:val="28"/>
        </w:rPr>
        <w:t>2</w:t>
      </w:r>
      <w:r w:rsidRPr="009E1CBE">
        <w:rPr>
          <w:rFonts w:ascii="Times New Roman" w:hAnsi="Times New Roman"/>
          <w:b/>
          <w:sz w:val="28"/>
          <w:szCs w:val="28"/>
        </w:rPr>
        <w:t>.</w:t>
      </w:r>
      <w:r w:rsidR="000365CF">
        <w:rPr>
          <w:rFonts w:ascii="Times New Roman" w:hAnsi="Times New Roman"/>
          <w:b/>
          <w:sz w:val="28"/>
          <w:szCs w:val="28"/>
        </w:rPr>
        <w:t>10</w:t>
      </w:r>
      <w:r w:rsidRPr="009E1CBE">
        <w:rPr>
          <w:rFonts w:ascii="Times New Roman" w:hAnsi="Times New Roman"/>
          <w:b/>
          <w:sz w:val="28"/>
          <w:szCs w:val="28"/>
        </w:rPr>
        <w:t xml:space="preserve">. </w:t>
      </w:r>
      <w:r>
        <w:rPr>
          <w:rFonts w:ascii="Times New Roman" w:hAnsi="Times New Roman"/>
          <w:b/>
          <w:sz w:val="28"/>
          <w:szCs w:val="28"/>
        </w:rPr>
        <w:t>Preservation of Grand Jury Evidence</w:t>
      </w:r>
    </w:p>
    <w:p w14:paraId="0643DF6A" w14:textId="0B4C2B76" w:rsidR="00351BF7" w:rsidRPr="009E1CBE" w:rsidRDefault="00351BF7" w:rsidP="00351BF7">
      <w:pPr>
        <w:shd w:val="clear" w:color="auto" w:fill="FFFFFF"/>
        <w:spacing w:after="120" w:line="240" w:lineRule="auto"/>
        <w:jc w:val="both"/>
        <w:rPr>
          <w:rFonts w:ascii="Times New Roman" w:hAnsi="Times New Roman"/>
          <w:sz w:val="28"/>
          <w:szCs w:val="28"/>
        </w:rPr>
      </w:pPr>
      <w:r w:rsidRPr="009E1CBE">
        <w:rPr>
          <w:rFonts w:ascii="Times New Roman" w:hAnsi="Times New Roman"/>
          <w:b/>
          <w:sz w:val="28"/>
          <w:szCs w:val="28"/>
        </w:rPr>
        <w:t>(a) [No change</w:t>
      </w:r>
      <w:r>
        <w:rPr>
          <w:rFonts w:ascii="Times New Roman" w:hAnsi="Times New Roman"/>
          <w:b/>
          <w:sz w:val="28"/>
          <w:szCs w:val="28"/>
        </w:rPr>
        <w:t xml:space="preserve"> to Petitioner’s Proposal</w:t>
      </w:r>
      <w:r w:rsidRPr="009E1CBE">
        <w:rPr>
          <w:rFonts w:ascii="Times New Roman" w:hAnsi="Times New Roman"/>
          <w:b/>
          <w:sz w:val="28"/>
          <w:szCs w:val="28"/>
        </w:rPr>
        <w:t>]</w:t>
      </w:r>
    </w:p>
    <w:p w14:paraId="74DE9649" w14:textId="70496328" w:rsidR="00351BF7" w:rsidRDefault="00351BF7" w:rsidP="00351BF7">
      <w:pPr>
        <w:shd w:val="clear" w:color="auto" w:fill="FFFFFF"/>
        <w:spacing w:after="120" w:line="240" w:lineRule="auto"/>
        <w:jc w:val="both"/>
        <w:rPr>
          <w:rFonts w:ascii="Times New Roman" w:hAnsi="Times New Roman"/>
          <w:sz w:val="28"/>
          <w:szCs w:val="28"/>
        </w:rPr>
      </w:pPr>
      <w:r w:rsidRPr="009E1CBE">
        <w:rPr>
          <w:rFonts w:ascii="Times New Roman" w:hAnsi="Times New Roman"/>
          <w:b/>
          <w:sz w:val="28"/>
          <w:szCs w:val="28"/>
        </w:rPr>
        <w:t>(</w:t>
      </w:r>
      <w:r>
        <w:rPr>
          <w:rFonts w:ascii="Times New Roman" w:hAnsi="Times New Roman"/>
          <w:b/>
          <w:sz w:val="28"/>
          <w:szCs w:val="28"/>
        </w:rPr>
        <w:t>b</w:t>
      </w:r>
      <w:r w:rsidRPr="009E1CBE">
        <w:rPr>
          <w:rFonts w:ascii="Times New Roman" w:hAnsi="Times New Roman"/>
          <w:b/>
          <w:sz w:val="28"/>
          <w:szCs w:val="28"/>
        </w:rPr>
        <w:t xml:space="preserve">) </w:t>
      </w:r>
      <w:r>
        <w:rPr>
          <w:rFonts w:ascii="Times New Roman" w:hAnsi="Times New Roman"/>
          <w:b/>
          <w:sz w:val="28"/>
          <w:szCs w:val="28"/>
        </w:rPr>
        <w:t>Release or Retention</w:t>
      </w:r>
      <w:r w:rsidRPr="009E1CBE">
        <w:rPr>
          <w:rFonts w:ascii="Times New Roman" w:hAnsi="Times New Roman"/>
          <w:b/>
          <w:sz w:val="28"/>
          <w:szCs w:val="28"/>
        </w:rPr>
        <w:t>.</w:t>
      </w:r>
      <w:r w:rsidRPr="009E1CBE">
        <w:rPr>
          <w:rFonts w:ascii="Times New Roman" w:hAnsi="Times New Roman"/>
          <w:sz w:val="28"/>
          <w:szCs w:val="28"/>
        </w:rPr>
        <w:t> </w:t>
      </w:r>
      <w:r w:rsidR="000365CF">
        <w:rPr>
          <w:rFonts w:ascii="Times New Roman" w:hAnsi="Times New Roman"/>
          <w:sz w:val="28"/>
          <w:szCs w:val="28"/>
        </w:rPr>
        <w:t>If physical evidence was produced before a grand jury, and the owner or possessor of that property has a right to possess or regain custody over it, the court must not order the release the property to its lawful owner or possessor until the defendant has a fair and reasonable opportunity to inspect the evidence</w:t>
      </w:r>
      <w:r>
        <w:rPr>
          <w:rFonts w:ascii="Times New Roman" w:hAnsi="Times New Roman"/>
          <w:sz w:val="28"/>
          <w:szCs w:val="28"/>
        </w:rPr>
        <w:t>.</w:t>
      </w:r>
      <w:r w:rsidR="000365CF">
        <w:rPr>
          <w:rFonts w:ascii="Times New Roman" w:hAnsi="Times New Roman"/>
          <w:sz w:val="28"/>
          <w:szCs w:val="28"/>
        </w:rPr>
        <w:t xml:space="preserve"> Records, documents, or any other evidence maintained in a format that is suitable for duplication may be copied by the owner.</w:t>
      </w:r>
    </w:p>
    <w:p w14:paraId="1A3851E1" w14:textId="77777777" w:rsidR="00351BF7" w:rsidRDefault="00351BF7" w:rsidP="00351BF7">
      <w:pPr>
        <w:shd w:val="clear" w:color="auto" w:fill="FFFFFF"/>
        <w:spacing w:after="120" w:line="240" w:lineRule="auto"/>
        <w:jc w:val="both"/>
        <w:rPr>
          <w:rFonts w:ascii="Times New Roman" w:hAnsi="Times New Roman"/>
          <w:sz w:val="28"/>
          <w:szCs w:val="28"/>
        </w:rPr>
      </w:pPr>
    </w:p>
    <w:p w14:paraId="666098F1" w14:textId="3EBC5CCE" w:rsidR="00A1438F" w:rsidRDefault="00E81EDB" w:rsidP="00E81EDB">
      <w:pPr>
        <w:spacing w:line="480" w:lineRule="auto"/>
        <w:jc w:val="both"/>
        <w:rPr>
          <w:rFonts w:ascii="Times New Roman" w:hAnsi="Times New Roman"/>
          <w:sz w:val="28"/>
          <w:szCs w:val="28"/>
        </w:rPr>
      </w:pPr>
      <w:r>
        <w:rPr>
          <w:rFonts w:ascii="Times New Roman" w:hAnsi="Times New Roman"/>
          <w:sz w:val="28"/>
          <w:szCs w:val="28"/>
        </w:rPr>
        <w:lastRenderedPageBreak/>
        <w:t>As the Petition uses the same language in Rules 12.10(b) and 12.25(b), AACJ similarly suggests that its proposal for Rule 12.10(b) be carried into Rule 12.25(b) as well.</w:t>
      </w:r>
    </w:p>
    <w:p w14:paraId="55EA598E" w14:textId="48EE9E3D" w:rsidR="00B12B4E" w:rsidRPr="00B12B4E" w:rsidRDefault="00B12B4E" w:rsidP="00B12B4E">
      <w:pPr>
        <w:spacing w:line="480" w:lineRule="auto"/>
        <w:jc w:val="both"/>
        <w:rPr>
          <w:rFonts w:ascii="Times New Roman" w:hAnsi="Times New Roman"/>
          <w:b/>
          <w:bCs/>
          <w:sz w:val="28"/>
          <w:szCs w:val="28"/>
        </w:rPr>
      </w:pPr>
      <w:r>
        <w:rPr>
          <w:rFonts w:ascii="Times New Roman" w:hAnsi="Times New Roman"/>
          <w:b/>
          <w:bCs/>
          <w:sz w:val="28"/>
          <w:szCs w:val="28"/>
        </w:rPr>
        <w:t>Conclusion</w:t>
      </w:r>
    </w:p>
    <w:p w14:paraId="1BCAF220" w14:textId="7014F2B7" w:rsidR="006E658F" w:rsidRDefault="00B12B4E" w:rsidP="00AD3DC3">
      <w:pPr>
        <w:spacing w:line="480" w:lineRule="auto"/>
        <w:ind w:firstLine="720"/>
        <w:jc w:val="both"/>
        <w:rPr>
          <w:rFonts w:ascii="Times New Roman" w:hAnsi="Times New Roman"/>
          <w:sz w:val="28"/>
          <w:szCs w:val="28"/>
        </w:rPr>
      </w:pPr>
      <w:r>
        <w:rPr>
          <w:rFonts w:ascii="Times New Roman" w:hAnsi="Times New Roman"/>
          <w:sz w:val="28"/>
          <w:szCs w:val="28"/>
        </w:rPr>
        <w:t>AACJ requests this Court adopt the alternative proposal</w:t>
      </w:r>
      <w:r w:rsidR="00E81EDB">
        <w:rPr>
          <w:rFonts w:ascii="Times New Roman" w:hAnsi="Times New Roman"/>
          <w:sz w:val="28"/>
          <w:szCs w:val="28"/>
        </w:rPr>
        <w:t>s</w:t>
      </w:r>
      <w:r>
        <w:rPr>
          <w:rFonts w:ascii="Times New Roman" w:hAnsi="Times New Roman"/>
          <w:sz w:val="28"/>
          <w:szCs w:val="28"/>
        </w:rPr>
        <w:t xml:space="preserve"> for Rule</w:t>
      </w:r>
      <w:r w:rsidR="00E81EDB">
        <w:rPr>
          <w:rFonts w:ascii="Times New Roman" w:hAnsi="Times New Roman"/>
          <w:sz w:val="28"/>
          <w:szCs w:val="28"/>
        </w:rPr>
        <w:t>s</w:t>
      </w:r>
      <w:r>
        <w:rPr>
          <w:rFonts w:ascii="Times New Roman" w:hAnsi="Times New Roman"/>
          <w:sz w:val="28"/>
          <w:szCs w:val="28"/>
        </w:rPr>
        <w:t xml:space="preserve"> 12.7(d)</w:t>
      </w:r>
      <w:r w:rsidR="00E81EDB">
        <w:rPr>
          <w:rFonts w:ascii="Times New Roman" w:hAnsi="Times New Roman"/>
          <w:sz w:val="28"/>
          <w:szCs w:val="28"/>
        </w:rPr>
        <w:t xml:space="preserve"> and 12.10(b)</w:t>
      </w:r>
      <w:r>
        <w:rPr>
          <w:rFonts w:ascii="Times New Roman" w:hAnsi="Times New Roman"/>
          <w:sz w:val="28"/>
          <w:szCs w:val="28"/>
        </w:rPr>
        <w:t xml:space="preserve"> to ensure </w:t>
      </w:r>
      <w:r w:rsidR="00E81EDB">
        <w:rPr>
          <w:rFonts w:ascii="Times New Roman" w:hAnsi="Times New Roman"/>
          <w:sz w:val="28"/>
          <w:szCs w:val="28"/>
        </w:rPr>
        <w:t>the defendant’s rights are protected while also protecting the interests of others.</w:t>
      </w:r>
    </w:p>
    <w:p w14:paraId="7AC47541" w14:textId="77777777" w:rsidR="006E658F" w:rsidRDefault="006E658F" w:rsidP="00AD3DC3">
      <w:pPr>
        <w:spacing w:line="480" w:lineRule="auto"/>
        <w:ind w:firstLine="720"/>
        <w:jc w:val="both"/>
        <w:rPr>
          <w:rFonts w:ascii="Times New Roman" w:hAnsi="Times New Roman"/>
          <w:sz w:val="28"/>
          <w:szCs w:val="28"/>
        </w:rPr>
      </w:pPr>
    </w:p>
    <w:p w14:paraId="268AB80E" w14:textId="37FC3628" w:rsidR="00DC38DE"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3F150B">
        <w:rPr>
          <w:rFonts w:ascii="Times New Roman" w:hAnsi="Times New Roman"/>
          <w:sz w:val="28"/>
          <w:szCs w:val="28"/>
        </w:rPr>
        <w:t>April</w:t>
      </w:r>
      <w:r w:rsidR="002C660A">
        <w:rPr>
          <w:rFonts w:ascii="Times New Roman" w:hAnsi="Times New Roman"/>
          <w:sz w:val="28"/>
          <w:szCs w:val="28"/>
        </w:rPr>
        <w:t xml:space="preserve"> </w:t>
      </w:r>
      <w:r w:rsidR="003F150B">
        <w:rPr>
          <w:rFonts w:ascii="Times New Roman" w:hAnsi="Times New Roman"/>
          <w:sz w:val="28"/>
          <w:szCs w:val="28"/>
        </w:rPr>
        <w:t>29</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1913EB">
        <w:rPr>
          <w:rFonts w:ascii="Times New Roman" w:hAnsi="Times New Roman"/>
          <w:sz w:val="28"/>
          <w:szCs w:val="28"/>
        </w:rPr>
        <w:t>5</w:t>
      </w:r>
      <w:r w:rsidR="00DC38DE" w:rsidRPr="0014499B">
        <w:rPr>
          <w:rFonts w:ascii="Times New Roman" w:hAnsi="Times New Roman"/>
          <w:sz w:val="28"/>
          <w:szCs w:val="28"/>
        </w:rPr>
        <w:t>.</w:t>
      </w:r>
    </w:p>
    <w:p w14:paraId="268AB812" w14:textId="7017EBDD"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00AE0F9E">
        <w:rPr>
          <w:rFonts w:ascii="Times New Roman" w:hAnsi="Times New Roman"/>
          <w:sz w:val="28"/>
          <w:szCs w:val="28"/>
          <w:u w:val="single"/>
        </w:rPr>
        <w:tab/>
      </w:r>
      <w:r w:rsidR="00AE0F9E">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250A4DA1"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r w:rsidR="00AE0F9E">
        <w:rPr>
          <w:rFonts w:ascii="Times New Roman" w:hAnsi="Times New Roman"/>
          <w:sz w:val="28"/>
          <w:szCs w:val="28"/>
        </w:rPr>
        <w:t xml:space="preserve"> &amp; </w:t>
      </w:r>
      <w:r w:rsidR="00261AF6">
        <w:rPr>
          <w:rFonts w:ascii="Times New Roman" w:hAnsi="Times New Roman"/>
          <w:sz w:val="28"/>
          <w:szCs w:val="28"/>
        </w:rPr>
        <w:t>Seth</w:t>
      </w:r>
      <w:r w:rsidR="00AD043A">
        <w:rPr>
          <w:rFonts w:ascii="Times New Roman" w:hAnsi="Times New Roman"/>
          <w:sz w:val="28"/>
          <w:szCs w:val="28"/>
        </w:rPr>
        <w:t xml:space="preserve"> M.</w:t>
      </w:r>
      <w:r w:rsidR="00261AF6">
        <w:rPr>
          <w:rFonts w:ascii="Times New Roman" w:hAnsi="Times New Roman"/>
          <w:sz w:val="28"/>
          <w:szCs w:val="28"/>
        </w:rPr>
        <w:t xml:space="preserve"> Apfel</w:t>
      </w:r>
    </w:p>
    <w:p w14:paraId="21A9D8CE" w14:textId="77777777" w:rsidR="00AD3DC3" w:rsidRDefault="00AD3DC3" w:rsidP="006235B5">
      <w:pPr>
        <w:spacing w:line="240" w:lineRule="auto"/>
        <w:ind w:firstLine="720"/>
        <w:rPr>
          <w:rFonts w:ascii="Times New Roman" w:hAnsi="Times New Roman"/>
          <w:sz w:val="28"/>
          <w:szCs w:val="28"/>
        </w:rPr>
      </w:pPr>
    </w:p>
    <w:p w14:paraId="1C47B7D3" w14:textId="77777777" w:rsidR="00AD3DC3" w:rsidRDefault="00AD3DC3">
      <w:pPr>
        <w:spacing w:line="240" w:lineRule="auto"/>
        <w:rPr>
          <w:rFonts w:ascii="Times New Roman" w:hAnsi="Times New Roman"/>
          <w:sz w:val="28"/>
          <w:szCs w:val="28"/>
        </w:rPr>
      </w:pPr>
    </w:p>
    <w:p w14:paraId="4F1C28F0" w14:textId="47F1A4AF" w:rsidR="00AD3DC3" w:rsidRDefault="00AD3DC3">
      <w:pPr>
        <w:spacing w:line="240" w:lineRule="auto"/>
        <w:rPr>
          <w:rFonts w:ascii="Times New Roman" w:hAnsi="Times New Roman"/>
          <w:sz w:val="28"/>
          <w:szCs w:val="28"/>
        </w:rPr>
      </w:pPr>
      <w:r w:rsidRPr="00AD3DC3">
        <w:rPr>
          <w:rFonts w:ascii="Times New Roman" w:hAnsi="Times New Roman"/>
          <w:sz w:val="28"/>
          <w:szCs w:val="28"/>
        </w:rPr>
        <w:t>Cop</w:t>
      </w:r>
      <w:r>
        <w:rPr>
          <w:rFonts w:ascii="Times New Roman" w:hAnsi="Times New Roman"/>
          <w:sz w:val="28"/>
          <w:szCs w:val="28"/>
        </w:rPr>
        <w:t>y delivered to:</w:t>
      </w:r>
    </w:p>
    <w:p w14:paraId="17DAF771" w14:textId="77777777" w:rsidR="00AD3DC3" w:rsidRDefault="00AD3DC3">
      <w:pPr>
        <w:spacing w:line="240" w:lineRule="auto"/>
        <w:rPr>
          <w:rFonts w:ascii="Times New Roman" w:hAnsi="Times New Roman"/>
          <w:sz w:val="28"/>
          <w:szCs w:val="28"/>
        </w:rPr>
      </w:pPr>
    </w:p>
    <w:p w14:paraId="76DB1752" w14:textId="55B00CB8" w:rsidR="00194EEB" w:rsidRDefault="00AD3DC3" w:rsidP="00194EEB">
      <w:pPr>
        <w:spacing w:line="240" w:lineRule="auto"/>
        <w:rPr>
          <w:rFonts w:ascii="Times New Roman" w:hAnsi="Times New Roman"/>
          <w:sz w:val="28"/>
          <w:szCs w:val="28"/>
        </w:rPr>
      </w:pPr>
      <w:r>
        <w:rPr>
          <w:rFonts w:ascii="Times New Roman" w:hAnsi="Times New Roman"/>
          <w:sz w:val="28"/>
          <w:szCs w:val="28"/>
        </w:rPr>
        <w:t xml:space="preserve">Hon. </w:t>
      </w:r>
      <w:r w:rsidR="007B4508">
        <w:rPr>
          <w:rFonts w:ascii="Times New Roman" w:hAnsi="Times New Roman"/>
          <w:sz w:val="28"/>
          <w:szCs w:val="28"/>
        </w:rPr>
        <w:t xml:space="preserve">Jennifer </w:t>
      </w:r>
      <w:r w:rsidR="00CF4228">
        <w:rPr>
          <w:rFonts w:ascii="Times New Roman" w:hAnsi="Times New Roman"/>
          <w:sz w:val="28"/>
          <w:szCs w:val="28"/>
        </w:rPr>
        <w:t xml:space="preserve">E. </w:t>
      </w:r>
      <w:r w:rsidR="007B4508">
        <w:rPr>
          <w:rFonts w:ascii="Times New Roman" w:hAnsi="Times New Roman"/>
          <w:sz w:val="28"/>
          <w:szCs w:val="28"/>
        </w:rPr>
        <w:t>Green</w:t>
      </w:r>
    </w:p>
    <w:p w14:paraId="421EBCCC" w14:textId="1F55EB4C" w:rsidR="00194EEB" w:rsidRDefault="00194EEB" w:rsidP="00194EEB">
      <w:pPr>
        <w:spacing w:line="240" w:lineRule="auto"/>
        <w:rPr>
          <w:rFonts w:ascii="Times New Roman" w:hAnsi="Times New Roman"/>
          <w:sz w:val="28"/>
          <w:szCs w:val="28"/>
        </w:rPr>
      </w:pPr>
      <w:r>
        <w:rPr>
          <w:rFonts w:ascii="Times New Roman" w:hAnsi="Times New Roman"/>
          <w:sz w:val="28"/>
          <w:szCs w:val="28"/>
        </w:rPr>
        <w:t xml:space="preserve">Presiding Judge, </w:t>
      </w:r>
      <w:r w:rsidR="00CF4228">
        <w:rPr>
          <w:rFonts w:ascii="Times New Roman" w:hAnsi="Times New Roman"/>
          <w:sz w:val="28"/>
          <w:szCs w:val="28"/>
        </w:rPr>
        <w:t>Criminal Department</w:t>
      </w:r>
    </w:p>
    <w:p w14:paraId="627D65DA" w14:textId="087EC03E" w:rsidR="00CF4228" w:rsidRDefault="00CF4228" w:rsidP="00194EEB">
      <w:pPr>
        <w:spacing w:line="240" w:lineRule="auto"/>
        <w:rPr>
          <w:rFonts w:ascii="Times New Roman" w:hAnsi="Times New Roman"/>
          <w:sz w:val="28"/>
          <w:szCs w:val="28"/>
        </w:rPr>
      </w:pPr>
      <w:r>
        <w:rPr>
          <w:rFonts w:ascii="Times New Roman" w:hAnsi="Times New Roman"/>
          <w:sz w:val="28"/>
          <w:szCs w:val="28"/>
        </w:rPr>
        <w:t>Superior Court of Arizona, Maricopa County</w:t>
      </w:r>
    </w:p>
    <w:p w14:paraId="61BC2984" w14:textId="43099BE7" w:rsidR="00CF4228" w:rsidRDefault="00CF4228" w:rsidP="00194EEB">
      <w:pPr>
        <w:spacing w:line="240" w:lineRule="auto"/>
        <w:rPr>
          <w:rFonts w:ascii="Times New Roman" w:hAnsi="Times New Roman"/>
          <w:sz w:val="28"/>
          <w:szCs w:val="28"/>
        </w:rPr>
      </w:pPr>
      <w:r>
        <w:rPr>
          <w:rFonts w:ascii="Times New Roman" w:hAnsi="Times New Roman"/>
          <w:sz w:val="28"/>
          <w:szCs w:val="28"/>
        </w:rPr>
        <w:t>175 W. Madison Street</w:t>
      </w:r>
    </w:p>
    <w:p w14:paraId="1C4D1072" w14:textId="2B5684B1" w:rsidR="00CF4228" w:rsidRDefault="00CF4228" w:rsidP="00194EEB">
      <w:pPr>
        <w:spacing w:line="240" w:lineRule="auto"/>
        <w:rPr>
          <w:rFonts w:ascii="Times New Roman" w:hAnsi="Times New Roman"/>
          <w:sz w:val="28"/>
          <w:szCs w:val="28"/>
        </w:rPr>
      </w:pPr>
      <w:r>
        <w:rPr>
          <w:rFonts w:ascii="Times New Roman" w:hAnsi="Times New Roman"/>
          <w:sz w:val="28"/>
          <w:szCs w:val="28"/>
        </w:rPr>
        <w:t>Phoenix, AZ 85003</w:t>
      </w:r>
    </w:p>
    <w:p w14:paraId="582191A3" w14:textId="77777777" w:rsidR="00261AF6" w:rsidRPr="00AD3DC3" w:rsidRDefault="00261AF6" w:rsidP="00194EEB">
      <w:pPr>
        <w:spacing w:line="240" w:lineRule="auto"/>
        <w:rPr>
          <w:rFonts w:ascii="Times New Roman" w:hAnsi="Times New Roman"/>
          <w:sz w:val="28"/>
          <w:szCs w:val="28"/>
        </w:rPr>
      </w:pPr>
    </w:p>
    <w:p w14:paraId="5CC93670" w14:textId="77777777" w:rsidR="00F261DD" w:rsidRDefault="00F261DD" w:rsidP="00DC38DE">
      <w:pPr>
        <w:spacing w:line="240" w:lineRule="auto"/>
        <w:rPr>
          <w:rFonts w:ascii="Times New Roman" w:hAnsi="Times New Roman"/>
          <w:sz w:val="28"/>
          <w:szCs w:val="28"/>
        </w:rPr>
      </w:pPr>
    </w:p>
    <w:sectPr w:rsidR="00F261DD" w:rsidSect="00F54A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B90D" w14:textId="77777777" w:rsidR="007A3CA6" w:rsidRDefault="007A3CA6">
      <w:r>
        <w:separator/>
      </w:r>
    </w:p>
  </w:endnote>
  <w:endnote w:type="continuationSeparator" w:id="0">
    <w:p w14:paraId="7E44932A" w14:textId="77777777" w:rsidR="007A3CA6" w:rsidRDefault="007A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83BE" w14:textId="77777777" w:rsidR="007A3CA6" w:rsidRDefault="007A3CA6">
      <w:r>
        <w:separator/>
      </w:r>
    </w:p>
  </w:footnote>
  <w:footnote w:type="continuationSeparator" w:id="0">
    <w:p w14:paraId="2D826981" w14:textId="77777777" w:rsidR="007A3CA6" w:rsidRDefault="007A3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51D2" w14:textId="77777777" w:rsidR="00CB1A60" w:rsidRDefault="00CB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6A07" w14:textId="77777777" w:rsidR="00CB1A60" w:rsidRDefault="00CB1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99F8" w14:textId="01D5A090" w:rsidR="00CB1A60" w:rsidRDefault="00CB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95E"/>
    <w:multiLevelType w:val="hybridMultilevel"/>
    <w:tmpl w:val="5C5CA070"/>
    <w:lvl w:ilvl="0" w:tplc="8DB6E16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2C0833"/>
    <w:multiLevelType w:val="hybridMultilevel"/>
    <w:tmpl w:val="CAEE994C"/>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68C29DA"/>
    <w:multiLevelType w:val="hybridMultilevel"/>
    <w:tmpl w:val="461E3C9C"/>
    <w:lvl w:ilvl="0" w:tplc="F2F8C2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9" w15:restartNumberingAfterBreak="0">
    <w:nsid w:val="2AD8633D"/>
    <w:multiLevelType w:val="hybridMultilevel"/>
    <w:tmpl w:val="97924C08"/>
    <w:lvl w:ilvl="0" w:tplc="E6909F0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D306C2"/>
    <w:multiLevelType w:val="hybridMultilevel"/>
    <w:tmpl w:val="DBAACA88"/>
    <w:lvl w:ilvl="0" w:tplc="FFFFFFFF">
      <w:start w:val="1"/>
      <w:numFmt w:val="lowerLetter"/>
      <w:lvlText w:val="(%1)"/>
      <w:lvlJc w:val="left"/>
      <w:pPr>
        <w:ind w:left="1100" w:hanging="38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0562B75"/>
    <w:multiLevelType w:val="hybridMultilevel"/>
    <w:tmpl w:val="86F60DA6"/>
    <w:lvl w:ilvl="0" w:tplc="D2386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25C01"/>
    <w:multiLevelType w:val="hybridMultilevel"/>
    <w:tmpl w:val="CAEE994C"/>
    <w:lvl w:ilvl="0" w:tplc="BD4C9D0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2"/>
  </w:num>
  <w:num w:numId="2" w16cid:durableId="469400166">
    <w:abstractNumId w:val="1"/>
  </w:num>
  <w:num w:numId="3" w16cid:durableId="626275486">
    <w:abstractNumId w:val="7"/>
  </w:num>
  <w:num w:numId="4" w16cid:durableId="1237518553">
    <w:abstractNumId w:val="6"/>
  </w:num>
  <w:num w:numId="5" w16cid:durableId="1732536459">
    <w:abstractNumId w:val="20"/>
  </w:num>
  <w:num w:numId="6" w16cid:durableId="1378436400">
    <w:abstractNumId w:val="25"/>
  </w:num>
  <w:num w:numId="7" w16cid:durableId="991374513">
    <w:abstractNumId w:val="11"/>
  </w:num>
  <w:num w:numId="8" w16cid:durableId="1700660638">
    <w:abstractNumId w:val="14"/>
  </w:num>
  <w:num w:numId="9" w16cid:durableId="372001553">
    <w:abstractNumId w:val="23"/>
  </w:num>
  <w:num w:numId="10" w16cid:durableId="398214401">
    <w:abstractNumId w:val="19"/>
  </w:num>
  <w:num w:numId="11" w16cid:durableId="1932085538">
    <w:abstractNumId w:val="21"/>
  </w:num>
  <w:num w:numId="12" w16cid:durableId="212810470">
    <w:abstractNumId w:val="26"/>
  </w:num>
  <w:num w:numId="13" w16cid:durableId="154299559">
    <w:abstractNumId w:val="13"/>
  </w:num>
  <w:num w:numId="14" w16cid:durableId="2139762203">
    <w:abstractNumId w:val="24"/>
  </w:num>
  <w:num w:numId="15" w16cid:durableId="1779134998">
    <w:abstractNumId w:val="12"/>
  </w:num>
  <w:num w:numId="16" w16cid:durableId="1601137933">
    <w:abstractNumId w:val="4"/>
  </w:num>
  <w:num w:numId="17" w16cid:durableId="15499093">
    <w:abstractNumId w:val="17"/>
  </w:num>
  <w:num w:numId="18" w16cid:durableId="358897891">
    <w:abstractNumId w:val="8"/>
  </w:num>
  <w:num w:numId="19" w16cid:durableId="1631091077">
    <w:abstractNumId w:val="15"/>
  </w:num>
  <w:num w:numId="20" w16cid:durableId="1133525758">
    <w:abstractNumId w:val="22"/>
  </w:num>
  <w:num w:numId="21" w16cid:durableId="2047636258">
    <w:abstractNumId w:val="10"/>
  </w:num>
  <w:num w:numId="22" w16cid:durableId="1701322166">
    <w:abstractNumId w:val="9"/>
  </w:num>
  <w:num w:numId="23" w16cid:durableId="316150137">
    <w:abstractNumId w:val="0"/>
  </w:num>
  <w:num w:numId="24" w16cid:durableId="1405369219">
    <w:abstractNumId w:val="18"/>
  </w:num>
  <w:num w:numId="25" w16cid:durableId="976688191">
    <w:abstractNumId w:val="16"/>
  </w:num>
  <w:num w:numId="26" w16cid:durableId="793911626">
    <w:abstractNumId w:val="3"/>
  </w:num>
  <w:num w:numId="27" w16cid:durableId="1310473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5CF"/>
    <w:rsid w:val="00036CF2"/>
    <w:rsid w:val="00037F3E"/>
    <w:rsid w:val="000506CE"/>
    <w:rsid w:val="00050775"/>
    <w:rsid w:val="000539C9"/>
    <w:rsid w:val="00054624"/>
    <w:rsid w:val="000574A7"/>
    <w:rsid w:val="00057960"/>
    <w:rsid w:val="00071B11"/>
    <w:rsid w:val="000759BB"/>
    <w:rsid w:val="000763D7"/>
    <w:rsid w:val="00076CBE"/>
    <w:rsid w:val="000776D3"/>
    <w:rsid w:val="00083D10"/>
    <w:rsid w:val="00092D1D"/>
    <w:rsid w:val="00094BC9"/>
    <w:rsid w:val="00095786"/>
    <w:rsid w:val="000966E2"/>
    <w:rsid w:val="00097D48"/>
    <w:rsid w:val="000A3743"/>
    <w:rsid w:val="000B15C4"/>
    <w:rsid w:val="000B1D0D"/>
    <w:rsid w:val="000B25F4"/>
    <w:rsid w:val="000B3D5C"/>
    <w:rsid w:val="000B58EF"/>
    <w:rsid w:val="000B6489"/>
    <w:rsid w:val="000B7ACB"/>
    <w:rsid w:val="000D50D4"/>
    <w:rsid w:val="000D6BB1"/>
    <w:rsid w:val="000E2821"/>
    <w:rsid w:val="000E477A"/>
    <w:rsid w:val="000E6C47"/>
    <w:rsid w:val="000E7FAC"/>
    <w:rsid w:val="000F6163"/>
    <w:rsid w:val="00111A1A"/>
    <w:rsid w:val="00117CB3"/>
    <w:rsid w:val="0012054D"/>
    <w:rsid w:val="0012397D"/>
    <w:rsid w:val="00125A1E"/>
    <w:rsid w:val="00125CA9"/>
    <w:rsid w:val="001269D9"/>
    <w:rsid w:val="001279AC"/>
    <w:rsid w:val="0013019E"/>
    <w:rsid w:val="00141C61"/>
    <w:rsid w:val="00142D09"/>
    <w:rsid w:val="00145B17"/>
    <w:rsid w:val="00147D21"/>
    <w:rsid w:val="00147D30"/>
    <w:rsid w:val="001516C5"/>
    <w:rsid w:val="001551D3"/>
    <w:rsid w:val="00160425"/>
    <w:rsid w:val="0016125C"/>
    <w:rsid w:val="00161401"/>
    <w:rsid w:val="00161B79"/>
    <w:rsid w:val="00170A1F"/>
    <w:rsid w:val="00171C46"/>
    <w:rsid w:val="0017448D"/>
    <w:rsid w:val="00175B0A"/>
    <w:rsid w:val="00176A8B"/>
    <w:rsid w:val="0017761F"/>
    <w:rsid w:val="00177FC8"/>
    <w:rsid w:val="001841BF"/>
    <w:rsid w:val="00186903"/>
    <w:rsid w:val="001913EB"/>
    <w:rsid w:val="001942E5"/>
    <w:rsid w:val="00194EEB"/>
    <w:rsid w:val="001B1196"/>
    <w:rsid w:val="001B24C6"/>
    <w:rsid w:val="001B3667"/>
    <w:rsid w:val="001B408E"/>
    <w:rsid w:val="001C015F"/>
    <w:rsid w:val="001C02C6"/>
    <w:rsid w:val="001C2BDE"/>
    <w:rsid w:val="001C30CE"/>
    <w:rsid w:val="001C5FF7"/>
    <w:rsid w:val="001C60A4"/>
    <w:rsid w:val="001D0E6C"/>
    <w:rsid w:val="001D386D"/>
    <w:rsid w:val="001D4A80"/>
    <w:rsid w:val="001E74E4"/>
    <w:rsid w:val="001F54B7"/>
    <w:rsid w:val="001F6288"/>
    <w:rsid w:val="00205E43"/>
    <w:rsid w:val="00206424"/>
    <w:rsid w:val="002076F9"/>
    <w:rsid w:val="00221A90"/>
    <w:rsid w:val="00221BCC"/>
    <w:rsid w:val="002229E4"/>
    <w:rsid w:val="00230545"/>
    <w:rsid w:val="00235C89"/>
    <w:rsid w:val="0023620C"/>
    <w:rsid w:val="00236BF8"/>
    <w:rsid w:val="00252BB8"/>
    <w:rsid w:val="002549CE"/>
    <w:rsid w:val="00255E07"/>
    <w:rsid w:val="00261AF6"/>
    <w:rsid w:val="00264A6D"/>
    <w:rsid w:val="0027258D"/>
    <w:rsid w:val="002763F8"/>
    <w:rsid w:val="00283A7C"/>
    <w:rsid w:val="00284416"/>
    <w:rsid w:val="00284E5B"/>
    <w:rsid w:val="00285283"/>
    <w:rsid w:val="002866FC"/>
    <w:rsid w:val="00287F5F"/>
    <w:rsid w:val="002901A9"/>
    <w:rsid w:val="002A24BA"/>
    <w:rsid w:val="002A3420"/>
    <w:rsid w:val="002A4DD3"/>
    <w:rsid w:val="002B5B1B"/>
    <w:rsid w:val="002B62C2"/>
    <w:rsid w:val="002B7481"/>
    <w:rsid w:val="002C0EDD"/>
    <w:rsid w:val="002C54D2"/>
    <w:rsid w:val="002C660A"/>
    <w:rsid w:val="002D0E9E"/>
    <w:rsid w:val="002D17D1"/>
    <w:rsid w:val="002D1E61"/>
    <w:rsid w:val="002D6A6A"/>
    <w:rsid w:val="002E545E"/>
    <w:rsid w:val="002F1FBD"/>
    <w:rsid w:val="002F2876"/>
    <w:rsid w:val="002F33EF"/>
    <w:rsid w:val="002F3B52"/>
    <w:rsid w:val="0030088E"/>
    <w:rsid w:val="00301411"/>
    <w:rsid w:val="00304745"/>
    <w:rsid w:val="00304EAE"/>
    <w:rsid w:val="003055A7"/>
    <w:rsid w:val="00305778"/>
    <w:rsid w:val="00305CB1"/>
    <w:rsid w:val="00311552"/>
    <w:rsid w:val="00313AAF"/>
    <w:rsid w:val="00320C7A"/>
    <w:rsid w:val="003231B0"/>
    <w:rsid w:val="00323F32"/>
    <w:rsid w:val="00325AFE"/>
    <w:rsid w:val="0033167F"/>
    <w:rsid w:val="00331802"/>
    <w:rsid w:val="003353C5"/>
    <w:rsid w:val="003412D9"/>
    <w:rsid w:val="00345960"/>
    <w:rsid w:val="00350551"/>
    <w:rsid w:val="00351280"/>
    <w:rsid w:val="00351BF7"/>
    <w:rsid w:val="00356079"/>
    <w:rsid w:val="00357C78"/>
    <w:rsid w:val="00364562"/>
    <w:rsid w:val="003659B5"/>
    <w:rsid w:val="003732CB"/>
    <w:rsid w:val="0037686D"/>
    <w:rsid w:val="00380B0B"/>
    <w:rsid w:val="003812FE"/>
    <w:rsid w:val="003A2343"/>
    <w:rsid w:val="003A346F"/>
    <w:rsid w:val="003A63AE"/>
    <w:rsid w:val="003A66E3"/>
    <w:rsid w:val="003B7505"/>
    <w:rsid w:val="003C15EA"/>
    <w:rsid w:val="003C4E9C"/>
    <w:rsid w:val="003C6246"/>
    <w:rsid w:val="003D6070"/>
    <w:rsid w:val="003E0313"/>
    <w:rsid w:val="003E3701"/>
    <w:rsid w:val="003E5547"/>
    <w:rsid w:val="003E5927"/>
    <w:rsid w:val="003F150B"/>
    <w:rsid w:val="0041282A"/>
    <w:rsid w:val="00413ECF"/>
    <w:rsid w:val="0041704C"/>
    <w:rsid w:val="00420CBC"/>
    <w:rsid w:val="00421E9E"/>
    <w:rsid w:val="004328CD"/>
    <w:rsid w:val="00441E05"/>
    <w:rsid w:val="004434F1"/>
    <w:rsid w:val="00444BE7"/>
    <w:rsid w:val="004503FC"/>
    <w:rsid w:val="00451F00"/>
    <w:rsid w:val="00454AE0"/>
    <w:rsid w:val="004711E3"/>
    <w:rsid w:val="0047133B"/>
    <w:rsid w:val="004724AE"/>
    <w:rsid w:val="0047497F"/>
    <w:rsid w:val="004835B0"/>
    <w:rsid w:val="00485FAA"/>
    <w:rsid w:val="00491C58"/>
    <w:rsid w:val="00492362"/>
    <w:rsid w:val="00493A61"/>
    <w:rsid w:val="004963BA"/>
    <w:rsid w:val="004A10AA"/>
    <w:rsid w:val="004A2829"/>
    <w:rsid w:val="004A590C"/>
    <w:rsid w:val="004B3410"/>
    <w:rsid w:val="004B6D4E"/>
    <w:rsid w:val="004B74D0"/>
    <w:rsid w:val="004B7790"/>
    <w:rsid w:val="004C7133"/>
    <w:rsid w:val="004D3C86"/>
    <w:rsid w:val="004D6A51"/>
    <w:rsid w:val="004D72A3"/>
    <w:rsid w:val="004E26B2"/>
    <w:rsid w:val="004E66AE"/>
    <w:rsid w:val="004E6839"/>
    <w:rsid w:val="004E6EF6"/>
    <w:rsid w:val="004F2D0B"/>
    <w:rsid w:val="004F3B51"/>
    <w:rsid w:val="004F456D"/>
    <w:rsid w:val="004F5419"/>
    <w:rsid w:val="00502211"/>
    <w:rsid w:val="00506790"/>
    <w:rsid w:val="00512EB9"/>
    <w:rsid w:val="00515CB2"/>
    <w:rsid w:val="00520126"/>
    <w:rsid w:val="0052085E"/>
    <w:rsid w:val="005252FB"/>
    <w:rsid w:val="00542196"/>
    <w:rsid w:val="0054468B"/>
    <w:rsid w:val="005453BE"/>
    <w:rsid w:val="00553515"/>
    <w:rsid w:val="005552C9"/>
    <w:rsid w:val="00556A2D"/>
    <w:rsid w:val="00564A77"/>
    <w:rsid w:val="00565858"/>
    <w:rsid w:val="00570AF9"/>
    <w:rsid w:val="00584A77"/>
    <w:rsid w:val="005924A7"/>
    <w:rsid w:val="0059751C"/>
    <w:rsid w:val="005A51D7"/>
    <w:rsid w:val="005A5826"/>
    <w:rsid w:val="005B0C4F"/>
    <w:rsid w:val="005B2350"/>
    <w:rsid w:val="005B53BE"/>
    <w:rsid w:val="005B7899"/>
    <w:rsid w:val="005C109B"/>
    <w:rsid w:val="005C3BDC"/>
    <w:rsid w:val="005C6E61"/>
    <w:rsid w:val="005D06D5"/>
    <w:rsid w:val="005D21EF"/>
    <w:rsid w:val="005D441D"/>
    <w:rsid w:val="005D7DCC"/>
    <w:rsid w:val="005E0339"/>
    <w:rsid w:val="005E11F3"/>
    <w:rsid w:val="005E162E"/>
    <w:rsid w:val="005E2629"/>
    <w:rsid w:val="005E40C0"/>
    <w:rsid w:val="005F0195"/>
    <w:rsid w:val="005F145E"/>
    <w:rsid w:val="005F4669"/>
    <w:rsid w:val="005F48E3"/>
    <w:rsid w:val="0060208D"/>
    <w:rsid w:val="006068F4"/>
    <w:rsid w:val="0061055B"/>
    <w:rsid w:val="006114B6"/>
    <w:rsid w:val="00611E38"/>
    <w:rsid w:val="00614C0B"/>
    <w:rsid w:val="00620267"/>
    <w:rsid w:val="00621C77"/>
    <w:rsid w:val="006235B5"/>
    <w:rsid w:val="0062703F"/>
    <w:rsid w:val="00627605"/>
    <w:rsid w:val="00627DBE"/>
    <w:rsid w:val="00635786"/>
    <w:rsid w:val="00636918"/>
    <w:rsid w:val="006378F2"/>
    <w:rsid w:val="00642CC1"/>
    <w:rsid w:val="006463AE"/>
    <w:rsid w:val="00646589"/>
    <w:rsid w:val="00656061"/>
    <w:rsid w:val="006650FE"/>
    <w:rsid w:val="00666490"/>
    <w:rsid w:val="00666F70"/>
    <w:rsid w:val="00671A36"/>
    <w:rsid w:val="00674178"/>
    <w:rsid w:val="00680F42"/>
    <w:rsid w:val="006876D6"/>
    <w:rsid w:val="00692962"/>
    <w:rsid w:val="006A3EB6"/>
    <w:rsid w:val="006A78C5"/>
    <w:rsid w:val="006C0F08"/>
    <w:rsid w:val="006C2808"/>
    <w:rsid w:val="006C5B68"/>
    <w:rsid w:val="006C648E"/>
    <w:rsid w:val="006D1C00"/>
    <w:rsid w:val="006D30E7"/>
    <w:rsid w:val="006D4397"/>
    <w:rsid w:val="006D4E43"/>
    <w:rsid w:val="006E34AB"/>
    <w:rsid w:val="006E658F"/>
    <w:rsid w:val="006F12DA"/>
    <w:rsid w:val="006F5562"/>
    <w:rsid w:val="006F594D"/>
    <w:rsid w:val="006F6CD5"/>
    <w:rsid w:val="00701CE7"/>
    <w:rsid w:val="00701DAA"/>
    <w:rsid w:val="0070604A"/>
    <w:rsid w:val="007109BB"/>
    <w:rsid w:val="00714CCA"/>
    <w:rsid w:val="00716D4F"/>
    <w:rsid w:val="00720596"/>
    <w:rsid w:val="007232A9"/>
    <w:rsid w:val="007320B0"/>
    <w:rsid w:val="00734F6C"/>
    <w:rsid w:val="00741690"/>
    <w:rsid w:val="00744748"/>
    <w:rsid w:val="0075005A"/>
    <w:rsid w:val="00753D22"/>
    <w:rsid w:val="007547EE"/>
    <w:rsid w:val="00757D2B"/>
    <w:rsid w:val="00760549"/>
    <w:rsid w:val="007626EF"/>
    <w:rsid w:val="00764591"/>
    <w:rsid w:val="00765DAF"/>
    <w:rsid w:val="007669E7"/>
    <w:rsid w:val="00781317"/>
    <w:rsid w:val="00783BC1"/>
    <w:rsid w:val="00783DA3"/>
    <w:rsid w:val="00785725"/>
    <w:rsid w:val="007862DA"/>
    <w:rsid w:val="00787905"/>
    <w:rsid w:val="00794743"/>
    <w:rsid w:val="00796B36"/>
    <w:rsid w:val="007973A8"/>
    <w:rsid w:val="007A2304"/>
    <w:rsid w:val="007A3B11"/>
    <w:rsid w:val="007A3CA6"/>
    <w:rsid w:val="007A5AD8"/>
    <w:rsid w:val="007A6AC6"/>
    <w:rsid w:val="007B1FEB"/>
    <w:rsid w:val="007B3529"/>
    <w:rsid w:val="007B4508"/>
    <w:rsid w:val="007B4B94"/>
    <w:rsid w:val="007C17AC"/>
    <w:rsid w:val="007D2D04"/>
    <w:rsid w:val="007D3933"/>
    <w:rsid w:val="007E229C"/>
    <w:rsid w:val="007F091F"/>
    <w:rsid w:val="007F35A8"/>
    <w:rsid w:val="00802B79"/>
    <w:rsid w:val="00806D9C"/>
    <w:rsid w:val="00807277"/>
    <w:rsid w:val="008107F7"/>
    <w:rsid w:val="0081372C"/>
    <w:rsid w:val="00814F81"/>
    <w:rsid w:val="0081534B"/>
    <w:rsid w:val="008163D1"/>
    <w:rsid w:val="00824131"/>
    <w:rsid w:val="008272AA"/>
    <w:rsid w:val="00830B14"/>
    <w:rsid w:val="00831FE6"/>
    <w:rsid w:val="0083406F"/>
    <w:rsid w:val="00836008"/>
    <w:rsid w:val="008367DA"/>
    <w:rsid w:val="008375B4"/>
    <w:rsid w:val="008409ED"/>
    <w:rsid w:val="00840EFC"/>
    <w:rsid w:val="00841349"/>
    <w:rsid w:val="00841AB1"/>
    <w:rsid w:val="008425DB"/>
    <w:rsid w:val="0084744C"/>
    <w:rsid w:val="0085222A"/>
    <w:rsid w:val="00852F68"/>
    <w:rsid w:val="00854B4F"/>
    <w:rsid w:val="008579E3"/>
    <w:rsid w:val="0086347A"/>
    <w:rsid w:val="0086599B"/>
    <w:rsid w:val="00871FC2"/>
    <w:rsid w:val="00876503"/>
    <w:rsid w:val="008828FB"/>
    <w:rsid w:val="008940B3"/>
    <w:rsid w:val="008A06C1"/>
    <w:rsid w:val="008A079D"/>
    <w:rsid w:val="008B54C8"/>
    <w:rsid w:val="008B7D55"/>
    <w:rsid w:val="008C0DF8"/>
    <w:rsid w:val="008C3E22"/>
    <w:rsid w:val="008C682F"/>
    <w:rsid w:val="008D1F4D"/>
    <w:rsid w:val="008D26C0"/>
    <w:rsid w:val="008D4E4D"/>
    <w:rsid w:val="008D575C"/>
    <w:rsid w:val="008D6170"/>
    <w:rsid w:val="008D75BF"/>
    <w:rsid w:val="008E04BA"/>
    <w:rsid w:val="008E3AD2"/>
    <w:rsid w:val="009040C7"/>
    <w:rsid w:val="009049C6"/>
    <w:rsid w:val="00911858"/>
    <w:rsid w:val="00917829"/>
    <w:rsid w:val="00921C3D"/>
    <w:rsid w:val="00923420"/>
    <w:rsid w:val="00936450"/>
    <w:rsid w:val="00943146"/>
    <w:rsid w:val="00952A62"/>
    <w:rsid w:val="009568EB"/>
    <w:rsid w:val="00956F98"/>
    <w:rsid w:val="009577CF"/>
    <w:rsid w:val="00963B50"/>
    <w:rsid w:val="00964D71"/>
    <w:rsid w:val="00971CE9"/>
    <w:rsid w:val="00972189"/>
    <w:rsid w:val="00972DF1"/>
    <w:rsid w:val="00973C53"/>
    <w:rsid w:val="00975B5C"/>
    <w:rsid w:val="009815B4"/>
    <w:rsid w:val="009823DE"/>
    <w:rsid w:val="00984935"/>
    <w:rsid w:val="009923CC"/>
    <w:rsid w:val="0099409D"/>
    <w:rsid w:val="009B090F"/>
    <w:rsid w:val="009B5BAF"/>
    <w:rsid w:val="009C525E"/>
    <w:rsid w:val="009C5D36"/>
    <w:rsid w:val="009C79C4"/>
    <w:rsid w:val="009D6065"/>
    <w:rsid w:val="009F0094"/>
    <w:rsid w:val="009F0CE6"/>
    <w:rsid w:val="009F189B"/>
    <w:rsid w:val="009F697C"/>
    <w:rsid w:val="00A00B20"/>
    <w:rsid w:val="00A03454"/>
    <w:rsid w:val="00A0443C"/>
    <w:rsid w:val="00A05C99"/>
    <w:rsid w:val="00A066BB"/>
    <w:rsid w:val="00A1438F"/>
    <w:rsid w:val="00A25E18"/>
    <w:rsid w:val="00A26A82"/>
    <w:rsid w:val="00A275A0"/>
    <w:rsid w:val="00A32130"/>
    <w:rsid w:val="00A409D3"/>
    <w:rsid w:val="00A41AA3"/>
    <w:rsid w:val="00A41C4A"/>
    <w:rsid w:val="00A42EAA"/>
    <w:rsid w:val="00A51530"/>
    <w:rsid w:val="00A53280"/>
    <w:rsid w:val="00A610E3"/>
    <w:rsid w:val="00A629F8"/>
    <w:rsid w:val="00A716AE"/>
    <w:rsid w:val="00A729B8"/>
    <w:rsid w:val="00A73B82"/>
    <w:rsid w:val="00A74317"/>
    <w:rsid w:val="00A86C90"/>
    <w:rsid w:val="00A93EB5"/>
    <w:rsid w:val="00AA2C8A"/>
    <w:rsid w:val="00AB1A5A"/>
    <w:rsid w:val="00AB2212"/>
    <w:rsid w:val="00AB4F91"/>
    <w:rsid w:val="00AB547C"/>
    <w:rsid w:val="00AB5BD4"/>
    <w:rsid w:val="00AC1F4E"/>
    <w:rsid w:val="00AC3538"/>
    <w:rsid w:val="00AD043A"/>
    <w:rsid w:val="00AD0EAB"/>
    <w:rsid w:val="00AD3DC3"/>
    <w:rsid w:val="00AD6744"/>
    <w:rsid w:val="00AE0F9E"/>
    <w:rsid w:val="00AE1EC2"/>
    <w:rsid w:val="00AF6D8A"/>
    <w:rsid w:val="00B12B4E"/>
    <w:rsid w:val="00B13CAB"/>
    <w:rsid w:val="00B16084"/>
    <w:rsid w:val="00B16F3E"/>
    <w:rsid w:val="00B2012D"/>
    <w:rsid w:val="00B20150"/>
    <w:rsid w:val="00B20758"/>
    <w:rsid w:val="00B233C2"/>
    <w:rsid w:val="00B25F2B"/>
    <w:rsid w:val="00B262C5"/>
    <w:rsid w:val="00B306CF"/>
    <w:rsid w:val="00B40EF1"/>
    <w:rsid w:val="00B4395E"/>
    <w:rsid w:val="00B43E0F"/>
    <w:rsid w:val="00B465F4"/>
    <w:rsid w:val="00B5028A"/>
    <w:rsid w:val="00B515D5"/>
    <w:rsid w:val="00B521D5"/>
    <w:rsid w:val="00B561A5"/>
    <w:rsid w:val="00B67D5C"/>
    <w:rsid w:val="00B76E5A"/>
    <w:rsid w:val="00B81136"/>
    <w:rsid w:val="00B86E8D"/>
    <w:rsid w:val="00B8700C"/>
    <w:rsid w:val="00B90C53"/>
    <w:rsid w:val="00B90D16"/>
    <w:rsid w:val="00B916BE"/>
    <w:rsid w:val="00B9276B"/>
    <w:rsid w:val="00B95D31"/>
    <w:rsid w:val="00BA1451"/>
    <w:rsid w:val="00BA4B2B"/>
    <w:rsid w:val="00BA59FD"/>
    <w:rsid w:val="00BA7D16"/>
    <w:rsid w:val="00BB1D01"/>
    <w:rsid w:val="00BB2A3A"/>
    <w:rsid w:val="00BB39E6"/>
    <w:rsid w:val="00BB652F"/>
    <w:rsid w:val="00BC2358"/>
    <w:rsid w:val="00BC64C3"/>
    <w:rsid w:val="00BC7416"/>
    <w:rsid w:val="00BD20AB"/>
    <w:rsid w:val="00BE4C96"/>
    <w:rsid w:val="00BE622B"/>
    <w:rsid w:val="00BF0341"/>
    <w:rsid w:val="00BF265F"/>
    <w:rsid w:val="00BF346E"/>
    <w:rsid w:val="00BF6973"/>
    <w:rsid w:val="00C015D8"/>
    <w:rsid w:val="00C0694F"/>
    <w:rsid w:val="00C076FD"/>
    <w:rsid w:val="00C10845"/>
    <w:rsid w:val="00C12F09"/>
    <w:rsid w:val="00C139DC"/>
    <w:rsid w:val="00C205F1"/>
    <w:rsid w:val="00C30A6D"/>
    <w:rsid w:val="00C3108B"/>
    <w:rsid w:val="00C347AE"/>
    <w:rsid w:val="00C37271"/>
    <w:rsid w:val="00C40941"/>
    <w:rsid w:val="00C44CA0"/>
    <w:rsid w:val="00C516BC"/>
    <w:rsid w:val="00C52935"/>
    <w:rsid w:val="00C55A45"/>
    <w:rsid w:val="00C60CF3"/>
    <w:rsid w:val="00C61585"/>
    <w:rsid w:val="00C654DC"/>
    <w:rsid w:val="00C667CE"/>
    <w:rsid w:val="00C71726"/>
    <w:rsid w:val="00C76BAA"/>
    <w:rsid w:val="00C838EB"/>
    <w:rsid w:val="00C8556E"/>
    <w:rsid w:val="00C859FD"/>
    <w:rsid w:val="00C919C7"/>
    <w:rsid w:val="00C91DE4"/>
    <w:rsid w:val="00C940C1"/>
    <w:rsid w:val="00C97315"/>
    <w:rsid w:val="00C9771B"/>
    <w:rsid w:val="00CA18B8"/>
    <w:rsid w:val="00CA5449"/>
    <w:rsid w:val="00CA5689"/>
    <w:rsid w:val="00CA5735"/>
    <w:rsid w:val="00CB1A60"/>
    <w:rsid w:val="00CB3D52"/>
    <w:rsid w:val="00CB4F3A"/>
    <w:rsid w:val="00CC3610"/>
    <w:rsid w:val="00CC4F84"/>
    <w:rsid w:val="00CC6718"/>
    <w:rsid w:val="00CD0255"/>
    <w:rsid w:val="00CD45E7"/>
    <w:rsid w:val="00CD7EFC"/>
    <w:rsid w:val="00CE08E0"/>
    <w:rsid w:val="00CE78D6"/>
    <w:rsid w:val="00CF4228"/>
    <w:rsid w:val="00D01B23"/>
    <w:rsid w:val="00D0294B"/>
    <w:rsid w:val="00D05ECB"/>
    <w:rsid w:val="00D145C4"/>
    <w:rsid w:val="00D16827"/>
    <w:rsid w:val="00D20F69"/>
    <w:rsid w:val="00D23014"/>
    <w:rsid w:val="00D26ED2"/>
    <w:rsid w:val="00D3557D"/>
    <w:rsid w:val="00D37836"/>
    <w:rsid w:val="00D4044E"/>
    <w:rsid w:val="00D407F7"/>
    <w:rsid w:val="00D40965"/>
    <w:rsid w:val="00D433F3"/>
    <w:rsid w:val="00D43EF2"/>
    <w:rsid w:val="00D50F96"/>
    <w:rsid w:val="00D53865"/>
    <w:rsid w:val="00D54E73"/>
    <w:rsid w:val="00D551D6"/>
    <w:rsid w:val="00D570E0"/>
    <w:rsid w:val="00D60861"/>
    <w:rsid w:val="00D6098E"/>
    <w:rsid w:val="00D629C5"/>
    <w:rsid w:val="00D65E59"/>
    <w:rsid w:val="00D774DA"/>
    <w:rsid w:val="00D77E36"/>
    <w:rsid w:val="00D80776"/>
    <w:rsid w:val="00D83F58"/>
    <w:rsid w:val="00D877B2"/>
    <w:rsid w:val="00D90267"/>
    <w:rsid w:val="00D94D24"/>
    <w:rsid w:val="00DA0C86"/>
    <w:rsid w:val="00DA0D25"/>
    <w:rsid w:val="00DA2BE7"/>
    <w:rsid w:val="00DA4B01"/>
    <w:rsid w:val="00DB048B"/>
    <w:rsid w:val="00DB2614"/>
    <w:rsid w:val="00DB3C6C"/>
    <w:rsid w:val="00DB4EDE"/>
    <w:rsid w:val="00DC13B0"/>
    <w:rsid w:val="00DC2E85"/>
    <w:rsid w:val="00DC38DE"/>
    <w:rsid w:val="00DC6C0A"/>
    <w:rsid w:val="00DD121E"/>
    <w:rsid w:val="00DD518B"/>
    <w:rsid w:val="00DD519E"/>
    <w:rsid w:val="00DE69F4"/>
    <w:rsid w:val="00DF2F5D"/>
    <w:rsid w:val="00E126BB"/>
    <w:rsid w:val="00E16B5B"/>
    <w:rsid w:val="00E2055B"/>
    <w:rsid w:val="00E212C5"/>
    <w:rsid w:val="00E23568"/>
    <w:rsid w:val="00E3060D"/>
    <w:rsid w:val="00E31A1A"/>
    <w:rsid w:val="00E33388"/>
    <w:rsid w:val="00E34337"/>
    <w:rsid w:val="00E379BB"/>
    <w:rsid w:val="00E45F50"/>
    <w:rsid w:val="00E6637E"/>
    <w:rsid w:val="00E7085F"/>
    <w:rsid w:val="00E70AE1"/>
    <w:rsid w:val="00E72B8D"/>
    <w:rsid w:val="00E7666E"/>
    <w:rsid w:val="00E81EDB"/>
    <w:rsid w:val="00E82BBA"/>
    <w:rsid w:val="00E833FA"/>
    <w:rsid w:val="00E84051"/>
    <w:rsid w:val="00E84532"/>
    <w:rsid w:val="00E92880"/>
    <w:rsid w:val="00E9409C"/>
    <w:rsid w:val="00E959B3"/>
    <w:rsid w:val="00EA467E"/>
    <w:rsid w:val="00EB36F1"/>
    <w:rsid w:val="00ED2D12"/>
    <w:rsid w:val="00EF5061"/>
    <w:rsid w:val="00EF7C20"/>
    <w:rsid w:val="00F01BD2"/>
    <w:rsid w:val="00F03F5F"/>
    <w:rsid w:val="00F05072"/>
    <w:rsid w:val="00F12038"/>
    <w:rsid w:val="00F16ADA"/>
    <w:rsid w:val="00F261DD"/>
    <w:rsid w:val="00F306C9"/>
    <w:rsid w:val="00F308FB"/>
    <w:rsid w:val="00F32C7C"/>
    <w:rsid w:val="00F32CE6"/>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3DAA"/>
    <w:rsid w:val="00FA7136"/>
    <w:rsid w:val="00FB23BC"/>
    <w:rsid w:val="00FB58D4"/>
    <w:rsid w:val="00FB6218"/>
    <w:rsid w:val="00FB734C"/>
    <w:rsid w:val="00FB756E"/>
    <w:rsid w:val="00FD35E0"/>
    <w:rsid w:val="00FD7015"/>
    <w:rsid w:val="00FE1586"/>
    <w:rsid w:val="00FE7A65"/>
    <w:rsid w:val="00FF0BFD"/>
    <w:rsid w:val="00FF6077"/>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68AB7E9"/>
  <w15:docId w15:val="{B32BA11D-4012-4D8A-BFE9-25730862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uiPriority w:val="99"/>
    <w:rsid w:val="007F091F"/>
    <w:rPr>
      <w:color w:val="0000FF"/>
      <w:u w:val="single"/>
    </w:rPr>
  </w:style>
  <w:style w:type="paragraph" w:styleId="FootnoteText">
    <w:name w:val="footnote text"/>
    <w:basedOn w:val="Normal"/>
    <w:link w:val="FootnoteTextChar"/>
    <w:rsid w:val="000B1D0D"/>
    <w:rPr>
      <w:sz w:val="20"/>
    </w:rPr>
  </w:style>
  <w:style w:type="character" w:styleId="FootnoteReference">
    <w:name w:val="footnote reference"/>
    <w:basedOn w:val="DefaultParagraphFont"/>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 w:type="character" w:customStyle="1" w:styleId="FootnoteTextChar">
    <w:name w:val="Footnote Text Char"/>
    <w:basedOn w:val="DefaultParagraphFont"/>
    <w:link w:val="FootnoteText"/>
    <w:rsid w:val="004A10A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th@apfellawgroup.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4.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12965</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subject/>
  <dc:creator>deuchner</dc:creator>
  <cp:keywords/>
  <dc:description/>
  <cp:lastModifiedBy>David Euchner</cp:lastModifiedBy>
  <cp:revision>3</cp:revision>
  <cp:lastPrinted>2012-05-18T16:39:00Z</cp:lastPrinted>
  <dcterms:created xsi:type="dcterms:W3CDTF">2025-04-29T23:13:00Z</dcterms:created>
  <dcterms:modified xsi:type="dcterms:W3CDTF">2025-04-29T23:23:00Z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