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F7230" w14:textId="242DA2AD" w:rsidR="00B738B2" w:rsidRPr="00B738B2" w:rsidRDefault="00255373" w:rsidP="00B738B2">
      <w:pPr>
        <w:widowControl w:val="0"/>
        <w:spacing w:after="0" w:line="240" w:lineRule="auto"/>
        <w:jc w:val="both"/>
        <w:rPr>
          <w:rFonts w:ascii="Times New Roman" w:eastAsia="Times New Roman" w:hAnsi="Times New Roman" w:cs="Arial"/>
          <w:sz w:val="28"/>
          <w:szCs w:val="28"/>
        </w:rPr>
      </w:pPr>
      <w:r w:rsidRPr="00390CC6">
        <w:rPr>
          <w:rFonts w:ascii="Times New Roman" w:eastAsia="Times New Roman" w:hAnsi="Times New Roman" w:cs="Arial"/>
          <w:sz w:val="28"/>
          <w:szCs w:val="28"/>
        </w:rPr>
        <w:t>Hayleigh S. Crawford</w:t>
      </w:r>
      <w:r w:rsidR="00B738B2" w:rsidRPr="00B738B2">
        <w:rPr>
          <w:rFonts w:ascii="Times New Roman" w:eastAsia="Times New Roman" w:hAnsi="Times New Roman" w:cs="Arial"/>
          <w:sz w:val="28"/>
          <w:szCs w:val="28"/>
        </w:rPr>
        <w:t xml:space="preserve"> (No.</w:t>
      </w:r>
      <w:r w:rsidRPr="00390CC6">
        <w:rPr>
          <w:rFonts w:ascii="Times New Roman" w:eastAsia="Times New Roman" w:hAnsi="Times New Roman" w:cs="Arial"/>
          <w:sz w:val="28"/>
          <w:szCs w:val="28"/>
        </w:rPr>
        <w:t xml:space="preserve"> 0323</w:t>
      </w:r>
      <w:r w:rsidR="00F13EEB" w:rsidRPr="00390CC6">
        <w:rPr>
          <w:rFonts w:ascii="Times New Roman" w:eastAsia="Times New Roman" w:hAnsi="Times New Roman" w:cs="Arial"/>
          <w:sz w:val="28"/>
          <w:szCs w:val="28"/>
        </w:rPr>
        <w:t>26</w:t>
      </w:r>
      <w:r w:rsidR="00B738B2" w:rsidRPr="00B738B2">
        <w:rPr>
          <w:rFonts w:ascii="Times New Roman" w:eastAsia="Times New Roman" w:hAnsi="Times New Roman" w:cs="Arial"/>
          <w:sz w:val="28"/>
          <w:szCs w:val="28"/>
        </w:rPr>
        <w:t>)</w:t>
      </w:r>
    </w:p>
    <w:p w14:paraId="25FC6193" w14:textId="05C69F91" w:rsidR="00B738B2" w:rsidRDefault="00255373" w:rsidP="00B738B2">
      <w:pPr>
        <w:widowControl w:val="0"/>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Deputy Solicitor</w:t>
      </w:r>
      <w:r w:rsidR="00B738B2" w:rsidRPr="00B738B2">
        <w:rPr>
          <w:rFonts w:ascii="Times New Roman" w:eastAsia="Times New Roman" w:hAnsi="Times New Roman" w:cs="Arial"/>
          <w:sz w:val="28"/>
          <w:szCs w:val="28"/>
        </w:rPr>
        <w:t xml:space="preserve"> General</w:t>
      </w:r>
    </w:p>
    <w:p w14:paraId="7FD97DD9" w14:textId="4DF1054D" w:rsidR="00F13EEB" w:rsidRDefault="00F13EEB" w:rsidP="00B738B2">
      <w:pPr>
        <w:widowControl w:val="0"/>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Gabriela Monico (No. 039652)</w:t>
      </w:r>
    </w:p>
    <w:p w14:paraId="3265473F" w14:textId="1377A9BD" w:rsidR="00F13EEB" w:rsidRPr="00B738B2" w:rsidRDefault="00F13EEB" w:rsidP="00B738B2">
      <w:pPr>
        <w:widowControl w:val="0"/>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Assistant Attorney General</w:t>
      </w:r>
    </w:p>
    <w:p w14:paraId="5E37F87A" w14:textId="77777777" w:rsidR="00B738B2" w:rsidRPr="00B738B2" w:rsidRDefault="00B738B2" w:rsidP="00B738B2">
      <w:pPr>
        <w:widowControl w:val="0"/>
        <w:spacing w:after="0" w:line="240" w:lineRule="auto"/>
        <w:jc w:val="both"/>
        <w:rPr>
          <w:rFonts w:ascii="Times New Roman" w:eastAsia="Times New Roman" w:hAnsi="Times New Roman" w:cs="Arial"/>
          <w:sz w:val="28"/>
          <w:szCs w:val="28"/>
        </w:rPr>
      </w:pPr>
      <w:r w:rsidRPr="00B738B2">
        <w:rPr>
          <w:rFonts w:ascii="Times New Roman" w:eastAsia="Times New Roman" w:hAnsi="Times New Roman" w:cs="Arial"/>
          <w:sz w:val="28"/>
          <w:szCs w:val="28"/>
        </w:rPr>
        <w:t>Arizona Attorney General’s Office</w:t>
      </w:r>
    </w:p>
    <w:p w14:paraId="24444361" w14:textId="77777777" w:rsidR="00B738B2" w:rsidRPr="00B738B2" w:rsidRDefault="00B738B2" w:rsidP="00B738B2">
      <w:pPr>
        <w:widowControl w:val="0"/>
        <w:spacing w:after="0" w:line="240" w:lineRule="auto"/>
        <w:jc w:val="both"/>
        <w:rPr>
          <w:rFonts w:ascii="Times New Roman" w:eastAsia="Times New Roman" w:hAnsi="Times New Roman" w:cs="Arial"/>
          <w:sz w:val="28"/>
          <w:szCs w:val="28"/>
        </w:rPr>
      </w:pPr>
      <w:r w:rsidRPr="00B738B2">
        <w:rPr>
          <w:rFonts w:ascii="Times New Roman" w:eastAsia="Times New Roman" w:hAnsi="Times New Roman" w:cs="Arial"/>
          <w:sz w:val="28"/>
          <w:szCs w:val="28"/>
        </w:rPr>
        <w:t>2005 N. Central Ave.</w:t>
      </w:r>
    </w:p>
    <w:p w14:paraId="69D998A8" w14:textId="77777777" w:rsidR="00B738B2" w:rsidRPr="00B738B2" w:rsidRDefault="00B738B2" w:rsidP="00B738B2">
      <w:pPr>
        <w:widowControl w:val="0"/>
        <w:spacing w:after="0" w:line="240" w:lineRule="auto"/>
        <w:jc w:val="both"/>
        <w:rPr>
          <w:rFonts w:ascii="Times New Roman" w:eastAsia="Times New Roman" w:hAnsi="Times New Roman" w:cs="Arial"/>
          <w:sz w:val="28"/>
          <w:szCs w:val="28"/>
        </w:rPr>
      </w:pPr>
      <w:r w:rsidRPr="00B738B2">
        <w:rPr>
          <w:rFonts w:ascii="Times New Roman" w:eastAsia="Times New Roman" w:hAnsi="Times New Roman" w:cs="Arial"/>
          <w:sz w:val="28"/>
          <w:szCs w:val="28"/>
        </w:rPr>
        <w:t>Phoenix, AZ 85004</w:t>
      </w:r>
    </w:p>
    <w:p w14:paraId="5BC25C9E" w14:textId="4E6988F3" w:rsidR="00B738B2" w:rsidRPr="00B738B2" w:rsidRDefault="00F13EEB" w:rsidP="00B738B2">
      <w:pPr>
        <w:widowControl w:val="0"/>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602-</w:t>
      </w:r>
      <w:r w:rsidR="00DB082B">
        <w:rPr>
          <w:rFonts w:ascii="Times New Roman" w:eastAsia="Times New Roman" w:hAnsi="Times New Roman" w:cs="Arial"/>
          <w:sz w:val="28"/>
          <w:szCs w:val="28"/>
        </w:rPr>
        <w:t>542-5025</w:t>
      </w:r>
    </w:p>
    <w:p w14:paraId="4A67EF57" w14:textId="6B1545FE" w:rsidR="00B738B2" w:rsidRDefault="00DB082B" w:rsidP="00B738B2">
      <w:pPr>
        <w:widowControl w:val="0"/>
        <w:spacing w:after="0" w:line="240" w:lineRule="auto"/>
        <w:jc w:val="both"/>
        <w:rPr>
          <w:rFonts w:ascii="Times New Roman" w:eastAsia="Times New Roman" w:hAnsi="Times New Roman" w:cs="Arial"/>
          <w:sz w:val="28"/>
          <w:szCs w:val="28"/>
        </w:rPr>
      </w:pPr>
      <w:r w:rsidRPr="00DB082B">
        <w:rPr>
          <w:rFonts w:ascii="Times New Roman" w:eastAsia="Times New Roman" w:hAnsi="Times New Roman" w:cs="Arial"/>
          <w:sz w:val="28"/>
          <w:szCs w:val="28"/>
        </w:rPr>
        <w:t>Hayleigh.Crawford@azag.gov</w:t>
      </w:r>
    </w:p>
    <w:p w14:paraId="7BF27CD5" w14:textId="23F3C0A3" w:rsidR="00DB082B" w:rsidRDefault="00DB082B" w:rsidP="00B738B2">
      <w:pPr>
        <w:widowControl w:val="0"/>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Gabriela.MonicoNunez@azag.gov</w:t>
      </w:r>
    </w:p>
    <w:p w14:paraId="3D52F815" w14:textId="77777777" w:rsidR="00DB082B" w:rsidRPr="00B738B2" w:rsidRDefault="00DB082B" w:rsidP="00B738B2">
      <w:pPr>
        <w:widowControl w:val="0"/>
        <w:spacing w:after="0" w:line="240" w:lineRule="auto"/>
        <w:jc w:val="both"/>
        <w:rPr>
          <w:rFonts w:ascii="Times New Roman" w:eastAsia="Times New Roman" w:hAnsi="Times New Roman" w:cs="Arial"/>
          <w:sz w:val="28"/>
          <w:szCs w:val="28"/>
        </w:rPr>
      </w:pPr>
    </w:p>
    <w:p w14:paraId="1055C38F" w14:textId="77777777" w:rsidR="00B738B2" w:rsidRPr="00B738B2" w:rsidRDefault="00B738B2" w:rsidP="00B738B2">
      <w:pPr>
        <w:widowControl w:val="0"/>
        <w:spacing w:after="0" w:line="240" w:lineRule="auto"/>
        <w:jc w:val="both"/>
        <w:rPr>
          <w:rFonts w:ascii="Times New Roman" w:eastAsia="Times New Roman" w:hAnsi="Times New Roman" w:cs="Arial"/>
          <w:sz w:val="28"/>
          <w:szCs w:val="36"/>
        </w:rPr>
      </w:pPr>
      <w:r w:rsidRPr="00B738B2">
        <w:rPr>
          <w:rFonts w:ascii="Times New Roman" w:eastAsia="Times New Roman" w:hAnsi="Times New Roman" w:cs="Arial"/>
          <w:sz w:val="28"/>
          <w:szCs w:val="28"/>
        </w:rPr>
        <w:t xml:space="preserve"> </w:t>
      </w:r>
    </w:p>
    <w:p w14:paraId="453C0E74" w14:textId="77777777" w:rsidR="00B738B2" w:rsidRPr="00B738B2" w:rsidRDefault="00B738B2" w:rsidP="00B738B2">
      <w:pPr>
        <w:widowControl w:val="0"/>
        <w:spacing w:after="0" w:line="240" w:lineRule="auto"/>
        <w:jc w:val="center"/>
        <w:rPr>
          <w:rFonts w:ascii="Times New Roman" w:eastAsia="Times New Roman" w:hAnsi="Times New Roman" w:cs="Times New Roman"/>
          <w:b/>
          <w:bCs/>
          <w:caps/>
          <w:kern w:val="2"/>
          <w:sz w:val="28"/>
          <w:szCs w:val="36"/>
        </w:rPr>
      </w:pPr>
      <w:r w:rsidRPr="00B738B2">
        <w:rPr>
          <w:rFonts w:ascii="Times New Roman" w:eastAsia="Times New Roman" w:hAnsi="Times New Roman" w:cs="Times New Roman"/>
          <w:b/>
          <w:bCs/>
          <w:caps/>
          <w:kern w:val="2"/>
          <w:sz w:val="28"/>
          <w:szCs w:val="36"/>
        </w:rPr>
        <w:t>Arizona Supreme Court</w:t>
      </w:r>
    </w:p>
    <w:p w14:paraId="2C035940" w14:textId="77777777" w:rsidR="00B738B2" w:rsidRPr="00B738B2" w:rsidRDefault="00B738B2" w:rsidP="00B738B2">
      <w:pPr>
        <w:widowControl w:val="0"/>
        <w:spacing w:after="0" w:line="240" w:lineRule="auto"/>
        <w:jc w:val="center"/>
        <w:rPr>
          <w:rFonts w:ascii="Times New Roman" w:eastAsia="Times New Roman" w:hAnsi="Times New Roman" w:cs="Times New Roman"/>
          <w:b/>
          <w:bCs/>
          <w:caps/>
          <w:kern w:val="2"/>
          <w:sz w:val="28"/>
          <w:szCs w:val="36"/>
        </w:rPr>
      </w:pPr>
    </w:p>
    <w:tbl>
      <w:tblPr>
        <w:tblW w:w="9445" w:type="dxa"/>
        <w:tblLayout w:type="fixed"/>
        <w:tblCellMar>
          <w:left w:w="120" w:type="dxa"/>
          <w:right w:w="120" w:type="dxa"/>
        </w:tblCellMar>
        <w:tblLook w:val="0000" w:firstRow="0" w:lastRow="0" w:firstColumn="0" w:lastColumn="0" w:noHBand="0" w:noVBand="0"/>
      </w:tblPr>
      <w:tblGrid>
        <w:gridCol w:w="4808"/>
        <w:gridCol w:w="4637"/>
      </w:tblGrid>
      <w:tr w:rsidR="00B738B2" w:rsidRPr="00B738B2" w14:paraId="1DF2E1B0" w14:textId="77777777" w:rsidTr="00025A19">
        <w:trPr>
          <w:cantSplit/>
          <w:trHeight w:val="1728"/>
        </w:trPr>
        <w:tc>
          <w:tcPr>
            <w:tcW w:w="4808" w:type="dxa"/>
            <w:tcBorders>
              <w:top w:val="nil"/>
              <w:left w:val="nil"/>
              <w:bottom w:val="single" w:sz="6" w:space="0" w:color="auto"/>
              <w:right w:val="single" w:sz="6" w:space="0" w:color="auto"/>
            </w:tcBorders>
            <w:tcMar>
              <w:top w:w="0" w:type="dxa"/>
              <w:left w:w="60" w:type="dxa"/>
              <w:bottom w:w="0" w:type="dxa"/>
              <w:right w:w="60" w:type="dxa"/>
            </w:tcMar>
          </w:tcPr>
          <w:p w14:paraId="1783AF50" w14:textId="77777777" w:rsidR="00B738B2" w:rsidRPr="00B738B2" w:rsidRDefault="00B738B2" w:rsidP="00B738B2">
            <w:pPr>
              <w:tabs>
                <w:tab w:val="left" w:pos="2179"/>
              </w:tabs>
              <w:spacing w:after="0" w:line="240" w:lineRule="auto"/>
              <w:rPr>
                <w:rFonts w:ascii="Times New Roman" w:eastAsia="Times New Roman" w:hAnsi="Times New Roman" w:cs="Times New Roman"/>
                <w:bCs/>
                <w:kern w:val="2"/>
                <w:sz w:val="28"/>
                <w:szCs w:val="28"/>
              </w:rPr>
            </w:pPr>
            <w:r w:rsidRPr="00B738B2">
              <w:rPr>
                <w:rFonts w:ascii="Times New Roman" w:eastAsia="Times New Roman" w:hAnsi="Times New Roman" w:cs="Times New Roman"/>
                <w:bCs/>
                <w:kern w:val="2"/>
                <w:sz w:val="28"/>
                <w:szCs w:val="28"/>
              </w:rPr>
              <w:t>In the Matter of:</w:t>
            </w:r>
          </w:p>
          <w:p w14:paraId="31E95958" w14:textId="77777777" w:rsidR="00B738B2" w:rsidRPr="00B738B2" w:rsidRDefault="00B738B2" w:rsidP="00B738B2">
            <w:pPr>
              <w:tabs>
                <w:tab w:val="left" w:pos="2179"/>
              </w:tabs>
              <w:spacing w:after="0" w:line="240" w:lineRule="auto"/>
              <w:rPr>
                <w:rFonts w:ascii="Times New Roman" w:eastAsia="Times New Roman" w:hAnsi="Times New Roman" w:cs="Times New Roman"/>
                <w:bCs/>
                <w:kern w:val="2"/>
                <w:sz w:val="28"/>
                <w:szCs w:val="28"/>
              </w:rPr>
            </w:pPr>
          </w:p>
          <w:p w14:paraId="02611F3E" w14:textId="77777777" w:rsidR="00B738B2" w:rsidRDefault="00B738B2" w:rsidP="00B738B2">
            <w:pPr>
              <w:tabs>
                <w:tab w:val="left" w:pos="2179"/>
              </w:tabs>
              <w:spacing w:after="0" w:line="240" w:lineRule="auto"/>
              <w:rPr>
                <w:rFonts w:ascii="Times New Roman" w:eastAsia="Times New Roman" w:hAnsi="Times New Roman" w:cs="Times New Roman"/>
                <w:bCs/>
                <w:kern w:val="2"/>
                <w:sz w:val="28"/>
                <w:szCs w:val="28"/>
              </w:rPr>
            </w:pPr>
            <w:r w:rsidRPr="00B738B2">
              <w:rPr>
                <w:rFonts w:ascii="Times New Roman" w:eastAsia="Times New Roman" w:hAnsi="Times New Roman" w:cs="Times New Roman"/>
                <w:bCs/>
                <w:kern w:val="2"/>
                <w:sz w:val="28"/>
                <w:szCs w:val="28"/>
              </w:rPr>
              <w:t>Petition to Amend Ariz. R. Sup. Ct. 3</w:t>
            </w:r>
            <w:r w:rsidR="00DB082B">
              <w:rPr>
                <w:rFonts w:ascii="Times New Roman" w:eastAsia="Times New Roman" w:hAnsi="Times New Roman" w:cs="Times New Roman"/>
                <w:bCs/>
                <w:kern w:val="2"/>
                <w:sz w:val="28"/>
                <w:szCs w:val="28"/>
              </w:rPr>
              <w:t>2 (</w:t>
            </w:r>
            <w:r w:rsidRPr="00B738B2">
              <w:rPr>
                <w:rFonts w:ascii="Times New Roman" w:eastAsia="Times New Roman" w:hAnsi="Times New Roman" w:cs="Times New Roman"/>
                <w:bCs/>
                <w:kern w:val="2"/>
                <w:sz w:val="28"/>
                <w:szCs w:val="28"/>
              </w:rPr>
              <w:t>A)—(M)</w:t>
            </w:r>
          </w:p>
          <w:p w14:paraId="6695292F" w14:textId="77777777" w:rsidR="00DB082B" w:rsidRDefault="00DB082B" w:rsidP="00B738B2">
            <w:pPr>
              <w:tabs>
                <w:tab w:val="left" w:pos="2179"/>
              </w:tabs>
              <w:spacing w:after="0" w:line="240" w:lineRule="auto"/>
              <w:rPr>
                <w:rFonts w:ascii="Times New Roman" w:eastAsia="Times New Roman" w:hAnsi="Times New Roman" w:cs="Times New Roman"/>
                <w:bCs/>
                <w:kern w:val="2"/>
                <w:sz w:val="28"/>
                <w:szCs w:val="28"/>
              </w:rPr>
            </w:pPr>
          </w:p>
          <w:p w14:paraId="6015512B" w14:textId="62F831A3" w:rsidR="00DB082B" w:rsidRPr="00B738B2" w:rsidRDefault="00DB082B" w:rsidP="00B738B2">
            <w:pPr>
              <w:tabs>
                <w:tab w:val="left" w:pos="2179"/>
              </w:tabs>
              <w:spacing w:after="0" w:line="240" w:lineRule="auto"/>
              <w:rPr>
                <w:rFonts w:ascii="Times New Roman" w:eastAsia="Times New Roman" w:hAnsi="Times New Roman" w:cs="Times New Roman"/>
                <w:bCs/>
                <w:kern w:val="2"/>
                <w:sz w:val="28"/>
                <w:szCs w:val="28"/>
              </w:rPr>
            </w:pPr>
          </w:p>
        </w:tc>
        <w:tc>
          <w:tcPr>
            <w:tcW w:w="4637" w:type="dxa"/>
            <w:tcBorders>
              <w:top w:val="nil"/>
              <w:left w:val="single" w:sz="6" w:space="0" w:color="auto"/>
              <w:bottom w:val="nil"/>
              <w:right w:val="nil"/>
            </w:tcBorders>
            <w:tcMar>
              <w:top w:w="0" w:type="dxa"/>
              <w:left w:w="173" w:type="dxa"/>
              <w:bottom w:w="0" w:type="dxa"/>
              <w:right w:w="0" w:type="dxa"/>
            </w:tcMar>
          </w:tcPr>
          <w:p w14:paraId="2CD7D469" w14:textId="77777777" w:rsidR="00B738B2" w:rsidRPr="00B738B2" w:rsidRDefault="00B738B2" w:rsidP="00B738B2">
            <w:pPr>
              <w:tabs>
                <w:tab w:val="left" w:pos="2179"/>
              </w:tabs>
              <w:spacing w:after="0" w:line="240" w:lineRule="auto"/>
              <w:ind w:left="181" w:firstLine="30"/>
              <w:rPr>
                <w:rFonts w:ascii="Times New Roman" w:eastAsia="Times New Roman" w:hAnsi="Times New Roman" w:cs="Times New Roman"/>
                <w:color w:val="000000"/>
                <w:kern w:val="2"/>
                <w:sz w:val="28"/>
                <w:szCs w:val="28"/>
              </w:rPr>
            </w:pPr>
            <w:r w:rsidRPr="00B738B2">
              <w:rPr>
                <w:rFonts w:ascii="Times New Roman" w:eastAsia="Times New Roman" w:hAnsi="Times New Roman" w:cs="Times New Roman"/>
                <w:color w:val="000000"/>
                <w:kern w:val="2"/>
                <w:sz w:val="28"/>
                <w:szCs w:val="28"/>
              </w:rPr>
              <w:t>Supreme Court No. R-25-0001</w:t>
            </w:r>
          </w:p>
          <w:p w14:paraId="6EFC884C" w14:textId="77777777" w:rsidR="00B738B2" w:rsidRPr="00B738B2" w:rsidRDefault="00B738B2" w:rsidP="00B738B2">
            <w:pPr>
              <w:tabs>
                <w:tab w:val="left" w:pos="2179"/>
              </w:tabs>
              <w:spacing w:after="0" w:line="240" w:lineRule="auto"/>
              <w:ind w:left="181" w:firstLine="90"/>
              <w:rPr>
                <w:rFonts w:ascii="Times New Roman" w:eastAsia="Times New Roman" w:hAnsi="Times New Roman" w:cs="Times New Roman"/>
                <w:color w:val="000000"/>
                <w:kern w:val="2"/>
                <w:sz w:val="28"/>
                <w:szCs w:val="28"/>
              </w:rPr>
            </w:pPr>
          </w:p>
          <w:p w14:paraId="6905C8BD" w14:textId="77777777" w:rsidR="00B738B2" w:rsidRPr="00B738B2" w:rsidRDefault="00B738B2" w:rsidP="00B738B2">
            <w:pPr>
              <w:tabs>
                <w:tab w:val="left" w:pos="2179"/>
              </w:tabs>
              <w:spacing w:after="0" w:line="240" w:lineRule="auto"/>
              <w:ind w:left="181"/>
              <w:rPr>
                <w:rFonts w:ascii="Times New Roman" w:eastAsia="Times New Roman" w:hAnsi="Times New Roman" w:cs="Times New Roman"/>
                <w:b/>
                <w:smallCaps/>
                <w:kern w:val="2"/>
                <w:sz w:val="28"/>
                <w:szCs w:val="28"/>
              </w:rPr>
            </w:pPr>
            <w:r w:rsidRPr="00B738B2">
              <w:rPr>
                <w:rFonts w:ascii="Times New Roman" w:eastAsia="Times New Roman" w:hAnsi="Times New Roman" w:cs="Times New Roman"/>
                <w:b/>
                <w:kern w:val="2"/>
                <w:sz w:val="28"/>
                <w:szCs w:val="28"/>
              </w:rPr>
              <w:t>Comment Opposing Petition to Amend Ariz. R. Sup. Ct. 32(A)—(M)</w:t>
            </w:r>
          </w:p>
        </w:tc>
      </w:tr>
    </w:tbl>
    <w:p w14:paraId="572AD562" w14:textId="77777777" w:rsidR="003B3404" w:rsidRDefault="003B3404" w:rsidP="003B3404">
      <w:pPr>
        <w:spacing w:after="0" w:line="240" w:lineRule="auto"/>
        <w:ind w:firstLine="720"/>
        <w:contextualSpacing/>
        <w:jc w:val="both"/>
        <w:rPr>
          <w:rFonts w:ascii="Times New Roman" w:hAnsi="Times New Roman" w:cs="Times New Roman"/>
          <w:sz w:val="28"/>
          <w:szCs w:val="28"/>
        </w:rPr>
      </w:pPr>
    </w:p>
    <w:p w14:paraId="3BC8788E" w14:textId="2A24BF55" w:rsidR="003B3404" w:rsidRPr="003B3404" w:rsidRDefault="003B3404" w:rsidP="00433E1C">
      <w:pPr>
        <w:spacing w:after="0" w:line="480" w:lineRule="auto"/>
        <w:ind w:firstLine="720"/>
        <w:contextualSpacing/>
        <w:jc w:val="both"/>
        <w:rPr>
          <w:rFonts w:ascii="Times New Roman" w:hAnsi="Times New Roman" w:cs="Times New Roman"/>
          <w:sz w:val="28"/>
          <w:szCs w:val="28"/>
        </w:rPr>
      </w:pPr>
      <w:r w:rsidRPr="003B3404">
        <w:rPr>
          <w:rFonts w:ascii="Times New Roman" w:hAnsi="Times New Roman" w:cs="Times New Roman"/>
          <w:sz w:val="28"/>
          <w:szCs w:val="28"/>
        </w:rPr>
        <w:t>Pursuant to Rule 28(e) of the Arizona Supreme Court Rules, the Arizona Attorney General’s Office (</w:t>
      </w:r>
      <w:r w:rsidR="006211F7">
        <w:rPr>
          <w:rFonts w:ascii="Times New Roman" w:hAnsi="Times New Roman" w:cs="Times New Roman"/>
          <w:sz w:val="28"/>
          <w:szCs w:val="28"/>
        </w:rPr>
        <w:t>the “Office”</w:t>
      </w:r>
      <w:r w:rsidRPr="003B3404">
        <w:rPr>
          <w:rFonts w:ascii="Times New Roman" w:hAnsi="Times New Roman" w:cs="Times New Roman"/>
          <w:sz w:val="28"/>
          <w:szCs w:val="28"/>
        </w:rPr>
        <w:t xml:space="preserve">) </w:t>
      </w:r>
      <w:r w:rsidR="006211F7">
        <w:rPr>
          <w:rFonts w:ascii="Times New Roman" w:hAnsi="Times New Roman" w:cs="Times New Roman"/>
          <w:sz w:val="28"/>
          <w:szCs w:val="28"/>
        </w:rPr>
        <w:t xml:space="preserve">respectfully submits this comment </w:t>
      </w:r>
      <w:r w:rsidRPr="003B3404">
        <w:rPr>
          <w:rFonts w:ascii="Times New Roman" w:hAnsi="Times New Roman" w:cs="Times New Roman"/>
          <w:sz w:val="28"/>
          <w:szCs w:val="28"/>
        </w:rPr>
        <w:t>in opposition to the Petition to Amend Rule 32(A)—(M) of the Rules of the Supreme Court of Arizona</w:t>
      </w:r>
      <w:r w:rsidR="003D63B4">
        <w:rPr>
          <w:rFonts w:ascii="Times New Roman" w:hAnsi="Times New Roman" w:cs="Times New Roman"/>
          <w:sz w:val="28"/>
          <w:szCs w:val="28"/>
        </w:rPr>
        <w:t xml:space="preserve"> (the “Petition”)</w:t>
      </w:r>
      <w:r w:rsidRPr="003B3404">
        <w:rPr>
          <w:rFonts w:ascii="Times New Roman" w:hAnsi="Times New Roman" w:cs="Times New Roman"/>
          <w:sz w:val="28"/>
          <w:szCs w:val="28"/>
        </w:rPr>
        <w:t>.</w:t>
      </w:r>
      <w:r w:rsidR="003740AF">
        <w:rPr>
          <w:rFonts w:ascii="Times New Roman" w:hAnsi="Times New Roman" w:cs="Times New Roman"/>
          <w:sz w:val="28"/>
          <w:szCs w:val="28"/>
        </w:rPr>
        <w:t xml:space="preserve">  </w:t>
      </w:r>
      <w:r w:rsidRPr="003B3404">
        <w:rPr>
          <w:rFonts w:ascii="Times New Roman" w:hAnsi="Times New Roman" w:cs="Times New Roman"/>
          <w:sz w:val="28"/>
          <w:szCs w:val="28"/>
        </w:rPr>
        <w:t xml:space="preserve">The </w:t>
      </w:r>
      <w:r w:rsidR="006211F7">
        <w:rPr>
          <w:rFonts w:ascii="Times New Roman" w:hAnsi="Times New Roman" w:cs="Times New Roman"/>
          <w:sz w:val="28"/>
          <w:szCs w:val="28"/>
        </w:rPr>
        <w:t>P</w:t>
      </w:r>
      <w:r w:rsidR="006211F7" w:rsidRPr="003B3404">
        <w:rPr>
          <w:rFonts w:ascii="Times New Roman" w:hAnsi="Times New Roman" w:cs="Times New Roman"/>
          <w:sz w:val="28"/>
          <w:szCs w:val="28"/>
        </w:rPr>
        <w:t xml:space="preserve">etition </w:t>
      </w:r>
      <w:r w:rsidRPr="003B3404">
        <w:rPr>
          <w:rFonts w:ascii="Times New Roman" w:hAnsi="Times New Roman" w:cs="Times New Roman"/>
          <w:sz w:val="28"/>
          <w:szCs w:val="28"/>
        </w:rPr>
        <w:t xml:space="preserve">seeks to eliminate </w:t>
      </w:r>
      <w:r w:rsidR="009752FB">
        <w:rPr>
          <w:rFonts w:ascii="Times New Roman" w:hAnsi="Times New Roman" w:cs="Times New Roman"/>
          <w:sz w:val="28"/>
          <w:szCs w:val="28"/>
        </w:rPr>
        <w:t xml:space="preserve">mandatory membership in the State Bar of Arizona, transition regulatory functions to the Arizona Supreme Court through its Administrative Office of the Courts (AOC), and convert the bar into a fully voluntary organization by January 1, 2027. </w:t>
      </w:r>
      <w:r w:rsidR="000D3065">
        <w:rPr>
          <w:rFonts w:ascii="Times New Roman" w:hAnsi="Times New Roman" w:cs="Times New Roman"/>
          <w:sz w:val="28"/>
          <w:szCs w:val="28"/>
        </w:rPr>
        <w:t xml:space="preserve"> </w:t>
      </w:r>
      <w:r w:rsidRPr="003B3404">
        <w:rPr>
          <w:rFonts w:ascii="Times New Roman" w:hAnsi="Times New Roman" w:cs="Times New Roman"/>
          <w:sz w:val="28"/>
          <w:szCs w:val="28"/>
        </w:rPr>
        <w:t xml:space="preserve">This comment urges the Court to deny the Petition, which </w:t>
      </w:r>
      <w:r w:rsidR="006A66A1">
        <w:rPr>
          <w:rFonts w:ascii="Times New Roman" w:hAnsi="Times New Roman" w:cs="Times New Roman"/>
          <w:sz w:val="28"/>
          <w:szCs w:val="28"/>
        </w:rPr>
        <w:t xml:space="preserve">relies on a legally unsupported rationale and </w:t>
      </w:r>
      <w:r w:rsidR="00B42476">
        <w:rPr>
          <w:rFonts w:ascii="Times New Roman" w:hAnsi="Times New Roman" w:cs="Times New Roman"/>
          <w:sz w:val="28"/>
          <w:szCs w:val="28"/>
        </w:rPr>
        <w:t>proposes changes that would be</w:t>
      </w:r>
      <w:r w:rsidRPr="003B3404">
        <w:rPr>
          <w:rFonts w:ascii="Times New Roman" w:hAnsi="Times New Roman" w:cs="Times New Roman"/>
          <w:sz w:val="28"/>
          <w:szCs w:val="28"/>
        </w:rPr>
        <w:t xml:space="preserve"> administratively disruptive and contrary to the public interest.</w:t>
      </w:r>
    </w:p>
    <w:p w14:paraId="14C5C052" w14:textId="49807340" w:rsidR="003B3404" w:rsidRPr="003B3404" w:rsidRDefault="003B3404" w:rsidP="00433E1C">
      <w:pPr>
        <w:spacing w:after="0" w:line="480" w:lineRule="auto"/>
        <w:ind w:firstLine="720"/>
        <w:contextualSpacing/>
        <w:jc w:val="both"/>
        <w:rPr>
          <w:rFonts w:ascii="Times New Roman" w:hAnsi="Times New Roman" w:cs="Times New Roman"/>
          <w:sz w:val="28"/>
          <w:szCs w:val="28"/>
        </w:rPr>
      </w:pPr>
      <w:r w:rsidRPr="003B3404">
        <w:rPr>
          <w:rFonts w:ascii="Times New Roman" w:hAnsi="Times New Roman" w:cs="Times New Roman"/>
          <w:sz w:val="28"/>
          <w:szCs w:val="28"/>
        </w:rPr>
        <w:lastRenderedPageBreak/>
        <w:t xml:space="preserve">The proposed rule change is premised on the assertion that </w:t>
      </w:r>
      <w:r w:rsidRPr="003B3404">
        <w:rPr>
          <w:rFonts w:ascii="Times New Roman" w:hAnsi="Times New Roman" w:cs="Times New Roman"/>
          <w:i/>
          <w:sz w:val="28"/>
          <w:szCs w:val="28"/>
        </w:rPr>
        <w:t>Janus v. A</w:t>
      </w:r>
      <w:r w:rsidR="00806803">
        <w:rPr>
          <w:rFonts w:ascii="Times New Roman" w:hAnsi="Times New Roman" w:cs="Times New Roman"/>
          <w:i/>
          <w:sz w:val="28"/>
          <w:szCs w:val="28"/>
        </w:rPr>
        <w:t xml:space="preserve">m. </w:t>
      </w:r>
      <w:proofErr w:type="spellStart"/>
      <w:r w:rsidR="00806803">
        <w:rPr>
          <w:rFonts w:ascii="Times New Roman" w:hAnsi="Times New Roman" w:cs="Times New Roman"/>
          <w:i/>
          <w:sz w:val="28"/>
          <w:szCs w:val="28"/>
        </w:rPr>
        <w:t>Fed’n</w:t>
      </w:r>
      <w:proofErr w:type="spellEnd"/>
      <w:r w:rsidR="00806803">
        <w:rPr>
          <w:rFonts w:ascii="Times New Roman" w:hAnsi="Times New Roman" w:cs="Times New Roman"/>
          <w:i/>
          <w:sz w:val="28"/>
          <w:szCs w:val="28"/>
        </w:rPr>
        <w:t xml:space="preserve"> of State, </w:t>
      </w:r>
      <w:proofErr w:type="spellStart"/>
      <w:r w:rsidR="00806803">
        <w:rPr>
          <w:rFonts w:ascii="Times New Roman" w:hAnsi="Times New Roman" w:cs="Times New Roman"/>
          <w:i/>
          <w:sz w:val="28"/>
          <w:szCs w:val="28"/>
        </w:rPr>
        <w:t>Cnty</w:t>
      </w:r>
      <w:proofErr w:type="spellEnd"/>
      <w:r w:rsidR="00806803">
        <w:rPr>
          <w:rFonts w:ascii="Times New Roman" w:hAnsi="Times New Roman" w:cs="Times New Roman"/>
          <w:i/>
          <w:sz w:val="28"/>
          <w:szCs w:val="28"/>
        </w:rPr>
        <w:t>., &amp; Mun. Emps., Council 31</w:t>
      </w:r>
      <w:r w:rsidRPr="003B3404">
        <w:rPr>
          <w:rFonts w:ascii="Times New Roman" w:hAnsi="Times New Roman" w:cs="Times New Roman"/>
          <w:sz w:val="28"/>
          <w:szCs w:val="28"/>
        </w:rPr>
        <w:t xml:space="preserve">, 585 U.S. 878 (2018), undermines the constitutional foundation of mandatory bar associations. However, binding precedent—including </w:t>
      </w:r>
      <w:r w:rsidRPr="003B3404">
        <w:rPr>
          <w:rFonts w:ascii="Times New Roman" w:hAnsi="Times New Roman" w:cs="Times New Roman"/>
          <w:i/>
          <w:sz w:val="28"/>
          <w:szCs w:val="28"/>
        </w:rPr>
        <w:t>Keller v. State Bar of California</w:t>
      </w:r>
      <w:r w:rsidRPr="003B3404">
        <w:rPr>
          <w:rFonts w:ascii="Times New Roman" w:hAnsi="Times New Roman" w:cs="Times New Roman"/>
          <w:sz w:val="28"/>
          <w:szCs w:val="28"/>
        </w:rPr>
        <w:t>, 496 U.S. 1 (1990)—remains controlling and has been repeatedly affirmed by state and federal courts post-</w:t>
      </w:r>
      <w:r w:rsidRPr="003B3404">
        <w:rPr>
          <w:rFonts w:ascii="Times New Roman" w:hAnsi="Times New Roman" w:cs="Times New Roman"/>
          <w:i/>
          <w:sz w:val="28"/>
          <w:szCs w:val="28"/>
        </w:rPr>
        <w:t>Janus</w:t>
      </w:r>
      <w:r w:rsidRPr="003B3404">
        <w:rPr>
          <w:rFonts w:ascii="Times New Roman" w:hAnsi="Times New Roman" w:cs="Times New Roman"/>
          <w:sz w:val="28"/>
          <w:szCs w:val="28"/>
        </w:rPr>
        <w:t xml:space="preserve">. The Petition misreads </w:t>
      </w:r>
      <w:r w:rsidRPr="003B3404">
        <w:rPr>
          <w:rFonts w:ascii="Times New Roman" w:hAnsi="Times New Roman" w:cs="Times New Roman"/>
          <w:i/>
          <w:sz w:val="28"/>
          <w:szCs w:val="28"/>
        </w:rPr>
        <w:t>Janus</w:t>
      </w:r>
      <w:r w:rsidRPr="003B3404">
        <w:rPr>
          <w:rFonts w:ascii="Times New Roman" w:hAnsi="Times New Roman" w:cs="Times New Roman"/>
          <w:sz w:val="28"/>
          <w:szCs w:val="28"/>
        </w:rPr>
        <w:t>, overlooks the Arizona Bar’s compliance with constitutional safeguards, and underestimates the vital regulatory and public service functions the Arizona Bar performs.</w:t>
      </w:r>
    </w:p>
    <w:p w14:paraId="0270AEA6" w14:textId="6E3A9F47" w:rsidR="003B3404" w:rsidRPr="00F5301E" w:rsidRDefault="003B3404" w:rsidP="00433E1C">
      <w:pPr>
        <w:spacing w:after="0" w:line="480" w:lineRule="auto"/>
        <w:ind w:firstLine="720"/>
        <w:contextualSpacing/>
        <w:jc w:val="both"/>
        <w:rPr>
          <w:rFonts w:ascii="Times New Roman" w:hAnsi="Times New Roman" w:cs="Times New Roman"/>
          <w:sz w:val="28"/>
          <w:szCs w:val="28"/>
        </w:rPr>
      </w:pPr>
      <w:r w:rsidRPr="003B3404">
        <w:rPr>
          <w:rFonts w:ascii="Times New Roman" w:hAnsi="Times New Roman" w:cs="Times New Roman"/>
          <w:sz w:val="28"/>
          <w:szCs w:val="28"/>
        </w:rPr>
        <w:t>In addition to addressing the flawed constitutional claims, this comment highlights the real and foreseeable harms that would result from dismantling the integrated bar.</w:t>
      </w:r>
      <w:r w:rsidR="003740AF">
        <w:rPr>
          <w:rFonts w:ascii="Times New Roman" w:hAnsi="Times New Roman" w:cs="Times New Roman"/>
          <w:sz w:val="28"/>
          <w:szCs w:val="28"/>
        </w:rPr>
        <w:t xml:space="preserve">  </w:t>
      </w:r>
      <w:r w:rsidRPr="003B3404">
        <w:rPr>
          <w:rFonts w:ascii="Times New Roman" w:hAnsi="Times New Roman" w:cs="Times New Roman"/>
          <w:sz w:val="28"/>
          <w:szCs w:val="28"/>
        </w:rPr>
        <w:t>These include financial and administrative burdens on the judiciary, loss of institutional expertise, and the degradation of public-facing programs</w:t>
      </w:r>
      <w:r w:rsidR="006A66A1">
        <w:rPr>
          <w:rFonts w:ascii="Times New Roman" w:hAnsi="Times New Roman" w:cs="Times New Roman"/>
          <w:sz w:val="28"/>
          <w:szCs w:val="28"/>
        </w:rPr>
        <w:t>,</w:t>
      </w:r>
      <w:r w:rsidRPr="003B3404">
        <w:rPr>
          <w:rFonts w:ascii="Times New Roman" w:hAnsi="Times New Roman" w:cs="Times New Roman"/>
          <w:sz w:val="28"/>
          <w:szCs w:val="28"/>
        </w:rPr>
        <w:t xml:space="preserve"> such as legal hotlines, pro bono coordination, and client protection initiatives. </w:t>
      </w:r>
    </w:p>
    <w:p w14:paraId="7C48B221" w14:textId="2D4C2811" w:rsidR="008B7537" w:rsidRPr="00806803" w:rsidRDefault="001B1CA9" w:rsidP="00433E1C">
      <w:pPr>
        <w:pStyle w:val="ListParagraph"/>
        <w:keepNext/>
        <w:numPr>
          <w:ilvl w:val="0"/>
          <w:numId w:val="6"/>
        </w:numPr>
        <w:tabs>
          <w:tab w:val="left" w:pos="720"/>
        </w:tabs>
        <w:suppressAutoHyphens/>
        <w:spacing w:after="0" w:line="480" w:lineRule="auto"/>
        <w:jc w:val="both"/>
        <w:outlineLvl w:val="1"/>
        <w:rPr>
          <w:rFonts w:ascii="Times New Roman" w:hAnsi="Times New Roman" w:cs="Times New Roman"/>
          <w:sz w:val="28"/>
          <w:szCs w:val="28"/>
        </w:rPr>
      </w:pPr>
      <w:r w:rsidRPr="00806803">
        <w:rPr>
          <w:rFonts w:ascii="Times New Roman" w:eastAsia="Times New Roman" w:hAnsi="Times New Roman" w:cs="Times New Roman"/>
          <w:b/>
          <w:bCs/>
          <w:sz w:val="28"/>
          <w:szCs w:val="28"/>
        </w:rPr>
        <w:t xml:space="preserve">Binding precedent upholds the constitutionality of the integrated </w:t>
      </w:r>
      <w:r w:rsidR="008B7537" w:rsidRPr="00806803">
        <w:rPr>
          <w:rFonts w:ascii="Times New Roman" w:eastAsia="Times New Roman" w:hAnsi="Times New Roman" w:cs="Times New Roman"/>
          <w:b/>
          <w:bCs/>
          <w:sz w:val="28"/>
          <w:szCs w:val="28"/>
        </w:rPr>
        <w:t>bar</w:t>
      </w:r>
      <w:r w:rsidR="006211F7">
        <w:rPr>
          <w:rFonts w:ascii="Times New Roman" w:eastAsia="Times New Roman" w:hAnsi="Times New Roman" w:cs="Times New Roman"/>
          <w:b/>
          <w:bCs/>
          <w:sz w:val="28"/>
          <w:szCs w:val="28"/>
        </w:rPr>
        <w:t>.</w:t>
      </w:r>
    </w:p>
    <w:p w14:paraId="0A88B3D0" w14:textId="27A8E792" w:rsidR="0007345F" w:rsidRDefault="0007345F" w:rsidP="00433E1C">
      <w:pPr>
        <w:spacing w:after="0" w:line="480" w:lineRule="auto"/>
        <w:ind w:firstLine="720"/>
        <w:contextualSpacing/>
        <w:jc w:val="both"/>
        <w:rPr>
          <w:rFonts w:ascii="Times New Roman" w:hAnsi="Times New Roman" w:cs="Times New Roman"/>
          <w:sz w:val="28"/>
          <w:szCs w:val="28"/>
        </w:rPr>
      </w:pPr>
      <w:r w:rsidRPr="008F2A41">
        <w:rPr>
          <w:rFonts w:ascii="Times New Roman" w:hAnsi="Times New Roman" w:cs="Times New Roman"/>
          <w:sz w:val="28"/>
          <w:szCs w:val="28"/>
        </w:rPr>
        <w:t xml:space="preserve">In </w:t>
      </w:r>
      <w:r w:rsidRPr="008F2A41">
        <w:rPr>
          <w:rFonts w:ascii="Times New Roman" w:hAnsi="Times New Roman" w:cs="Times New Roman"/>
          <w:i/>
          <w:sz w:val="28"/>
          <w:szCs w:val="28"/>
        </w:rPr>
        <w:t>Keller</w:t>
      </w:r>
      <w:r w:rsidRPr="008F2A41">
        <w:rPr>
          <w:rFonts w:ascii="Times New Roman" w:hAnsi="Times New Roman" w:cs="Times New Roman"/>
          <w:sz w:val="28"/>
          <w:szCs w:val="28"/>
        </w:rPr>
        <w:t xml:space="preserve">, the </w:t>
      </w:r>
      <w:r w:rsidR="003D63B4">
        <w:rPr>
          <w:rFonts w:ascii="Times New Roman" w:hAnsi="Times New Roman" w:cs="Times New Roman"/>
          <w:sz w:val="28"/>
          <w:szCs w:val="28"/>
        </w:rPr>
        <w:t xml:space="preserve">U.S. </w:t>
      </w:r>
      <w:r w:rsidRPr="008F2A41">
        <w:rPr>
          <w:rFonts w:ascii="Times New Roman" w:hAnsi="Times New Roman" w:cs="Times New Roman"/>
          <w:sz w:val="28"/>
          <w:szCs w:val="28"/>
        </w:rPr>
        <w:t>Supreme Court</w:t>
      </w:r>
      <w:r>
        <w:rPr>
          <w:rFonts w:ascii="Times New Roman" w:hAnsi="Times New Roman" w:cs="Times New Roman"/>
          <w:sz w:val="28"/>
          <w:szCs w:val="28"/>
        </w:rPr>
        <w:t xml:space="preserve"> unanimously affirmed that states may require attorneys to join and pay dues to an integrated bar.  </w:t>
      </w:r>
      <w:r w:rsidRPr="0007345F">
        <w:rPr>
          <w:rFonts w:ascii="Times New Roman" w:hAnsi="Times New Roman" w:cs="Times New Roman"/>
          <w:i/>
          <w:sz w:val="28"/>
          <w:szCs w:val="28"/>
        </w:rPr>
        <w:t>Id</w:t>
      </w:r>
      <w:r>
        <w:rPr>
          <w:rFonts w:ascii="Times New Roman" w:hAnsi="Times New Roman" w:cs="Times New Roman"/>
          <w:sz w:val="28"/>
          <w:szCs w:val="28"/>
        </w:rPr>
        <w:t xml:space="preserve">. at 4.  The Court </w:t>
      </w:r>
      <w:r w:rsidR="000D3065">
        <w:rPr>
          <w:rFonts w:ascii="Times New Roman" w:hAnsi="Times New Roman" w:cs="Times New Roman"/>
          <w:sz w:val="28"/>
          <w:szCs w:val="28"/>
        </w:rPr>
        <w:t>held</w:t>
      </w:r>
      <w:r>
        <w:rPr>
          <w:rFonts w:ascii="Times New Roman" w:hAnsi="Times New Roman" w:cs="Times New Roman"/>
          <w:sz w:val="28"/>
          <w:szCs w:val="28"/>
        </w:rPr>
        <w:t xml:space="preserve"> that </w:t>
      </w:r>
      <w:r w:rsidR="000D3065">
        <w:rPr>
          <w:rFonts w:ascii="Times New Roman" w:hAnsi="Times New Roman" w:cs="Times New Roman"/>
          <w:sz w:val="28"/>
          <w:szCs w:val="28"/>
        </w:rPr>
        <w:t>these</w:t>
      </w:r>
      <w:r>
        <w:rPr>
          <w:rFonts w:ascii="Times New Roman" w:hAnsi="Times New Roman" w:cs="Times New Roman"/>
          <w:sz w:val="28"/>
          <w:szCs w:val="28"/>
        </w:rPr>
        <w:t xml:space="preserve"> requirements justif</w:t>
      </w:r>
      <w:r w:rsidR="00A84BAA">
        <w:rPr>
          <w:rFonts w:ascii="Times New Roman" w:hAnsi="Times New Roman" w:cs="Times New Roman"/>
          <w:sz w:val="28"/>
          <w:szCs w:val="28"/>
        </w:rPr>
        <w:t>y</w:t>
      </w:r>
      <w:r>
        <w:rPr>
          <w:rFonts w:ascii="Times New Roman" w:hAnsi="Times New Roman" w:cs="Times New Roman"/>
          <w:sz w:val="28"/>
          <w:szCs w:val="28"/>
        </w:rPr>
        <w:t xml:space="preserve"> </w:t>
      </w:r>
      <w:r w:rsidRPr="00CF5B1C">
        <w:rPr>
          <w:rFonts w:ascii="Times New Roman" w:hAnsi="Times New Roman" w:cs="Times New Roman"/>
          <w:sz w:val="28"/>
          <w:szCs w:val="28"/>
        </w:rPr>
        <w:t>“the State’s interest in regulating the legal profession and improving the quality of legal services</w:t>
      </w:r>
      <w:r>
        <w:rPr>
          <w:rFonts w:ascii="Times New Roman" w:hAnsi="Times New Roman" w:cs="Times New Roman"/>
          <w:sz w:val="28"/>
          <w:szCs w:val="28"/>
        </w:rPr>
        <w:t xml:space="preserve">,” and that state bars may </w:t>
      </w:r>
      <w:r w:rsidR="00A84BAA">
        <w:rPr>
          <w:rFonts w:ascii="Times New Roman" w:hAnsi="Times New Roman" w:cs="Times New Roman"/>
          <w:sz w:val="28"/>
          <w:szCs w:val="28"/>
        </w:rPr>
        <w:t>“</w:t>
      </w:r>
      <w:r w:rsidR="00A84BAA" w:rsidRPr="00CF5B1C">
        <w:rPr>
          <w:rFonts w:ascii="Times New Roman" w:hAnsi="Times New Roman" w:cs="Times New Roman"/>
          <w:sz w:val="28"/>
          <w:szCs w:val="28"/>
        </w:rPr>
        <w:t>constitutionally fund activities germane to those goals</w:t>
      </w:r>
      <w:r w:rsidR="00A84BAA">
        <w:rPr>
          <w:rFonts w:ascii="Times New Roman" w:hAnsi="Times New Roman" w:cs="Times New Roman"/>
          <w:sz w:val="28"/>
          <w:szCs w:val="28"/>
        </w:rPr>
        <w:t xml:space="preserve">” </w:t>
      </w:r>
      <w:r w:rsidR="000D3065">
        <w:rPr>
          <w:rFonts w:ascii="Times New Roman" w:hAnsi="Times New Roman" w:cs="Times New Roman"/>
          <w:sz w:val="28"/>
          <w:szCs w:val="28"/>
        </w:rPr>
        <w:t xml:space="preserve">using </w:t>
      </w:r>
      <w:r w:rsidR="00A84BAA">
        <w:rPr>
          <w:rFonts w:ascii="Times New Roman" w:hAnsi="Times New Roman" w:cs="Times New Roman"/>
          <w:sz w:val="28"/>
          <w:szCs w:val="28"/>
        </w:rPr>
        <w:t xml:space="preserve">mandatory dues.  </w:t>
      </w:r>
      <w:r w:rsidR="00A84BAA" w:rsidRPr="00A84BAA">
        <w:rPr>
          <w:rFonts w:ascii="Times New Roman" w:hAnsi="Times New Roman" w:cs="Times New Roman"/>
          <w:i/>
          <w:sz w:val="28"/>
          <w:szCs w:val="28"/>
        </w:rPr>
        <w:t>Id</w:t>
      </w:r>
      <w:r w:rsidR="00A84BAA">
        <w:rPr>
          <w:rFonts w:ascii="Times New Roman" w:hAnsi="Times New Roman" w:cs="Times New Roman"/>
          <w:sz w:val="28"/>
          <w:szCs w:val="28"/>
        </w:rPr>
        <w:t xml:space="preserve">. at 13-14. </w:t>
      </w:r>
    </w:p>
    <w:p w14:paraId="0C654564" w14:textId="77777777" w:rsidR="000D3065" w:rsidRDefault="000D3065" w:rsidP="00433E1C">
      <w:pPr>
        <w:spacing w:after="0" w:line="48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lastRenderedPageBreak/>
        <w:t xml:space="preserve">Petitioners argue that </w:t>
      </w:r>
      <w:r w:rsidRPr="000D3065">
        <w:rPr>
          <w:rFonts w:ascii="Times New Roman" w:eastAsia="Times New Roman" w:hAnsi="Times New Roman" w:cs="Times New Roman"/>
          <w:i/>
          <w:iCs/>
          <w:sz w:val="28"/>
          <w:szCs w:val="28"/>
        </w:rPr>
        <w:t>Janus</w:t>
      </w:r>
      <w:r>
        <w:rPr>
          <w:rFonts w:ascii="Times New Roman" w:eastAsia="Times New Roman" w:hAnsi="Times New Roman" w:cs="Times New Roman"/>
          <w:iCs/>
          <w:sz w:val="28"/>
          <w:szCs w:val="28"/>
        </w:rPr>
        <w:t xml:space="preserve"> “placed </w:t>
      </w:r>
      <w:r w:rsidRPr="000D3065">
        <w:rPr>
          <w:rFonts w:ascii="Times New Roman" w:eastAsia="Times New Roman" w:hAnsi="Times New Roman" w:cs="Times New Roman"/>
          <w:i/>
          <w:iCs/>
          <w:sz w:val="28"/>
          <w:szCs w:val="28"/>
        </w:rPr>
        <w:t>Keller</w:t>
      </w:r>
      <w:r>
        <w:rPr>
          <w:rFonts w:ascii="Times New Roman" w:eastAsia="Times New Roman" w:hAnsi="Times New Roman" w:cs="Times New Roman"/>
          <w:iCs/>
          <w:sz w:val="28"/>
          <w:szCs w:val="28"/>
        </w:rPr>
        <w:t xml:space="preserve"> on shaky constitutional ground.” Petition at 8.  In </w:t>
      </w:r>
      <w:r w:rsidRPr="003D63B4">
        <w:rPr>
          <w:rFonts w:ascii="Times New Roman" w:eastAsia="Times New Roman" w:hAnsi="Times New Roman" w:cs="Times New Roman"/>
          <w:i/>
          <w:iCs/>
          <w:sz w:val="28"/>
          <w:szCs w:val="28"/>
        </w:rPr>
        <w:t>Janus</w:t>
      </w:r>
      <w:r>
        <w:rPr>
          <w:rFonts w:ascii="Times New Roman" w:eastAsia="Times New Roman" w:hAnsi="Times New Roman" w:cs="Times New Roman"/>
          <w:iCs/>
          <w:sz w:val="28"/>
          <w:szCs w:val="28"/>
        </w:rPr>
        <w:t xml:space="preserve">, the court overruled </w:t>
      </w:r>
      <w:proofErr w:type="spellStart"/>
      <w:r w:rsidR="005D5DE2" w:rsidRPr="00C63095">
        <w:rPr>
          <w:rFonts w:ascii="Times New Roman" w:eastAsia="Times New Roman" w:hAnsi="Times New Roman" w:cs="Times New Roman"/>
          <w:i/>
          <w:iCs/>
          <w:sz w:val="28"/>
          <w:szCs w:val="28"/>
        </w:rPr>
        <w:t>Abood</w:t>
      </w:r>
      <w:proofErr w:type="spellEnd"/>
      <w:r w:rsidR="005D5DE2" w:rsidRPr="00C63095">
        <w:rPr>
          <w:rFonts w:ascii="Times New Roman" w:eastAsia="Times New Roman" w:hAnsi="Times New Roman" w:cs="Times New Roman"/>
          <w:i/>
          <w:iCs/>
          <w:sz w:val="28"/>
          <w:szCs w:val="28"/>
        </w:rPr>
        <w:t xml:space="preserve"> v. Detroit </w:t>
      </w:r>
      <w:r w:rsidR="002F74C4">
        <w:rPr>
          <w:rFonts w:ascii="Times New Roman" w:eastAsia="Times New Roman" w:hAnsi="Times New Roman" w:cs="Times New Roman"/>
          <w:i/>
          <w:iCs/>
          <w:sz w:val="28"/>
          <w:szCs w:val="28"/>
        </w:rPr>
        <w:t>Bd.</w:t>
      </w:r>
      <w:r w:rsidR="005D5DE2" w:rsidRPr="00C63095">
        <w:rPr>
          <w:rFonts w:ascii="Times New Roman" w:eastAsia="Times New Roman" w:hAnsi="Times New Roman" w:cs="Times New Roman"/>
          <w:i/>
          <w:iCs/>
          <w:sz w:val="28"/>
          <w:szCs w:val="28"/>
        </w:rPr>
        <w:t xml:space="preserve"> of Ed</w:t>
      </w:r>
      <w:r w:rsidR="002F74C4">
        <w:rPr>
          <w:rFonts w:ascii="Times New Roman" w:eastAsia="Times New Roman" w:hAnsi="Times New Roman" w:cs="Times New Roman"/>
          <w:i/>
          <w:iCs/>
          <w:sz w:val="28"/>
          <w:szCs w:val="28"/>
        </w:rPr>
        <w:t>.</w:t>
      </w:r>
      <w:r w:rsidR="005D5DE2" w:rsidRPr="00C63095">
        <w:rPr>
          <w:rFonts w:ascii="Times New Roman" w:eastAsia="Times New Roman" w:hAnsi="Times New Roman" w:cs="Times New Roman"/>
          <w:sz w:val="28"/>
          <w:szCs w:val="28"/>
        </w:rPr>
        <w:t>, 431 U.S. 209 (1977)</w:t>
      </w:r>
      <w:r>
        <w:rPr>
          <w:rFonts w:ascii="Times New Roman" w:eastAsia="Times New Roman" w:hAnsi="Times New Roman" w:cs="Times New Roman"/>
          <w:sz w:val="28"/>
          <w:szCs w:val="28"/>
        </w:rPr>
        <w:t xml:space="preserve">—a case </w:t>
      </w:r>
      <w:r w:rsidRPr="000D3065">
        <w:rPr>
          <w:rFonts w:ascii="Times New Roman" w:eastAsia="Times New Roman" w:hAnsi="Times New Roman" w:cs="Times New Roman"/>
          <w:i/>
          <w:sz w:val="28"/>
          <w:szCs w:val="28"/>
        </w:rPr>
        <w:t>Keller</w:t>
      </w:r>
      <w:r>
        <w:rPr>
          <w:rFonts w:ascii="Times New Roman" w:eastAsia="Times New Roman" w:hAnsi="Times New Roman" w:cs="Times New Roman"/>
          <w:sz w:val="28"/>
          <w:szCs w:val="28"/>
        </w:rPr>
        <w:t xml:space="preserve"> cited—holding </w:t>
      </w:r>
      <w:r w:rsidR="005D5DE2">
        <w:rPr>
          <w:rFonts w:ascii="Times New Roman" w:eastAsia="Times New Roman" w:hAnsi="Times New Roman" w:cs="Times New Roman"/>
          <w:sz w:val="28"/>
          <w:szCs w:val="28"/>
        </w:rPr>
        <w:t>that “exacting scrutiny, if not a more demanding standard,</w:t>
      </w:r>
      <w:r w:rsidR="002F74C4">
        <w:rPr>
          <w:rFonts w:ascii="Times New Roman" w:eastAsia="Times New Roman" w:hAnsi="Times New Roman" w:cs="Times New Roman"/>
          <w:sz w:val="28"/>
          <w:szCs w:val="28"/>
        </w:rPr>
        <w:t>”</w:t>
      </w:r>
      <w:r w:rsidR="005D5DE2">
        <w:rPr>
          <w:rFonts w:ascii="Times New Roman" w:eastAsia="Times New Roman" w:hAnsi="Times New Roman" w:cs="Times New Roman"/>
          <w:sz w:val="28"/>
          <w:szCs w:val="28"/>
        </w:rPr>
        <w:t xml:space="preserve"> generally applies in the Court’s </w:t>
      </w:r>
      <w:r>
        <w:rPr>
          <w:rFonts w:ascii="Times New Roman" w:eastAsia="Times New Roman" w:hAnsi="Times New Roman" w:cs="Times New Roman"/>
          <w:sz w:val="28"/>
          <w:szCs w:val="28"/>
        </w:rPr>
        <w:t>F</w:t>
      </w:r>
      <w:r w:rsidR="005D5DE2">
        <w:rPr>
          <w:rFonts w:ascii="Times New Roman" w:eastAsia="Times New Roman" w:hAnsi="Times New Roman" w:cs="Times New Roman"/>
          <w:sz w:val="28"/>
          <w:szCs w:val="28"/>
        </w:rPr>
        <w:t>i</w:t>
      </w:r>
      <w:r>
        <w:rPr>
          <w:rFonts w:ascii="Times New Roman" w:eastAsia="Times New Roman" w:hAnsi="Times New Roman" w:cs="Times New Roman"/>
          <w:sz w:val="28"/>
          <w:szCs w:val="28"/>
        </w:rPr>
        <w:t>r</w:t>
      </w:r>
      <w:r w:rsidR="005D5DE2">
        <w:rPr>
          <w:rFonts w:ascii="Times New Roman" w:eastAsia="Times New Roman" w:hAnsi="Times New Roman" w:cs="Times New Roman"/>
          <w:sz w:val="28"/>
          <w:szCs w:val="28"/>
        </w:rPr>
        <w:t xml:space="preserve">st </w:t>
      </w:r>
      <w:r>
        <w:rPr>
          <w:rFonts w:ascii="Times New Roman" w:eastAsia="Times New Roman" w:hAnsi="Times New Roman" w:cs="Times New Roman"/>
          <w:sz w:val="28"/>
          <w:szCs w:val="28"/>
        </w:rPr>
        <w:t>A</w:t>
      </w:r>
      <w:r w:rsidR="005D5DE2">
        <w:rPr>
          <w:rFonts w:ascii="Times New Roman" w:eastAsia="Times New Roman" w:hAnsi="Times New Roman" w:cs="Times New Roman"/>
          <w:sz w:val="28"/>
          <w:szCs w:val="28"/>
        </w:rPr>
        <w:t xml:space="preserve">mendment jurisprudence.  </w:t>
      </w:r>
      <w:r w:rsidR="005D5DE2" w:rsidRPr="005D5DE2">
        <w:rPr>
          <w:rFonts w:ascii="Times New Roman" w:eastAsia="Times New Roman" w:hAnsi="Times New Roman" w:cs="Times New Roman"/>
          <w:i/>
          <w:sz w:val="28"/>
          <w:szCs w:val="28"/>
        </w:rPr>
        <w:t>Janus</w:t>
      </w:r>
      <w:r w:rsidR="005D5DE2">
        <w:rPr>
          <w:rFonts w:ascii="Times New Roman" w:eastAsia="Times New Roman" w:hAnsi="Times New Roman" w:cs="Times New Roman"/>
          <w:sz w:val="28"/>
          <w:szCs w:val="28"/>
        </w:rPr>
        <w:t xml:space="preserve">, 585 U.S. at 925.  </w:t>
      </w:r>
      <w:r>
        <w:rPr>
          <w:rFonts w:ascii="Times New Roman" w:eastAsia="Times New Roman" w:hAnsi="Times New Roman" w:cs="Times New Roman"/>
          <w:sz w:val="28"/>
          <w:szCs w:val="28"/>
        </w:rPr>
        <w:t xml:space="preserve">On this basis, Petitioners claim that </w:t>
      </w:r>
      <w:r w:rsidRPr="006D0719">
        <w:rPr>
          <w:rFonts w:ascii="Times New Roman" w:eastAsia="Times New Roman" w:hAnsi="Times New Roman" w:cs="Times New Roman"/>
          <w:i/>
          <w:sz w:val="28"/>
          <w:szCs w:val="28"/>
        </w:rPr>
        <w:t>Janus</w:t>
      </w:r>
      <w:r>
        <w:rPr>
          <w:rFonts w:ascii="Times New Roman" w:eastAsia="Times New Roman" w:hAnsi="Times New Roman" w:cs="Times New Roman"/>
          <w:sz w:val="28"/>
          <w:szCs w:val="28"/>
        </w:rPr>
        <w:t xml:space="preserve"> undermines the constitutional foundation for mandatory bar membership.  </w:t>
      </w:r>
      <w:r w:rsidR="00D20214">
        <w:rPr>
          <w:rFonts w:ascii="Times New Roman" w:eastAsia="Times New Roman" w:hAnsi="Times New Roman" w:cs="Times New Roman"/>
          <w:sz w:val="28"/>
          <w:szCs w:val="28"/>
        </w:rPr>
        <w:t xml:space="preserve">Petition at 2-3.  </w:t>
      </w:r>
    </w:p>
    <w:p w14:paraId="6290674A" w14:textId="0B05369F" w:rsidR="00365CBD" w:rsidRDefault="003527B2" w:rsidP="00433E1C">
      <w:pPr>
        <w:spacing w:after="0" w:line="48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Petitioners’ argument </w:t>
      </w:r>
      <w:r w:rsidR="000D3065">
        <w:rPr>
          <w:rFonts w:ascii="Times New Roman" w:eastAsia="Times New Roman" w:hAnsi="Times New Roman" w:cs="Times New Roman"/>
          <w:sz w:val="28"/>
          <w:szCs w:val="28"/>
        </w:rPr>
        <w:t xml:space="preserve">is misplaced.  </w:t>
      </w:r>
      <w:r w:rsidR="000D3065" w:rsidRPr="000D3065">
        <w:rPr>
          <w:rFonts w:ascii="Times New Roman" w:eastAsia="Times New Roman" w:hAnsi="Times New Roman" w:cs="Times New Roman"/>
          <w:i/>
          <w:sz w:val="28"/>
          <w:szCs w:val="28"/>
        </w:rPr>
        <w:t>Keller</w:t>
      </w:r>
      <w:r w:rsidR="000D3065">
        <w:rPr>
          <w:rFonts w:ascii="Times New Roman" w:eastAsia="Times New Roman" w:hAnsi="Times New Roman" w:cs="Times New Roman"/>
          <w:sz w:val="28"/>
          <w:szCs w:val="28"/>
        </w:rPr>
        <w:t xml:space="preserve"> did not rely solely on </w:t>
      </w:r>
      <w:proofErr w:type="spellStart"/>
      <w:r w:rsidR="000D3065" w:rsidRPr="000D3065">
        <w:rPr>
          <w:rFonts w:ascii="Times New Roman" w:eastAsia="Times New Roman" w:hAnsi="Times New Roman" w:cs="Times New Roman"/>
          <w:i/>
          <w:sz w:val="28"/>
          <w:szCs w:val="28"/>
        </w:rPr>
        <w:t>Abood</w:t>
      </w:r>
      <w:proofErr w:type="spellEnd"/>
      <w:r w:rsidR="000D3065">
        <w:rPr>
          <w:rFonts w:ascii="Times New Roman" w:eastAsia="Times New Roman" w:hAnsi="Times New Roman" w:cs="Times New Roman"/>
          <w:sz w:val="28"/>
          <w:szCs w:val="28"/>
        </w:rPr>
        <w:t xml:space="preserve">.  Rather, it </w:t>
      </w:r>
      <w:r w:rsidRPr="00C63095">
        <w:rPr>
          <w:rFonts w:ascii="Times New Roman" w:eastAsia="Times New Roman" w:hAnsi="Times New Roman" w:cs="Times New Roman"/>
          <w:sz w:val="28"/>
          <w:szCs w:val="28"/>
        </w:rPr>
        <w:t xml:space="preserve">built upon </w:t>
      </w:r>
      <w:r w:rsidRPr="00C63095">
        <w:rPr>
          <w:rFonts w:ascii="Times New Roman" w:eastAsia="Times New Roman" w:hAnsi="Times New Roman" w:cs="Times New Roman"/>
          <w:i/>
          <w:iCs/>
          <w:sz w:val="28"/>
          <w:szCs w:val="28"/>
        </w:rPr>
        <w:t>Lathrop v. Donohue</w:t>
      </w:r>
      <w:r w:rsidRPr="00C63095">
        <w:rPr>
          <w:rFonts w:ascii="Times New Roman" w:eastAsia="Times New Roman" w:hAnsi="Times New Roman" w:cs="Times New Roman"/>
          <w:sz w:val="28"/>
          <w:szCs w:val="28"/>
        </w:rPr>
        <w:t xml:space="preserve">, 367 U.S. 820 (1961), </w:t>
      </w:r>
      <w:r w:rsidR="000D3065">
        <w:rPr>
          <w:rFonts w:ascii="Times New Roman" w:eastAsia="Times New Roman" w:hAnsi="Times New Roman" w:cs="Times New Roman"/>
          <w:sz w:val="28"/>
          <w:szCs w:val="28"/>
        </w:rPr>
        <w:t xml:space="preserve">where </w:t>
      </w:r>
      <w:r w:rsidRPr="00C63095">
        <w:rPr>
          <w:rFonts w:ascii="Times New Roman" w:eastAsia="Times New Roman" w:hAnsi="Times New Roman" w:cs="Times New Roman"/>
          <w:sz w:val="28"/>
          <w:szCs w:val="28"/>
        </w:rPr>
        <w:t xml:space="preserve">the </w:t>
      </w:r>
      <w:r w:rsidR="006D0719">
        <w:rPr>
          <w:rFonts w:ascii="Times New Roman" w:eastAsia="Times New Roman" w:hAnsi="Times New Roman" w:cs="Times New Roman"/>
          <w:sz w:val="28"/>
          <w:szCs w:val="28"/>
        </w:rPr>
        <w:t xml:space="preserve">U.S. </w:t>
      </w:r>
      <w:r w:rsidRPr="00C63095">
        <w:rPr>
          <w:rFonts w:ascii="Times New Roman" w:eastAsia="Times New Roman" w:hAnsi="Times New Roman" w:cs="Times New Roman"/>
          <w:sz w:val="28"/>
          <w:szCs w:val="28"/>
        </w:rPr>
        <w:t>Supreme Court first upheld the constitutionality of integrated bars</w:t>
      </w:r>
      <w:r w:rsidR="00F5301E">
        <w:rPr>
          <w:rFonts w:ascii="Times New Roman" w:eastAsia="Times New Roman" w:hAnsi="Times New Roman" w:cs="Times New Roman"/>
          <w:sz w:val="28"/>
          <w:szCs w:val="28"/>
        </w:rPr>
        <w:t xml:space="preserve"> and rejected the notion that compelled membership alone violated attorneys’ associational rights.</w:t>
      </w:r>
      <w:r w:rsidR="003D63B4">
        <w:rPr>
          <w:rFonts w:ascii="Times New Roman" w:eastAsia="Times New Roman" w:hAnsi="Times New Roman" w:cs="Times New Roman"/>
          <w:sz w:val="28"/>
          <w:szCs w:val="28"/>
        </w:rPr>
        <w:t xml:space="preserve">  In </w:t>
      </w:r>
      <w:r w:rsidR="003D63B4" w:rsidRPr="003D63B4">
        <w:rPr>
          <w:rFonts w:ascii="Times New Roman" w:eastAsia="Times New Roman" w:hAnsi="Times New Roman" w:cs="Times New Roman"/>
          <w:i/>
          <w:sz w:val="28"/>
          <w:szCs w:val="28"/>
        </w:rPr>
        <w:t>Lathrop</w:t>
      </w:r>
      <w:r w:rsidR="003D63B4">
        <w:rPr>
          <w:rFonts w:ascii="Times New Roman" w:eastAsia="Times New Roman" w:hAnsi="Times New Roman" w:cs="Times New Roman"/>
          <w:sz w:val="28"/>
          <w:szCs w:val="28"/>
        </w:rPr>
        <w:t xml:space="preserve">, the court concluded that inclusion in a regulatory bar does not amount to compelled ideological association, especially where membership does not imply endorsement of the bar’s views.  367 U.S. at 843 (plurality op.); </w:t>
      </w:r>
      <w:r w:rsidR="003D63B4" w:rsidRPr="00D20214">
        <w:rPr>
          <w:rFonts w:ascii="Times New Roman" w:eastAsia="Times New Roman" w:hAnsi="Times New Roman" w:cs="Times New Roman"/>
          <w:i/>
          <w:sz w:val="28"/>
          <w:szCs w:val="28"/>
        </w:rPr>
        <w:t>id</w:t>
      </w:r>
      <w:r w:rsidR="003D63B4">
        <w:rPr>
          <w:rFonts w:ascii="Times New Roman" w:eastAsia="Times New Roman" w:hAnsi="Times New Roman" w:cs="Times New Roman"/>
          <w:sz w:val="28"/>
          <w:szCs w:val="28"/>
        </w:rPr>
        <w:t xml:space="preserve">. at 859 (Harlan, J., concurring).  The Court in </w:t>
      </w:r>
      <w:r w:rsidR="007F0BB2" w:rsidRPr="007F0BB2">
        <w:rPr>
          <w:rFonts w:ascii="Times New Roman" w:eastAsia="Times New Roman" w:hAnsi="Times New Roman" w:cs="Times New Roman"/>
          <w:i/>
          <w:sz w:val="28"/>
          <w:szCs w:val="28"/>
        </w:rPr>
        <w:t>Keller</w:t>
      </w:r>
      <w:r w:rsidR="007F0BB2">
        <w:rPr>
          <w:rFonts w:ascii="Times New Roman" w:eastAsia="Times New Roman" w:hAnsi="Times New Roman" w:cs="Times New Roman"/>
          <w:sz w:val="28"/>
          <w:szCs w:val="28"/>
        </w:rPr>
        <w:t xml:space="preserve"> </w:t>
      </w:r>
      <w:r w:rsidR="00365CBD">
        <w:rPr>
          <w:rFonts w:ascii="Times New Roman" w:eastAsia="Times New Roman" w:hAnsi="Times New Roman" w:cs="Times New Roman"/>
          <w:sz w:val="28"/>
          <w:szCs w:val="28"/>
        </w:rPr>
        <w:t xml:space="preserve">declined to resolve the broader freedom of association claim.  </w:t>
      </w:r>
      <w:r w:rsidR="003B3404" w:rsidRPr="003B3404">
        <w:rPr>
          <w:rFonts w:ascii="Times New Roman" w:hAnsi="Times New Roman" w:cs="Times New Roman"/>
          <w:sz w:val="28"/>
          <w:szCs w:val="28"/>
        </w:rPr>
        <w:t>496 U.S.</w:t>
      </w:r>
      <w:r w:rsidR="00365CBD">
        <w:rPr>
          <w:rFonts w:ascii="Times New Roman" w:hAnsi="Times New Roman" w:cs="Times New Roman"/>
          <w:sz w:val="28"/>
          <w:szCs w:val="28"/>
        </w:rPr>
        <w:t xml:space="preserve"> at 17. </w:t>
      </w:r>
    </w:p>
    <w:p w14:paraId="695CC4CD" w14:textId="4590D57B" w:rsidR="007F0BB2" w:rsidRDefault="003D63B4" w:rsidP="00433E1C">
      <w:pPr>
        <w:spacing w:after="0" w:line="48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Crucially, n</w:t>
      </w:r>
      <w:r w:rsidR="007F0BB2">
        <w:rPr>
          <w:rFonts w:ascii="Times New Roman" w:eastAsia="Times New Roman" w:hAnsi="Times New Roman" w:cs="Times New Roman"/>
          <w:sz w:val="28"/>
          <w:szCs w:val="28"/>
        </w:rPr>
        <w:t xml:space="preserve">othing in </w:t>
      </w:r>
      <w:r w:rsidR="007F0BB2" w:rsidRPr="00365CBD">
        <w:rPr>
          <w:rFonts w:ascii="Times New Roman" w:eastAsia="Times New Roman" w:hAnsi="Times New Roman" w:cs="Times New Roman"/>
          <w:i/>
          <w:sz w:val="28"/>
          <w:szCs w:val="28"/>
        </w:rPr>
        <w:t>Janus</w:t>
      </w:r>
      <w:r w:rsidR="007F0BB2">
        <w:rPr>
          <w:rFonts w:ascii="Times New Roman" w:eastAsia="Times New Roman" w:hAnsi="Times New Roman" w:cs="Times New Roman"/>
          <w:sz w:val="28"/>
          <w:szCs w:val="28"/>
        </w:rPr>
        <w:t xml:space="preserve"> disturbs th</w:t>
      </w:r>
      <w:r w:rsidR="006D0719">
        <w:rPr>
          <w:rFonts w:ascii="Times New Roman" w:eastAsia="Times New Roman" w:hAnsi="Times New Roman" w:cs="Times New Roman"/>
          <w:sz w:val="28"/>
          <w:szCs w:val="28"/>
        </w:rPr>
        <w:t>is</w:t>
      </w:r>
      <w:r w:rsidR="007F0BB2">
        <w:rPr>
          <w:rFonts w:ascii="Times New Roman" w:eastAsia="Times New Roman" w:hAnsi="Times New Roman" w:cs="Times New Roman"/>
          <w:sz w:val="28"/>
          <w:szCs w:val="28"/>
        </w:rPr>
        <w:t xml:space="preserve"> framework.</w:t>
      </w:r>
      <w:r w:rsidR="00365CBD">
        <w:rPr>
          <w:rFonts w:ascii="Times New Roman" w:eastAsia="Times New Roman" w:hAnsi="Times New Roman" w:cs="Times New Roman"/>
          <w:sz w:val="28"/>
          <w:szCs w:val="28"/>
        </w:rPr>
        <w:t xml:space="preserve">  </w:t>
      </w:r>
      <w:r w:rsidR="007F0BB2" w:rsidRPr="007F0BB2">
        <w:rPr>
          <w:rFonts w:ascii="Times New Roman" w:eastAsia="Times New Roman" w:hAnsi="Times New Roman" w:cs="Times New Roman"/>
          <w:i/>
          <w:sz w:val="28"/>
          <w:szCs w:val="28"/>
        </w:rPr>
        <w:t>Janus</w:t>
      </w:r>
      <w:r w:rsidR="007F0BB2">
        <w:rPr>
          <w:rFonts w:ascii="Times New Roman" w:eastAsia="Times New Roman" w:hAnsi="Times New Roman" w:cs="Times New Roman"/>
          <w:sz w:val="28"/>
          <w:szCs w:val="28"/>
        </w:rPr>
        <w:t xml:space="preserve"> addressed a different </w:t>
      </w:r>
      <w:r w:rsidR="006D0719">
        <w:rPr>
          <w:rFonts w:ascii="Times New Roman" w:eastAsia="Times New Roman" w:hAnsi="Times New Roman" w:cs="Times New Roman"/>
          <w:sz w:val="28"/>
          <w:szCs w:val="28"/>
        </w:rPr>
        <w:t>issue</w:t>
      </w:r>
      <w:r w:rsidR="007F0BB2">
        <w:rPr>
          <w:rFonts w:ascii="Times New Roman" w:eastAsia="Times New Roman" w:hAnsi="Times New Roman" w:cs="Times New Roman"/>
          <w:sz w:val="28"/>
          <w:szCs w:val="28"/>
        </w:rPr>
        <w:t xml:space="preserve">—whether public-sector employees who are not union members can be compelled to pay agency fees for collective bargaining. </w:t>
      </w:r>
      <w:r w:rsidR="00365CBD">
        <w:rPr>
          <w:rFonts w:ascii="Times New Roman" w:eastAsia="Times New Roman" w:hAnsi="Times New Roman" w:cs="Times New Roman"/>
          <w:sz w:val="28"/>
          <w:szCs w:val="28"/>
        </w:rPr>
        <w:t xml:space="preserve"> </w:t>
      </w:r>
      <w:r w:rsidR="007F0BB2">
        <w:rPr>
          <w:rFonts w:ascii="Times New Roman" w:eastAsia="Times New Roman" w:hAnsi="Times New Roman" w:cs="Times New Roman"/>
          <w:sz w:val="28"/>
          <w:szCs w:val="28"/>
        </w:rPr>
        <w:t xml:space="preserve">It did not </w:t>
      </w:r>
      <w:r>
        <w:rPr>
          <w:rFonts w:ascii="Times New Roman" w:eastAsia="Times New Roman" w:hAnsi="Times New Roman" w:cs="Times New Roman"/>
          <w:sz w:val="28"/>
          <w:szCs w:val="28"/>
        </w:rPr>
        <w:t>involve</w:t>
      </w:r>
      <w:r w:rsidR="007F0BB2">
        <w:rPr>
          <w:rFonts w:ascii="Times New Roman" w:eastAsia="Times New Roman" w:hAnsi="Times New Roman" w:cs="Times New Roman"/>
          <w:sz w:val="28"/>
          <w:szCs w:val="28"/>
        </w:rPr>
        <w:t xml:space="preserve"> compelled membership, nor did it </w:t>
      </w:r>
      <w:r w:rsidR="00D04437">
        <w:rPr>
          <w:rFonts w:ascii="Times New Roman" w:eastAsia="Times New Roman" w:hAnsi="Times New Roman" w:cs="Times New Roman"/>
          <w:sz w:val="28"/>
          <w:szCs w:val="28"/>
        </w:rPr>
        <w:t xml:space="preserve">discuss </w:t>
      </w:r>
      <w:r w:rsidR="007F0BB2" w:rsidRPr="007F0BB2">
        <w:rPr>
          <w:rFonts w:ascii="Times New Roman" w:eastAsia="Times New Roman" w:hAnsi="Times New Roman" w:cs="Times New Roman"/>
          <w:i/>
          <w:sz w:val="28"/>
          <w:szCs w:val="28"/>
        </w:rPr>
        <w:t>Keller</w:t>
      </w:r>
      <w:r w:rsidR="007F0BB2">
        <w:rPr>
          <w:rFonts w:ascii="Times New Roman" w:eastAsia="Times New Roman" w:hAnsi="Times New Roman" w:cs="Times New Roman"/>
          <w:sz w:val="28"/>
          <w:szCs w:val="28"/>
        </w:rPr>
        <w:t xml:space="preserve"> or </w:t>
      </w:r>
      <w:r w:rsidR="007F0BB2" w:rsidRPr="007F0BB2">
        <w:rPr>
          <w:rFonts w:ascii="Times New Roman" w:eastAsia="Times New Roman" w:hAnsi="Times New Roman" w:cs="Times New Roman"/>
          <w:i/>
          <w:sz w:val="28"/>
          <w:szCs w:val="28"/>
        </w:rPr>
        <w:t>Lathrop</w:t>
      </w:r>
      <w:r w:rsidR="007F0BB2">
        <w:rPr>
          <w:rFonts w:ascii="Times New Roman" w:eastAsia="Times New Roman" w:hAnsi="Times New Roman" w:cs="Times New Roman"/>
          <w:sz w:val="28"/>
          <w:szCs w:val="28"/>
        </w:rPr>
        <w:t>.</w:t>
      </w:r>
      <w:r w:rsidR="00365CBD">
        <w:rPr>
          <w:rFonts w:ascii="Times New Roman" w:eastAsia="Times New Roman" w:hAnsi="Times New Roman" w:cs="Times New Roman"/>
          <w:sz w:val="28"/>
          <w:szCs w:val="28"/>
        </w:rPr>
        <w:t xml:space="preserve">  </w:t>
      </w:r>
      <w:r w:rsidR="007F0BB2" w:rsidRPr="007F0BB2">
        <w:rPr>
          <w:rFonts w:ascii="Times New Roman" w:eastAsia="Times New Roman" w:hAnsi="Times New Roman" w:cs="Times New Roman"/>
          <w:i/>
          <w:sz w:val="28"/>
          <w:szCs w:val="28"/>
        </w:rPr>
        <w:t xml:space="preserve">See Schell v. </w:t>
      </w:r>
      <w:r w:rsidR="00D04437">
        <w:rPr>
          <w:rFonts w:ascii="Times New Roman" w:eastAsia="Times New Roman" w:hAnsi="Times New Roman" w:cs="Times New Roman"/>
          <w:i/>
          <w:sz w:val="28"/>
          <w:szCs w:val="28"/>
        </w:rPr>
        <w:t xml:space="preserve">Chief </w:t>
      </w:r>
      <w:r w:rsidR="00D04437">
        <w:rPr>
          <w:rFonts w:ascii="Times New Roman" w:eastAsia="Times New Roman" w:hAnsi="Times New Roman" w:cs="Times New Roman"/>
          <w:i/>
          <w:sz w:val="28"/>
          <w:szCs w:val="28"/>
        </w:rPr>
        <w:lastRenderedPageBreak/>
        <w:t xml:space="preserve">Just. &amp; </w:t>
      </w:r>
      <w:proofErr w:type="spellStart"/>
      <w:r w:rsidR="00D04437">
        <w:rPr>
          <w:rFonts w:ascii="Times New Roman" w:eastAsia="Times New Roman" w:hAnsi="Times New Roman" w:cs="Times New Roman"/>
          <w:i/>
          <w:sz w:val="28"/>
          <w:szCs w:val="28"/>
        </w:rPr>
        <w:t>Justs</w:t>
      </w:r>
      <w:proofErr w:type="spellEnd"/>
      <w:r w:rsidR="000D6699">
        <w:rPr>
          <w:rFonts w:ascii="Times New Roman" w:eastAsia="Times New Roman" w:hAnsi="Times New Roman" w:cs="Times New Roman"/>
          <w:i/>
          <w:sz w:val="28"/>
          <w:szCs w:val="28"/>
        </w:rPr>
        <w:t>.</w:t>
      </w:r>
      <w:r w:rsidR="00D04437">
        <w:rPr>
          <w:rFonts w:ascii="Times New Roman" w:eastAsia="Times New Roman" w:hAnsi="Times New Roman" w:cs="Times New Roman"/>
          <w:i/>
          <w:sz w:val="28"/>
          <w:szCs w:val="28"/>
        </w:rPr>
        <w:t xml:space="preserve"> of Oklahoma Supreme Ct.</w:t>
      </w:r>
      <w:r w:rsidR="007F0BB2">
        <w:rPr>
          <w:rFonts w:ascii="Times New Roman" w:eastAsia="Times New Roman" w:hAnsi="Times New Roman" w:cs="Times New Roman"/>
          <w:sz w:val="28"/>
          <w:szCs w:val="28"/>
        </w:rPr>
        <w:t>, 11 F. 4th 1178, 1191 (10th Cir. 2021) (“</w:t>
      </w:r>
      <w:r w:rsidR="007F0BB2" w:rsidRPr="007F0BB2">
        <w:rPr>
          <w:rFonts w:ascii="Times New Roman" w:eastAsia="Times New Roman" w:hAnsi="Times New Roman" w:cs="Times New Roman"/>
          <w:i/>
          <w:sz w:val="28"/>
          <w:szCs w:val="28"/>
        </w:rPr>
        <w:t>Janus</w:t>
      </w:r>
      <w:r w:rsidR="007F0BB2">
        <w:rPr>
          <w:rFonts w:ascii="Times New Roman" w:eastAsia="Times New Roman" w:hAnsi="Times New Roman" w:cs="Times New Roman"/>
          <w:sz w:val="28"/>
          <w:szCs w:val="28"/>
        </w:rPr>
        <w:t xml:space="preserve"> did not overrule </w:t>
      </w:r>
      <w:r w:rsidR="007F0BB2" w:rsidRPr="007F0BB2">
        <w:rPr>
          <w:rFonts w:ascii="Times New Roman" w:eastAsia="Times New Roman" w:hAnsi="Times New Roman" w:cs="Times New Roman"/>
          <w:i/>
          <w:sz w:val="28"/>
          <w:szCs w:val="28"/>
        </w:rPr>
        <w:t>Keller</w:t>
      </w:r>
      <w:r w:rsidR="007F0BB2">
        <w:rPr>
          <w:rFonts w:ascii="Times New Roman" w:eastAsia="Times New Roman" w:hAnsi="Times New Roman" w:cs="Times New Roman"/>
          <w:sz w:val="28"/>
          <w:szCs w:val="28"/>
        </w:rPr>
        <w:t xml:space="preserve">’s discussion of </w:t>
      </w:r>
      <w:proofErr w:type="spellStart"/>
      <w:r w:rsidR="007F0BB2" w:rsidRPr="007F0BB2">
        <w:rPr>
          <w:rFonts w:ascii="Times New Roman" w:eastAsia="Times New Roman" w:hAnsi="Times New Roman" w:cs="Times New Roman"/>
          <w:i/>
          <w:sz w:val="28"/>
          <w:szCs w:val="28"/>
        </w:rPr>
        <w:t>Abood</w:t>
      </w:r>
      <w:proofErr w:type="spellEnd"/>
      <w:r w:rsidR="007F0BB2">
        <w:rPr>
          <w:rFonts w:ascii="Times New Roman" w:eastAsia="Times New Roman" w:hAnsi="Times New Roman" w:cs="Times New Roman"/>
          <w:sz w:val="28"/>
          <w:szCs w:val="28"/>
        </w:rPr>
        <w:t xml:space="preserve">, or its related discussion of germaneness.”). </w:t>
      </w:r>
    </w:p>
    <w:p w14:paraId="7409B376" w14:textId="3C1A1E5F" w:rsidR="007F0BB2" w:rsidRDefault="003D63B4" w:rsidP="00433E1C">
      <w:pPr>
        <w:spacing w:after="0" w:line="48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wake of </w:t>
      </w:r>
      <w:r w:rsidRPr="006D0719">
        <w:rPr>
          <w:rFonts w:ascii="Times New Roman" w:eastAsia="Times New Roman" w:hAnsi="Times New Roman" w:cs="Times New Roman"/>
          <w:i/>
          <w:sz w:val="28"/>
          <w:szCs w:val="28"/>
        </w:rPr>
        <w:t>Janus</w:t>
      </w:r>
      <w:r>
        <w:rPr>
          <w:rFonts w:ascii="Times New Roman" w:eastAsia="Times New Roman" w:hAnsi="Times New Roman" w:cs="Times New Roman"/>
          <w:sz w:val="28"/>
          <w:szCs w:val="28"/>
        </w:rPr>
        <w:t xml:space="preserve">, federal courts have continued to acknowledge </w:t>
      </w:r>
      <w:r w:rsidRPr="003D63B4">
        <w:rPr>
          <w:rFonts w:ascii="Times New Roman" w:eastAsia="Times New Roman" w:hAnsi="Times New Roman" w:cs="Times New Roman"/>
          <w:i/>
          <w:sz w:val="28"/>
          <w:szCs w:val="28"/>
        </w:rPr>
        <w:t>Keller</w:t>
      </w:r>
      <w:r>
        <w:rPr>
          <w:rFonts w:ascii="Times New Roman" w:eastAsia="Times New Roman" w:hAnsi="Times New Roman" w:cs="Times New Roman"/>
          <w:sz w:val="28"/>
          <w:szCs w:val="28"/>
        </w:rPr>
        <w:t>’s precedential weight.</w:t>
      </w:r>
      <w:r w:rsidR="00502C1D">
        <w:rPr>
          <w:rFonts w:ascii="Times New Roman" w:eastAsia="Times New Roman" w:hAnsi="Times New Roman" w:cs="Times New Roman"/>
          <w:sz w:val="28"/>
          <w:szCs w:val="28"/>
        </w:rPr>
        <w:t xml:space="preserve">  In a case cited by petitioners (at 3), for example, the Seventh Circuit held that “[Plaintiff’s] claim is squarely foreclosed by the Supreme Court’s decision in </w:t>
      </w:r>
      <w:r w:rsidR="00502C1D" w:rsidRPr="006D0719">
        <w:rPr>
          <w:rFonts w:ascii="Times New Roman" w:eastAsia="Times New Roman" w:hAnsi="Times New Roman" w:cs="Times New Roman"/>
          <w:i/>
          <w:sz w:val="28"/>
          <w:szCs w:val="28"/>
        </w:rPr>
        <w:t>Keller</w:t>
      </w:r>
      <w:r w:rsidR="00502C1D">
        <w:rPr>
          <w:rFonts w:ascii="Times New Roman" w:eastAsia="Times New Roman" w:hAnsi="Times New Roman" w:cs="Times New Roman"/>
          <w:sz w:val="28"/>
          <w:szCs w:val="28"/>
        </w:rPr>
        <w:t xml:space="preserve">.” </w:t>
      </w:r>
      <w:r w:rsidR="00F13EEB">
        <w:rPr>
          <w:rFonts w:ascii="Times New Roman" w:eastAsia="Times New Roman" w:hAnsi="Times New Roman" w:cs="Times New Roman"/>
          <w:sz w:val="28"/>
          <w:szCs w:val="28"/>
        </w:rPr>
        <w:t xml:space="preserve"> </w:t>
      </w:r>
      <w:r w:rsidR="00502C1D">
        <w:rPr>
          <w:rFonts w:ascii="Times New Roman" w:eastAsia="Times New Roman" w:hAnsi="Times New Roman" w:cs="Times New Roman"/>
          <w:i/>
          <w:sz w:val="28"/>
          <w:szCs w:val="28"/>
        </w:rPr>
        <w:t>File v. Martin</w:t>
      </w:r>
      <w:r w:rsidR="00502C1D">
        <w:rPr>
          <w:rFonts w:ascii="Times New Roman" w:eastAsia="Times New Roman" w:hAnsi="Times New Roman" w:cs="Times New Roman"/>
          <w:sz w:val="28"/>
          <w:szCs w:val="28"/>
        </w:rPr>
        <w:t>, 33 F. 4th 385, 391 (7th Cir. 2022).</w:t>
      </w:r>
      <w:r w:rsidR="007F0BB2">
        <w:rPr>
          <w:rFonts w:ascii="Times New Roman" w:eastAsia="Times New Roman" w:hAnsi="Times New Roman" w:cs="Times New Roman"/>
          <w:sz w:val="28"/>
          <w:szCs w:val="28"/>
        </w:rPr>
        <w:t xml:space="preserve"> </w:t>
      </w:r>
      <w:r w:rsidR="00F13EEB">
        <w:rPr>
          <w:rFonts w:ascii="Times New Roman" w:eastAsia="Times New Roman" w:hAnsi="Times New Roman" w:cs="Times New Roman"/>
          <w:sz w:val="28"/>
          <w:szCs w:val="28"/>
        </w:rPr>
        <w:t xml:space="preserve"> </w:t>
      </w:r>
      <w:r w:rsidR="00502C1D">
        <w:rPr>
          <w:rFonts w:ascii="Times New Roman" w:eastAsia="Times New Roman" w:hAnsi="Times New Roman" w:cs="Times New Roman"/>
          <w:sz w:val="28"/>
          <w:szCs w:val="28"/>
        </w:rPr>
        <w:t xml:space="preserve">And numerous other federal courts have agreed that </w:t>
      </w:r>
      <w:r w:rsidR="00502C1D">
        <w:rPr>
          <w:rFonts w:ascii="Times New Roman" w:eastAsia="Times New Roman" w:hAnsi="Times New Roman" w:cs="Times New Roman"/>
          <w:i/>
          <w:sz w:val="28"/>
          <w:szCs w:val="28"/>
        </w:rPr>
        <w:t xml:space="preserve">Keller </w:t>
      </w:r>
      <w:r w:rsidR="00502C1D">
        <w:rPr>
          <w:rFonts w:ascii="Times New Roman" w:eastAsia="Times New Roman" w:hAnsi="Times New Roman" w:cs="Times New Roman"/>
          <w:sz w:val="28"/>
          <w:szCs w:val="28"/>
        </w:rPr>
        <w:t>remains good law unless and until the Supreme Court says otherwise.</w:t>
      </w:r>
      <w:r w:rsidR="007F0BB2">
        <w:rPr>
          <w:rFonts w:ascii="Times New Roman" w:eastAsia="Times New Roman" w:hAnsi="Times New Roman" w:cs="Times New Roman"/>
          <w:sz w:val="28"/>
          <w:szCs w:val="28"/>
        </w:rPr>
        <w:t xml:space="preserve"> </w:t>
      </w:r>
      <w:r w:rsidR="00F13EEB">
        <w:rPr>
          <w:rFonts w:ascii="Times New Roman" w:eastAsia="Times New Roman" w:hAnsi="Times New Roman" w:cs="Times New Roman"/>
          <w:sz w:val="28"/>
          <w:szCs w:val="28"/>
        </w:rPr>
        <w:t xml:space="preserve"> </w:t>
      </w:r>
      <w:r w:rsidR="007F0BB2" w:rsidRPr="002107CB">
        <w:rPr>
          <w:rFonts w:ascii="Times New Roman" w:eastAsia="Times New Roman" w:hAnsi="Times New Roman" w:cs="Times New Roman"/>
          <w:i/>
          <w:sz w:val="28"/>
          <w:szCs w:val="28"/>
        </w:rPr>
        <w:t>See</w:t>
      </w:r>
      <w:r w:rsidR="007F0BB2">
        <w:rPr>
          <w:rFonts w:ascii="Times New Roman" w:eastAsia="Times New Roman" w:hAnsi="Times New Roman" w:cs="Times New Roman"/>
          <w:sz w:val="28"/>
          <w:szCs w:val="28"/>
        </w:rPr>
        <w:t xml:space="preserve">, </w:t>
      </w:r>
      <w:r w:rsidR="007F0BB2" w:rsidRPr="002107CB">
        <w:rPr>
          <w:rFonts w:ascii="Times New Roman" w:eastAsia="Times New Roman" w:hAnsi="Times New Roman" w:cs="Times New Roman"/>
          <w:i/>
          <w:sz w:val="28"/>
          <w:szCs w:val="28"/>
        </w:rPr>
        <w:t>e.g</w:t>
      </w:r>
      <w:r w:rsidR="007F0BB2">
        <w:rPr>
          <w:rFonts w:ascii="Times New Roman" w:eastAsia="Times New Roman" w:hAnsi="Times New Roman" w:cs="Times New Roman"/>
          <w:sz w:val="28"/>
          <w:szCs w:val="28"/>
        </w:rPr>
        <w:t xml:space="preserve">., </w:t>
      </w:r>
      <w:r w:rsidR="007F0BB2" w:rsidRPr="00C340AB">
        <w:rPr>
          <w:rFonts w:ascii="Times New Roman" w:eastAsia="Times New Roman" w:hAnsi="Times New Roman" w:cs="Times New Roman"/>
          <w:i/>
          <w:sz w:val="28"/>
          <w:szCs w:val="28"/>
        </w:rPr>
        <w:t>Pomeroy v. Utah State Bar</w:t>
      </w:r>
      <w:r w:rsidR="007F0BB2">
        <w:rPr>
          <w:rFonts w:ascii="Times New Roman" w:eastAsia="Times New Roman" w:hAnsi="Times New Roman" w:cs="Times New Roman"/>
          <w:sz w:val="28"/>
          <w:szCs w:val="28"/>
        </w:rPr>
        <w:t xml:space="preserve">, No. 2:21-CV-00219-TC-JCB, 2024 WL 1810229, at *4-6 (D. Utah Apr. 25, 2024) (indicating that </w:t>
      </w:r>
      <w:r w:rsidR="007F0BB2" w:rsidRPr="006D0719">
        <w:rPr>
          <w:rFonts w:ascii="Times New Roman" w:eastAsia="Times New Roman" w:hAnsi="Times New Roman" w:cs="Times New Roman"/>
          <w:i/>
          <w:sz w:val="28"/>
          <w:szCs w:val="28"/>
        </w:rPr>
        <w:t>Keller</w:t>
      </w:r>
      <w:r w:rsidR="007F0BB2">
        <w:rPr>
          <w:rFonts w:ascii="Times New Roman" w:eastAsia="Times New Roman" w:hAnsi="Times New Roman" w:cs="Times New Roman"/>
          <w:sz w:val="28"/>
          <w:szCs w:val="28"/>
        </w:rPr>
        <w:t xml:space="preserve"> is still binding precedent); </w:t>
      </w:r>
      <w:r w:rsidR="007F0BB2" w:rsidRPr="002107CB">
        <w:rPr>
          <w:rFonts w:ascii="Times New Roman" w:eastAsia="Times New Roman" w:hAnsi="Times New Roman" w:cs="Times New Roman"/>
          <w:i/>
          <w:sz w:val="28"/>
          <w:szCs w:val="28"/>
        </w:rPr>
        <w:t>Crowe v. Oregon State Bar</w:t>
      </w:r>
      <w:r w:rsidR="007F0BB2">
        <w:rPr>
          <w:rFonts w:ascii="Times New Roman" w:eastAsia="Times New Roman" w:hAnsi="Times New Roman" w:cs="Times New Roman"/>
          <w:sz w:val="28"/>
          <w:szCs w:val="28"/>
        </w:rPr>
        <w:t xml:space="preserve">, 989 F. 3d 714, 724-25 (9th Cir. 2021) (rejecting view that </w:t>
      </w:r>
      <w:r w:rsidR="007F0BB2" w:rsidRPr="002107CB">
        <w:rPr>
          <w:rFonts w:ascii="Times New Roman" w:eastAsia="Times New Roman" w:hAnsi="Times New Roman" w:cs="Times New Roman"/>
          <w:i/>
          <w:sz w:val="28"/>
          <w:szCs w:val="28"/>
        </w:rPr>
        <w:t xml:space="preserve">Janus </w:t>
      </w:r>
      <w:r w:rsidR="007F0BB2">
        <w:rPr>
          <w:rFonts w:ascii="Times New Roman" w:eastAsia="Times New Roman" w:hAnsi="Times New Roman" w:cs="Times New Roman"/>
          <w:sz w:val="28"/>
          <w:szCs w:val="28"/>
        </w:rPr>
        <w:t xml:space="preserve">must be consulted when analyzing the plaintiff’s </w:t>
      </w:r>
      <w:r w:rsidR="007F0BB2" w:rsidRPr="002107CB">
        <w:rPr>
          <w:rFonts w:ascii="Times New Roman" w:eastAsia="Times New Roman" w:hAnsi="Times New Roman" w:cs="Times New Roman"/>
          <w:i/>
          <w:sz w:val="28"/>
          <w:szCs w:val="28"/>
        </w:rPr>
        <w:t>Keller</w:t>
      </w:r>
      <w:r w:rsidR="007F0BB2">
        <w:rPr>
          <w:rFonts w:ascii="Times New Roman" w:eastAsia="Times New Roman" w:hAnsi="Times New Roman" w:cs="Times New Roman"/>
          <w:sz w:val="28"/>
          <w:szCs w:val="28"/>
        </w:rPr>
        <w:t xml:space="preserve"> free speech claim); </w:t>
      </w:r>
      <w:r w:rsidR="007F0BB2" w:rsidRPr="00DB492F">
        <w:rPr>
          <w:rFonts w:ascii="Times New Roman" w:eastAsia="Times New Roman" w:hAnsi="Times New Roman" w:cs="Times New Roman"/>
          <w:i/>
          <w:sz w:val="28"/>
          <w:szCs w:val="28"/>
        </w:rPr>
        <w:t>Taylor v. Buchanan</w:t>
      </w:r>
      <w:r w:rsidR="007F0BB2">
        <w:rPr>
          <w:rFonts w:ascii="Times New Roman" w:eastAsia="Times New Roman" w:hAnsi="Times New Roman" w:cs="Times New Roman"/>
          <w:sz w:val="28"/>
          <w:szCs w:val="28"/>
        </w:rPr>
        <w:t xml:space="preserve">, 4 F. 4th 406, 408 (6th Cir. 2021) (same); </w:t>
      </w:r>
      <w:r w:rsidR="007F0BB2" w:rsidRPr="00B62797">
        <w:rPr>
          <w:rFonts w:ascii="Times New Roman" w:eastAsia="Times New Roman" w:hAnsi="Times New Roman" w:cs="Times New Roman"/>
          <w:i/>
          <w:sz w:val="28"/>
          <w:szCs w:val="28"/>
        </w:rPr>
        <w:t>Schell</w:t>
      </w:r>
      <w:r w:rsidR="007F0BB2">
        <w:rPr>
          <w:rFonts w:ascii="Times New Roman" w:eastAsia="Times New Roman" w:hAnsi="Times New Roman" w:cs="Times New Roman"/>
          <w:sz w:val="28"/>
          <w:szCs w:val="28"/>
        </w:rPr>
        <w:t xml:space="preserve">, 11 F. 4th </w:t>
      </w:r>
      <w:r w:rsidR="00D04437">
        <w:rPr>
          <w:rFonts w:ascii="Times New Roman" w:eastAsia="Times New Roman" w:hAnsi="Times New Roman" w:cs="Times New Roman"/>
          <w:sz w:val="28"/>
          <w:szCs w:val="28"/>
        </w:rPr>
        <w:t xml:space="preserve">at </w:t>
      </w:r>
      <w:r w:rsidR="007F0BB2">
        <w:rPr>
          <w:rFonts w:ascii="Times New Roman" w:eastAsia="Times New Roman" w:hAnsi="Times New Roman" w:cs="Times New Roman"/>
          <w:sz w:val="28"/>
          <w:szCs w:val="28"/>
        </w:rPr>
        <w:t>1191 (10th Cir. 2021) (“</w:t>
      </w:r>
      <w:r w:rsidR="00D04437">
        <w:rPr>
          <w:rFonts w:ascii="Times New Roman" w:eastAsia="Times New Roman" w:hAnsi="Times New Roman" w:cs="Times New Roman"/>
          <w:sz w:val="28"/>
          <w:szCs w:val="28"/>
        </w:rPr>
        <w:t>T</w:t>
      </w:r>
      <w:r w:rsidR="007F0BB2">
        <w:rPr>
          <w:rFonts w:ascii="Times New Roman" w:eastAsia="Times New Roman" w:hAnsi="Times New Roman" w:cs="Times New Roman"/>
          <w:sz w:val="28"/>
          <w:szCs w:val="28"/>
        </w:rPr>
        <w:t xml:space="preserve">o be sure, the Supreme Court may reexamine its precedent on mandatory bar dues, but it did not do so in </w:t>
      </w:r>
      <w:r w:rsidR="007F0BB2" w:rsidRPr="00D04437">
        <w:rPr>
          <w:rFonts w:ascii="Times New Roman" w:eastAsia="Times New Roman" w:hAnsi="Times New Roman" w:cs="Times New Roman"/>
          <w:i/>
          <w:sz w:val="28"/>
          <w:szCs w:val="28"/>
        </w:rPr>
        <w:t>Janu</w:t>
      </w:r>
      <w:r w:rsidR="007F0BB2">
        <w:rPr>
          <w:rFonts w:ascii="Times New Roman" w:eastAsia="Times New Roman" w:hAnsi="Times New Roman" w:cs="Times New Roman"/>
          <w:sz w:val="28"/>
          <w:szCs w:val="28"/>
        </w:rPr>
        <w:t xml:space="preserve">s.”); </w:t>
      </w:r>
      <w:r w:rsidR="007F0BB2" w:rsidRPr="00DB492F">
        <w:rPr>
          <w:rFonts w:ascii="Times New Roman" w:eastAsia="Times New Roman" w:hAnsi="Times New Roman" w:cs="Times New Roman"/>
          <w:i/>
          <w:sz w:val="28"/>
          <w:szCs w:val="28"/>
        </w:rPr>
        <w:t>cf</w:t>
      </w:r>
      <w:r w:rsidR="007F0BB2">
        <w:rPr>
          <w:rFonts w:ascii="Times New Roman" w:eastAsia="Times New Roman" w:hAnsi="Times New Roman" w:cs="Times New Roman"/>
          <w:sz w:val="28"/>
          <w:szCs w:val="28"/>
        </w:rPr>
        <w:t xml:space="preserve">. </w:t>
      </w:r>
      <w:r w:rsidR="007F0BB2" w:rsidRPr="00DB492F">
        <w:rPr>
          <w:rFonts w:ascii="Times New Roman" w:eastAsia="Times New Roman" w:hAnsi="Times New Roman" w:cs="Times New Roman"/>
          <w:i/>
          <w:sz w:val="28"/>
          <w:szCs w:val="28"/>
        </w:rPr>
        <w:t xml:space="preserve">Boudreaux v. Louisiana State Bar </w:t>
      </w:r>
      <w:proofErr w:type="spellStart"/>
      <w:r w:rsidR="007F0BB2" w:rsidRPr="00DB492F">
        <w:rPr>
          <w:rFonts w:ascii="Times New Roman" w:eastAsia="Times New Roman" w:hAnsi="Times New Roman" w:cs="Times New Roman"/>
          <w:i/>
          <w:sz w:val="28"/>
          <w:szCs w:val="28"/>
        </w:rPr>
        <w:t>Ass’n</w:t>
      </w:r>
      <w:proofErr w:type="spellEnd"/>
      <w:r w:rsidR="007F0BB2">
        <w:rPr>
          <w:rFonts w:ascii="Times New Roman" w:eastAsia="Times New Roman" w:hAnsi="Times New Roman" w:cs="Times New Roman"/>
          <w:sz w:val="28"/>
          <w:szCs w:val="28"/>
        </w:rPr>
        <w:t>, 86 F. 4th 620, 626 (5th Cir. 2023) (applying “heightened first amendment scrutiny” but clarifying that “the constitutionality of mandatory bar associations still turn[s] on ‘germaneness’”)</w:t>
      </w:r>
      <w:r w:rsidR="006211F7">
        <w:rPr>
          <w:rFonts w:ascii="Times New Roman" w:eastAsia="Times New Roman" w:hAnsi="Times New Roman" w:cs="Times New Roman"/>
          <w:sz w:val="28"/>
          <w:szCs w:val="28"/>
        </w:rPr>
        <w:t>;</w:t>
      </w:r>
      <w:r w:rsidR="00502C1D">
        <w:rPr>
          <w:rFonts w:ascii="Times New Roman" w:eastAsia="Times New Roman" w:hAnsi="Times New Roman" w:cs="Times New Roman"/>
          <w:sz w:val="28"/>
          <w:szCs w:val="28"/>
        </w:rPr>
        <w:t xml:space="preserve"> </w:t>
      </w:r>
      <w:r w:rsidR="007F0BB2" w:rsidRPr="00C340AB">
        <w:rPr>
          <w:rFonts w:ascii="Times New Roman" w:eastAsia="Times New Roman" w:hAnsi="Times New Roman" w:cs="Times New Roman"/>
          <w:i/>
          <w:sz w:val="28"/>
          <w:szCs w:val="28"/>
        </w:rPr>
        <w:t>McDonald v. Longley</w:t>
      </w:r>
      <w:r w:rsidR="007F0BB2">
        <w:rPr>
          <w:rFonts w:ascii="Times New Roman" w:eastAsia="Times New Roman" w:hAnsi="Times New Roman" w:cs="Times New Roman"/>
          <w:sz w:val="28"/>
          <w:szCs w:val="28"/>
        </w:rPr>
        <w:t>, 4 F. 4th 229, 243-44 (5th Cir. 2021) (allowing challenge to proceed based on allegations that the Texas Bar engaged in non-germane activities).</w:t>
      </w:r>
    </w:p>
    <w:p w14:paraId="22E7FE48" w14:textId="4E703CE1" w:rsidR="004F321C" w:rsidRDefault="006211F7" w:rsidP="00433E1C">
      <w:pPr>
        <w:spacing w:after="0" w:line="480" w:lineRule="auto"/>
        <w:ind w:firstLine="720"/>
        <w:contextualSpacing/>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Notably, t</w:t>
      </w:r>
      <w:r w:rsidR="003D63B4">
        <w:rPr>
          <w:rFonts w:ascii="Times New Roman" w:eastAsia="Times New Roman" w:hAnsi="Times New Roman" w:cs="Times New Roman"/>
          <w:sz w:val="28"/>
          <w:szCs w:val="28"/>
        </w:rPr>
        <w:t>he</w:t>
      </w:r>
      <w:r w:rsidR="004F321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U.S. </w:t>
      </w:r>
      <w:r w:rsidR="004F321C">
        <w:rPr>
          <w:rFonts w:ascii="Times New Roman" w:eastAsia="Times New Roman" w:hAnsi="Times New Roman" w:cs="Times New Roman"/>
          <w:sz w:val="28"/>
          <w:szCs w:val="28"/>
        </w:rPr>
        <w:t>Supreme Court</w:t>
      </w:r>
      <w:r w:rsidR="006D0719">
        <w:rPr>
          <w:rFonts w:ascii="Times New Roman" w:eastAsia="Times New Roman" w:hAnsi="Times New Roman" w:cs="Times New Roman"/>
          <w:sz w:val="28"/>
          <w:szCs w:val="28"/>
        </w:rPr>
        <w:t xml:space="preserve"> </w:t>
      </w:r>
      <w:r w:rsidR="004F321C">
        <w:rPr>
          <w:rFonts w:ascii="Times New Roman" w:eastAsia="Times New Roman" w:hAnsi="Times New Roman" w:cs="Times New Roman"/>
          <w:sz w:val="28"/>
          <w:szCs w:val="28"/>
        </w:rPr>
        <w:t xml:space="preserve">has repeatedly declined certiorari in cases inviting it to revisit </w:t>
      </w:r>
      <w:r w:rsidR="004F321C" w:rsidRPr="004F321C">
        <w:rPr>
          <w:rFonts w:ascii="Times New Roman" w:eastAsia="Times New Roman" w:hAnsi="Times New Roman" w:cs="Times New Roman"/>
          <w:i/>
          <w:sz w:val="28"/>
          <w:szCs w:val="28"/>
        </w:rPr>
        <w:t>Keller</w:t>
      </w:r>
      <w:r w:rsidR="004F321C">
        <w:rPr>
          <w:rFonts w:ascii="Times New Roman" w:eastAsia="Times New Roman" w:hAnsi="Times New Roman" w:cs="Times New Roman"/>
          <w:sz w:val="28"/>
          <w:szCs w:val="28"/>
        </w:rPr>
        <w:t xml:space="preserve"> in light of </w:t>
      </w:r>
      <w:r w:rsidR="004F321C" w:rsidRPr="004F321C">
        <w:rPr>
          <w:rFonts w:ascii="Times New Roman" w:eastAsia="Times New Roman" w:hAnsi="Times New Roman" w:cs="Times New Roman"/>
          <w:i/>
          <w:sz w:val="28"/>
          <w:szCs w:val="28"/>
        </w:rPr>
        <w:t>Janus</w:t>
      </w:r>
      <w:r w:rsidR="004F321C">
        <w:rPr>
          <w:rFonts w:ascii="Times New Roman" w:eastAsia="Times New Roman" w:hAnsi="Times New Roman" w:cs="Times New Roman"/>
          <w:sz w:val="28"/>
          <w:szCs w:val="28"/>
        </w:rPr>
        <w:t xml:space="preserve">. </w:t>
      </w:r>
      <w:r w:rsidR="002F344B">
        <w:rPr>
          <w:rFonts w:ascii="Times New Roman" w:eastAsia="Times New Roman" w:hAnsi="Times New Roman" w:cs="Times New Roman"/>
          <w:sz w:val="28"/>
          <w:szCs w:val="28"/>
        </w:rPr>
        <w:t xml:space="preserve"> </w:t>
      </w:r>
      <w:r w:rsidR="004F321C" w:rsidRPr="00BB0BA1">
        <w:rPr>
          <w:rFonts w:ascii="Times New Roman" w:hAnsi="Times New Roman" w:cs="Times New Roman"/>
          <w:i/>
          <w:sz w:val="28"/>
          <w:szCs w:val="28"/>
        </w:rPr>
        <w:t>See</w:t>
      </w:r>
      <w:r w:rsidR="004F321C">
        <w:rPr>
          <w:rFonts w:ascii="Times New Roman" w:hAnsi="Times New Roman" w:cs="Times New Roman"/>
          <w:sz w:val="28"/>
          <w:szCs w:val="28"/>
        </w:rPr>
        <w:t xml:space="preserve">, </w:t>
      </w:r>
      <w:r w:rsidR="004F321C" w:rsidRPr="00BB0BA1">
        <w:rPr>
          <w:rFonts w:ascii="Times New Roman" w:hAnsi="Times New Roman" w:cs="Times New Roman"/>
          <w:i/>
          <w:sz w:val="28"/>
          <w:szCs w:val="28"/>
        </w:rPr>
        <w:t>e.g</w:t>
      </w:r>
      <w:r w:rsidR="004F321C">
        <w:rPr>
          <w:rFonts w:ascii="Times New Roman" w:hAnsi="Times New Roman" w:cs="Times New Roman"/>
          <w:sz w:val="28"/>
          <w:szCs w:val="28"/>
        </w:rPr>
        <w:t xml:space="preserve">., </w:t>
      </w:r>
      <w:proofErr w:type="spellStart"/>
      <w:r w:rsidR="004F321C" w:rsidRPr="00BB0BA1">
        <w:rPr>
          <w:rFonts w:ascii="Times New Roman" w:hAnsi="Times New Roman" w:cs="Times New Roman"/>
          <w:i/>
          <w:sz w:val="28"/>
          <w:szCs w:val="28"/>
        </w:rPr>
        <w:t>Jarchow</w:t>
      </w:r>
      <w:proofErr w:type="spellEnd"/>
      <w:r w:rsidR="004F321C" w:rsidRPr="00BB0BA1">
        <w:rPr>
          <w:rFonts w:ascii="Times New Roman" w:hAnsi="Times New Roman" w:cs="Times New Roman"/>
          <w:i/>
          <w:sz w:val="28"/>
          <w:szCs w:val="28"/>
        </w:rPr>
        <w:t xml:space="preserve"> v. State Bar of Wisconsin</w:t>
      </w:r>
      <w:r w:rsidR="004F321C">
        <w:rPr>
          <w:rFonts w:ascii="Times New Roman" w:hAnsi="Times New Roman" w:cs="Times New Roman"/>
          <w:sz w:val="28"/>
          <w:szCs w:val="28"/>
        </w:rPr>
        <w:t xml:space="preserve">, 140 S. Ct. 1720 (2020); </w:t>
      </w:r>
      <w:r w:rsidR="004F321C" w:rsidRPr="00BB0BA1">
        <w:rPr>
          <w:rFonts w:ascii="Times New Roman" w:hAnsi="Times New Roman" w:cs="Times New Roman"/>
          <w:i/>
          <w:sz w:val="28"/>
          <w:szCs w:val="28"/>
        </w:rPr>
        <w:t>Firth v. McDonald</w:t>
      </w:r>
      <w:r w:rsidR="004F321C">
        <w:rPr>
          <w:rFonts w:ascii="Times New Roman" w:hAnsi="Times New Roman" w:cs="Times New Roman"/>
          <w:sz w:val="28"/>
          <w:szCs w:val="28"/>
        </w:rPr>
        <w:t xml:space="preserve">, 142 S. Ct. 1442 (2022); </w:t>
      </w:r>
      <w:r w:rsidR="004F321C" w:rsidRPr="00BB0BA1">
        <w:rPr>
          <w:rFonts w:ascii="Times New Roman" w:hAnsi="Times New Roman" w:cs="Times New Roman"/>
          <w:i/>
          <w:sz w:val="28"/>
          <w:szCs w:val="28"/>
        </w:rPr>
        <w:t>Schell v. Darby</w:t>
      </w:r>
      <w:r w:rsidR="004F321C">
        <w:rPr>
          <w:rFonts w:ascii="Times New Roman" w:hAnsi="Times New Roman" w:cs="Times New Roman"/>
          <w:sz w:val="28"/>
          <w:szCs w:val="28"/>
        </w:rPr>
        <w:t xml:space="preserve">, 142 S. Ct. 1440 (2022); and </w:t>
      </w:r>
      <w:r w:rsidR="004F321C" w:rsidRPr="00BB0BA1">
        <w:rPr>
          <w:rFonts w:ascii="Times New Roman" w:hAnsi="Times New Roman" w:cs="Times New Roman"/>
          <w:i/>
          <w:sz w:val="28"/>
          <w:szCs w:val="28"/>
        </w:rPr>
        <w:t>Crowe v. Oregon State Bar</w:t>
      </w:r>
      <w:r w:rsidR="004F321C">
        <w:rPr>
          <w:rFonts w:ascii="Times New Roman" w:hAnsi="Times New Roman" w:cs="Times New Roman"/>
          <w:sz w:val="28"/>
          <w:szCs w:val="28"/>
        </w:rPr>
        <w:t xml:space="preserve">, 142 S. Ct. 79 (2021). </w:t>
      </w:r>
      <w:r w:rsidR="0018121F">
        <w:rPr>
          <w:rFonts w:ascii="Times New Roman" w:hAnsi="Times New Roman" w:cs="Times New Roman"/>
          <w:sz w:val="28"/>
          <w:szCs w:val="28"/>
        </w:rPr>
        <w:t xml:space="preserve"> </w:t>
      </w:r>
      <w:r w:rsidR="004F321C">
        <w:rPr>
          <w:rFonts w:ascii="Times New Roman" w:hAnsi="Times New Roman" w:cs="Times New Roman"/>
          <w:sz w:val="28"/>
          <w:szCs w:val="28"/>
        </w:rPr>
        <w:t xml:space="preserve">  </w:t>
      </w:r>
    </w:p>
    <w:p w14:paraId="4D1D2CF9" w14:textId="5573A69F" w:rsidR="004F321C" w:rsidRPr="00C04B71" w:rsidRDefault="00502C1D" w:rsidP="00433E1C">
      <w:pPr>
        <w:spacing w:after="0" w:line="48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There is additional good reason for so many courts to have concluded that </w:t>
      </w:r>
      <w:r>
        <w:rPr>
          <w:rFonts w:ascii="Times New Roman" w:hAnsi="Times New Roman" w:cs="Times New Roman"/>
          <w:i/>
          <w:sz w:val="28"/>
          <w:szCs w:val="28"/>
        </w:rPr>
        <w:t xml:space="preserve">Keller </w:t>
      </w:r>
      <w:r>
        <w:rPr>
          <w:rFonts w:ascii="Times New Roman" w:hAnsi="Times New Roman" w:cs="Times New Roman"/>
          <w:sz w:val="28"/>
          <w:szCs w:val="28"/>
        </w:rPr>
        <w:t>remains good law post-</w:t>
      </w:r>
      <w:r>
        <w:rPr>
          <w:rFonts w:ascii="Times New Roman" w:hAnsi="Times New Roman" w:cs="Times New Roman"/>
          <w:i/>
          <w:sz w:val="28"/>
          <w:szCs w:val="28"/>
        </w:rPr>
        <w:t xml:space="preserve">Janus </w:t>
      </w:r>
      <w:r>
        <w:rPr>
          <w:rFonts w:ascii="Times New Roman" w:hAnsi="Times New Roman" w:cs="Times New Roman"/>
          <w:sz w:val="28"/>
          <w:szCs w:val="28"/>
        </w:rPr>
        <w:t>and for the Supreme Court to have declined to review the question—</w:t>
      </w:r>
      <w:r w:rsidR="004F321C" w:rsidRPr="00C04B71">
        <w:rPr>
          <w:rFonts w:ascii="Times New Roman" w:hAnsi="Times New Roman" w:cs="Times New Roman"/>
          <w:sz w:val="28"/>
          <w:szCs w:val="28"/>
        </w:rPr>
        <w:t xml:space="preserve">integrated bars are structurally and functionally distinct from public-sector unions. </w:t>
      </w:r>
      <w:r w:rsidR="00CD366C">
        <w:rPr>
          <w:rFonts w:ascii="Times New Roman" w:hAnsi="Times New Roman" w:cs="Times New Roman"/>
          <w:sz w:val="28"/>
          <w:szCs w:val="28"/>
        </w:rPr>
        <w:t xml:space="preserve"> </w:t>
      </w:r>
      <w:r w:rsidR="004F321C" w:rsidRPr="00C04B71">
        <w:rPr>
          <w:rFonts w:ascii="Times New Roman" w:hAnsi="Times New Roman" w:cs="Times New Roman"/>
          <w:sz w:val="28"/>
          <w:szCs w:val="28"/>
        </w:rPr>
        <w:t>The Arizona</w:t>
      </w:r>
      <w:r w:rsidR="002F344B">
        <w:rPr>
          <w:rFonts w:ascii="Times New Roman" w:hAnsi="Times New Roman" w:cs="Times New Roman"/>
          <w:sz w:val="28"/>
          <w:szCs w:val="28"/>
        </w:rPr>
        <w:t xml:space="preserve"> Bar</w:t>
      </w:r>
      <w:r w:rsidR="004F321C" w:rsidRPr="00C04B71">
        <w:rPr>
          <w:rFonts w:ascii="Times New Roman" w:hAnsi="Times New Roman" w:cs="Times New Roman"/>
          <w:sz w:val="28"/>
          <w:szCs w:val="28"/>
        </w:rPr>
        <w:t xml:space="preserve"> does not act as an exclusive representative, does not bargain with the government, and does not speak </w:t>
      </w:r>
      <w:r w:rsidR="003B5D28">
        <w:rPr>
          <w:rFonts w:ascii="Times New Roman" w:hAnsi="Times New Roman" w:cs="Times New Roman"/>
          <w:sz w:val="28"/>
          <w:szCs w:val="28"/>
        </w:rPr>
        <w:t xml:space="preserve">as the exclusive voice </w:t>
      </w:r>
      <w:r w:rsidR="004F321C" w:rsidRPr="00C04B71">
        <w:rPr>
          <w:rFonts w:ascii="Times New Roman" w:hAnsi="Times New Roman" w:cs="Times New Roman"/>
          <w:sz w:val="28"/>
          <w:szCs w:val="28"/>
        </w:rPr>
        <w:t>of its members.</w:t>
      </w:r>
      <w:r w:rsidR="003D63B4">
        <w:rPr>
          <w:rFonts w:ascii="Times New Roman" w:hAnsi="Times New Roman" w:cs="Times New Roman"/>
          <w:sz w:val="28"/>
          <w:szCs w:val="28"/>
        </w:rPr>
        <w:t xml:space="preserve">  A</w:t>
      </w:r>
      <w:r w:rsidR="004F321C" w:rsidRPr="00C04B71">
        <w:rPr>
          <w:rFonts w:ascii="Times New Roman" w:hAnsi="Times New Roman" w:cs="Times New Roman"/>
          <w:sz w:val="28"/>
          <w:szCs w:val="28"/>
        </w:rPr>
        <w:t xml:space="preserve">ttorneys remain free to express their own views, even when they disagree with the </w:t>
      </w:r>
      <w:r w:rsidR="002F344B">
        <w:rPr>
          <w:rFonts w:ascii="Times New Roman" w:hAnsi="Times New Roman" w:cs="Times New Roman"/>
          <w:sz w:val="28"/>
          <w:szCs w:val="28"/>
        </w:rPr>
        <w:t>b</w:t>
      </w:r>
      <w:r w:rsidR="004F321C" w:rsidRPr="00C04B71">
        <w:rPr>
          <w:rFonts w:ascii="Times New Roman" w:hAnsi="Times New Roman" w:cs="Times New Roman"/>
          <w:sz w:val="28"/>
          <w:szCs w:val="28"/>
        </w:rPr>
        <w:t xml:space="preserve">ar. </w:t>
      </w:r>
      <w:r w:rsidR="002F344B">
        <w:rPr>
          <w:rFonts w:ascii="Times New Roman" w:hAnsi="Times New Roman" w:cs="Times New Roman"/>
          <w:sz w:val="28"/>
          <w:szCs w:val="28"/>
        </w:rPr>
        <w:t xml:space="preserve"> </w:t>
      </w:r>
      <w:r w:rsidR="004F321C" w:rsidRPr="00C04B71">
        <w:rPr>
          <w:rFonts w:ascii="Times New Roman" w:hAnsi="Times New Roman" w:cs="Times New Roman"/>
          <w:sz w:val="28"/>
          <w:szCs w:val="28"/>
        </w:rPr>
        <w:t xml:space="preserve">As the Court explained in </w:t>
      </w:r>
      <w:r w:rsidR="004F321C" w:rsidRPr="00C04B71">
        <w:rPr>
          <w:rFonts w:ascii="Times New Roman" w:hAnsi="Times New Roman" w:cs="Times New Roman"/>
          <w:i/>
          <w:sz w:val="28"/>
          <w:szCs w:val="28"/>
        </w:rPr>
        <w:t>Harris v. Quinn</w:t>
      </w:r>
      <w:r w:rsidR="004F321C" w:rsidRPr="00C04B71">
        <w:rPr>
          <w:rFonts w:ascii="Times New Roman" w:hAnsi="Times New Roman" w:cs="Times New Roman"/>
          <w:sz w:val="28"/>
          <w:szCs w:val="28"/>
        </w:rPr>
        <w:t xml:space="preserve">, 573 U.S. 616 (2014), while </w:t>
      </w:r>
      <w:proofErr w:type="spellStart"/>
      <w:r w:rsidR="004F321C" w:rsidRPr="00C04B71">
        <w:rPr>
          <w:rFonts w:ascii="Times New Roman" w:hAnsi="Times New Roman" w:cs="Times New Roman"/>
          <w:i/>
          <w:sz w:val="28"/>
          <w:szCs w:val="28"/>
        </w:rPr>
        <w:t>Abood</w:t>
      </w:r>
      <w:proofErr w:type="spellEnd"/>
      <w:r w:rsidR="004F321C" w:rsidRPr="00C04B71">
        <w:rPr>
          <w:rFonts w:ascii="Times New Roman" w:hAnsi="Times New Roman" w:cs="Times New Roman"/>
          <w:sz w:val="28"/>
          <w:szCs w:val="28"/>
        </w:rPr>
        <w:t xml:space="preserve"> may have been flawed, </w:t>
      </w:r>
      <w:r w:rsidR="004F321C" w:rsidRPr="00C04B71">
        <w:rPr>
          <w:rFonts w:ascii="Times New Roman" w:hAnsi="Times New Roman" w:cs="Times New Roman"/>
          <w:i/>
          <w:sz w:val="28"/>
          <w:szCs w:val="28"/>
        </w:rPr>
        <w:t>Keller</w:t>
      </w:r>
      <w:r w:rsidR="004F321C" w:rsidRPr="00C04B71">
        <w:rPr>
          <w:rFonts w:ascii="Times New Roman" w:hAnsi="Times New Roman" w:cs="Times New Roman"/>
          <w:sz w:val="28"/>
          <w:szCs w:val="28"/>
        </w:rPr>
        <w:t xml:space="preserve"> “fits comfortably within the framework applied” in that case. </w:t>
      </w:r>
      <w:r w:rsidR="002F344B">
        <w:rPr>
          <w:rFonts w:ascii="Times New Roman" w:hAnsi="Times New Roman" w:cs="Times New Roman"/>
          <w:sz w:val="28"/>
          <w:szCs w:val="28"/>
        </w:rPr>
        <w:t xml:space="preserve"> </w:t>
      </w:r>
      <w:r w:rsidR="004F321C" w:rsidRPr="00C04B71">
        <w:rPr>
          <w:rFonts w:ascii="Times New Roman" w:hAnsi="Times New Roman" w:cs="Times New Roman"/>
          <w:i/>
          <w:sz w:val="28"/>
          <w:szCs w:val="28"/>
        </w:rPr>
        <w:t>Id</w:t>
      </w:r>
      <w:r w:rsidR="004F321C" w:rsidRPr="00C04B71">
        <w:rPr>
          <w:rFonts w:ascii="Times New Roman" w:hAnsi="Times New Roman" w:cs="Times New Roman"/>
          <w:sz w:val="28"/>
          <w:szCs w:val="28"/>
        </w:rPr>
        <w:t>. at 655.</w:t>
      </w:r>
      <w:r w:rsidR="002F344B">
        <w:rPr>
          <w:rFonts w:ascii="Times New Roman" w:hAnsi="Times New Roman" w:cs="Times New Roman"/>
          <w:sz w:val="28"/>
          <w:szCs w:val="28"/>
        </w:rPr>
        <w:t xml:space="preserve">  </w:t>
      </w:r>
      <w:r w:rsidR="004F321C" w:rsidRPr="00C04B71">
        <w:rPr>
          <w:rFonts w:ascii="Times New Roman" w:hAnsi="Times New Roman" w:cs="Times New Roman"/>
          <w:sz w:val="28"/>
          <w:szCs w:val="28"/>
        </w:rPr>
        <w:t xml:space="preserve">The Court further emphasized that states have a legitimate interest in allocating to members of the bar—rather than to the general public—the costs of ensuring ethical and competent legal practice. </w:t>
      </w:r>
      <w:r w:rsidR="006D0719">
        <w:rPr>
          <w:rFonts w:ascii="Times New Roman" w:hAnsi="Times New Roman" w:cs="Times New Roman"/>
          <w:sz w:val="28"/>
          <w:szCs w:val="28"/>
        </w:rPr>
        <w:t xml:space="preserve"> </w:t>
      </w:r>
      <w:r w:rsidR="004F321C" w:rsidRPr="00C04B71">
        <w:rPr>
          <w:rFonts w:ascii="Times New Roman" w:hAnsi="Times New Roman" w:cs="Times New Roman"/>
          <w:i/>
          <w:sz w:val="28"/>
          <w:szCs w:val="28"/>
        </w:rPr>
        <w:t>Id</w:t>
      </w:r>
      <w:r w:rsidR="004F321C" w:rsidRPr="00C04B71">
        <w:rPr>
          <w:rFonts w:ascii="Times New Roman" w:hAnsi="Times New Roman" w:cs="Times New Roman"/>
          <w:sz w:val="28"/>
          <w:szCs w:val="28"/>
        </w:rPr>
        <w:t>. at 656.</w:t>
      </w:r>
    </w:p>
    <w:p w14:paraId="4E6D5D29" w14:textId="6748DC24" w:rsidR="0018121F" w:rsidRDefault="004F321C" w:rsidP="00433E1C">
      <w:pPr>
        <w:spacing w:after="0" w:line="480" w:lineRule="auto"/>
        <w:ind w:firstLine="720"/>
        <w:contextualSpacing/>
        <w:jc w:val="both"/>
        <w:rPr>
          <w:rFonts w:ascii="Times New Roman" w:hAnsi="Times New Roman" w:cs="Times New Roman"/>
          <w:sz w:val="28"/>
          <w:szCs w:val="28"/>
        </w:rPr>
      </w:pPr>
      <w:r w:rsidRPr="00C04B71">
        <w:rPr>
          <w:rFonts w:ascii="Times New Roman" w:hAnsi="Times New Roman" w:cs="Times New Roman"/>
          <w:sz w:val="28"/>
          <w:szCs w:val="28"/>
        </w:rPr>
        <w:t>Ultimately,</w:t>
      </w:r>
      <w:r w:rsidR="003D63B4">
        <w:rPr>
          <w:rFonts w:ascii="Times New Roman" w:hAnsi="Times New Roman" w:cs="Times New Roman"/>
          <w:sz w:val="28"/>
          <w:szCs w:val="28"/>
        </w:rPr>
        <w:t xml:space="preserve"> as</w:t>
      </w:r>
      <w:r w:rsidRPr="00C04B71">
        <w:rPr>
          <w:rFonts w:ascii="Times New Roman" w:hAnsi="Times New Roman" w:cs="Times New Roman"/>
          <w:sz w:val="28"/>
          <w:szCs w:val="28"/>
        </w:rPr>
        <w:t xml:space="preserve"> the</w:t>
      </w:r>
      <w:r w:rsidR="003D63B4">
        <w:rPr>
          <w:rFonts w:ascii="Times New Roman" w:hAnsi="Times New Roman" w:cs="Times New Roman"/>
          <w:sz w:val="28"/>
          <w:szCs w:val="28"/>
        </w:rPr>
        <w:t xml:space="preserve"> </w:t>
      </w:r>
      <w:r w:rsidR="006D0719">
        <w:rPr>
          <w:rFonts w:ascii="Times New Roman" w:hAnsi="Times New Roman" w:cs="Times New Roman"/>
          <w:sz w:val="28"/>
          <w:szCs w:val="28"/>
        </w:rPr>
        <w:t xml:space="preserve">U.S. </w:t>
      </w:r>
      <w:r w:rsidR="003D63B4">
        <w:rPr>
          <w:rFonts w:ascii="Times New Roman" w:hAnsi="Times New Roman" w:cs="Times New Roman"/>
          <w:sz w:val="28"/>
          <w:szCs w:val="28"/>
        </w:rPr>
        <w:t>Supreme Court has consistently reiterated</w:t>
      </w:r>
      <w:r w:rsidR="009045C1">
        <w:rPr>
          <w:rFonts w:ascii="Times New Roman" w:hAnsi="Times New Roman" w:cs="Times New Roman"/>
          <w:sz w:val="28"/>
          <w:szCs w:val="28"/>
        </w:rPr>
        <w:t>,</w:t>
      </w:r>
      <w:r w:rsidR="003D63B4">
        <w:rPr>
          <w:rFonts w:ascii="Times New Roman" w:hAnsi="Times New Roman" w:cs="Times New Roman"/>
          <w:sz w:val="28"/>
          <w:szCs w:val="28"/>
        </w:rPr>
        <w:t xml:space="preserve"> it</w:t>
      </w:r>
      <w:r w:rsidRPr="00C04B71">
        <w:rPr>
          <w:rFonts w:ascii="Times New Roman" w:hAnsi="Times New Roman" w:cs="Times New Roman"/>
          <w:sz w:val="28"/>
          <w:szCs w:val="28"/>
        </w:rPr>
        <w:t xml:space="preserve"> “does not normally overturn, or so dramatically limit, earlier authority </w:t>
      </w:r>
      <w:r w:rsidRPr="004F321C">
        <w:rPr>
          <w:rFonts w:ascii="Times New Roman" w:hAnsi="Times New Roman" w:cs="Times New Roman"/>
          <w:i/>
          <w:sz w:val="28"/>
          <w:szCs w:val="28"/>
        </w:rPr>
        <w:t>sub silentio</w:t>
      </w:r>
      <w:r w:rsidRPr="00C04B71">
        <w:rPr>
          <w:rFonts w:ascii="Times New Roman" w:hAnsi="Times New Roman" w:cs="Times New Roman"/>
          <w:sz w:val="28"/>
          <w:szCs w:val="28"/>
        </w:rPr>
        <w:t xml:space="preserve">.” </w:t>
      </w:r>
      <w:r w:rsidR="002F344B">
        <w:rPr>
          <w:rFonts w:ascii="Times New Roman" w:hAnsi="Times New Roman" w:cs="Times New Roman"/>
          <w:sz w:val="28"/>
          <w:szCs w:val="28"/>
        </w:rPr>
        <w:t xml:space="preserve"> </w:t>
      </w:r>
      <w:r w:rsidRPr="00C04B71">
        <w:rPr>
          <w:rFonts w:ascii="Times New Roman" w:hAnsi="Times New Roman" w:cs="Times New Roman"/>
          <w:i/>
          <w:sz w:val="28"/>
          <w:szCs w:val="28"/>
        </w:rPr>
        <w:t>Shalala v. Ill. Council on Long Term Care, Inc</w:t>
      </w:r>
      <w:r w:rsidRPr="00C04B71">
        <w:rPr>
          <w:rFonts w:ascii="Times New Roman" w:hAnsi="Times New Roman" w:cs="Times New Roman"/>
          <w:sz w:val="28"/>
          <w:szCs w:val="28"/>
        </w:rPr>
        <w:t xml:space="preserve">., 529 U.S. 1, 18 (2000). </w:t>
      </w:r>
      <w:r w:rsidR="002F344B">
        <w:rPr>
          <w:rFonts w:ascii="Times New Roman" w:hAnsi="Times New Roman" w:cs="Times New Roman"/>
          <w:sz w:val="28"/>
          <w:szCs w:val="28"/>
        </w:rPr>
        <w:t xml:space="preserve"> </w:t>
      </w:r>
      <w:r w:rsidRPr="00C04B71">
        <w:rPr>
          <w:rFonts w:ascii="Times New Roman" w:hAnsi="Times New Roman" w:cs="Times New Roman"/>
          <w:i/>
          <w:sz w:val="28"/>
          <w:szCs w:val="28"/>
        </w:rPr>
        <w:t xml:space="preserve">See also </w:t>
      </w:r>
      <w:proofErr w:type="spellStart"/>
      <w:r w:rsidRPr="00C04B71">
        <w:rPr>
          <w:rFonts w:ascii="Times New Roman" w:hAnsi="Times New Roman" w:cs="Times New Roman"/>
          <w:i/>
          <w:sz w:val="28"/>
          <w:szCs w:val="28"/>
        </w:rPr>
        <w:t>Hohn</w:t>
      </w:r>
      <w:proofErr w:type="spellEnd"/>
      <w:r w:rsidRPr="00C04B71">
        <w:rPr>
          <w:rFonts w:ascii="Times New Roman" w:hAnsi="Times New Roman" w:cs="Times New Roman"/>
          <w:i/>
          <w:sz w:val="28"/>
          <w:szCs w:val="28"/>
        </w:rPr>
        <w:t xml:space="preserve"> v. </w:t>
      </w:r>
      <w:r w:rsidRPr="00C04B71">
        <w:rPr>
          <w:rFonts w:ascii="Times New Roman" w:hAnsi="Times New Roman" w:cs="Times New Roman"/>
          <w:i/>
          <w:sz w:val="28"/>
          <w:szCs w:val="28"/>
        </w:rPr>
        <w:lastRenderedPageBreak/>
        <w:t>United States</w:t>
      </w:r>
      <w:r w:rsidRPr="00C04B71">
        <w:rPr>
          <w:rFonts w:ascii="Times New Roman" w:hAnsi="Times New Roman" w:cs="Times New Roman"/>
          <w:sz w:val="28"/>
          <w:szCs w:val="28"/>
        </w:rPr>
        <w:t xml:space="preserve">, 524 U.S. 236, 252–53 (1998) (“Our decisions remain binding precedent until we see fit to reconsider them, regardless of whether subsequent cases have raised doubts about their continuing vitality.”). </w:t>
      </w:r>
      <w:r w:rsidR="006D0719">
        <w:rPr>
          <w:rFonts w:ascii="Times New Roman" w:hAnsi="Times New Roman" w:cs="Times New Roman"/>
          <w:sz w:val="28"/>
          <w:szCs w:val="28"/>
        </w:rPr>
        <w:t xml:space="preserve"> </w:t>
      </w:r>
      <w:r w:rsidRPr="00C04B71">
        <w:rPr>
          <w:rFonts w:ascii="Times New Roman" w:hAnsi="Times New Roman" w:cs="Times New Roman"/>
          <w:i/>
          <w:sz w:val="28"/>
          <w:szCs w:val="28"/>
        </w:rPr>
        <w:t>Keller</w:t>
      </w:r>
      <w:r w:rsidRPr="00C04B71">
        <w:rPr>
          <w:rFonts w:ascii="Times New Roman" w:hAnsi="Times New Roman" w:cs="Times New Roman"/>
          <w:sz w:val="28"/>
          <w:szCs w:val="28"/>
        </w:rPr>
        <w:t xml:space="preserve"> and </w:t>
      </w:r>
      <w:r w:rsidRPr="00C04B71">
        <w:rPr>
          <w:rFonts w:ascii="Times New Roman" w:hAnsi="Times New Roman" w:cs="Times New Roman"/>
          <w:i/>
          <w:sz w:val="28"/>
          <w:szCs w:val="28"/>
        </w:rPr>
        <w:t>Lathrop</w:t>
      </w:r>
      <w:r w:rsidRPr="00C04B71">
        <w:rPr>
          <w:rFonts w:ascii="Times New Roman" w:hAnsi="Times New Roman" w:cs="Times New Roman"/>
          <w:sz w:val="28"/>
          <w:szCs w:val="28"/>
        </w:rPr>
        <w:t xml:space="preserve"> remain </w:t>
      </w:r>
      <w:r w:rsidR="003D63B4">
        <w:rPr>
          <w:rFonts w:ascii="Times New Roman" w:hAnsi="Times New Roman" w:cs="Times New Roman"/>
          <w:sz w:val="28"/>
          <w:szCs w:val="28"/>
        </w:rPr>
        <w:t>good law</w:t>
      </w:r>
      <w:r w:rsidRPr="00C04B71">
        <w:rPr>
          <w:rFonts w:ascii="Times New Roman" w:hAnsi="Times New Roman" w:cs="Times New Roman"/>
          <w:sz w:val="28"/>
          <w:szCs w:val="28"/>
        </w:rPr>
        <w:t>, and Petitioners</w:t>
      </w:r>
      <w:r w:rsidR="003D63B4">
        <w:rPr>
          <w:rFonts w:ascii="Times New Roman" w:hAnsi="Times New Roman" w:cs="Times New Roman"/>
          <w:sz w:val="28"/>
          <w:szCs w:val="28"/>
        </w:rPr>
        <w:t xml:space="preserve"> provide no compelling basis for departing from them.</w:t>
      </w:r>
      <w:r w:rsidRPr="00C04B71">
        <w:rPr>
          <w:rFonts w:ascii="Times New Roman" w:hAnsi="Times New Roman" w:cs="Times New Roman"/>
          <w:sz w:val="28"/>
          <w:szCs w:val="28"/>
        </w:rPr>
        <w:t xml:space="preserve"> </w:t>
      </w:r>
    </w:p>
    <w:p w14:paraId="2D1DC395" w14:textId="1D6B195B" w:rsidR="0032184D" w:rsidRPr="0032184D" w:rsidRDefault="007048E0" w:rsidP="00433E1C">
      <w:pPr>
        <w:pStyle w:val="ListParagraph"/>
        <w:numPr>
          <w:ilvl w:val="0"/>
          <w:numId w:val="6"/>
        </w:numPr>
        <w:spacing w:after="0" w:line="480" w:lineRule="auto"/>
        <w:jc w:val="both"/>
        <w:rPr>
          <w:rFonts w:ascii="Times New Roman" w:hAnsi="Times New Roman" w:cs="Times New Roman"/>
          <w:b/>
          <w:sz w:val="28"/>
          <w:szCs w:val="28"/>
        </w:rPr>
      </w:pPr>
      <w:r w:rsidRPr="007048E0">
        <w:rPr>
          <w:rFonts w:ascii="Times New Roman" w:hAnsi="Times New Roman" w:cs="Times New Roman"/>
          <w:b/>
          <w:sz w:val="28"/>
          <w:szCs w:val="28"/>
        </w:rPr>
        <w:t xml:space="preserve">The Arizona Bar </w:t>
      </w:r>
      <w:r w:rsidR="00C1048E">
        <w:rPr>
          <w:rFonts w:ascii="Times New Roman" w:hAnsi="Times New Roman" w:cs="Times New Roman"/>
          <w:b/>
          <w:sz w:val="28"/>
          <w:szCs w:val="28"/>
        </w:rPr>
        <w:t>complies with constitutional requirements</w:t>
      </w:r>
      <w:r w:rsidR="009045C1">
        <w:rPr>
          <w:rFonts w:ascii="Times New Roman" w:hAnsi="Times New Roman" w:cs="Times New Roman"/>
          <w:b/>
          <w:sz w:val="28"/>
          <w:szCs w:val="28"/>
        </w:rPr>
        <w:t>.</w:t>
      </w:r>
      <w:r w:rsidR="00C1048E">
        <w:rPr>
          <w:rFonts w:ascii="Times New Roman" w:hAnsi="Times New Roman" w:cs="Times New Roman"/>
          <w:b/>
          <w:sz w:val="28"/>
          <w:szCs w:val="28"/>
        </w:rPr>
        <w:t xml:space="preserve"> </w:t>
      </w:r>
    </w:p>
    <w:p w14:paraId="2CE5EC48" w14:textId="66AA53BB" w:rsidR="0032184D" w:rsidRPr="0032184D" w:rsidRDefault="0032184D" w:rsidP="00433E1C">
      <w:pPr>
        <w:spacing w:after="0" w:line="480" w:lineRule="auto"/>
        <w:ind w:firstLine="720"/>
        <w:contextualSpacing/>
        <w:jc w:val="both"/>
        <w:rPr>
          <w:rFonts w:ascii="Times New Roman" w:hAnsi="Times New Roman" w:cs="Times New Roman"/>
          <w:sz w:val="28"/>
          <w:szCs w:val="28"/>
        </w:rPr>
      </w:pPr>
      <w:r w:rsidRPr="0032184D">
        <w:rPr>
          <w:rFonts w:ascii="Times New Roman" w:hAnsi="Times New Roman" w:cs="Times New Roman"/>
          <w:sz w:val="28"/>
          <w:szCs w:val="28"/>
        </w:rPr>
        <w:t xml:space="preserve">Petitioners contend that the Arizona Bar violates the First Amendment by failing to adopt </w:t>
      </w:r>
      <w:r w:rsidRPr="0032184D">
        <w:rPr>
          <w:rFonts w:ascii="Times New Roman" w:hAnsi="Times New Roman" w:cs="Times New Roman"/>
          <w:i/>
          <w:sz w:val="28"/>
          <w:szCs w:val="28"/>
        </w:rPr>
        <w:t>Janus</w:t>
      </w:r>
      <w:r w:rsidRPr="0032184D">
        <w:rPr>
          <w:rFonts w:ascii="Times New Roman" w:hAnsi="Times New Roman" w:cs="Times New Roman"/>
          <w:sz w:val="28"/>
          <w:szCs w:val="28"/>
        </w:rPr>
        <w:t>-style opt-in procedures before using any portion of mandatory dues for non-germane activities.</w:t>
      </w:r>
      <w:r w:rsidR="006D0719">
        <w:rPr>
          <w:rFonts w:ascii="Times New Roman" w:hAnsi="Times New Roman" w:cs="Times New Roman"/>
          <w:sz w:val="28"/>
          <w:szCs w:val="28"/>
        </w:rPr>
        <w:t xml:space="preserve">  Petition at 3, 12-13.  </w:t>
      </w:r>
      <w:r w:rsidRPr="0032184D">
        <w:rPr>
          <w:rFonts w:ascii="Times New Roman" w:hAnsi="Times New Roman" w:cs="Times New Roman"/>
          <w:sz w:val="28"/>
          <w:szCs w:val="28"/>
        </w:rPr>
        <w:t xml:space="preserve">This argument mischaracterizes the holding </w:t>
      </w:r>
      <w:r>
        <w:rPr>
          <w:rFonts w:ascii="Times New Roman" w:hAnsi="Times New Roman" w:cs="Times New Roman"/>
          <w:sz w:val="28"/>
          <w:szCs w:val="28"/>
        </w:rPr>
        <w:t>in</w:t>
      </w:r>
      <w:r w:rsidRPr="0032184D">
        <w:rPr>
          <w:rFonts w:ascii="Times New Roman" w:hAnsi="Times New Roman" w:cs="Times New Roman"/>
          <w:sz w:val="28"/>
          <w:szCs w:val="28"/>
        </w:rPr>
        <w:t xml:space="preserve"> </w:t>
      </w:r>
      <w:r w:rsidRPr="0032184D">
        <w:rPr>
          <w:rFonts w:ascii="Times New Roman" w:hAnsi="Times New Roman" w:cs="Times New Roman"/>
          <w:i/>
          <w:sz w:val="28"/>
          <w:szCs w:val="28"/>
        </w:rPr>
        <w:t>Janus</w:t>
      </w:r>
      <w:r w:rsidRPr="0032184D">
        <w:rPr>
          <w:rFonts w:ascii="Times New Roman" w:hAnsi="Times New Roman" w:cs="Times New Roman"/>
          <w:sz w:val="28"/>
          <w:szCs w:val="28"/>
        </w:rPr>
        <w:t xml:space="preserve"> and its applicability to integrated bar associations. </w:t>
      </w:r>
      <w:r w:rsidR="006D0719">
        <w:rPr>
          <w:rFonts w:ascii="Times New Roman" w:hAnsi="Times New Roman" w:cs="Times New Roman"/>
          <w:sz w:val="28"/>
          <w:szCs w:val="28"/>
        </w:rPr>
        <w:t xml:space="preserve"> </w:t>
      </w:r>
      <w:r w:rsidRPr="0032184D">
        <w:rPr>
          <w:rFonts w:ascii="Times New Roman" w:hAnsi="Times New Roman" w:cs="Times New Roman"/>
          <w:i/>
          <w:sz w:val="28"/>
          <w:szCs w:val="28"/>
        </w:rPr>
        <w:t>Janus</w:t>
      </w:r>
      <w:r w:rsidRPr="0032184D">
        <w:rPr>
          <w:rFonts w:ascii="Times New Roman" w:hAnsi="Times New Roman" w:cs="Times New Roman"/>
          <w:sz w:val="28"/>
          <w:szCs w:val="28"/>
        </w:rPr>
        <w:t xml:space="preserve"> involved compelled union dues in the context of public-sector labor and did not address—let alone overrule—the framework governing mandatory bar membership under </w:t>
      </w:r>
      <w:r w:rsidRPr="0032184D">
        <w:rPr>
          <w:rFonts w:ascii="Times New Roman" w:hAnsi="Times New Roman" w:cs="Times New Roman"/>
          <w:i/>
          <w:sz w:val="28"/>
          <w:szCs w:val="28"/>
        </w:rPr>
        <w:t>Keller</w:t>
      </w:r>
      <w:r>
        <w:rPr>
          <w:rFonts w:ascii="Times New Roman" w:hAnsi="Times New Roman" w:cs="Times New Roman"/>
          <w:sz w:val="28"/>
          <w:szCs w:val="28"/>
        </w:rPr>
        <w:t xml:space="preserve">. </w:t>
      </w:r>
    </w:p>
    <w:p w14:paraId="304A5253" w14:textId="77777777" w:rsidR="006211F7" w:rsidRDefault="0032184D" w:rsidP="00433E1C">
      <w:pPr>
        <w:spacing w:after="0" w:line="480" w:lineRule="auto"/>
        <w:ind w:firstLine="720"/>
        <w:contextualSpacing/>
        <w:jc w:val="both"/>
        <w:rPr>
          <w:rFonts w:ascii="Times New Roman" w:hAnsi="Times New Roman" w:cs="Times New Roman"/>
          <w:sz w:val="28"/>
          <w:szCs w:val="28"/>
        </w:rPr>
      </w:pPr>
      <w:r w:rsidRPr="0032184D">
        <w:rPr>
          <w:rFonts w:ascii="Times New Roman" w:hAnsi="Times New Roman" w:cs="Times New Roman"/>
          <w:sz w:val="28"/>
          <w:szCs w:val="28"/>
        </w:rPr>
        <w:t xml:space="preserve">In contrast to the opt-in regime discussed in </w:t>
      </w:r>
      <w:r w:rsidRPr="0032184D">
        <w:rPr>
          <w:rFonts w:ascii="Times New Roman" w:hAnsi="Times New Roman" w:cs="Times New Roman"/>
          <w:i/>
          <w:sz w:val="28"/>
          <w:szCs w:val="28"/>
        </w:rPr>
        <w:t>Janus</w:t>
      </w:r>
      <w:r w:rsidRPr="0032184D">
        <w:rPr>
          <w:rFonts w:ascii="Times New Roman" w:hAnsi="Times New Roman" w:cs="Times New Roman"/>
          <w:sz w:val="28"/>
          <w:szCs w:val="28"/>
        </w:rPr>
        <w:t xml:space="preserve">, </w:t>
      </w:r>
      <w:r w:rsidRPr="0032184D">
        <w:rPr>
          <w:rFonts w:ascii="Times New Roman" w:hAnsi="Times New Roman" w:cs="Times New Roman"/>
          <w:i/>
          <w:sz w:val="28"/>
          <w:szCs w:val="28"/>
        </w:rPr>
        <w:t>Keller</w:t>
      </w:r>
      <w:r w:rsidRPr="0032184D">
        <w:rPr>
          <w:rFonts w:ascii="Times New Roman" w:hAnsi="Times New Roman" w:cs="Times New Roman"/>
          <w:sz w:val="28"/>
          <w:szCs w:val="28"/>
        </w:rPr>
        <w:t xml:space="preserve"> and its progeny have long permitted the use of refund-based systems for addressing non-germane expenditures. </w:t>
      </w:r>
      <w:r w:rsidR="006D0719">
        <w:rPr>
          <w:rFonts w:ascii="Times New Roman" w:hAnsi="Times New Roman" w:cs="Times New Roman"/>
          <w:sz w:val="28"/>
          <w:szCs w:val="28"/>
        </w:rPr>
        <w:t xml:space="preserve"> </w:t>
      </w:r>
      <w:r w:rsidRPr="0032184D">
        <w:rPr>
          <w:rFonts w:ascii="Times New Roman" w:hAnsi="Times New Roman" w:cs="Times New Roman"/>
          <w:sz w:val="28"/>
          <w:szCs w:val="28"/>
        </w:rPr>
        <w:t xml:space="preserve">The Arizona Bar follows this well-established model. </w:t>
      </w:r>
      <w:r w:rsidR="006D0719">
        <w:rPr>
          <w:rFonts w:ascii="Times New Roman" w:hAnsi="Times New Roman" w:cs="Times New Roman"/>
          <w:sz w:val="28"/>
          <w:szCs w:val="28"/>
        </w:rPr>
        <w:t xml:space="preserve"> </w:t>
      </w:r>
      <w:r w:rsidRPr="0032184D">
        <w:rPr>
          <w:rFonts w:ascii="Times New Roman" w:hAnsi="Times New Roman" w:cs="Times New Roman"/>
          <w:sz w:val="28"/>
          <w:szCs w:val="28"/>
        </w:rPr>
        <w:t xml:space="preserve">Attorneys may request a refund for any portion of their dues used to support activities not germane to attorney regulation or the improvement of legal services. </w:t>
      </w:r>
      <w:r w:rsidR="006D0719">
        <w:rPr>
          <w:rFonts w:ascii="Times New Roman" w:hAnsi="Times New Roman" w:cs="Times New Roman"/>
          <w:sz w:val="28"/>
          <w:szCs w:val="28"/>
        </w:rPr>
        <w:t xml:space="preserve"> </w:t>
      </w:r>
      <w:r w:rsidR="006D0719" w:rsidRPr="001823EF">
        <w:rPr>
          <w:rFonts w:ascii="Times New Roman" w:hAnsi="Times New Roman" w:cs="Times New Roman"/>
          <w:i/>
          <w:sz w:val="28"/>
          <w:szCs w:val="28"/>
        </w:rPr>
        <w:t>See</w:t>
      </w:r>
      <w:r w:rsidR="006D0719" w:rsidRPr="001823EF">
        <w:rPr>
          <w:rFonts w:ascii="Times New Roman" w:hAnsi="Times New Roman" w:cs="Times New Roman"/>
          <w:sz w:val="28"/>
          <w:szCs w:val="28"/>
        </w:rPr>
        <w:t xml:space="preserve"> State Bar of Arizona, Keller-Refund-Request Policy and Procedures, https://www.azbar.org/media/8d89c8972189f52/keller-policy-and-procedures-final-bog-approved-09-27-19.pdf (last visited April 7, 2025)</w:t>
      </w:r>
      <w:r w:rsidR="006D0719">
        <w:rPr>
          <w:rFonts w:ascii="Times New Roman" w:hAnsi="Times New Roman" w:cs="Times New Roman"/>
          <w:sz w:val="28"/>
          <w:szCs w:val="28"/>
        </w:rPr>
        <w:t xml:space="preserve">.  </w:t>
      </w:r>
    </w:p>
    <w:p w14:paraId="0BA64DDE" w14:textId="1C02EAE5" w:rsidR="0032184D" w:rsidRPr="0032184D" w:rsidRDefault="0032184D" w:rsidP="00433E1C">
      <w:pPr>
        <w:spacing w:after="0" w:line="480" w:lineRule="auto"/>
        <w:ind w:firstLine="720"/>
        <w:contextualSpacing/>
        <w:jc w:val="both"/>
        <w:rPr>
          <w:rFonts w:ascii="Times New Roman" w:hAnsi="Times New Roman" w:cs="Times New Roman"/>
          <w:sz w:val="28"/>
          <w:szCs w:val="28"/>
        </w:rPr>
      </w:pPr>
      <w:r w:rsidRPr="0032184D">
        <w:rPr>
          <w:rFonts w:ascii="Times New Roman" w:hAnsi="Times New Roman" w:cs="Times New Roman"/>
          <w:sz w:val="28"/>
          <w:szCs w:val="28"/>
        </w:rPr>
        <w:lastRenderedPageBreak/>
        <w:t>Courts have repeatedly upheld the constitutionality of such refund procedures post-</w:t>
      </w:r>
      <w:r w:rsidRPr="0032184D">
        <w:rPr>
          <w:rFonts w:ascii="Times New Roman" w:hAnsi="Times New Roman" w:cs="Times New Roman"/>
          <w:i/>
          <w:sz w:val="28"/>
          <w:szCs w:val="28"/>
        </w:rPr>
        <w:t>Janus</w:t>
      </w:r>
      <w:r w:rsidRPr="0032184D">
        <w:rPr>
          <w:rFonts w:ascii="Times New Roman" w:hAnsi="Times New Roman" w:cs="Times New Roman"/>
          <w:sz w:val="28"/>
          <w:szCs w:val="28"/>
        </w:rPr>
        <w:t>.</w:t>
      </w:r>
      <w:r w:rsidR="00CD366C">
        <w:rPr>
          <w:rFonts w:ascii="Times New Roman" w:hAnsi="Times New Roman" w:cs="Times New Roman"/>
          <w:sz w:val="28"/>
          <w:szCs w:val="28"/>
        </w:rPr>
        <w:t xml:space="preserve"> </w:t>
      </w:r>
      <w:r w:rsidRPr="0032184D">
        <w:rPr>
          <w:rFonts w:ascii="Times New Roman" w:hAnsi="Times New Roman" w:cs="Times New Roman"/>
          <w:sz w:val="28"/>
          <w:szCs w:val="28"/>
        </w:rPr>
        <w:t xml:space="preserve"> In </w:t>
      </w:r>
      <w:r w:rsidRPr="0032184D">
        <w:rPr>
          <w:rFonts w:ascii="Times New Roman" w:hAnsi="Times New Roman" w:cs="Times New Roman"/>
          <w:i/>
          <w:sz w:val="28"/>
          <w:szCs w:val="28"/>
        </w:rPr>
        <w:t>Pomeroy</w:t>
      </w:r>
      <w:r w:rsidRPr="0032184D">
        <w:rPr>
          <w:rFonts w:ascii="Times New Roman" w:hAnsi="Times New Roman" w:cs="Times New Roman"/>
          <w:sz w:val="28"/>
          <w:szCs w:val="28"/>
        </w:rPr>
        <w:t xml:space="preserve">, </w:t>
      </w:r>
      <w:r w:rsidR="006D0719">
        <w:rPr>
          <w:rFonts w:ascii="Times New Roman" w:hAnsi="Times New Roman" w:cs="Times New Roman"/>
          <w:sz w:val="28"/>
          <w:szCs w:val="28"/>
        </w:rPr>
        <w:t xml:space="preserve">for example, </w:t>
      </w:r>
      <w:r w:rsidRPr="0032184D">
        <w:rPr>
          <w:rFonts w:ascii="Times New Roman" w:hAnsi="Times New Roman" w:cs="Times New Roman"/>
          <w:sz w:val="28"/>
          <w:szCs w:val="28"/>
        </w:rPr>
        <w:t xml:space="preserve">the </w:t>
      </w:r>
      <w:r>
        <w:rPr>
          <w:rFonts w:ascii="Times New Roman" w:hAnsi="Times New Roman" w:cs="Times New Roman"/>
          <w:sz w:val="28"/>
          <w:szCs w:val="28"/>
        </w:rPr>
        <w:t>c</w:t>
      </w:r>
      <w:r w:rsidRPr="0032184D">
        <w:rPr>
          <w:rFonts w:ascii="Times New Roman" w:hAnsi="Times New Roman" w:cs="Times New Roman"/>
          <w:sz w:val="28"/>
          <w:szCs w:val="28"/>
        </w:rPr>
        <w:t xml:space="preserve">ourt rejected the argument that </w:t>
      </w:r>
      <w:r w:rsidRPr="0032184D">
        <w:rPr>
          <w:rFonts w:ascii="Times New Roman" w:hAnsi="Times New Roman" w:cs="Times New Roman"/>
          <w:i/>
          <w:sz w:val="28"/>
          <w:szCs w:val="28"/>
        </w:rPr>
        <w:t>Janus</w:t>
      </w:r>
      <w:r w:rsidRPr="0032184D">
        <w:rPr>
          <w:rFonts w:ascii="Times New Roman" w:hAnsi="Times New Roman" w:cs="Times New Roman"/>
          <w:sz w:val="28"/>
          <w:szCs w:val="28"/>
        </w:rPr>
        <w:t xml:space="preserve"> requires opt-in systems for bar dues, concluding that a refund process adequately addressed First Amendment concerns—even where the bar engaged in some non-germane activity.</w:t>
      </w:r>
      <w:r w:rsidR="000D6699">
        <w:rPr>
          <w:rFonts w:ascii="Times New Roman" w:hAnsi="Times New Roman" w:cs="Times New Roman"/>
          <w:sz w:val="28"/>
          <w:szCs w:val="28"/>
        </w:rPr>
        <w:t xml:space="preserve">  </w:t>
      </w:r>
      <w:r w:rsidRPr="0032184D">
        <w:rPr>
          <w:rFonts w:ascii="Times New Roman" w:hAnsi="Times New Roman" w:cs="Times New Roman"/>
          <w:i/>
          <w:sz w:val="28"/>
          <w:szCs w:val="28"/>
        </w:rPr>
        <w:t>Id</w:t>
      </w:r>
      <w:r>
        <w:rPr>
          <w:rFonts w:ascii="Times New Roman" w:hAnsi="Times New Roman" w:cs="Times New Roman"/>
          <w:sz w:val="28"/>
          <w:szCs w:val="28"/>
        </w:rPr>
        <w:t>.</w:t>
      </w:r>
      <w:r w:rsidRPr="0032184D">
        <w:rPr>
          <w:rFonts w:ascii="Times New Roman" w:hAnsi="Times New Roman" w:cs="Times New Roman"/>
          <w:sz w:val="28"/>
          <w:szCs w:val="28"/>
        </w:rPr>
        <w:t xml:space="preserve"> at *</w:t>
      </w:r>
      <w:r w:rsidR="00982527">
        <w:rPr>
          <w:rFonts w:ascii="Times New Roman" w:hAnsi="Times New Roman" w:cs="Times New Roman"/>
          <w:sz w:val="28"/>
          <w:szCs w:val="28"/>
        </w:rPr>
        <w:t>5</w:t>
      </w:r>
      <w:r w:rsidRPr="0032184D">
        <w:rPr>
          <w:rFonts w:ascii="Times New Roman" w:hAnsi="Times New Roman" w:cs="Times New Roman"/>
          <w:sz w:val="28"/>
          <w:szCs w:val="28"/>
        </w:rPr>
        <w:t xml:space="preserve">–6. </w:t>
      </w:r>
      <w:r w:rsidR="00982527">
        <w:rPr>
          <w:rFonts w:ascii="Times New Roman" w:hAnsi="Times New Roman" w:cs="Times New Roman"/>
          <w:sz w:val="28"/>
          <w:szCs w:val="28"/>
        </w:rPr>
        <w:t xml:space="preserve"> </w:t>
      </w:r>
      <w:r w:rsidRPr="0032184D">
        <w:rPr>
          <w:rFonts w:ascii="Times New Roman" w:hAnsi="Times New Roman" w:cs="Times New Roman"/>
          <w:sz w:val="28"/>
          <w:szCs w:val="28"/>
        </w:rPr>
        <w:t xml:space="preserve">Likewise, in </w:t>
      </w:r>
      <w:r w:rsidRPr="0032184D">
        <w:rPr>
          <w:rFonts w:ascii="Times New Roman" w:hAnsi="Times New Roman" w:cs="Times New Roman"/>
          <w:i/>
          <w:sz w:val="28"/>
          <w:szCs w:val="28"/>
        </w:rPr>
        <w:t>Crowe</w:t>
      </w:r>
      <w:r w:rsidRPr="0032184D">
        <w:rPr>
          <w:rFonts w:ascii="Times New Roman" w:hAnsi="Times New Roman" w:cs="Times New Roman"/>
          <w:sz w:val="28"/>
          <w:szCs w:val="28"/>
        </w:rPr>
        <w:t xml:space="preserve">, the Ninth Circuit rejected a similar challenge, reaffirming that </w:t>
      </w:r>
      <w:r w:rsidRPr="0032184D">
        <w:rPr>
          <w:rFonts w:ascii="Times New Roman" w:hAnsi="Times New Roman" w:cs="Times New Roman"/>
          <w:i/>
          <w:sz w:val="28"/>
          <w:szCs w:val="28"/>
        </w:rPr>
        <w:t xml:space="preserve">Keller </w:t>
      </w:r>
      <w:r w:rsidRPr="0032184D">
        <w:rPr>
          <w:rFonts w:ascii="Times New Roman" w:hAnsi="Times New Roman" w:cs="Times New Roman"/>
          <w:sz w:val="28"/>
          <w:szCs w:val="28"/>
        </w:rPr>
        <w:t>remains binding and that courts need not impose opt-in requirements for bar associations.</w:t>
      </w:r>
      <w:r w:rsidR="00982527">
        <w:rPr>
          <w:rFonts w:ascii="Times New Roman" w:hAnsi="Times New Roman" w:cs="Times New Roman"/>
          <w:sz w:val="28"/>
          <w:szCs w:val="28"/>
        </w:rPr>
        <w:t xml:space="preserve"> </w:t>
      </w:r>
      <w:r w:rsidRPr="0032184D">
        <w:rPr>
          <w:rFonts w:ascii="Times New Roman" w:hAnsi="Times New Roman" w:cs="Times New Roman"/>
          <w:sz w:val="28"/>
          <w:szCs w:val="28"/>
        </w:rPr>
        <w:t xml:space="preserve"> </w:t>
      </w:r>
      <w:r w:rsidRPr="0032184D">
        <w:rPr>
          <w:rFonts w:ascii="Times New Roman" w:hAnsi="Times New Roman" w:cs="Times New Roman"/>
          <w:i/>
          <w:sz w:val="28"/>
          <w:szCs w:val="28"/>
        </w:rPr>
        <w:t>Id</w:t>
      </w:r>
      <w:r>
        <w:rPr>
          <w:rFonts w:ascii="Times New Roman" w:hAnsi="Times New Roman" w:cs="Times New Roman"/>
          <w:sz w:val="28"/>
          <w:szCs w:val="28"/>
        </w:rPr>
        <w:t xml:space="preserve">. at </w:t>
      </w:r>
      <w:r w:rsidRPr="0032184D">
        <w:rPr>
          <w:rFonts w:ascii="Times New Roman" w:hAnsi="Times New Roman" w:cs="Times New Roman"/>
          <w:sz w:val="28"/>
          <w:szCs w:val="28"/>
        </w:rPr>
        <w:t>72</w:t>
      </w:r>
      <w:r w:rsidR="00982527">
        <w:rPr>
          <w:rFonts w:ascii="Times New Roman" w:hAnsi="Times New Roman" w:cs="Times New Roman"/>
          <w:sz w:val="28"/>
          <w:szCs w:val="28"/>
        </w:rPr>
        <w:t>5</w:t>
      </w:r>
      <w:r w:rsidRPr="0032184D">
        <w:rPr>
          <w:rFonts w:ascii="Times New Roman" w:hAnsi="Times New Roman" w:cs="Times New Roman"/>
          <w:sz w:val="28"/>
          <w:szCs w:val="28"/>
        </w:rPr>
        <w:t>–26</w:t>
      </w:r>
      <w:r>
        <w:rPr>
          <w:rFonts w:ascii="Times New Roman" w:hAnsi="Times New Roman" w:cs="Times New Roman"/>
          <w:sz w:val="28"/>
          <w:szCs w:val="28"/>
        </w:rPr>
        <w:t xml:space="preserve">. </w:t>
      </w:r>
    </w:p>
    <w:p w14:paraId="12AE64AB" w14:textId="292E5D54" w:rsidR="0032184D" w:rsidRPr="0032184D" w:rsidRDefault="0032184D" w:rsidP="00433E1C">
      <w:pPr>
        <w:spacing w:after="0" w:line="480" w:lineRule="auto"/>
        <w:ind w:firstLine="720"/>
        <w:contextualSpacing/>
        <w:jc w:val="both"/>
        <w:rPr>
          <w:rFonts w:ascii="Times New Roman" w:hAnsi="Times New Roman" w:cs="Times New Roman"/>
          <w:sz w:val="28"/>
          <w:szCs w:val="28"/>
        </w:rPr>
      </w:pPr>
      <w:r w:rsidRPr="0032184D">
        <w:rPr>
          <w:rFonts w:ascii="Times New Roman" w:hAnsi="Times New Roman" w:cs="Times New Roman"/>
          <w:sz w:val="28"/>
          <w:szCs w:val="28"/>
        </w:rPr>
        <w:t xml:space="preserve">Petitioners further argue that the </w:t>
      </w:r>
      <w:r w:rsidRPr="001823EF">
        <w:rPr>
          <w:rFonts w:ascii="Times New Roman" w:hAnsi="Times New Roman" w:cs="Times New Roman"/>
          <w:sz w:val="28"/>
          <w:szCs w:val="28"/>
        </w:rPr>
        <w:t xml:space="preserve">Arizona </w:t>
      </w:r>
      <w:r w:rsidRPr="0032184D">
        <w:rPr>
          <w:rFonts w:ascii="Times New Roman" w:hAnsi="Times New Roman" w:cs="Times New Roman"/>
          <w:sz w:val="28"/>
          <w:szCs w:val="28"/>
        </w:rPr>
        <w:t>Bar lacks transparency and accountability</w:t>
      </w:r>
      <w:r w:rsidR="007A5BF1">
        <w:rPr>
          <w:rFonts w:ascii="Times New Roman" w:hAnsi="Times New Roman" w:cs="Times New Roman"/>
          <w:sz w:val="28"/>
          <w:szCs w:val="28"/>
        </w:rPr>
        <w:t xml:space="preserve"> (</w:t>
      </w:r>
      <w:r w:rsidR="00982527">
        <w:rPr>
          <w:rFonts w:ascii="Times New Roman" w:hAnsi="Times New Roman" w:cs="Times New Roman"/>
          <w:sz w:val="28"/>
          <w:szCs w:val="28"/>
        </w:rPr>
        <w:t>Petition at 13</w:t>
      </w:r>
      <w:r w:rsidR="00271702">
        <w:rPr>
          <w:rFonts w:ascii="Times New Roman" w:hAnsi="Times New Roman" w:cs="Times New Roman"/>
          <w:sz w:val="28"/>
          <w:szCs w:val="28"/>
        </w:rPr>
        <w:t>)</w:t>
      </w:r>
      <w:r w:rsidRPr="0032184D">
        <w:rPr>
          <w:rFonts w:ascii="Times New Roman" w:hAnsi="Times New Roman" w:cs="Times New Roman"/>
          <w:sz w:val="28"/>
          <w:szCs w:val="28"/>
        </w:rPr>
        <w:t xml:space="preserve"> but this claim disregards the significant judicial oversight embedded in Arizona’s legal regulatory system.</w:t>
      </w:r>
      <w:r w:rsidR="00982527">
        <w:rPr>
          <w:rFonts w:ascii="Times New Roman" w:hAnsi="Times New Roman" w:cs="Times New Roman"/>
          <w:sz w:val="28"/>
          <w:szCs w:val="28"/>
        </w:rPr>
        <w:t xml:space="preserve">  </w:t>
      </w:r>
      <w:r w:rsidRPr="0032184D">
        <w:rPr>
          <w:rFonts w:ascii="Times New Roman" w:hAnsi="Times New Roman" w:cs="Times New Roman"/>
          <w:sz w:val="28"/>
          <w:szCs w:val="28"/>
        </w:rPr>
        <w:t>The Arizona Bar operates under the authority of the Arizona Supreme Court, which promulgates the governing rules</w:t>
      </w:r>
      <w:r w:rsidR="00E501AC">
        <w:rPr>
          <w:rFonts w:ascii="Times New Roman" w:hAnsi="Times New Roman" w:cs="Times New Roman"/>
          <w:sz w:val="28"/>
          <w:szCs w:val="28"/>
        </w:rPr>
        <w:t xml:space="preserve"> </w:t>
      </w:r>
      <w:r w:rsidRPr="0032184D">
        <w:rPr>
          <w:rFonts w:ascii="Times New Roman" w:hAnsi="Times New Roman" w:cs="Times New Roman"/>
          <w:sz w:val="28"/>
          <w:szCs w:val="28"/>
        </w:rPr>
        <w:t xml:space="preserve">and retains ultimate responsibility for key functions, including admissions. </w:t>
      </w:r>
      <w:r w:rsidR="00E501AC">
        <w:rPr>
          <w:rFonts w:ascii="Times New Roman" w:hAnsi="Times New Roman" w:cs="Times New Roman"/>
          <w:sz w:val="28"/>
          <w:szCs w:val="28"/>
        </w:rPr>
        <w:t xml:space="preserve"> </w:t>
      </w:r>
      <w:r w:rsidR="00BA0B23" w:rsidRPr="001823EF">
        <w:rPr>
          <w:rFonts w:ascii="Times New Roman" w:hAnsi="Times New Roman" w:cs="Times New Roman"/>
          <w:i/>
          <w:sz w:val="28"/>
          <w:szCs w:val="28"/>
        </w:rPr>
        <w:t xml:space="preserve">See </w:t>
      </w:r>
      <w:r w:rsidR="00BA0B23" w:rsidRPr="001823EF">
        <w:rPr>
          <w:rFonts w:ascii="Times New Roman" w:hAnsi="Times New Roman" w:cs="Times New Roman"/>
          <w:sz w:val="28"/>
          <w:szCs w:val="28"/>
        </w:rPr>
        <w:t xml:space="preserve">Ariz. Sup. Ct. R. 33–34, 50–52; </w:t>
      </w:r>
      <w:r w:rsidR="00BA0B23" w:rsidRPr="00E501AC">
        <w:rPr>
          <w:rFonts w:ascii="Times New Roman" w:hAnsi="Times New Roman" w:cs="Times New Roman"/>
          <w:i/>
          <w:sz w:val="28"/>
          <w:szCs w:val="28"/>
        </w:rPr>
        <w:t>see also</w:t>
      </w:r>
      <w:r w:rsidR="00BA0B23" w:rsidRPr="001823EF">
        <w:rPr>
          <w:rFonts w:ascii="Times New Roman" w:hAnsi="Times New Roman" w:cs="Times New Roman"/>
          <w:sz w:val="28"/>
          <w:szCs w:val="28"/>
        </w:rPr>
        <w:t xml:space="preserve"> Petition at 1</w:t>
      </w:r>
      <w:r w:rsidR="00E501AC">
        <w:rPr>
          <w:rFonts w:ascii="Times New Roman" w:hAnsi="Times New Roman" w:cs="Times New Roman"/>
          <w:sz w:val="28"/>
          <w:szCs w:val="28"/>
        </w:rPr>
        <w:t>5</w:t>
      </w:r>
      <w:r w:rsidR="00BA0B23" w:rsidRPr="001823EF">
        <w:rPr>
          <w:rFonts w:ascii="Times New Roman" w:hAnsi="Times New Roman" w:cs="Times New Roman"/>
          <w:sz w:val="28"/>
          <w:szCs w:val="28"/>
        </w:rPr>
        <w:t>–1</w:t>
      </w:r>
      <w:r w:rsidR="00E501AC">
        <w:rPr>
          <w:rFonts w:ascii="Times New Roman" w:hAnsi="Times New Roman" w:cs="Times New Roman"/>
          <w:sz w:val="28"/>
          <w:szCs w:val="28"/>
        </w:rPr>
        <w:t>8</w:t>
      </w:r>
      <w:r w:rsidR="00BA0B23" w:rsidRPr="001823EF">
        <w:rPr>
          <w:rFonts w:ascii="Times New Roman" w:hAnsi="Times New Roman" w:cs="Times New Roman"/>
          <w:sz w:val="28"/>
          <w:szCs w:val="28"/>
        </w:rPr>
        <w:t xml:space="preserve"> (acknowledging that the Court already performs most attorney regulatory functions). </w:t>
      </w:r>
      <w:r w:rsidR="00E501AC">
        <w:rPr>
          <w:rFonts w:ascii="Times New Roman" w:hAnsi="Times New Roman" w:cs="Times New Roman"/>
          <w:sz w:val="28"/>
          <w:szCs w:val="28"/>
        </w:rPr>
        <w:t xml:space="preserve"> </w:t>
      </w:r>
      <w:r w:rsidRPr="0032184D">
        <w:rPr>
          <w:rFonts w:ascii="Times New Roman" w:hAnsi="Times New Roman" w:cs="Times New Roman"/>
          <w:sz w:val="28"/>
          <w:szCs w:val="28"/>
        </w:rPr>
        <w:t xml:space="preserve">The </w:t>
      </w:r>
      <w:r w:rsidR="00BA0B23" w:rsidRPr="001823EF">
        <w:rPr>
          <w:rFonts w:ascii="Times New Roman" w:hAnsi="Times New Roman" w:cs="Times New Roman"/>
          <w:sz w:val="28"/>
          <w:szCs w:val="28"/>
        </w:rPr>
        <w:t xml:space="preserve">Arizona </w:t>
      </w:r>
      <w:r w:rsidRPr="0032184D">
        <w:rPr>
          <w:rFonts w:ascii="Times New Roman" w:hAnsi="Times New Roman" w:cs="Times New Roman"/>
          <w:sz w:val="28"/>
          <w:szCs w:val="28"/>
        </w:rPr>
        <w:t>Bar publicly discloses its financial information and provides members with an established process for objecting to non-germane spending.</w:t>
      </w:r>
      <w:bookmarkStart w:id="0" w:name="_Hlk194942187"/>
      <w:r w:rsidR="00E501AC">
        <w:rPr>
          <w:rFonts w:ascii="Times New Roman" w:hAnsi="Times New Roman" w:cs="Times New Roman"/>
          <w:sz w:val="28"/>
          <w:szCs w:val="28"/>
        </w:rPr>
        <w:t xml:space="preserve">  </w:t>
      </w:r>
      <w:r w:rsidR="00BA0B23" w:rsidRPr="001823EF">
        <w:rPr>
          <w:rFonts w:ascii="Times New Roman" w:hAnsi="Times New Roman" w:cs="Times New Roman"/>
          <w:i/>
          <w:sz w:val="28"/>
          <w:szCs w:val="28"/>
        </w:rPr>
        <w:t>See</w:t>
      </w:r>
      <w:r w:rsidR="00BA0B23" w:rsidRPr="001823EF">
        <w:rPr>
          <w:rFonts w:ascii="Times New Roman" w:hAnsi="Times New Roman" w:cs="Times New Roman"/>
          <w:sz w:val="28"/>
          <w:szCs w:val="28"/>
        </w:rPr>
        <w:t xml:space="preserve"> State Bar of Arizona, Keller-Refund-Request Policy and Procedures,</w:t>
      </w:r>
      <w:r w:rsidR="001823EF" w:rsidRPr="001823EF">
        <w:rPr>
          <w:rFonts w:ascii="Times New Roman" w:hAnsi="Times New Roman" w:cs="Times New Roman"/>
          <w:sz w:val="28"/>
          <w:szCs w:val="28"/>
        </w:rPr>
        <w:t xml:space="preserve"> https://www.azbar.org/media/8d89c8972189f52/keller-policy-and-procedures-final-bog-approved-09-27-19.pdf </w:t>
      </w:r>
      <w:r w:rsidR="00BA0B23" w:rsidRPr="001823EF">
        <w:rPr>
          <w:rFonts w:ascii="Times New Roman" w:hAnsi="Times New Roman" w:cs="Times New Roman"/>
          <w:sz w:val="28"/>
          <w:szCs w:val="28"/>
        </w:rPr>
        <w:t>(last visited April 7, 2025)</w:t>
      </w:r>
      <w:bookmarkEnd w:id="0"/>
      <w:r w:rsidR="00BA0B23" w:rsidRPr="001823EF">
        <w:rPr>
          <w:rFonts w:ascii="Times New Roman" w:hAnsi="Times New Roman" w:cs="Times New Roman"/>
          <w:sz w:val="28"/>
          <w:szCs w:val="28"/>
        </w:rPr>
        <w:t>; State Bar of Arizona, Financial Statements,</w:t>
      </w:r>
      <w:r w:rsidR="00E76646" w:rsidRPr="001823EF">
        <w:rPr>
          <w:rFonts w:ascii="Times New Roman" w:hAnsi="Times New Roman" w:cs="Times New Roman"/>
          <w:sz w:val="28"/>
          <w:szCs w:val="28"/>
        </w:rPr>
        <w:t xml:space="preserve"> </w:t>
      </w:r>
      <w:r w:rsidR="001823EF" w:rsidRPr="001823EF">
        <w:rPr>
          <w:rFonts w:ascii="Times New Roman" w:hAnsi="Times New Roman" w:cs="Times New Roman"/>
          <w:sz w:val="28"/>
          <w:szCs w:val="28"/>
        </w:rPr>
        <w:t xml:space="preserve">https://www.azbar.org/about-us/financial-statements </w:t>
      </w:r>
      <w:r w:rsidR="00BA0B23" w:rsidRPr="001823EF">
        <w:rPr>
          <w:rFonts w:ascii="Times New Roman" w:hAnsi="Times New Roman" w:cs="Times New Roman"/>
          <w:sz w:val="28"/>
          <w:szCs w:val="28"/>
        </w:rPr>
        <w:t xml:space="preserve">(last </w:t>
      </w:r>
      <w:r w:rsidR="00BA0B23" w:rsidRPr="001823EF">
        <w:rPr>
          <w:rFonts w:ascii="Times New Roman" w:hAnsi="Times New Roman" w:cs="Times New Roman"/>
          <w:sz w:val="28"/>
          <w:szCs w:val="28"/>
        </w:rPr>
        <w:lastRenderedPageBreak/>
        <w:t>visited April 7, 2025); State Bar of Arizona, 2023 Annual Report</w:t>
      </w:r>
      <w:r w:rsidR="00E76646" w:rsidRPr="001823EF">
        <w:rPr>
          <w:rFonts w:ascii="Times New Roman" w:hAnsi="Times New Roman" w:cs="Times New Roman"/>
          <w:sz w:val="28"/>
          <w:szCs w:val="28"/>
        </w:rPr>
        <w:t>, https://www.azbar.org/about-us/annual-report/</w:t>
      </w:r>
      <w:r w:rsidR="00BA0B23" w:rsidRPr="001823EF">
        <w:rPr>
          <w:rFonts w:ascii="Times New Roman" w:hAnsi="Times New Roman" w:cs="Times New Roman"/>
          <w:sz w:val="28"/>
          <w:szCs w:val="28"/>
        </w:rPr>
        <w:t xml:space="preserve"> (last visited April 7, 2025). </w:t>
      </w:r>
    </w:p>
    <w:p w14:paraId="2C06158D" w14:textId="29782E68" w:rsidR="0032184D" w:rsidRPr="0032184D" w:rsidRDefault="0032184D" w:rsidP="00433E1C">
      <w:pPr>
        <w:spacing w:after="0" w:line="480" w:lineRule="auto"/>
        <w:ind w:firstLine="720"/>
        <w:contextualSpacing/>
        <w:jc w:val="both"/>
        <w:rPr>
          <w:rFonts w:ascii="Times New Roman" w:hAnsi="Times New Roman" w:cs="Times New Roman"/>
          <w:sz w:val="28"/>
          <w:szCs w:val="28"/>
        </w:rPr>
      </w:pPr>
      <w:r w:rsidRPr="0032184D">
        <w:rPr>
          <w:rFonts w:ascii="Times New Roman" w:hAnsi="Times New Roman" w:cs="Times New Roman"/>
          <w:sz w:val="28"/>
          <w:szCs w:val="28"/>
        </w:rPr>
        <w:t xml:space="preserve">Petitioners also highlight various activities—such as diversity initiatives, CLE programs, and public engagement efforts—that they view as ideological. </w:t>
      </w:r>
      <w:r w:rsidR="00E501AC">
        <w:rPr>
          <w:rFonts w:ascii="Times New Roman" w:hAnsi="Times New Roman" w:cs="Times New Roman"/>
          <w:sz w:val="28"/>
          <w:szCs w:val="28"/>
        </w:rPr>
        <w:t xml:space="preserve"> Petition at 6-7.  </w:t>
      </w:r>
      <w:r w:rsidRPr="0032184D">
        <w:rPr>
          <w:rFonts w:ascii="Times New Roman" w:hAnsi="Times New Roman" w:cs="Times New Roman"/>
          <w:sz w:val="28"/>
          <w:szCs w:val="28"/>
        </w:rPr>
        <w:t xml:space="preserve">But courts have consistently held that such initiatives do not fall outside the </w:t>
      </w:r>
      <w:r w:rsidRPr="0032184D">
        <w:rPr>
          <w:rFonts w:ascii="Times New Roman" w:hAnsi="Times New Roman" w:cs="Times New Roman"/>
          <w:i/>
          <w:sz w:val="28"/>
          <w:szCs w:val="28"/>
        </w:rPr>
        <w:t xml:space="preserve">Keller </w:t>
      </w:r>
      <w:r w:rsidRPr="0032184D">
        <w:rPr>
          <w:rFonts w:ascii="Times New Roman" w:hAnsi="Times New Roman" w:cs="Times New Roman"/>
          <w:sz w:val="28"/>
          <w:szCs w:val="28"/>
        </w:rPr>
        <w:t>framework merely because they touch on topics of public interest or professional development.</w:t>
      </w:r>
      <w:r w:rsidR="00E74FF0">
        <w:rPr>
          <w:rFonts w:ascii="Times New Roman" w:hAnsi="Times New Roman" w:cs="Times New Roman"/>
          <w:sz w:val="28"/>
          <w:szCs w:val="28"/>
        </w:rPr>
        <w:t xml:space="preserve">  </w:t>
      </w:r>
      <w:r w:rsidRPr="0032184D">
        <w:rPr>
          <w:rFonts w:ascii="Times New Roman" w:hAnsi="Times New Roman" w:cs="Times New Roman"/>
          <w:sz w:val="28"/>
          <w:szCs w:val="28"/>
        </w:rPr>
        <w:t xml:space="preserve">In </w:t>
      </w:r>
      <w:r w:rsidRPr="0032184D">
        <w:rPr>
          <w:rFonts w:ascii="Times New Roman" w:hAnsi="Times New Roman" w:cs="Times New Roman"/>
          <w:i/>
          <w:sz w:val="28"/>
          <w:szCs w:val="28"/>
        </w:rPr>
        <w:t>Schell</w:t>
      </w:r>
      <w:r w:rsidRPr="0032184D">
        <w:rPr>
          <w:rFonts w:ascii="Times New Roman" w:hAnsi="Times New Roman" w:cs="Times New Roman"/>
          <w:sz w:val="28"/>
          <w:szCs w:val="28"/>
        </w:rPr>
        <w:t xml:space="preserve">, for example, the Tenth Circuit found that </w:t>
      </w:r>
      <w:r w:rsidR="00E74FF0">
        <w:rPr>
          <w:rFonts w:ascii="Times New Roman" w:hAnsi="Times New Roman" w:cs="Times New Roman"/>
          <w:sz w:val="28"/>
          <w:szCs w:val="28"/>
        </w:rPr>
        <w:t xml:space="preserve">four </w:t>
      </w:r>
      <w:r w:rsidRPr="0032184D">
        <w:rPr>
          <w:rFonts w:ascii="Times New Roman" w:hAnsi="Times New Roman" w:cs="Times New Roman"/>
          <w:sz w:val="28"/>
          <w:szCs w:val="28"/>
        </w:rPr>
        <w:t xml:space="preserve">bar publications discussing </w:t>
      </w:r>
      <w:r w:rsidR="00E74FF0">
        <w:rPr>
          <w:rFonts w:ascii="Times New Roman" w:hAnsi="Times New Roman" w:cs="Times New Roman"/>
          <w:sz w:val="28"/>
          <w:szCs w:val="28"/>
        </w:rPr>
        <w:t xml:space="preserve">topics like the role of attorneys in the state legislature </w:t>
      </w:r>
      <w:r w:rsidRPr="0032184D">
        <w:rPr>
          <w:rFonts w:ascii="Times New Roman" w:hAnsi="Times New Roman" w:cs="Times New Roman"/>
          <w:sz w:val="28"/>
          <w:szCs w:val="28"/>
        </w:rPr>
        <w:t xml:space="preserve">were germane to the improvement of legal services and attorney competence. </w:t>
      </w:r>
      <w:r w:rsidR="00E74FF0">
        <w:rPr>
          <w:rFonts w:ascii="Times New Roman" w:hAnsi="Times New Roman" w:cs="Times New Roman"/>
          <w:sz w:val="28"/>
          <w:szCs w:val="28"/>
        </w:rPr>
        <w:t xml:space="preserve"> </w:t>
      </w:r>
      <w:r w:rsidRPr="0032184D">
        <w:rPr>
          <w:rFonts w:ascii="Times New Roman" w:hAnsi="Times New Roman" w:cs="Times New Roman"/>
          <w:sz w:val="28"/>
          <w:szCs w:val="28"/>
        </w:rPr>
        <w:t xml:space="preserve">11 F.4th </w:t>
      </w:r>
      <w:r w:rsidR="00E74FF0">
        <w:rPr>
          <w:rFonts w:ascii="Times New Roman" w:hAnsi="Times New Roman" w:cs="Times New Roman"/>
          <w:sz w:val="28"/>
          <w:szCs w:val="28"/>
        </w:rPr>
        <w:t xml:space="preserve">at </w:t>
      </w:r>
      <w:r w:rsidRPr="0032184D">
        <w:rPr>
          <w:rFonts w:ascii="Times New Roman" w:hAnsi="Times New Roman" w:cs="Times New Roman"/>
          <w:sz w:val="28"/>
          <w:szCs w:val="28"/>
        </w:rPr>
        <w:t>119</w:t>
      </w:r>
      <w:r w:rsidR="00E74FF0">
        <w:rPr>
          <w:rFonts w:ascii="Times New Roman" w:hAnsi="Times New Roman" w:cs="Times New Roman"/>
          <w:sz w:val="28"/>
          <w:szCs w:val="28"/>
        </w:rPr>
        <w:t>3</w:t>
      </w:r>
      <w:r w:rsidRPr="0032184D">
        <w:rPr>
          <w:rFonts w:ascii="Times New Roman" w:hAnsi="Times New Roman" w:cs="Times New Roman"/>
          <w:sz w:val="28"/>
          <w:szCs w:val="28"/>
        </w:rPr>
        <w:t xml:space="preserve">. </w:t>
      </w:r>
      <w:r w:rsidR="00E74FF0">
        <w:rPr>
          <w:rFonts w:ascii="Times New Roman" w:hAnsi="Times New Roman" w:cs="Times New Roman"/>
          <w:sz w:val="28"/>
          <w:szCs w:val="28"/>
        </w:rPr>
        <w:t xml:space="preserve"> </w:t>
      </w:r>
      <w:r w:rsidRPr="0032184D">
        <w:rPr>
          <w:rFonts w:ascii="Times New Roman" w:hAnsi="Times New Roman" w:cs="Times New Roman"/>
          <w:sz w:val="28"/>
          <w:szCs w:val="28"/>
        </w:rPr>
        <w:t>As long as attorneys can seek refunds for non-germane expenditures, these activities remain within constitutional bounds.</w:t>
      </w:r>
    </w:p>
    <w:p w14:paraId="476A380E" w14:textId="3E2F4138" w:rsidR="0032184D" w:rsidRDefault="0032184D" w:rsidP="00433E1C">
      <w:pPr>
        <w:spacing w:after="0" w:line="480" w:lineRule="auto"/>
        <w:ind w:firstLine="720"/>
        <w:contextualSpacing/>
        <w:jc w:val="both"/>
        <w:rPr>
          <w:rFonts w:ascii="Times New Roman" w:hAnsi="Times New Roman" w:cs="Times New Roman"/>
          <w:sz w:val="28"/>
          <w:szCs w:val="28"/>
        </w:rPr>
      </w:pPr>
      <w:r w:rsidRPr="0032184D">
        <w:rPr>
          <w:rFonts w:ascii="Times New Roman" w:hAnsi="Times New Roman" w:cs="Times New Roman"/>
          <w:sz w:val="28"/>
          <w:szCs w:val="28"/>
        </w:rPr>
        <w:t xml:space="preserve">In short, Arizona’s integrated bar model is not an outlier—it reflects the prevailing legal approach endorsed by </w:t>
      </w:r>
      <w:r w:rsidR="0018121F">
        <w:rPr>
          <w:rFonts w:ascii="Times New Roman" w:hAnsi="Times New Roman" w:cs="Times New Roman"/>
          <w:sz w:val="28"/>
          <w:szCs w:val="28"/>
        </w:rPr>
        <w:t xml:space="preserve">multiple </w:t>
      </w:r>
      <w:r w:rsidRPr="0032184D">
        <w:rPr>
          <w:rFonts w:ascii="Times New Roman" w:hAnsi="Times New Roman" w:cs="Times New Roman"/>
          <w:sz w:val="28"/>
          <w:szCs w:val="28"/>
        </w:rPr>
        <w:t>court</w:t>
      </w:r>
      <w:r w:rsidR="0018121F">
        <w:rPr>
          <w:rFonts w:ascii="Times New Roman" w:hAnsi="Times New Roman" w:cs="Times New Roman"/>
          <w:sz w:val="28"/>
          <w:szCs w:val="28"/>
        </w:rPr>
        <w:t>s</w:t>
      </w:r>
      <w:r w:rsidRPr="0032184D">
        <w:rPr>
          <w:rFonts w:ascii="Times New Roman" w:hAnsi="Times New Roman" w:cs="Times New Roman"/>
          <w:sz w:val="28"/>
          <w:szCs w:val="28"/>
        </w:rPr>
        <w:t xml:space="preserve"> to consider this issue post-</w:t>
      </w:r>
      <w:r w:rsidRPr="0032184D">
        <w:rPr>
          <w:rFonts w:ascii="Times New Roman" w:hAnsi="Times New Roman" w:cs="Times New Roman"/>
          <w:i/>
          <w:sz w:val="28"/>
          <w:szCs w:val="28"/>
        </w:rPr>
        <w:t>Janus</w:t>
      </w:r>
      <w:r w:rsidRPr="0032184D">
        <w:rPr>
          <w:rFonts w:ascii="Times New Roman" w:hAnsi="Times New Roman" w:cs="Times New Roman"/>
          <w:sz w:val="28"/>
          <w:szCs w:val="28"/>
        </w:rPr>
        <w:t xml:space="preserve">. </w:t>
      </w:r>
      <w:r w:rsidR="00CD366C">
        <w:rPr>
          <w:rFonts w:ascii="Times New Roman" w:hAnsi="Times New Roman" w:cs="Times New Roman"/>
          <w:sz w:val="28"/>
          <w:szCs w:val="28"/>
        </w:rPr>
        <w:t xml:space="preserve"> </w:t>
      </w:r>
      <w:r w:rsidRPr="0032184D">
        <w:rPr>
          <w:rFonts w:ascii="Times New Roman" w:hAnsi="Times New Roman" w:cs="Times New Roman"/>
          <w:sz w:val="28"/>
          <w:szCs w:val="28"/>
        </w:rPr>
        <w:t xml:space="preserve">The claim that the Arizona Bar “ignores </w:t>
      </w:r>
      <w:r w:rsidRPr="0032184D">
        <w:rPr>
          <w:rFonts w:ascii="Times New Roman" w:hAnsi="Times New Roman" w:cs="Times New Roman"/>
          <w:i/>
          <w:sz w:val="28"/>
          <w:szCs w:val="28"/>
        </w:rPr>
        <w:t>Janus</w:t>
      </w:r>
      <w:r w:rsidRPr="0032184D">
        <w:rPr>
          <w:rFonts w:ascii="Times New Roman" w:hAnsi="Times New Roman" w:cs="Times New Roman"/>
          <w:sz w:val="28"/>
          <w:szCs w:val="28"/>
        </w:rPr>
        <w:t xml:space="preserve">” is both overstated and legally unsupported. </w:t>
      </w:r>
    </w:p>
    <w:p w14:paraId="6FD4BA69" w14:textId="1BE9C42F" w:rsidR="0032184D" w:rsidRDefault="00A70919" w:rsidP="0018121F">
      <w:pPr>
        <w:pStyle w:val="ListParagraph"/>
        <w:numPr>
          <w:ilvl w:val="0"/>
          <w:numId w:val="6"/>
        </w:numPr>
        <w:spacing w:after="0" w:line="240" w:lineRule="auto"/>
        <w:jc w:val="both"/>
        <w:rPr>
          <w:rFonts w:ascii="Times New Roman" w:hAnsi="Times New Roman" w:cs="Times New Roman"/>
          <w:b/>
          <w:sz w:val="28"/>
          <w:szCs w:val="28"/>
        </w:rPr>
      </w:pPr>
      <w:r w:rsidRPr="00432E6D">
        <w:rPr>
          <w:rFonts w:ascii="Times New Roman" w:hAnsi="Times New Roman" w:cs="Times New Roman"/>
          <w:b/>
          <w:sz w:val="28"/>
          <w:szCs w:val="28"/>
        </w:rPr>
        <w:t>Eliminating the Arizona Bar would harm the legal profession and the public</w:t>
      </w:r>
      <w:r w:rsidR="009045C1">
        <w:rPr>
          <w:rFonts w:ascii="Times New Roman" w:hAnsi="Times New Roman" w:cs="Times New Roman"/>
          <w:b/>
          <w:sz w:val="28"/>
          <w:szCs w:val="28"/>
        </w:rPr>
        <w:t>.</w:t>
      </w:r>
    </w:p>
    <w:p w14:paraId="39290105" w14:textId="77777777" w:rsidR="0018121F" w:rsidRDefault="0018121F" w:rsidP="0018121F">
      <w:pPr>
        <w:pStyle w:val="ListParagraph"/>
        <w:spacing w:after="0" w:line="240" w:lineRule="auto"/>
        <w:jc w:val="both"/>
        <w:rPr>
          <w:rFonts w:ascii="Times New Roman" w:hAnsi="Times New Roman" w:cs="Times New Roman"/>
          <w:b/>
          <w:sz w:val="28"/>
          <w:szCs w:val="28"/>
        </w:rPr>
      </w:pPr>
    </w:p>
    <w:p w14:paraId="1464C4DC" w14:textId="5AF1B345" w:rsidR="00432E6D" w:rsidRDefault="00432E6D" w:rsidP="00433E1C">
      <w:pPr>
        <w:spacing w:after="0" w:line="48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The proposed restructuring would significantly disrupt Arizona’s established system, impose unnecessary administrative burdens, and deprive the public and the legal community of essential services. </w:t>
      </w:r>
    </w:p>
    <w:p w14:paraId="0D3106FE" w14:textId="24DA1E42" w:rsidR="0032184D" w:rsidRDefault="009045C1" w:rsidP="0018121F">
      <w:pPr>
        <w:pStyle w:val="ListParagraph"/>
        <w:numPr>
          <w:ilvl w:val="0"/>
          <w:numId w:val="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The Petition’s proposed changes would disrupt</w:t>
      </w:r>
      <w:r w:rsidR="00432E6D" w:rsidRPr="00432E6D">
        <w:rPr>
          <w:rFonts w:ascii="Times New Roman" w:hAnsi="Times New Roman" w:cs="Times New Roman"/>
          <w:b/>
          <w:sz w:val="28"/>
          <w:szCs w:val="28"/>
        </w:rPr>
        <w:t xml:space="preserve"> regulation, increase costs, and </w:t>
      </w:r>
      <w:r>
        <w:rPr>
          <w:rFonts w:ascii="Times New Roman" w:hAnsi="Times New Roman" w:cs="Times New Roman"/>
          <w:b/>
          <w:sz w:val="28"/>
          <w:szCs w:val="28"/>
        </w:rPr>
        <w:t>decrease</w:t>
      </w:r>
      <w:r w:rsidR="00432E6D" w:rsidRPr="00432E6D">
        <w:rPr>
          <w:rFonts w:ascii="Times New Roman" w:hAnsi="Times New Roman" w:cs="Times New Roman"/>
          <w:b/>
          <w:sz w:val="28"/>
          <w:szCs w:val="28"/>
        </w:rPr>
        <w:t xml:space="preserve"> institutional expertise</w:t>
      </w:r>
      <w:r>
        <w:rPr>
          <w:rFonts w:ascii="Times New Roman" w:hAnsi="Times New Roman" w:cs="Times New Roman"/>
          <w:b/>
          <w:sz w:val="28"/>
          <w:szCs w:val="28"/>
        </w:rPr>
        <w:t>.</w:t>
      </w:r>
    </w:p>
    <w:p w14:paraId="343A8961" w14:textId="77777777" w:rsidR="0018121F" w:rsidRPr="00883319" w:rsidRDefault="0018121F" w:rsidP="0018121F">
      <w:pPr>
        <w:pStyle w:val="ListParagraph"/>
        <w:spacing w:after="0" w:line="240" w:lineRule="auto"/>
        <w:ind w:left="1800"/>
        <w:jc w:val="both"/>
        <w:rPr>
          <w:rFonts w:ascii="Times New Roman" w:hAnsi="Times New Roman" w:cs="Times New Roman"/>
          <w:b/>
          <w:sz w:val="28"/>
          <w:szCs w:val="28"/>
        </w:rPr>
      </w:pPr>
    </w:p>
    <w:p w14:paraId="20E8FB6B" w14:textId="57338A3D" w:rsidR="001906E9" w:rsidRDefault="001906E9" w:rsidP="00433E1C">
      <w:pPr>
        <w:spacing w:after="0" w:line="48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The Arizona Bar performs several important functions that go well beyond </w:t>
      </w:r>
      <w:r w:rsidR="00D412B1">
        <w:rPr>
          <w:rFonts w:ascii="Times New Roman" w:hAnsi="Times New Roman" w:cs="Times New Roman"/>
          <w:sz w:val="28"/>
          <w:szCs w:val="28"/>
        </w:rPr>
        <w:t xml:space="preserve">the bare minimum of </w:t>
      </w:r>
      <w:r>
        <w:rPr>
          <w:rFonts w:ascii="Times New Roman" w:hAnsi="Times New Roman" w:cs="Times New Roman"/>
          <w:sz w:val="28"/>
          <w:szCs w:val="28"/>
        </w:rPr>
        <w:t>attorney regulation and serve the broader interests of the legal system.  For example, under A.R.S.</w:t>
      </w:r>
      <w:r w:rsidRPr="001906E9">
        <w:rPr>
          <w:rFonts w:ascii="Times New Roman" w:hAnsi="Times New Roman" w:cs="Times New Roman"/>
          <w:color w:val="001D35"/>
          <w:sz w:val="28"/>
          <w:szCs w:val="28"/>
          <w:shd w:val="clear" w:color="auto" w:fill="FFFFFF"/>
        </w:rPr>
        <w:t xml:space="preserve"> §</w:t>
      </w:r>
      <w:r>
        <w:rPr>
          <w:rFonts w:ascii="Times New Roman" w:hAnsi="Times New Roman" w:cs="Times New Roman"/>
          <w:sz w:val="28"/>
          <w:szCs w:val="28"/>
        </w:rPr>
        <w:t xml:space="preserve"> 12-110(A), the bar acts as a formal advisory body to the Court and is regularly called upon to provide input on rulemaking.  Through its standing committees—such as civil, criminal, family law practice and procedure—the bar coordinates practitioner-driven proposals and updates to court rules.  State Bar of Arizona, Committees, </w:t>
      </w:r>
      <w:r w:rsidRPr="001906E9">
        <w:rPr>
          <w:rFonts w:ascii="Times New Roman" w:hAnsi="Times New Roman" w:cs="Times New Roman"/>
          <w:sz w:val="28"/>
          <w:szCs w:val="28"/>
        </w:rPr>
        <w:t>https://www.azbar.org/for-legal-professionals/communities/committees/</w:t>
      </w:r>
      <w:r>
        <w:rPr>
          <w:rFonts w:ascii="Times New Roman" w:hAnsi="Times New Roman" w:cs="Times New Roman"/>
          <w:sz w:val="28"/>
          <w:szCs w:val="28"/>
        </w:rPr>
        <w:t xml:space="preserve"> (last visited April 7, 2025).  It also oversees the Jury Instructions Committees, which play an important role in keeping Arizona’s civil and criminal jury instructions accurate and current.  </w:t>
      </w:r>
      <w:r w:rsidRPr="001906E9">
        <w:rPr>
          <w:rFonts w:ascii="Times New Roman" w:hAnsi="Times New Roman" w:cs="Times New Roman"/>
          <w:i/>
          <w:sz w:val="28"/>
          <w:szCs w:val="28"/>
        </w:rPr>
        <w:t>Id</w:t>
      </w:r>
      <w:r>
        <w:rPr>
          <w:rFonts w:ascii="Times New Roman" w:hAnsi="Times New Roman" w:cs="Times New Roman"/>
          <w:sz w:val="28"/>
          <w:szCs w:val="28"/>
        </w:rPr>
        <w:t>.</w:t>
      </w:r>
      <w:r w:rsidR="00BB5EA1">
        <w:rPr>
          <w:rFonts w:ascii="Times New Roman" w:hAnsi="Times New Roman" w:cs="Times New Roman"/>
          <w:sz w:val="28"/>
          <w:szCs w:val="28"/>
        </w:rPr>
        <w:t xml:space="preserve">  </w:t>
      </w:r>
      <w:r w:rsidR="00BB5EA1" w:rsidRPr="00432E6D">
        <w:rPr>
          <w:rFonts w:ascii="Times New Roman" w:hAnsi="Times New Roman" w:cs="Times New Roman"/>
          <w:sz w:val="28"/>
          <w:szCs w:val="28"/>
        </w:rPr>
        <w:t xml:space="preserve">Even Petitioners acknowledge that the </w:t>
      </w:r>
      <w:r w:rsidR="00BB5EA1">
        <w:rPr>
          <w:rFonts w:ascii="Times New Roman" w:hAnsi="Times New Roman" w:cs="Times New Roman"/>
          <w:sz w:val="28"/>
          <w:szCs w:val="28"/>
        </w:rPr>
        <w:t xml:space="preserve">Arizona </w:t>
      </w:r>
      <w:r w:rsidR="00BB5EA1" w:rsidRPr="00432E6D">
        <w:rPr>
          <w:rFonts w:ascii="Times New Roman" w:hAnsi="Times New Roman" w:cs="Times New Roman"/>
          <w:sz w:val="28"/>
          <w:szCs w:val="28"/>
        </w:rPr>
        <w:t xml:space="preserve">Bar currently performs substantial regulatory duties, including managing investigations, diversion agreements, and formal disciplinary proceedings. </w:t>
      </w:r>
      <w:r w:rsidR="0018121F">
        <w:rPr>
          <w:rFonts w:ascii="Times New Roman" w:hAnsi="Times New Roman" w:cs="Times New Roman"/>
          <w:sz w:val="28"/>
          <w:szCs w:val="28"/>
        </w:rPr>
        <w:t xml:space="preserve"> </w:t>
      </w:r>
      <w:r w:rsidR="00BB5EA1" w:rsidRPr="00432E6D">
        <w:rPr>
          <w:rFonts w:ascii="Times New Roman" w:hAnsi="Times New Roman" w:cs="Times New Roman"/>
          <w:i/>
          <w:sz w:val="28"/>
          <w:szCs w:val="28"/>
        </w:rPr>
        <w:t>See</w:t>
      </w:r>
      <w:r w:rsidR="00BB5EA1" w:rsidRPr="00432E6D">
        <w:rPr>
          <w:rFonts w:ascii="Times New Roman" w:hAnsi="Times New Roman" w:cs="Times New Roman"/>
          <w:sz w:val="28"/>
          <w:szCs w:val="28"/>
        </w:rPr>
        <w:t xml:space="preserve"> Petition at </w:t>
      </w:r>
      <w:r w:rsidR="00BB5EA1">
        <w:rPr>
          <w:rFonts w:ascii="Times New Roman" w:hAnsi="Times New Roman" w:cs="Times New Roman"/>
          <w:sz w:val="28"/>
          <w:szCs w:val="28"/>
        </w:rPr>
        <w:t>17</w:t>
      </w:r>
      <w:r w:rsidR="00BB5EA1" w:rsidRPr="00432E6D">
        <w:rPr>
          <w:rFonts w:ascii="Times New Roman" w:hAnsi="Times New Roman" w:cs="Times New Roman"/>
          <w:sz w:val="28"/>
          <w:szCs w:val="28"/>
        </w:rPr>
        <w:t>.</w:t>
      </w:r>
      <w:r w:rsidR="00BB5EA1">
        <w:rPr>
          <w:rFonts w:ascii="Times New Roman" w:hAnsi="Times New Roman" w:cs="Times New Roman"/>
          <w:sz w:val="28"/>
          <w:szCs w:val="28"/>
        </w:rPr>
        <w:t xml:space="preserve">  </w:t>
      </w:r>
    </w:p>
    <w:p w14:paraId="088E6589" w14:textId="4433CE03" w:rsidR="00432E6D" w:rsidRPr="00432E6D" w:rsidRDefault="00432E6D" w:rsidP="00433E1C">
      <w:pPr>
        <w:spacing w:after="0" w:line="480" w:lineRule="auto"/>
        <w:ind w:firstLine="720"/>
        <w:contextualSpacing/>
        <w:jc w:val="both"/>
        <w:rPr>
          <w:rFonts w:ascii="Times New Roman" w:hAnsi="Times New Roman" w:cs="Times New Roman"/>
          <w:sz w:val="28"/>
          <w:szCs w:val="28"/>
        </w:rPr>
      </w:pPr>
      <w:r w:rsidRPr="00432E6D">
        <w:rPr>
          <w:rFonts w:ascii="Times New Roman" w:hAnsi="Times New Roman" w:cs="Times New Roman"/>
          <w:sz w:val="28"/>
          <w:szCs w:val="28"/>
        </w:rPr>
        <w:t xml:space="preserve">Petitioners argue that the Supreme Court could absorb these duties with only modest structural adjustments. </w:t>
      </w:r>
      <w:r w:rsidR="00CD366C">
        <w:rPr>
          <w:rFonts w:ascii="Times New Roman" w:hAnsi="Times New Roman" w:cs="Times New Roman"/>
          <w:sz w:val="28"/>
          <w:szCs w:val="28"/>
        </w:rPr>
        <w:t xml:space="preserve"> </w:t>
      </w:r>
      <w:r w:rsidRPr="00432E6D">
        <w:rPr>
          <w:rFonts w:ascii="Times New Roman" w:hAnsi="Times New Roman" w:cs="Times New Roman"/>
          <w:i/>
          <w:sz w:val="28"/>
          <w:szCs w:val="28"/>
        </w:rPr>
        <w:t>Id</w:t>
      </w:r>
      <w:r w:rsidRPr="00432E6D">
        <w:rPr>
          <w:rFonts w:ascii="Times New Roman" w:hAnsi="Times New Roman" w:cs="Times New Roman"/>
          <w:sz w:val="28"/>
          <w:szCs w:val="28"/>
        </w:rPr>
        <w:t xml:space="preserve">. at </w:t>
      </w:r>
      <w:r w:rsidR="00BB5EA1">
        <w:rPr>
          <w:rFonts w:ascii="Times New Roman" w:hAnsi="Times New Roman" w:cs="Times New Roman"/>
          <w:sz w:val="28"/>
          <w:szCs w:val="28"/>
        </w:rPr>
        <w:t>17-18</w:t>
      </w:r>
      <w:r w:rsidRPr="00432E6D">
        <w:rPr>
          <w:rFonts w:ascii="Times New Roman" w:hAnsi="Times New Roman" w:cs="Times New Roman"/>
          <w:sz w:val="28"/>
          <w:szCs w:val="28"/>
        </w:rPr>
        <w:t>.</w:t>
      </w:r>
      <w:r w:rsidR="00BB5EA1">
        <w:rPr>
          <w:rFonts w:ascii="Times New Roman" w:hAnsi="Times New Roman" w:cs="Times New Roman"/>
          <w:sz w:val="28"/>
          <w:szCs w:val="28"/>
        </w:rPr>
        <w:t xml:space="preserve">  But f</w:t>
      </w:r>
      <w:r w:rsidR="00BB5EA1" w:rsidRPr="00432E6D">
        <w:rPr>
          <w:rFonts w:ascii="Times New Roman" w:hAnsi="Times New Roman" w:cs="Times New Roman"/>
          <w:sz w:val="28"/>
          <w:szCs w:val="28"/>
        </w:rPr>
        <w:t>ragmenting these responsibilities and transferring them to newly formed administrative units within the AOC would introduce unnecessary duplication, regulatory inconsistency, and delays.</w:t>
      </w:r>
      <w:r w:rsidR="00BB5EA1">
        <w:rPr>
          <w:rFonts w:ascii="Times New Roman" w:hAnsi="Times New Roman" w:cs="Times New Roman"/>
          <w:sz w:val="28"/>
          <w:szCs w:val="28"/>
        </w:rPr>
        <w:t xml:space="preserve">  </w:t>
      </w:r>
      <w:r w:rsidRPr="00432E6D">
        <w:rPr>
          <w:rFonts w:ascii="Times New Roman" w:hAnsi="Times New Roman" w:cs="Times New Roman"/>
          <w:sz w:val="28"/>
          <w:szCs w:val="28"/>
        </w:rPr>
        <w:t xml:space="preserve">Petitioners suggest reallocating the </w:t>
      </w:r>
      <w:r w:rsidR="00BB5EA1">
        <w:rPr>
          <w:rFonts w:ascii="Times New Roman" w:hAnsi="Times New Roman" w:cs="Times New Roman"/>
          <w:sz w:val="28"/>
          <w:szCs w:val="28"/>
        </w:rPr>
        <w:t xml:space="preserve">Arizona </w:t>
      </w:r>
      <w:r w:rsidRPr="00432E6D">
        <w:rPr>
          <w:rFonts w:ascii="Times New Roman" w:hAnsi="Times New Roman" w:cs="Times New Roman"/>
          <w:sz w:val="28"/>
          <w:szCs w:val="28"/>
        </w:rPr>
        <w:t xml:space="preserve">Bar’s $15 million budget to support the </w:t>
      </w:r>
      <w:bookmarkStart w:id="1" w:name="_GoBack"/>
      <w:bookmarkEnd w:id="1"/>
      <w:r w:rsidR="00B46F75" w:rsidRPr="00432E6D">
        <w:rPr>
          <w:rFonts w:ascii="Times New Roman" w:hAnsi="Times New Roman" w:cs="Times New Roman"/>
          <w:sz w:val="28"/>
          <w:szCs w:val="28"/>
        </w:rPr>
        <w:t>transition</w:t>
      </w:r>
      <w:r w:rsidR="00B46F75">
        <w:rPr>
          <w:rFonts w:ascii="Times New Roman" w:hAnsi="Times New Roman" w:cs="Times New Roman"/>
          <w:sz w:val="28"/>
          <w:szCs w:val="28"/>
        </w:rPr>
        <w:t xml:space="preserve"> </w:t>
      </w:r>
      <w:r w:rsidR="00B46F75" w:rsidRPr="00432E6D">
        <w:rPr>
          <w:rFonts w:ascii="Times New Roman" w:hAnsi="Times New Roman" w:cs="Times New Roman"/>
          <w:sz w:val="28"/>
          <w:szCs w:val="28"/>
        </w:rPr>
        <w:lastRenderedPageBreak/>
        <w:t>(</w:t>
      </w:r>
      <w:r w:rsidRPr="00432E6D">
        <w:rPr>
          <w:rFonts w:ascii="Times New Roman" w:hAnsi="Times New Roman" w:cs="Times New Roman"/>
          <w:i/>
          <w:sz w:val="28"/>
          <w:szCs w:val="28"/>
        </w:rPr>
        <w:t>id</w:t>
      </w:r>
      <w:r w:rsidRPr="00432E6D">
        <w:rPr>
          <w:rFonts w:ascii="Times New Roman" w:hAnsi="Times New Roman" w:cs="Times New Roman"/>
          <w:sz w:val="28"/>
          <w:szCs w:val="28"/>
        </w:rPr>
        <w:t xml:space="preserve">. at </w:t>
      </w:r>
      <w:r w:rsidR="00BB5EA1">
        <w:rPr>
          <w:rFonts w:ascii="Times New Roman" w:hAnsi="Times New Roman" w:cs="Times New Roman"/>
          <w:sz w:val="28"/>
          <w:szCs w:val="28"/>
        </w:rPr>
        <w:t>15</w:t>
      </w:r>
      <w:r w:rsidR="00B46F75">
        <w:rPr>
          <w:rFonts w:ascii="Times New Roman" w:hAnsi="Times New Roman" w:cs="Times New Roman"/>
          <w:sz w:val="28"/>
          <w:szCs w:val="28"/>
        </w:rPr>
        <w:t>)</w:t>
      </w:r>
      <w:r w:rsidRPr="00432E6D">
        <w:rPr>
          <w:rFonts w:ascii="Times New Roman" w:hAnsi="Times New Roman" w:cs="Times New Roman"/>
          <w:sz w:val="28"/>
          <w:szCs w:val="28"/>
        </w:rPr>
        <w:t xml:space="preserve"> but provide no concrete plan to ensure those funds would be used efficiently or that service levels would be maintained, let alone improved.</w:t>
      </w:r>
    </w:p>
    <w:p w14:paraId="59D9DC96" w14:textId="1E51C1F3" w:rsidR="00432E6D" w:rsidRDefault="00432E6D" w:rsidP="00433E1C">
      <w:pPr>
        <w:spacing w:after="0" w:line="480" w:lineRule="auto"/>
        <w:ind w:firstLine="720"/>
        <w:contextualSpacing/>
        <w:jc w:val="both"/>
        <w:rPr>
          <w:rFonts w:ascii="Times New Roman" w:hAnsi="Times New Roman" w:cs="Times New Roman"/>
          <w:sz w:val="28"/>
          <w:szCs w:val="28"/>
        </w:rPr>
      </w:pPr>
      <w:r w:rsidRPr="00432E6D">
        <w:rPr>
          <w:rFonts w:ascii="Times New Roman" w:hAnsi="Times New Roman" w:cs="Times New Roman"/>
          <w:sz w:val="28"/>
          <w:szCs w:val="28"/>
        </w:rPr>
        <w:t xml:space="preserve">Moreover, the Petition fails to account for the institutional knowledge and specialized expertise held by the </w:t>
      </w:r>
      <w:r w:rsidR="00BB5EA1">
        <w:rPr>
          <w:rFonts w:ascii="Times New Roman" w:hAnsi="Times New Roman" w:cs="Times New Roman"/>
          <w:sz w:val="28"/>
          <w:szCs w:val="28"/>
        </w:rPr>
        <w:t>Arizona B</w:t>
      </w:r>
      <w:r w:rsidRPr="00432E6D">
        <w:rPr>
          <w:rFonts w:ascii="Times New Roman" w:hAnsi="Times New Roman" w:cs="Times New Roman"/>
          <w:sz w:val="28"/>
          <w:szCs w:val="28"/>
        </w:rPr>
        <w:t>ar’s current staff.</w:t>
      </w:r>
      <w:r w:rsidR="00BB5EA1">
        <w:rPr>
          <w:rFonts w:ascii="Times New Roman" w:hAnsi="Times New Roman" w:cs="Times New Roman"/>
          <w:sz w:val="28"/>
          <w:szCs w:val="28"/>
        </w:rPr>
        <w:t xml:space="preserve">  </w:t>
      </w:r>
      <w:r w:rsidRPr="00432E6D">
        <w:rPr>
          <w:rFonts w:ascii="Times New Roman" w:hAnsi="Times New Roman" w:cs="Times New Roman"/>
          <w:sz w:val="28"/>
          <w:szCs w:val="28"/>
        </w:rPr>
        <w:t xml:space="preserve">Eliminating the </w:t>
      </w:r>
      <w:r w:rsidR="00BB5EA1">
        <w:rPr>
          <w:rFonts w:ascii="Times New Roman" w:hAnsi="Times New Roman" w:cs="Times New Roman"/>
          <w:sz w:val="28"/>
          <w:szCs w:val="28"/>
        </w:rPr>
        <w:t xml:space="preserve">Arizona </w:t>
      </w:r>
      <w:r w:rsidRPr="00432E6D">
        <w:rPr>
          <w:rFonts w:ascii="Times New Roman" w:hAnsi="Times New Roman" w:cs="Times New Roman"/>
          <w:sz w:val="28"/>
          <w:szCs w:val="28"/>
        </w:rPr>
        <w:t xml:space="preserve">Bar would require not just reassignment of functions, but a complete rebuilding of personnel, processes, and institutional capacity—at great cost and with no guarantee of comparable quality. </w:t>
      </w:r>
      <w:r w:rsidR="00BB5EA1">
        <w:rPr>
          <w:rFonts w:ascii="Times New Roman" w:hAnsi="Times New Roman" w:cs="Times New Roman"/>
          <w:sz w:val="28"/>
          <w:szCs w:val="28"/>
        </w:rPr>
        <w:t xml:space="preserve"> </w:t>
      </w:r>
    </w:p>
    <w:p w14:paraId="57EB25F3" w14:textId="1C1FB8A1" w:rsidR="00432E6D" w:rsidRDefault="00432E6D" w:rsidP="0018121F">
      <w:pPr>
        <w:pStyle w:val="ListParagraph"/>
        <w:numPr>
          <w:ilvl w:val="0"/>
          <w:numId w:val="4"/>
        </w:numPr>
        <w:spacing w:after="0" w:line="240" w:lineRule="auto"/>
        <w:jc w:val="both"/>
        <w:rPr>
          <w:rFonts w:ascii="Times New Roman" w:hAnsi="Times New Roman" w:cs="Times New Roman"/>
          <w:b/>
          <w:sz w:val="28"/>
          <w:szCs w:val="28"/>
        </w:rPr>
      </w:pPr>
      <w:r w:rsidRPr="00432E6D">
        <w:rPr>
          <w:rFonts w:ascii="Times New Roman" w:hAnsi="Times New Roman" w:cs="Times New Roman"/>
          <w:b/>
          <w:sz w:val="28"/>
          <w:szCs w:val="28"/>
        </w:rPr>
        <w:t xml:space="preserve">Integrated bar disbandment </w:t>
      </w:r>
      <w:r>
        <w:rPr>
          <w:rFonts w:ascii="Times New Roman" w:hAnsi="Times New Roman" w:cs="Times New Roman"/>
          <w:b/>
          <w:sz w:val="28"/>
          <w:szCs w:val="28"/>
        </w:rPr>
        <w:t>jeopardizes essential services for the public and legal community</w:t>
      </w:r>
      <w:r w:rsidR="009045C1">
        <w:rPr>
          <w:rFonts w:ascii="Times New Roman" w:hAnsi="Times New Roman" w:cs="Times New Roman"/>
          <w:b/>
          <w:sz w:val="28"/>
          <w:szCs w:val="28"/>
        </w:rPr>
        <w:t>.</w:t>
      </w:r>
    </w:p>
    <w:p w14:paraId="384F87A3" w14:textId="77777777" w:rsidR="0018121F" w:rsidRDefault="0018121F" w:rsidP="0018121F">
      <w:pPr>
        <w:pStyle w:val="ListParagraph"/>
        <w:spacing w:after="0" w:line="240" w:lineRule="auto"/>
        <w:ind w:left="1800"/>
        <w:jc w:val="both"/>
        <w:rPr>
          <w:rFonts w:ascii="Times New Roman" w:hAnsi="Times New Roman" w:cs="Times New Roman"/>
          <w:b/>
          <w:sz w:val="28"/>
          <w:szCs w:val="28"/>
        </w:rPr>
      </w:pPr>
    </w:p>
    <w:p w14:paraId="20F33B0A" w14:textId="5EC78E29" w:rsidR="00BB5EA1" w:rsidRDefault="00FA68C9" w:rsidP="00433E1C">
      <w:pPr>
        <w:spacing w:after="0" w:line="480" w:lineRule="auto"/>
        <w:ind w:firstLine="720"/>
        <w:contextualSpacing/>
        <w:jc w:val="both"/>
        <w:rPr>
          <w:rFonts w:ascii="Times New Roman" w:hAnsi="Times New Roman" w:cs="Times New Roman"/>
          <w:sz w:val="28"/>
          <w:szCs w:val="28"/>
        </w:rPr>
      </w:pPr>
      <w:r w:rsidRPr="00331CCA">
        <w:rPr>
          <w:rFonts w:ascii="Times New Roman" w:hAnsi="Times New Roman" w:cs="Times New Roman"/>
          <w:sz w:val="28"/>
          <w:szCs w:val="28"/>
        </w:rPr>
        <w:t xml:space="preserve">Beyond its regulatory functions, the Arizona Bar provides a wide array of public-facing services that directly support both the legal profession and Arizona residents. </w:t>
      </w:r>
      <w:r w:rsidR="00BB5EA1">
        <w:rPr>
          <w:rFonts w:ascii="Times New Roman" w:hAnsi="Times New Roman" w:cs="Times New Roman"/>
          <w:sz w:val="28"/>
          <w:szCs w:val="28"/>
        </w:rPr>
        <w:t xml:space="preserve"> </w:t>
      </w:r>
      <w:r w:rsidRPr="00331CCA">
        <w:rPr>
          <w:rFonts w:ascii="Times New Roman" w:hAnsi="Times New Roman" w:cs="Times New Roman"/>
          <w:sz w:val="28"/>
          <w:szCs w:val="28"/>
        </w:rPr>
        <w:t>These include</w:t>
      </w:r>
      <w:r w:rsidR="00BB5EA1">
        <w:rPr>
          <w:rFonts w:ascii="Times New Roman" w:hAnsi="Times New Roman" w:cs="Times New Roman"/>
          <w:sz w:val="28"/>
          <w:szCs w:val="28"/>
        </w:rPr>
        <w:t xml:space="preserve"> hotlines</w:t>
      </w:r>
      <w:r w:rsidRPr="00331CCA">
        <w:rPr>
          <w:rFonts w:ascii="Times New Roman" w:hAnsi="Times New Roman" w:cs="Times New Roman"/>
          <w:sz w:val="28"/>
          <w:szCs w:val="28"/>
        </w:rPr>
        <w:t>, pro bono coordination with legal aid organizations, the Fee Arbitration Program for resolving attorney-client disputes without litigation, the Law Office Management Assistance Program (LOMAP) to assist lawyers with practice management, and a robust Client Protection Fund that reimburses clients harmed by attorney misconduct.</w:t>
      </w:r>
      <w:r w:rsidR="00BB5EA1">
        <w:rPr>
          <w:rFonts w:ascii="Times New Roman" w:hAnsi="Times New Roman" w:cs="Times New Roman"/>
          <w:sz w:val="28"/>
          <w:szCs w:val="28"/>
        </w:rPr>
        <w:t xml:space="preserve">  </w:t>
      </w:r>
      <w:r w:rsidR="00BB5EA1" w:rsidRPr="00BB5EA1">
        <w:rPr>
          <w:rFonts w:ascii="Times New Roman" w:hAnsi="Times New Roman" w:cs="Times New Roman"/>
          <w:i/>
          <w:sz w:val="28"/>
          <w:szCs w:val="28"/>
        </w:rPr>
        <w:t>See</w:t>
      </w:r>
      <w:r w:rsidR="00BB5EA1">
        <w:rPr>
          <w:rFonts w:ascii="Times New Roman" w:hAnsi="Times New Roman" w:cs="Times New Roman"/>
          <w:sz w:val="28"/>
          <w:szCs w:val="28"/>
        </w:rPr>
        <w:t xml:space="preserve"> State Bar of Arizona, Ethics Hotline, </w:t>
      </w:r>
      <w:hyperlink r:id="rId8" w:history="1">
        <w:r w:rsidR="00BB5EA1" w:rsidRPr="00057AD5">
          <w:rPr>
            <w:rStyle w:val="Hyperlink"/>
            <w:rFonts w:ascii="Times New Roman" w:hAnsi="Times New Roman" w:cs="Times New Roman"/>
            <w:sz w:val="28"/>
            <w:szCs w:val="28"/>
          </w:rPr>
          <w:t>https://www.azbar.org/for-legal-professionals/ethics/ethics-hotline/</w:t>
        </w:r>
      </w:hyperlink>
      <w:r w:rsidR="00BB5EA1">
        <w:rPr>
          <w:rFonts w:ascii="Times New Roman" w:hAnsi="Times New Roman" w:cs="Times New Roman"/>
          <w:sz w:val="28"/>
          <w:szCs w:val="28"/>
        </w:rPr>
        <w:t xml:space="preserve"> (last visited April 7, 2025)</w:t>
      </w:r>
      <w:r w:rsidR="000F57C2">
        <w:rPr>
          <w:rFonts w:ascii="Times New Roman" w:hAnsi="Times New Roman" w:cs="Times New Roman"/>
          <w:sz w:val="28"/>
          <w:szCs w:val="28"/>
        </w:rPr>
        <w:t xml:space="preserve">; Pro Bono Arizona, Arizona Bar Foundation and State Bar of Arizona Volunteer Programs, </w:t>
      </w:r>
      <w:hyperlink r:id="rId9" w:history="1">
        <w:r w:rsidR="000F57C2" w:rsidRPr="00057AD5">
          <w:rPr>
            <w:rStyle w:val="Hyperlink"/>
            <w:rFonts w:ascii="Times New Roman" w:hAnsi="Times New Roman" w:cs="Times New Roman"/>
            <w:sz w:val="28"/>
            <w:szCs w:val="28"/>
          </w:rPr>
          <w:t>https://probono.azbf.org/for-attorneys/bar-association</w:t>
        </w:r>
      </w:hyperlink>
      <w:r w:rsidR="000F57C2">
        <w:rPr>
          <w:rFonts w:ascii="Times New Roman" w:hAnsi="Times New Roman" w:cs="Times New Roman"/>
          <w:sz w:val="28"/>
          <w:szCs w:val="28"/>
        </w:rPr>
        <w:t xml:space="preserve"> (last visited April 7, 2025); State Bar of Arizona, Client Protection Fund, </w:t>
      </w:r>
      <w:hyperlink r:id="rId10" w:history="1">
        <w:r w:rsidR="000F57C2" w:rsidRPr="00057AD5">
          <w:rPr>
            <w:rStyle w:val="Hyperlink"/>
            <w:rFonts w:ascii="Times New Roman" w:hAnsi="Times New Roman" w:cs="Times New Roman"/>
            <w:sz w:val="28"/>
            <w:szCs w:val="28"/>
          </w:rPr>
          <w:t>https://www.azbar.org/for-the-public/client-protection-fund/</w:t>
        </w:r>
      </w:hyperlink>
      <w:r w:rsidR="000F57C2">
        <w:rPr>
          <w:rFonts w:ascii="Times New Roman" w:hAnsi="Times New Roman" w:cs="Times New Roman"/>
          <w:sz w:val="28"/>
          <w:szCs w:val="28"/>
        </w:rPr>
        <w:t xml:space="preserve"> (last visited April 7, </w:t>
      </w:r>
      <w:r w:rsidR="000F57C2">
        <w:rPr>
          <w:rFonts w:ascii="Times New Roman" w:hAnsi="Times New Roman" w:cs="Times New Roman"/>
          <w:sz w:val="28"/>
          <w:szCs w:val="28"/>
        </w:rPr>
        <w:lastRenderedPageBreak/>
        <w:t xml:space="preserve">2025); State Bar of Arizona, Fee Arbitration Program, </w:t>
      </w:r>
      <w:hyperlink r:id="rId11" w:history="1">
        <w:r w:rsidR="000F57C2" w:rsidRPr="00057AD5">
          <w:rPr>
            <w:rStyle w:val="Hyperlink"/>
            <w:rFonts w:ascii="Times New Roman" w:hAnsi="Times New Roman" w:cs="Times New Roman"/>
            <w:sz w:val="28"/>
            <w:szCs w:val="28"/>
          </w:rPr>
          <w:t>https://www.azbar.org/for-the-public/fee-arbitration/</w:t>
        </w:r>
      </w:hyperlink>
      <w:r w:rsidR="000F57C2">
        <w:rPr>
          <w:rFonts w:ascii="Times New Roman" w:hAnsi="Times New Roman" w:cs="Times New Roman"/>
          <w:sz w:val="28"/>
          <w:szCs w:val="28"/>
        </w:rPr>
        <w:t xml:space="preserve"> (last visited April 7, 2025); State Bar of Arizona, LOMAP, </w:t>
      </w:r>
      <w:r w:rsidR="000F57C2" w:rsidRPr="000F57C2">
        <w:rPr>
          <w:rFonts w:ascii="Times New Roman" w:hAnsi="Times New Roman" w:cs="Times New Roman"/>
          <w:sz w:val="28"/>
          <w:szCs w:val="28"/>
        </w:rPr>
        <w:t>https://www.azbar.org/for-legal-professionals/lawyer-regulation/compliance-with-probation-diversion/</w:t>
      </w:r>
      <w:r w:rsidR="000F57C2">
        <w:rPr>
          <w:rFonts w:ascii="Times New Roman" w:hAnsi="Times New Roman" w:cs="Times New Roman"/>
          <w:sz w:val="28"/>
          <w:szCs w:val="28"/>
        </w:rPr>
        <w:t xml:space="preserve"> (last visited April 7, 2025)</w:t>
      </w:r>
      <w:r w:rsidR="009045C1">
        <w:rPr>
          <w:rFonts w:ascii="Times New Roman" w:hAnsi="Times New Roman" w:cs="Times New Roman"/>
          <w:sz w:val="28"/>
          <w:szCs w:val="28"/>
        </w:rPr>
        <w:t>.</w:t>
      </w:r>
    </w:p>
    <w:p w14:paraId="17EA20F4" w14:textId="30B0A1DD" w:rsidR="0032184D" w:rsidRDefault="00FA68C9" w:rsidP="00433E1C">
      <w:pPr>
        <w:spacing w:after="0" w:line="480" w:lineRule="auto"/>
        <w:ind w:firstLine="720"/>
        <w:contextualSpacing/>
        <w:jc w:val="both"/>
        <w:rPr>
          <w:rFonts w:ascii="Times New Roman" w:hAnsi="Times New Roman" w:cs="Times New Roman"/>
          <w:sz w:val="28"/>
          <w:szCs w:val="28"/>
        </w:rPr>
      </w:pPr>
      <w:r w:rsidRPr="00331CCA">
        <w:rPr>
          <w:rFonts w:ascii="Times New Roman" w:hAnsi="Times New Roman" w:cs="Times New Roman"/>
          <w:sz w:val="28"/>
          <w:szCs w:val="28"/>
        </w:rPr>
        <w:t>The Bar also administers mentorship initiatives, provides guidance on legal ethics, and regularly engages in public education and outreach efforts.</w:t>
      </w:r>
      <w:r>
        <w:rPr>
          <w:rFonts w:ascii="Times New Roman" w:hAnsi="Times New Roman" w:cs="Times New Roman"/>
          <w:sz w:val="28"/>
          <w:szCs w:val="28"/>
        </w:rPr>
        <w:t xml:space="preserve"> </w:t>
      </w:r>
      <w:r w:rsidR="000F57C2">
        <w:rPr>
          <w:rFonts w:ascii="Times New Roman" w:hAnsi="Times New Roman" w:cs="Times New Roman"/>
          <w:sz w:val="28"/>
          <w:szCs w:val="28"/>
        </w:rPr>
        <w:t xml:space="preserve"> </w:t>
      </w:r>
      <w:r w:rsidRPr="000F57C2">
        <w:rPr>
          <w:rFonts w:ascii="Times New Roman" w:hAnsi="Times New Roman" w:cs="Times New Roman"/>
          <w:i/>
          <w:sz w:val="28"/>
          <w:szCs w:val="28"/>
        </w:rPr>
        <w:t>See</w:t>
      </w:r>
      <w:r>
        <w:rPr>
          <w:rFonts w:ascii="Times New Roman" w:hAnsi="Times New Roman" w:cs="Times New Roman"/>
          <w:sz w:val="28"/>
          <w:szCs w:val="28"/>
        </w:rPr>
        <w:t xml:space="preserve"> </w:t>
      </w:r>
      <w:r w:rsidRPr="001823EF">
        <w:rPr>
          <w:rFonts w:ascii="Times New Roman" w:hAnsi="Times New Roman" w:cs="Times New Roman"/>
          <w:sz w:val="28"/>
          <w:szCs w:val="28"/>
        </w:rPr>
        <w:t>State Bar of Arizona, 2023 Annual Report, https://www.azbar.org/about-us/annual-report/ (last visited April 7, 2025)</w:t>
      </w:r>
      <w:r>
        <w:rPr>
          <w:rFonts w:ascii="Times New Roman" w:hAnsi="Times New Roman" w:cs="Times New Roman"/>
          <w:sz w:val="28"/>
          <w:szCs w:val="28"/>
        </w:rPr>
        <w:t xml:space="preserve"> (highlighting the ethics hotline</w:t>
      </w:r>
      <w:r w:rsidR="00D412B1">
        <w:rPr>
          <w:rFonts w:ascii="Times New Roman" w:hAnsi="Times New Roman" w:cs="Times New Roman"/>
          <w:sz w:val="28"/>
          <w:szCs w:val="28"/>
        </w:rPr>
        <w:t xml:space="preserve"> </w:t>
      </w:r>
      <w:r>
        <w:rPr>
          <w:rFonts w:ascii="Times New Roman" w:hAnsi="Times New Roman" w:cs="Times New Roman"/>
          <w:sz w:val="28"/>
          <w:szCs w:val="28"/>
        </w:rPr>
        <w:t>and pro bono partnerships</w:t>
      </w:r>
      <w:r w:rsidR="00D412B1">
        <w:rPr>
          <w:rFonts w:ascii="Times New Roman" w:hAnsi="Times New Roman" w:cs="Times New Roman"/>
          <w:sz w:val="28"/>
          <w:szCs w:val="28"/>
        </w:rPr>
        <w:t>, among other things</w:t>
      </w:r>
      <w:r>
        <w:rPr>
          <w:rFonts w:ascii="Times New Roman" w:hAnsi="Times New Roman" w:cs="Times New Roman"/>
          <w:sz w:val="28"/>
          <w:szCs w:val="28"/>
        </w:rPr>
        <w:t xml:space="preserve">). </w:t>
      </w:r>
      <w:r w:rsidR="000F57C2">
        <w:rPr>
          <w:rFonts w:ascii="Times New Roman" w:hAnsi="Times New Roman" w:cs="Times New Roman"/>
          <w:sz w:val="28"/>
          <w:szCs w:val="28"/>
        </w:rPr>
        <w:t xml:space="preserve"> </w:t>
      </w:r>
      <w:r w:rsidRPr="00331CCA">
        <w:rPr>
          <w:rFonts w:ascii="Times New Roman" w:hAnsi="Times New Roman" w:cs="Times New Roman"/>
          <w:sz w:val="28"/>
          <w:szCs w:val="28"/>
        </w:rPr>
        <w:t>These programs serve a dual purpose: they support attorneys in maintaining ethical, competent practices and ensure that the public has access to legal assistance and professional accountability mechanisms.</w:t>
      </w:r>
      <w:r w:rsidR="000F57C2">
        <w:rPr>
          <w:rFonts w:ascii="Times New Roman" w:hAnsi="Times New Roman" w:cs="Times New Roman"/>
          <w:sz w:val="28"/>
          <w:szCs w:val="28"/>
        </w:rPr>
        <w:t xml:space="preserve">  </w:t>
      </w:r>
      <w:r w:rsidRPr="00331CCA">
        <w:rPr>
          <w:rFonts w:ascii="Times New Roman" w:hAnsi="Times New Roman" w:cs="Times New Roman"/>
          <w:sz w:val="28"/>
          <w:szCs w:val="28"/>
        </w:rPr>
        <w:t xml:space="preserve">Their impact extends to underserved communities that rely on pro bono legal services coordinated or promoted by the </w:t>
      </w:r>
      <w:r w:rsidR="000F57C2">
        <w:rPr>
          <w:rFonts w:ascii="Times New Roman" w:hAnsi="Times New Roman" w:cs="Times New Roman"/>
          <w:sz w:val="28"/>
          <w:szCs w:val="28"/>
        </w:rPr>
        <w:t xml:space="preserve">Arizona </w:t>
      </w:r>
      <w:r w:rsidRPr="00331CCA">
        <w:rPr>
          <w:rFonts w:ascii="Times New Roman" w:hAnsi="Times New Roman" w:cs="Times New Roman"/>
          <w:sz w:val="28"/>
          <w:szCs w:val="28"/>
        </w:rPr>
        <w:t>Bar, as well as to clients seeking resolution of fee disputes or restitution for attorney misconduct.</w:t>
      </w:r>
    </w:p>
    <w:p w14:paraId="274A1F08" w14:textId="660EA818" w:rsidR="009816F3" w:rsidRDefault="00FA68C9" w:rsidP="00034C1E">
      <w:pPr>
        <w:spacing w:after="0" w:line="480" w:lineRule="auto"/>
        <w:ind w:firstLine="720"/>
        <w:contextualSpacing/>
        <w:jc w:val="both"/>
        <w:rPr>
          <w:rFonts w:ascii="Times New Roman" w:hAnsi="Times New Roman" w:cs="Times New Roman"/>
          <w:sz w:val="28"/>
          <w:szCs w:val="28"/>
        </w:rPr>
      </w:pPr>
      <w:r w:rsidRPr="00331CCA">
        <w:rPr>
          <w:rFonts w:ascii="Times New Roman" w:hAnsi="Times New Roman" w:cs="Times New Roman"/>
          <w:sz w:val="28"/>
          <w:szCs w:val="28"/>
        </w:rPr>
        <w:t xml:space="preserve">Petitioners contend that a voluntary bar could continue offering these services. </w:t>
      </w:r>
      <w:r w:rsidRPr="00FA68C9">
        <w:rPr>
          <w:rFonts w:ascii="Times New Roman" w:hAnsi="Times New Roman" w:cs="Times New Roman"/>
          <w:i/>
          <w:sz w:val="28"/>
          <w:szCs w:val="28"/>
        </w:rPr>
        <w:t>See</w:t>
      </w:r>
      <w:r w:rsidRPr="00331CCA">
        <w:rPr>
          <w:rFonts w:ascii="Times New Roman" w:hAnsi="Times New Roman" w:cs="Times New Roman"/>
          <w:sz w:val="28"/>
          <w:szCs w:val="28"/>
        </w:rPr>
        <w:t xml:space="preserve"> Petition at </w:t>
      </w:r>
      <w:r w:rsidR="000F57C2">
        <w:rPr>
          <w:rFonts w:ascii="Times New Roman" w:hAnsi="Times New Roman" w:cs="Times New Roman"/>
          <w:sz w:val="28"/>
          <w:szCs w:val="28"/>
        </w:rPr>
        <w:t>20</w:t>
      </w:r>
      <w:r w:rsidRPr="00331CCA">
        <w:rPr>
          <w:rFonts w:ascii="Times New Roman" w:hAnsi="Times New Roman" w:cs="Times New Roman"/>
          <w:sz w:val="28"/>
          <w:szCs w:val="28"/>
        </w:rPr>
        <w:t>.</w:t>
      </w:r>
      <w:r w:rsidR="000F57C2">
        <w:rPr>
          <w:rFonts w:ascii="Times New Roman" w:hAnsi="Times New Roman" w:cs="Times New Roman"/>
          <w:sz w:val="28"/>
          <w:szCs w:val="28"/>
        </w:rPr>
        <w:t xml:space="preserve">  </w:t>
      </w:r>
      <w:r w:rsidRPr="00331CCA">
        <w:rPr>
          <w:rFonts w:ascii="Times New Roman" w:hAnsi="Times New Roman" w:cs="Times New Roman"/>
          <w:sz w:val="28"/>
          <w:szCs w:val="28"/>
        </w:rPr>
        <w:t>However, they provide no realistic plan for sustaining these programs, nor any financial analysis to show how a voluntary bar—dependent on optional dues—would have the capacity or incentive to maintain them at current levels.</w:t>
      </w:r>
      <w:r w:rsidR="00433E1C">
        <w:rPr>
          <w:rFonts w:ascii="Times New Roman" w:hAnsi="Times New Roman" w:cs="Times New Roman"/>
          <w:sz w:val="28"/>
          <w:szCs w:val="28"/>
        </w:rPr>
        <w:t xml:space="preserve">  </w:t>
      </w:r>
      <w:r w:rsidRPr="00331CCA">
        <w:rPr>
          <w:rFonts w:ascii="Times New Roman" w:hAnsi="Times New Roman" w:cs="Times New Roman"/>
          <w:sz w:val="28"/>
          <w:szCs w:val="28"/>
        </w:rPr>
        <w:t xml:space="preserve">The continued success of these programs in Arizona depends on stable funding, organizational infrastructure, and integration with the </w:t>
      </w:r>
      <w:r w:rsidR="00433E1C">
        <w:rPr>
          <w:rFonts w:ascii="Times New Roman" w:hAnsi="Times New Roman" w:cs="Times New Roman"/>
          <w:sz w:val="28"/>
          <w:szCs w:val="28"/>
        </w:rPr>
        <w:t xml:space="preserve">Arizona </w:t>
      </w:r>
      <w:r w:rsidRPr="00331CCA">
        <w:rPr>
          <w:rFonts w:ascii="Times New Roman" w:hAnsi="Times New Roman" w:cs="Times New Roman"/>
          <w:sz w:val="28"/>
          <w:szCs w:val="28"/>
        </w:rPr>
        <w:t xml:space="preserve">Bar’s </w:t>
      </w:r>
      <w:r w:rsidRPr="00331CCA">
        <w:rPr>
          <w:rFonts w:ascii="Times New Roman" w:hAnsi="Times New Roman" w:cs="Times New Roman"/>
          <w:sz w:val="28"/>
          <w:szCs w:val="28"/>
        </w:rPr>
        <w:lastRenderedPageBreak/>
        <w:t>regulatory and educational functions—all of which would be disrupted, if not dismantled, under the proposed rule change.</w:t>
      </w:r>
    </w:p>
    <w:p w14:paraId="027B00AE" w14:textId="77777777" w:rsidR="009816F3" w:rsidRDefault="009816F3" w:rsidP="009816F3">
      <w:pPr>
        <w:pStyle w:val="AGBriefBody"/>
        <w:ind w:firstLine="0"/>
        <w:jc w:val="center"/>
        <w:rPr>
          <w:b/>
        </w:rPr>
      </w:pPr>
      <w:r w:rsidRPr="00565862">
        <w:rPr>
          <w:b/>
        </w:rPr>
        <w:t>Conclusion</w:t>
      </w:r>
    </w:p>
    <w:p w14:paraId="43D5B621" w14:textId="402B2C15" w:rsidR="009816F3" w:rsidRPr="005414A7" w:rsidRDefault="009816F3" w:rsidP="009816F3">
      <w:pPr>
        <w:pStyle w:val="AGBriefBody"/>
      </w:pPr>
      <w:r>
        <w:t xml:space="preserve">For these reasons, the </w:t>
      </w:r>
      <w:r w:rsidR="00306C50">
        <w:t xml:space="preserve">Office </w:t>
      </w:r>
      <w:r>
        <w:t xml:space="preserve">opposes the </w:t>
      </w:r>
      <w:r w:rsidR="00306C50">
        <w:t>Petition.</w:t>
      </w:r>
      <w:r>
        <w:t xml:space="preserve"> </w:t>
      </w:r>
    </w:p>
    <w:p w14:paraId="78B8DC31" w14:textId="0B810A37" w:rsidR="009816F3" w:rsidRDefault="009816F3" w:rsidP="009816F3">
      <w:pPr>
        <w:pStyle w:val="AGBriefBody"/>
      </w:pPr>
      <w:r w:rsidRPr="00565862">
        <w:t>Respectfully submitted on</w:t>
      </w:r>
      <w:r>
        <w:t xml:space="preserve"> </w:t>
      </w:r>
      <w:r w:rsidR="00DB082B">
        <w:t>April 28</w:t>
      </w:r>
      <w:r>
        <w:t xml:space="preserve">, </w:t>
      </w:r>
      <w:r w:rsidRPr="00565862">
        <w:t>202</w:t>
      </w:r>
      <w:r>
        <w:t>5</w:t>
      </w:r>
      <w:r w:rsidRPr="00565862">
        <w:t>.</w:t>
      </w:r>
    </w:p>
    <w:p w14:paraId="66E42A3A" w14:textId="3C3C36B7" w:rsidR="009816F3" w:rsidRPr="00350EE4" w:rsidRDefault="009816F3" w:rsidP="009816F3">
      <w:pPr>
        <w:pStyle w:val="AGBriefBody"/>
        <w:spacing w:line="240" w:lineRule="auto"/>
        <w:jc w:val="left"/>
        <w:rPr>
          <w:color w:val="FFFFFF"/>
          <w:u w:val="single"/>
        </w:rPr>
      </w:pPr>
      <w:r>
        <w:tab/>
      </w:r>
      <w:r>
        <w:tab/>
      </w:r>
      <w:r>
        <w:tab/>
      </w:r>
      <w:r>
        <w:tab/>
      </w:r>
      <w:r>
        <w:tab/>
      </w:r>
      <w:r>
        <w:tab/>
      </w:r>
      <w:r>
        <w:rPr>
          <w:u w:val="single"/>
        </w:rPr>
        <w:t xml:space="preserve">/s/ </w:t>
      </w:r>
      <w:r w:rsidR="007F19FF">
        <w:rPr>
          <w:u w:val="single"/>
        </w:rPr>
        <w:t>Gabriela Monico</w:t>
      </w:r>
      <w:r>
        <w:rPr>
          <w:u w:val="single"/>
        </w:rPr>
        <w:t xml:space="preserve">                  </w:t>
      </w:r>
    </w:p>
    <w:p w14:paraId="5A34D899" w14:textId="7A337727" w:rsidR="009816F3" w:rsidRDefault="00DB082B" w:rsidP="00DB082B">
      <w:pPr>
        <w:pStyle w:val="AGBriefBody"/>
        <w:tabs>
          <w:tab w:val="left" w:pos="5040"/>
        </w:tabs>
        <w:spacing w:line="240" w:lineRule="auto"/>
      </w:pPr>
      <w:r>
        <w:tab/>
      </w:r>
      <w:r w:rsidR="007F19FF">
        <w:t>Gabriela Monico</w:t>
      </w:r>
      <w:r w:rsidR="009816F3">
        <w:t xml:space="preserve"> (No. </w:t>
      </w:r>
      <w:r w:rsidR="007F19FF">
        <w:t>039652</w:t>
      </w:r>
      <w:r w:rsidR="009816F3">
        <w:t>)</w:t>
      </w:r>
    </w:p>
    <w:p w14:paraId="723A5328" w14:textId="101D4878" w:rsidR="00DB082B" w:rsidRPr="00B738B2" w:rsidRDefault="00DB082B" w:rsidP="00DB082B">
      <w:pPr>
        <w:widowControl w:val="0"/>
        <w:spacing w:after="0" w:line="240" w:lineRule="auto"/>
        <w:jc w:val="both"/>
        <w:rPr>
          <w:rFonts w:ascii="Times New Roman" w:eastAsia="Times New Roman" w:hAnsi="Times New Roman" w:cs="Arial"/>
          <w:sz w:val="28"/>
          <w:szCs w:val="28"/>
        </w:rPr>
      </w:pPr>
      <w:r>
        <w:tab/>
      </w:r>
      <w:r>
        <w:tab/>
      </w:r>
      <w:r>
        <w:tab/>
      </w:r>
      <w:r>
        <w:tab/>
      </w:r>
      <w:r>
        <w:tab/>
      </w:r>
      <w:r>
        <w:tab/>
      </w:r>
      <w:r>
        <w:tab/>
      </w:r>
      <w:r w:rsidRPr="00390CC6">
        <w:rPr>
          <w:rFonts w:ascii="Times New Roman" w:eastAsia="Times New Roman" w:hAnsi="Times New Roman" w:cs="Arial"/>
          <w:sz w:val="28"/>
          <w:szCs w:val="28"/>
        </w:rPr>
        <w:t>Hayleigh S. Crawford</w:t>
      </w:r>
      <w:r w:rsidRPr="00B738B2">
        <w:rPr>
          <w:rFonts w:ascii="Times New Roman" w:eastAsia="Times New Roman" w:hAnsi="Times New Roman" w:cs="Arial"/>
          <w:sz w:val="28"/>
          <w:szCs w:val="28"/>
        </w:rPr>
        <w:t xml:space="preserve"> (No.</w:t>
      </w:r>
      <w:r w:rsidRPr="00390CC6">
        <w:rPr>
          <w:rFonts w:ascii="Times New Roman" w:eastAsia="Times New Roman" w:hAnsi="Times New Roman" w:cs="Arial"/>
          <w:sz w:val="28"/>
          <w:szCs w:val="28"/>
        </w:rPr>
        <w:t xml:space="preserve"> 032326</w:t>
      </w:r>
      <w:r w:rsidRPr="00B738B2">
        <w:rPr>
          <w:rFonts w:ascii="Times New Roman" w:eastAsia="Times New Roman" w:hAnsi="Times New Roman" w:cs="Arial"/>
          <w:sz w:val="28"/>
          <w:szCs w:val="28"/>
        </w:rPr>
        <w:t>)</w:t>
      </w:r>
    </w:p>
    <w:p w14:paraId="32A5B515" w14:textId="1A20AA84" w:rsidR="00DB082B" w:rsidRDefault="00DB082B" w:rsidP="009816F3">
      <w:pPr>
        <w:pStyle w:val="AGBriefBody"/>
        <w:tabs>
          <w:tab w:val="left" w:pos="5760"/>
        </w:tabs>
        <w:spacing w:line="240" w:lineRule="auto"/>
      </w:pPr>
    </w:p>
    <w:p w14:paraId="35AE8041" w14:textId="77777777" w:rsidR="009816F3" w:rsidRPr="00FA68C9" w:rsidRDefault="009816F3" w:rsidP="009816F3">
      <w:pPr>
        <w:spacing w:after="0" w:line="240" w:lineRule="auto"/>
        <w:contextualSpacing/>
        <w:jc w:val="both"/>
        <w:rPr>
          <w:rFonts w:ascii="Times New Roman" w:hAnsi="Times New Roman" w:cs="Times New Roman"/>
          <w:sz w:val="28"/>
          <w:szCs w:val="28"/>
        </w:rPr>
      </w:pPr>
    </w:p>
    <w:p w14:paraId="00B12A56" w14:textId="77777777" w:rsidR="0032184D" w:rsidRPr="0032184D" w:rsidRDefault="0032184D" w:rsidP="00FA68C9">
      <w:pPr>
        <w:spacing w:after="0" w:line="240" w:lineRule="auto"/>
        <w:ind w:firstLine="720"/>
        <w:contextualSpacing/>
        <w:jc w:val="both"/>
        <w:rPr>
          <w:rFonts w:ascii="Times New Roman" w:hAnsi="Times New Roman" w:cs="Times New Roman"/>
          <w:sz w:val="28"/>
          <w:szCs w:val="28"/>
        </w:rPr>
      </w:pPr>
    </w:p>
    <w:p w14:paraId="731C1042" w14:textId="79A1F0D1" w:rsidR="00432E6D" w:rsidRDefault="00432E6D" w:rsidP="00FA68C9">
      <w:pPr>
        <w:spacing w:after="0" w:line="240" w:lineRule="auto"/>
        <w:ind w:firstLine="720"/>
        <w:jc w:val="both"/>
        <w:rPr>
          <w:rFonts w:ascii="Times New Roman" w:hAnsi="Times New Roman" w:cs="Times New Roman"/>
          <w:b/>
          <w:sz w:val="28"/>
          <w:szCs w:val="28"/>
        </w:rPr>
      </w:pPr>
    </w:p>
    <w:p w14:paraId="6D1A3C3A" w14:textId="77777777" w:rsidR="00432E6D" w:rsidRPr="00432E6D" w:rsidRDefault="00432E6D" w:rsidP="00432E6D">
      <w:pPr>
        <w:spacing w:after="0" w:line="240" w:lineRule="auto"/>
        <w:jc w:val="both"/>
        <w:rPr>
          <w:rFonts w:ascii="Times New Roman" w:hAnsi="Times New Roman" w:cs="Times New Roman"/>
          <w:b/>
          <w:sz w:val="28"/>
          <w:szCs w:val="28"/>
        </w:rPr>
      </w:pPr>
    </w:p>
    <w:p w14:paraId="7CD9A2E5" w14:textId="77777777" w:rsidR="00432E6D" w:rsidRPr="00432E6D" w:rsidRDefault="00432E6D" w:rsidP="00432E6D">
      <w:pPr>
        <w:spacing w:after="0" w:line="240" w:lineRule="auto"/>
        <w:jc w:val="both"/>
        <w:rPr>
          <w:rFonts w:ascii="Times New Roman" w:hAnsi="Times New Roman" w:cs="Times New Roman"/>
          <w:sz w:val="28"/>
          <w:szCs w:val="28"/>
        </w:rPr>
      </w:pPr>
    </w:p>
    <w:p w14:paraId="3A0EAA32" w14:textId="77777777" w:rsidR="00432E6D" w:rsidRPr="00432E6D" w:rsidRDefault="00432E6D" w:rsidP="00432E6D">
      <w:pPr>
        <w:spacing w:after="0" w:line="240" w:lineRule="auto"/>
        <w:contextualSpacing/>
        <w:jc w:val="both"/>
        <w:rPr>
          <w:rFonts w:ascii="Times New Roman" w:hAnsi="Times New Roman" w:cs="Times New Roman"/>
          <w:sz w:val="28"/>
          <w:szCs w:val="28"/>
        </w:rPr>
      </w:pPr>
    </w:p>
    <w:p w14:paraId="0E0226C8" w14:textId="77777777" w:rsidR="00C1048E" w:rsidRPr="00C1048E" w:rsidRDefault="00C1048E" w:rsidP="00C1048E">
      <w:pPr>
        <w:spacing w:after="0" w:line="240" w:lineRule="auto"/>
        <w:jc w:val="both"/>
        <w:rPr>
          <w:rFonts w:ascii="Times New Roman" w:hAnsi="Times New Roman" w:cs="Times New Roman"/>
          <w:b/>
          <w:sz w:val="28"/>
          <w:szCs w:val="28"/>
        </w:rPr>
      </w:pPr>
    </w:p>
    <w:p w14:paraId="6E20E1A8" w14:textId="77777777" w:rsidR="008B7537" w:rsidRPr="00A72C59" w:rsidRDefault="008B7537" w:rsidP="00A72C59">
      <w:pPr>
        <w:spacing w:after="0" w:line="240" w:lineRule="auto"/>
        <w:contextualSpacing/>
        <w:jc w:val="both"/>
        <w:rPr>
          <w:rFonts w:ascii="Times New Roman" w:hAnsi="Times New Roman" w:cs="Times New Roman"/>
        </w:rPr>
      </w:pPr>
    </w:p>
    <w:p w14:paraId="0BE685CA" w14:textId="11DCD54A" w:rsidR="00C225B7" w:rsidRPr="00A72C59" w:rsidRDefault="00D75315" w:rsidP="00A72C59">
      <w:pPr>
        <w:spacing w:after="0" w:line="240" w:lineRule="auto"/>
        <w:contextualSpacing/>
        <w:jc w:val="both"/>
        <w:rPr>
          <w:rFonts w:ascii="Times New Roman" w:hAnsi="Times New Roman" w:cs="Times New Roman"/>
        </w:rPr>
      </w:pPr>
    </w:p>
    <w:sectPr w:rsidR="00C225B7" w:rsidRPr="00A72C59" w:rsidSect="00352A88">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9F533" w14:textId="77777777" w:rsidR="00D75315" w:rsidRDefault="00D75315" w:rsidP="00D04F12">
      <w:pPr>
        <w:spacing w:after="0" w:line="240" w:lineRule="auto"/>
      </w:pPr>
      <w:r>
        <w:separator/>
      </w:r>
    </w:p>
  </w:endnote>
  <w:endnote w:type="continuationSeparator" w:id="0">
    <w:p w14:paraId="1AFB2E0E" w14:textId="77777777" w:rsidR="00D75315" w:rsidRDefault="00D75315" w:rsidP="00D04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135874"/>
      <w:docPartObj>
        <w:docPartGallery w:val="Page Numbers (Bottom of Page)"/>
        <w:docPartUnique/>
      </w:docPartObj>
    </w:sdtPr>
    <w:sdtEndPr>
      <w:rPr>
        <w:rFonts w:ascii="Times New Roman" w:hAnsi="Times New Roman" w:cs="Times New Roman"/>
        <w:noProof/>
        <w:sz w:val="24"/>
        <w:szCs w:val="24"/>
      </w:rPr>
    </w:sdtEndPr>
    <w:sdtContent>
      <w:p w14:paraId="7EBF6272" w14:textId="5B2142E2" w:rsidR="00D04F12" w:rsidRPr="00D04F12" w:rsidRDefault="00D04F12">
        <w:pPr>
          <w:pStyle w:val="Footer"/>
          <w:jc w:val="center"/>
          <w:rPr>
            <w:rFonts w:ascii="Times New Roman" w:hAnsi="Times New Roman" w:cs="Times New Roman"/>
            <w:sz w:val="24"/>
            <w:szCs w:val="24"/>
          </w:rPr>
        </w:pPr>
        <w:r w:rsidRPr="00D04F12">
          <w:rPr>
            <w:rFonts w:ascii="Times New Roman" w:hAnsi="Times New Roman" w:cs="Times New Roman"/>
            <w:sz w:val="24"/>
            <w:szCs w:val="24"/>
          </w:rPr>
          <w:fldChar w:fldCharType="begin"/>
        </w:r>
        <w:r w:rsidRPr="00D04F12">
          <w:rPr>
            <w:rFonts w:ascii="Times New Roman" w:hAnsi="Times New Roman" w:cs="Times New Roman"/>
            <w:sz w:val="24"/>
            <w:szCs w:val="24"/>
          </w:rPr>
          <w:instrText xml:space="preserve"> PAGE   \* MERGEFORMAT </w:instrText>
        </w:r>
        <w:r w:rsidRPr="00D04F12">
          <w:rPr>
            <w:rFonts w:ascii="Times New Roman" w:hAnsi="Times New Roman" w:cs="Times New Roman"/>
            <w:sz w:val="24"/>
            <w:szCs w:val="24"/>
          </w:rPr>
          <w:fldChar w:fldCharType="separate"/>
        </w:r>
        <w:r w:rsidRPr="00D04F12">
          <w:rPr>
            <w:rFonts w:ascii="Times New Roman" w:hAnsi="Times New Roman" w:cs="Times New Roman"/>
            <w:noProof/>
            <w:sz w:val="24"/>
            <w:szCs w:val="24"/>
          </w:rPr>
          <w:t>2</w:t>
        </w:r>
        <w:r w:rsidRPr="00D04F12">
          <w:rPr>
            <w:rFonts w:ascii="Times New Roman" w:hAnsi="Times New Roman" w:cs="Times New Roman"/>
            <w:noProof/>
            <w:sz w:val="24"/>
            <w:szCs w:val="24"/>
          </w:rPr>
          <w:fldChar w:fldCharType="end"/>
        </w:r>
      </w:p>
    </w:sdtContent>
  </w:sdt>
  <w:p w14:paraId="4BA365D6" w14:textId="77777777" w:rsidR="00D04F12" w:rsidRDefault="00D04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467E0" w14:textId="77777777" w:rsidR="00D75315" w:rsidRDefault="00D75315" w:rsidP="00D04F12">
      <w:pPr>
        <w:spacing w:after="0" w:line="240" w:lineRule="auto"/>
      </w:pPr>
      <w:r>
        <w:separator/>
      </w:r>
    </w:p>
  </w:footnote>
  <w:footnote w:type="continuationSeparator" w:id="0">
    <w:p w14:paraId="60B6A945" w14:textId="77777777" w:rsidR="00D75315" w:rsidRDefault="00D75315" w:rsidP="00D04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D053C"/>
    <w:multiLevelType w:val="hybridMultilevel"/>
    <w:tmpl w:val="D5501096"/>
    <w:lvl w:ilvl="0" w:tplc="14461ED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81EE8"/>
    <w:multiLevelType w:val="hybridMultilevel"/>
    <w:tmpl w:val="1528ED04"/>
    <w:lvl w:ilvl="0" w:tplc="34064C9A">
      <w:start w:val="1"/>
      <w:numFmt w:val="upperRoman"/>
      <w:lvlText w:val="%1."/>
      <w:lvlJc w:val="left"/>
      <w:pPr>
        <w:ind w:left="108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C240FC"/>
    <w:multiLevelType w:val="hybridMultilevel"/>
    <w:tmpl w:val="42EAA01C"/>
    <w:lvl w:ilvl="0" w:tplc="CFF4781C">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F7EEC"/>
    <w:multiLevelType w:val="hybridMultilevel"/>
    <w:tmpl w:val="380816B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6667F69"/>
    <w:multiLevelType w:val="hybridMultilevel"/>
    <w:tmpl w:val="E1146A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BB2287"/>
    <w:multiLevelType w:val="multilevel"/>
    <w:tmpl w:val="827E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B2"/>
    <w:rsid w:val="00034C1E"/>
    <w:rsid w:val="000665E6"/>
    <w:rsid w:val="0007345F"/>
    <w:rsid w:val="00076509"/>
    <w:rsid w:val="000A2582"/>
    <w:rsid w:val="000B03E7"/>
    <w:rsid w:val="000D3065"/>
    <w:rsid w:val="000D6699"/>
    <w:rsid w:val="000F57C2"/>
    <w:rsid w:val="00104B97"/>
    <w:rsid w:val="0018121F"/>
    <w:rsid w:val="001823EF"/>
    <w:rsid w:val="001906E9"/>
    <w:rsid w:val="001B1CA9"/>
    <w:rsid w:val="002107CB"/>
    <w:rsid w:val="00255373"/>
    <w:rsid w:val="0026398B"/>
    <w:rsid w:val="00271702"/>
    <w:rsid w:val="002F344B"/>
    <w:rsid w:val="002F74C4"/>
    <w:rsid w:val="00306C50"/>
    <w:rsid w:val="0032184D"/>
    <w:rsid w:val="00342641"/>
    <w:rsid w:val="003527B2"/>
    <w:rsid w:val="00352A88"/>
    <w:rsid w:val="00365CBD"/>
    <w:rsid w:val="003740AF"/>
    <w:rsid w:val="00390CC6"/>
    <w:rsid w:val="003B3404"/>
    <w:rsid w:val="003B5D28"/>
    <w:rsid w:val="003D63B4"/>
    <w:rsid w:val="00432E6D"/>
    <w:rsid w:val="00433E1C"/>
    <w:rsid w:val="004F321C"/>
    <w:rsid w:val="00502C1D"/>
    <w:rsid w:val="005159AB"/>
    <w:rsid w:val="00576B90"/>
    <w:rsid w:val="005A0A7D"/>
    <w:rsid w:val="005D5DE2"/>
    <w:rsid w:val="006211F7"/>
    <w:rsid w:val="006A66A1"/>
    <w:rsid w:val="006D0719"/>
    <w:rsid w:val="007036FD"/>
    <w:rsid w:val="007048E0"/>
    <w:rsid w:val="007449FF"/>
    <w:rsid w:val="007A068E"/>
    <w:rsid w:val="007A5BF1"/>
    <w:rsid w:val="007C5CC5"/>
    <w:rsid w:val="007D14C1"/>
    <w:rsid w:val="007F0BB2"/>
    <w:rsid w:val="007F19FF"/>
    <w:rsid w:val="00806803"/>
    <w:rsid w:val="00847D0E"/>
    <w:rsid w:val="00867303"/>
    <w:rsid w:val="00883319"/>
    <w:rsid w:val="008B7537"/>
    <w:rsid w:val="008F2A41"/>
    <w:rsid w:val="009045C1"/>
    <w:rsid w:val="009752FB"/>
    <w:rsid w:val="00980115"/>
    <w:rsid w:val="009816F3"/>
    <w:rsid w:val="00982527"/>
    <w:rsid w:val="009F5D9E"/>
    <w:rsid w:val="00A70919"/>
    <w:rsid w:val="00A72C59"/>
    <w:rsid w:val="00A84964"/>
    <w:rsid w:val="00A84BAA"/>
    <w:rsid w:val="00AA33D8"/>
    <w:rsid w:val="00AB4BBB"/>
    <w:rsid w:val="00AE600B"/>
    <w:rsid w:val="00AF4CED"/>
    <w:rsid w:val="00AF6E7D"/>
    <w:rsid w:val="00B42476"/>
    <w:rsid w:val="00B42D4E"/>
    <w:rsid w:val="00B46F75"/>
    <w:rsid w:val="00B62797"/>
    <w:rsid w:val="00B738B2"/>
    <w:rsid w:val="00BA0B23"/>
    <w:rsid w:val="00BB0BA1"/>
    <w:rsid w:val="00BB5EA1"/>
    <w:rsid w:val="00C015D9"/>
    <w:rsid w:val="00C1048E"/>
    <w:rsid w:val="00C340AB"/>
    <w:rsid w:val="00CC1A06"/>
    <w:rsid w:val="00CD366C"/>
    <w:rsid w:val="00CD5059"/>
    <w:rsid w:val="00CF5B1C"/>
    <w:rsid w:val="00D04437"/>
    <w:rsid w:val="00D04F12"/>
    <w:rsid w:val="00D20214"/>
    <w:rsid w:val="00D412B1"/>
    <w:rsid w:val="00D53B63"/>
    <w:rsid w:val="00D75315"/>
    <w:rsid w:val="00D82579"/>
    <w:rsid w:val="00D8397F"/>
    <w:rsid w:val="00DB082B"/>
    <w:rsid w:val="00DB492F"/>
    <w:rsid w:val="00E042F5"/>
    <w:rsid w:val="00E3067E"/>
    <w:rsid w:val="00E45E0A"/>
    <w:rsid w:val="00E501AC"/>
    <w:rsid w:val="00E74FF0"/>
    <w:rsid w:val="00E76646"/>
    <w:rsid w:val="00F13EEB"/>
    <w:rsid w:val="00F5301E"/>
    <w:rsid w:val="00FA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F943"/>
  <w15:chartTrackingRefBased/>
  <w15:docId w15:val="{EE243693-B3F7-4783-9C7A-69E99AD2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38B2"/>
    <w:rPr>
      <w:sz w:val="16"/>
      <w:szCs w:val="16"/>
    </w:rPr>
  </w:style>
  <w:style w:type="paragraph" w:styleId="CommentText">
    <w:name w:val="annotation text"/>
    <w:basedOn w:val="Normal"/>
    <w:link w:val="CommentTextChar"/>
    <w:uiPriority w:val="99"/>
    <w:unhideWhenUsed/>
    <w:rsid w:val="00B738B2"/>
    <w:pPr>
      <w:widowControl w:val="0"/>
      <w:spacing w:after="0" w:line="240" w:lineRule="auto"/>
      <w:ind w:firstLine="720"/>
      <w:jc w:val="both"/>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B738B2"/>
    <w:rPr>
      <w:rFonts w:ascii="Times New Roman" w:eastAsia="Times New Roman" w:hAnsi="Times New Roman" w:cs="Arial"/>
      <w:sz w:val="20"/>
      <w:szCs w:val="20"/>
    </w:rPr>
  </w:style>
  <w:style w:type="character" w:customStyle="1" w:styleId="cohl">
    <w:name w:val="co_hl"/>
    <w:basedOn w:val="DefaultParagraphFont"/>
    <w:rsid w:val="00B738B2"/>
  </w:style>
  <w:style w:type="paragraph" w:styleId="BalloonText">
    <w:name w:val="Balloon Text"/>
    <w:basedOn w:val="Normal"/>
    <w:link w:val="BalloonTextChar"/>
    <w:uiPriority w:val="99"/>
    <w:semiHidden/>
    <w:unhideWhenUsed/>
    <w:rsid w:val="00B73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8B2"/>
    <w:rPr>
      <w:rFonts w:ascii="Segoe UI" w:hAnsi="Segoe UI" w:cs="Segoe UI"/>
      <w:sz w:val="18"/>
      <w:szCs w:val="18"/>
    </w:rPr>
  </w:style>
  <w:style w:type="paragraph" w:styleId="ListParagraph">
    <w:name w:val="List Paragraph"/>
    <w:basedOn w:val="Normal"/>
    <w:uiPriority w:val="34"/>
    <w:qFormat/>
    <w:rsid w:val="001B1CA9"/>
    <w:pPr>
      <w:ind w:left="720"/>
      <w:contextualSpacing/>
    </w:pPr>
  </w:style>
  <w:style w:type="character" w:styleId="Emphasis">
    <w:name w:val="Emphasis"/>
    <w:basedOn w:val="DefaultParagraphFont"/>
    <w:uiPriority w:val="20"/>
    <w:qFormat/>
    <w:rsid w:val="00B62797"/>
    <w:rPr>
      <w:i/>
      <w:iCs/>
    </w:rPr>
  </w:style>
  <w:style w:type="character" w:styleId="Hyperlink">
    <w:name w:val="Hyperlink"/>
    <w:basedOn w:val="DefaultParagraphFont"/>
    <w:uiPriority w:val="99"/>
    <w:unhideWhenUsed/>
    <w:rsid w:val="00BA0B23"/>
    <w:rPr>
      <w:color w:val="0000FF"/>
      <w:u w:val="single"/>
    </w:rPr>
  </w:style>
  <w:style w:type="paragraph" w:customStyle="1" w:styleId="AGBriefBody">
    <w:name w:val="AG Brief Body"/>
    <w:basedOn w:val="Normal"/>
    <w:qFormat/>
    <w:rsid w:val="009816F3"/>
    <w:pPr>
      <w:suppressAutoHyphens/>
      <w:spacing w:after="0" w:line="480" w:lineRule="auto"/>
      <w:ind w:firstLine="720"/>
      <w:jc w:val="both"/>
    </w:pPr>
    <w:rPr>
      <w:rFonts w:ascii="Times New Roman" w:eastAsia="Times New Roman" w:hAnsi="Times New Roman" w:cs="Arial"/>
      <w:sz w:val="28"/>
      <w:szCs w:val="28"/>
    </w:rPr>
  </w:style>
  <w:style w:type="paragraph" w:styleId="Header">
    <w:name w:val="header"/>
    <w:basedOn w:val="Normal"/>
    <w:link w:val="HeaderChar"/>
    <w:uiPriority w:val="99"/>
    <w:unhideWhenUsed/>
    <w:rsid w:val="00D04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F12"/>
  </w:style>
  <w:style w:type="paragraph" w:styleId="Footer">
    <w:name w:val="footer"/>
    <w:basedOn w:val="Normal"/>
    <w:link w:val="FooterChar"/>
    <w:uiPriority w:val="99"/>
    <w:unhideWhenUsed/>
    <w:rsid w:val="00D04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F12"/>
  </w:style>
  <w:style w:type="character" w:styleId="UnresolvedMention">
    <w:name w:val="Unresolved Mention"/>
    <w:basedOn w:val="DefaultParagraphFont"/>
    <w:uiPriority w:val="99"/>
    <w:semiHidden/>
    <w:unhideWhenUsed/>
    <w:rsid w:val="001906E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02C1D"/>
    <w:pPr>
      <w:widowControl/>
      <w:spacing w:after="16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2C1D"/>
    <w:rPr>
      <w:rFonts w:ascii="Times New Roman" w:eastAsia="Times New Roman" w:hAnsi="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02504">
      <w:bodyDiv w:val="1"/>
      <w:marLeft w:val="0"/>
      <w:marRight w:val="0"/>
      <w:marTop w:val="0"/>
      <w:marBottom w:val="0"/>
      <w:divBdr>
        <w:top w:val="none" w:sz="0" w:space="0" w:color="auto"/>
        <w:left w:val="none" w:sz="0" w:space="0" w:color="auto"/>
        <w:bottom w:val="none" w:sz="0" w:space="0" w:color="auto"/>
        <w:right w:val="none" w:sz="0" w:space="0" w:color="auto"/>
      </w:divBdr>
      <w:divsChild>
        <w:div w:id="741214522">
          <w:marLeft w:val="0"/>
          <w:marRight w:val="0"/>
          <w:marTop w:val="0"/>
          <w:marBottom w:val="0"/>
          <w:divBdr>
            <w:top w:val="none" w:sz="0" w:space="0" w:color="3D3D3D"/>
            <w:left w:val="none" w:sz="0" w:space="0" w:color="3D3D3D"/>
            <w:bottom w:val="none" w:sz="0" w:space="0" w:color="3D3D3D"/>
            <w:right w:val="none" w:sz="0" w:space="0" w:color="3D3D3D"/>
          </w:divBdr>
          <w:divsChild>
            <w:div w:id="8465536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9403501">
      <w:bodyDiv w:val="1"/>
      <w:marLeft w:val="0"/>
      <w:marRight w:val="0"/>
      <w:marTop w:val="0"/>
      <w:marBottom w:val="0"/>
      <w:divBdr>
        <w:top w:val="none" w:sz="0" w:space="0" w:color="auto"/>
        <w:left w:val="none" w:sz="0" w:space="0" w:color="auto"/>
        <w:bottom w:val="none" w:sz="0" w:space="0" w:color="auto"/>
        <w:right w:val="none" w:sz="0" w:space="0" w:color="auto"/>
      </w:divBdr>
      <w:divsChild>
        <w:div w:id="1441223710">
          <w:marLeft w:val="0"/>
          <w:marRight w:val="0"/>
          <w:marTop w:val="0"/>
          <w:marBottom w:val="0"/>
          <w:divBdr>
            <w:top w:val="none" w:sz="0" w:space="0" w:color="3D3D3D"/>
            <w:left w:val="none" w:sz="0" w:space="0" w:color="3D3D3D"/>
            <w:bottom w:val="none" w:sz="0" w:space="0" w:color="3D3D3D"/>
            <w:right w:val="none" w:sz="0" w:space="0" w:color="3D3D3D"/>
          </w:divBdr>
          <w:divsChild>
            <w:div w:id="11596119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2808201">
      <w:bodyDiv w:val="1"/>
      <w:marLeft w:val="0"/>
      <w:marRight w:val="0"/>
      <w:marTop w:val="0"/>
      <w:marBottom w:val="0"/>
      <w:divBdr>
        <w:top w:val="none" w:sz="0" w:space="0" w:color="auto"/>
        <w:left w:val="none" w:sz="0" w:space="0" w:color="auto"/>
        <w:bottom w:val="none" w:sz="0" w:space="0" w:color="auto"/>
        <w:right w:val="none" w:sz="0" w:space="0" w:color="auto"/>
      </w:divBdr>
      <w:divsChild>
        <w:div w:id="1431002237">
          <w:marLeft w:val="0"/>
          <w:marRight w:val="0"/>
          <w:marTop w:val="0"/>
          <w:marBottom w:val="0"/>
          <w:divBdr>
            <w:top w:val="none" w:sz="0" w:space="0" w:color="3D3D3D"/>
            <w:left w:val="none" w:sz="0" w:space="0" w:color="3D3D3D"/>
            <w:bottom w:val="none" w:sz="0" w:space="0" w:color="3D3D3D"/>
            <w:right w:val="none" w:sz="0" w:space="0" w:color="3D3D3D"/>
          </w:divBdr>
          <w:divsChild>
            <w:div w:id="14745646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2774139">
      <w:bodyDiv w:val="1"/>
      <w:marLeft w:val="0"/>
      <w:marRight w:val="0"/>
      <w:marTop w:val="0"/>
      <w:marBottom w:val="0"/>
      <w:divBdr>
        <w:top w:val="none" w:sz="0" w:space="0" w:color="auto"/>
        <w:left w:val="none" w:sz="0" w:space="0" w:color="auto"/>
        <w:bottom w:val="none" w:sz="0" w:space="0" w:color="auto"/>
        <w:right w:val="none" w:sz="0" w:space="0" w:color="auto"/>
      </w:divBdr>
      <w:divsChild>
        <w:div w:id="1910341437">
          <w:marLeft w:val="0"/>
          <w:marRight w:val="0"/>
          <w:marTop w:val="0"/>
          <w:marBottom w:val="0"/>
          <w:divBdr>
            <w:top w:val="none" w:sz="0" w:space="0" w:color="3D3D3D"/>
            <w:left w:val="none" w:sz="0" w:space="0" w:color="3D3D3D"/>
            <w:bottom w:val="none" w:sz="0" w:space="0" w:color="3D3D3D"/>
            <w:right w:val="none" w:sz="0" w:space="0" w:color="3D3D3D"/>
          </w:divBdr>
          <w:divsChild>
            <w:div w:id="17435276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7873075">
      <w:bodyDiv w:val="1"/>
      <w:marLeft w:val="0"/>
      <w:marRight w:val="0"/>
      <w:marTop w:val="0"/>
      <w:marBottom w:val="0"/>
      <w:divBdr>
        <w:top w:val="none" w:sz="0" w:space="0" w:color="auto"/>
        <w:left w:val="none" w:sz="0" w:space="0" w:color="auto"/>
        <w:bottom w:val="none" w:sz="0" w:space="0" w:color="auto"/>
        <w:right w:val="none" w:sz="0" w:space="0" w:color="auto"/>
      </w:divBdr>
      <w:divsChild>
        <w:div w:id="243879807">
          <w:marLeft w:val="0"/>
          <w:marRight w:val="0"/>
          <w:marTop w:val="0"/>
          <w:marBottom w:val="0"/>
          <w:divBdr>
            <w:top w:val="none" w:sz="0" w:space="0" w:color="3D3D3D"/>
            <w:left w:val="none" w:sz="0" w:space="0" w:color="3D3D3D"/>
            <w:bottom w:val="none" w:sz="0" w:space="0" w:color="3D3D3D"/>
            <w:right w:val="none" w:sz="0" w:space="0" w:color="3D3D3D"/>
          </w:divBdr>
          <w:divsChild>
            <w:div w:id="16270056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43301951">
      <w:bodyDiv w:val="1"/>
      <w:marLeft w:val="0"/>
      <w:marRight w:val="0"/>
      <w:marTop w:val="0"/>
      <w:marBottom w:val="0"/>
      <w:divBdr>
        <w:top w:val="none" w:sz="0" w:space="0" w:color="auto"/>
        <w:left w:val="none" w:sz="0" w:space="0" w:color="auto"/>
        <w:bottom w:val="none" w:sz="0" w:space="0" w:color="auto"/>
        <w:right w:val="none" w:sz="0" w:space="0" w:color="auto"/>
      </w:divBdr>
      <w:divsChild>
        <w:div w:id="203712579">
          <w:marLeft w:val="0"/>
          <w:marRight w:val="0"/>
          <w:marTop w:val="0"/>
          <w:marBottom w:val="0"/>
          <w:divBdr>
            <w:top w:val="none" w:sz="0" w:space="0" w:color="3D3D3D"/>
            <w:left w:val="none" w:sz="0" w:space="0" w:color="3D3D3D"/>
            <w:bottom w:val="none" w:sz="0" w:space="0" w:color="3D3D3D"/>
            <w:right w:val="none" w:sz="0" w:space="0" w:color="3D3D3D"/>
          </w:divBdr>
          <w:divsChild>
            <w:div w:id="16602346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bar.org/for-legal-professionals/ethics/ethics-hotli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bar.org/for-the-public/fee-arbitration/" TargetMode="External"/><Relationship Id="rId5" Type="http://schemas.openxmlformats.org/officeDocument/2006/relationships/webSettings" Target="webSettings.xml"/><Relationship Id="rId10" Type="http://schemas.openxmlformats.org/officeDocument/2006/relationships/hyperlink" Target="https://www.azbar.org/for-the-public/client-protection-fund/" TargetMode="External"/><Relationship Id="rId4" Type="http://schemas.openxmlformats.org/officeDocument/2006/relationships/settings" Target="settings.xml"/><Relationship Id="rId9" Type="http://schemas.openxmlformats.org/officeDocument/2006/relationships/hyperlink" Target="https://probono.azbf.org/for-attorneys/bar-associ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E7BAA-B549-4315-BDB1-B3B29203E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Monico Nunez, Gabriela</dc:creator>
  <cp:keywords/>
  <dc:description/>
  <cp:lastModifiedBy>Monico Nunez, Gabriela</cp:lastModifiedBy>
  <cp:revision>6</cp:revision>
  <dcterms:created xsi:type="dcterms:W3CDTF">2025-04-28T18:05:00Z</dcterms:created>
  <dcterms:modified xsi:type="dcterms:W3CDTF">2025-04-28T18:39:00Z</dcterms:modified>
</cp:coreProperties>
</file>