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2B6E4" w14:textId="77777777" w:rsidR="005374E1" w:rsidRPr="000E4072" w:rsidRDefault="005374E1" w:rsidP="005374E1">
      <w:pPr>
        <w:spacing w:before="100" w:beforeAutospacing="1"/>
        <w:rPr>
          <w:rFonts w:ascii="Times New Roman" w:hAnsi="Times New Roman" w:cs="Times New Roman"/>
          <w:szCs w:val="26"/>
        </w:rPr>
      </w:pPr>
      <w:r w:rsidRPr="000E4072">
        <w:rPr>
          <w:rFonts w:ascii="Times New Roman" w:hAnsi="Times New Roman" w:cs="Times New Roman"/>
          <w:b/>
          <w:caps/>
          <w:szCs w:val="26"/>
        </w:rPr>
        <w:t>KRIStin K. MAYES</w:t>
      </w:r>
      <w:r w:rsidRPr="000E4072">
        <w:rPr>
          <w:rFonts w:ascii="Times New Roman" w:hAnsi="Times New Roman" w:cs="Times New Roman"/>
          <w:b/>
          <w:caps/>
          <w:szCs w:val="26"/>
        </w:rPr>
        <w:br/>
        <w:t>Attorney General</w:t>
      </w:r>
      <w:r w:rsidRPr="000E4072">
        <w:rPr>
          <w:rFonts w:ascii="Times New Roman" w:hAnsi="Times New Roman" w:cs="Times New Roman"/>
          <w:b/>
          <w:szCs w:val="26"/>
        </w:rPr>
        <w:br/>
      </w:r>
      <w:r w:rsidRPr="000E4072">
        <w:rPr>
          <w:rFonts w:ascii="Times New Roman" w:hAnsi="Times New Roman" w:cs="Times New Roman"/>
          <w:szCs w:val="26"/>
        </w:rPr>
        <w:t>(Firm State Bar No. 14000)</w:t>
      </w:r>
    </w:p>
    <w:p w14:paraId="523F48F4" w14:textId="17334784" w:rsidR="005374E1" w:rsidRPr="00D963FD" w:rsidRDefault="00D963FD" w:rsidP="005374E1">
      <w:pPr>
        <w:spacing w:before="100" w:beforeAutospacing="1"/>
        <w:rPr>
          <w:rFonts w:ascii="Times New Roman" w:hAnsi="Times New Roman" w:cs="Times New Roman"/>
          <w:szCs w:val="26"/>
        </w:rPr>
      </w:pPr>
      <w:bookmarkStart w:id="0" w:name="_Hlk196141666"/>
      <w:r>
        <w:rPr>
          <w:rFonts w:ascii="Times New Roman" w:hAnsi="Times New Roman" w:cs="Times New Roman"/>
          <w:szCs w:val="26"/>
        </w:rPr>
        <w:t>Alexander W. Samuels</w:t>
      </w:r>
      <w:r w:rsidR="005374E1" w:rsidRPr="00D963FD">
        <w:rPr>
          <w:rFonts w:ascii="Times New Roman" w:hAnsi="Times New Roman" w:cs="Times New Roman"/>
          <w:szCs w:val="26"/>
        </w:rPr>
        <w:t xml:space="preserve"> (Bar No. 0</w:t>
      </w:r>
      <w:r>
        <w:rPr>
          <w:rFonts w:ascii="Times New Roman" w:hAnsi="Times New Roman" w:cs="Times New Roman"/>
          <w:szCs w:val="26"/>
        </w:rPr>
        <w:t>28926</w:t>
      </w:r>
      <w:r w:rsidR="005374E1" w:rsidRPr="00D963FD">
        <w:rPr>
          <w:rFonts w:ascii="Times New Roman" w:hAnsi="Times New Roman" w:cs="Times New Roman"/>
          <w:szCs w:val="26"/>
        </w:rPr>
        <w:t>)</w:t>
      </w:r>
    </w:p>
    <w:bookmarkEnd w:id="0"/>
    <w:p w14:paraId="4D506C56" w14:textId="17CB49F6" w:rsidR="005374E1" w:rsidRPr="000E4072" w:rsidRDefault="005374E1" w:rsidP="005374E1">
      <w:pPr>
        <w:rPr>
          <w:rFonts w:ascii="Times New Roman" w:hAnsi="Times New Roman" w:cs="Times New Roman"/>
          <w:szCs w:val="26"/>
        </w:rPr>
      </w:pPr>
      <w:r w:rsidRPr="00D963FD">
        <w:rPr>
          <w:rFonts w:ascii="Times New Roman" w:hAnsi="Times New Roman" w:cs="Times New Roman"/>
          <w:szCs w:val="26"/>
        </w:rPr>
        <w:t>Clinten N. Garrett (Bar No. 022457)</w:t>
      </w:r>
    </w:p>
    <w:p w14:paraId="2158EF45" w14:textId="77777777" w:rsidR="005374E1" w:rsidRPr="000E4072" w:rsidRDefault="005374E1" w:rsidP="005374E1">
      <w:pPr>
        <w:rPr>
          <w:rFonts w:ascii="Times New Roman" w:hAnsi="Times New Roman" w:cs="Times New Roman"/>
          <w:szCs w:val="26"/>
        </w:rPr>
      </w:pPr>
      <w:r w:rsidRPr="000E4072">
        <w:rPr>
          <w:rFonts w:ascii="Times New Roman" w:hAnsi="Times New Roman" w:cs="Times New Roman"/>
          <w:bCs/>
          <w:szCs w:val="26"/>
        </w:rPr>
        <w:t>Office of the Arizona Attorney General</w:t>
      </w:r>
      <w:r w:rsidRPr="000E4072">
        <w:rPr>
          <w:rFonts w:ascii="Times New Roman" w:hAnsi="Times New Roman" w:cs="Times New Roman"/>
          <w:bCs/>
          <w:szCs w:val="26"/>
        </w:rPr>
        <w:br/>
        <w:t>2005 N. Central Avenue</w:t>
      </w:r>
    </w:p>
    <w:p w14:paraId="6BDFDD3D" w14:textId="77777777" w:rsidR="005374E1" w:rsidRPr="000E4072" w:rsidRDefault="005374E1" w:rsidP="005374E1">
      <w:pPr>
        <w:rPr>
          <w:rFonts w:ascii="Times New Roman" w:hAnsi="Times New Roman" w:cs="Times New Roman"/>
          <w:bCs/>
          <w:szCs w:val="26"/>
        </w:rPr>
      </w:pPr>
      <w:r w:rsidRPr="000E4072">
        <w:rPr>
          <w:rFonts w:ascii="Times New Roman" w:hAnsi="Times New Roman" w:cs="Times New Roman"/>
          <w:bCs/>
          <w:szCs w:val="26"/>
        </w:rPr>
        <w:t>Phoenix, AZ 85004-1592</w:t>
      </w:r>
    </w:p>
    <w:p w14:paraId="06376FB0" w14:textId="77777777" w:rsidR="005374E1" w:rsidRPr="000E4072" w:rsidRDefault="005374E1" w:rsidP="005374E1">
      <w:pPr>
        <w:rPr>
          <w:rFonts w:ascii="Times New Roman" w:hAnsi="Times New Roman" w:cs="Times New Roman"/>
          <w:szCs w:val="26"/>
        </w:rPr>
      </w:pPr>
      <w:r w:rsidRPr="000E4072">
        <w:rPr>
          <w:rFonts w:ascii="Times New Roman" w:hAnsi="Times New Roman" w:cs="Times New Roman"/>
          <w:szCs w:val="26"/>
        </w:rPr>
        <w:t>(602) 542-3333</w:t>
      </w:r>
    </w:p>
    <w:p w14:paraId="17C4769A" w14:textId="4BBF55A8" w:rsidR="005374E1" w:rsidRPr="000E4072" w:rsidRDefault="00D963FD" w:rsidP="005374E1">
      <w:pPr>
        <w:rPr>
          <w:rFonts w:ascii="Times New Roman" w:hAnsi="Times New Roman" w:cs="Times New Roman"/>
          <w:bCs/>
          <w:szCs w:val="26"/>
        </w:rPr>
      </w:pPr>
      <w:r>
        <w:rPr>
          <w:rFonts w:ascii="Times New Roman" w:hAnsi="Times New Roman" w:cs="Times New Roman"/>
          <w:bCs/>
          <w:szCs w:val="26"/>
        </w:rPr>
        <w:t>Alexander.Samuels</w:t>
      </w:r>
      <w:r w:rsidR="005374E1" w:rsidRPr="000E4072">
        <w:rPr>
          <w:rFonts w:ascii="Times New Roman" w:hAnsi="Times New Roman" w:cs="Times New Roman"/>
          <w:bCs/>
          <w:szCs w:val="26"/>
        </w:rPr>
        <w:t>@azag.gov</w:t>
      </w:r>
    </w:p>
    <w:p w14:paraId="66C7B777" w14:textId="1634816C" w:rsidR="005374E1" w:rsidRPr="000E4072" w:rsidRDefault="005374E1" w:rsidP="005374E1">
      <w:pPr>
        <w:rPr>
          <w:rFonts w:ascii="Times New Roman" w:hAnsi="Times New Roman" w:cs="Times New Roman"/>
          <w:color w:val="0000FF" w:themeColor="hyperlink"/>
        </w:rPr>
      </w:pPr>
      <w:bookmarkStart w:id="1" w:name="_Hlk158629538"/>
      <w:bookmarkStart w:id="2" w:name="_Hlk132898258"/>
      <w:r w:rsidRPr="000E4072">
        <w:rPr>
          <w:rFonts w:ascii="Times New Roman" w:hAnsi="Times New Roman" w:cs="Times New Roman"/>
        </w:rPr>
        <w:t>Clinten.Garrett@azag.gov</w:t>
      </w:r>
    </w:p>
    <w:bookmarkEnd w:id="1"/>
    <w:p w14:paraId="16D648F1" w14:textId="77777777" w:rsidR="005374E1" w:rsidRPr="000E4072" w:rsidRDefault="005374E1" w:rsidP="005374E1">
      <w:pPr>
        <w:rPr>
          <w:rFonts w:ascii="Times New Roman" w:hAnsi="Times New Roman" w:cs="Times New Roman"/>
        </w:rPr>
      </w:pPr>
      <w:r w:rsidRPr="000E4072">
        <w:rPr>
          <w:rFonts w:ascii="Times New Roman" w:hAnsi="Times New Roman" w:cs="Times New Roman"/>
        </w:rPr>
        <w:t xml:space="preserve">ACL@azag.gov </w:t>
      </w:r>
    </w:p>
    <w:bookmarkEnd w:id="2"/>
    <w:p w14:paraId="6AC7ECC7" w14:textId="77777777" w:rsidR="009A0525" w:rsidRPr="009A0525" w:rsidRDefault="009A0525" w:rsidP="009A052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</w:rPr>
      </w:pPr>
    </w:p>
    <w:p w14:paraId="12D37AF1" w14:textId="77777777" w:rsidR="009A0525" w:rsidRPr="009A0525" w:rsidRDefault="009A0525" w:rsidP="009A052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</w:rPr>
      </w:pPr>
    </w:p>
    <w:p w14:paraId="0E855497" w14:textId="60D41900" w:rsidR="00627DE6" w:rsidRDefault="00627DE6" w:rsidP="00627DE6">
      <w:pPr>
        <w:pStyle w:val="Court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SUPREME COURT</w:t>
      </w:r>
      <w:r w:rsidR="00915124">
        <w:rPr>
          <w:bCs/>
          <w:sz w:val="28"/>
          <w:szCs w:val="28"/>
        </w:rPr>
        <w:t xml:space="preserve"> of arizona</w:t>
      </w:r>
      <w:r>
        <w:rPr>
          <w:bCs/>
          <w:sz w:val="28"/>
          <w:szCs w:val="28"/>
        </w:rPr>
        <w:br/>
      </w:r>
    </w:p>
    <w:tbl>
      <w:tblPr>
        <w:tblW w:w="921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4527"/>
      </w:tblGrid>
      <w:tr w:rsidR="00627DE6" w14:paraId="7A988983" w14:textId="77777777" w:rsidTr="00627DE6"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AEB4A" w14:textId="77777777" w:rsidR="00627DE6" w:rsidRDefault="00627DE6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3" w:name="_zzmpFIXED_CaptionTable"/>
            <w:r>
              <w:rPr>
                <w:sz w:val="28"/>
                <w:szCs w:val="28"/>
              </w:rPr>
              <w:t>In the Matter of:</w:t>
            </w:r>
          </w:p>
          <w:p w14:paraId="39F145D5" w14:textId="053C6D8E" w:rsidR="00627DE6" w:rsidRDefault="00627DE6">
            <w:pPr>
              <w:pStyle w:val="Caption"/>
              <w:spacing w:before="24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PETITION TO AMEND </w:t>
            </w:r>
            <w:bookmarkStart w:id="4" w:name="dabmci_0f63708b45ef45f89bae1c55fbc2c132"/>
            <w:r w:rsidR="00E16095">
              <w:rPr>
                <w:sz w:val="28"/>
                <w:szCs w:val="28"/>
              </w:rPr>
              <w:t>ARIZ. R. CRIM. P. 31.20</w:t>
            </w:r>
            <w:bookmarkEnd w:id="4"/>
            <w:r w:rsidR="00E16095">
              <w:rPr>
                <w:sz w:val="28"/>
                <w:szCs w:val="28"/>
              </w:rPr>
              <w:t xml:space="preserve"> AND </w:t>
            </w:r>
            <w:bookmarkStart w:id="5" w:name="dabmci_a85b0cbd68204df0b4ef4661fac05461"/>
            <w:r w:rsidR="00E16095">
              <w:rPr>
                <w:sz w:val="28"/>
                <w:szCs w:val="28"/>
              </w:rPr>
              <w:t>ARIZ. R. CIV. APP. P. 22</w:t>
            </w:r>
            <w:bookmarkEnd w:id="5"/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CEF2" w14:textId="6E12D60F" w:rsidR="00627DE6" w:rsidRDefault="00627DE6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Supreme Court No. R-</w:t>
            </w:r>
            <w:r w:rsidR="00E1609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-00</w:t>
            </w:r>
            <w:r w:rsidR="00E16095">
              <w:rPr>
                <w:sz w:val="28"/>
                <w:szCs w:val="28"/>
              </w:rPr>
              <w:t>12</w:t>
            </w:r>
          </w:p>
          <w:p w14:paraId="37E02090" w14:textId="1395E605" w:rsidR="00627DE6" w:rsidRDefault="00627DE6">
            <w:pPr>
              <w:pStyle w:val="Caption"/>
              <w:tabs>
                <w:tab w:val="left" w:pos="1238"/>
              </w:tabs>
              <w:spacing w:line="260" w:lineRule="exact"/>
              <w:ind w:left="257" w:right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COMMENT </w:t>
            </w:r>
            <w:r w:rsidR="000C0CFF">
              <w:rPr>
                <w:b/>
                <w:sz w:val="28"/>
                <w:szCs w:val="28"/>
              </w:rPr>
              <w:t>ON</w:t>
            </w:r>
            <w:r>
              <w:rPr>
                <w:b/>
                <w:sz w:val="28"/>
                <w:szCs w:val="28"/>
              </w:rPr>
              <w:t xml:space="preserve"> PETITION TO AMEND </w:t>
            </w:r>
            <w:bookmarkStart w:id="6" w:name="dabmci_0d9cd91ccde54d8da54593319df2a271"/>
            <w:r w:rsidR="00E16095">
              <w:rPr>
                <w:b/>
                <w:sz w:val="28"/>
                <w:szCs w:val="28"/>
              </w:rPr>
              <w:t>ARIZ. R. CRIM. P. 31.20</w:t>
            </w:r>
            <w:bookmarkEnd w:id="6"/>
            <w:r w:rsidR="00E16095">
              <w:rPr>
                <w:b/>
                <w:sz w:val="28"/>
                <w:szCs w:val="28"/>
              </w:rPr>
              <w:t xml:space="preserve"> AND </w:t>
            </w:r>
            <w:bookmarkStart w:id="7" w:name="dabmci_d2109c529f4447d18a64b82ef493a442"/>
            <w:r w:rsidR="00E16095">
              <w:rPr>
                <w:b/>
                <w:sz w:val="28"/>
                <w:szCs w:val="28"/>
              </w:rPr>
              <w:t xml:space="preserve">ARIZ. R. CIV. </w:t>
            </w:r>
            <w:r w:rsidR="00D963FD">
              <w:rPr>
                <w:b/>
                <w:sz w:val="28"/>
                <w:szCs w:val="28"/>
              </w:rPr>
              <w:t>AP</w:t>
            </w:r>
            <w:r w:rsidR="00E16095">
              <w:rPr>
                <w:b/>
                <w:sz w:val="28"/>
                <w:szCs w:val="28"/>
              </w:rPr>
              <w:t xml:space="preserve">P. </w:t>
            </w:r>
            <w:r w:rsidR="00B03D53">
              <w:rPr>
                <w:b/>
                <w:sz w:val="28"/>
                <w:szCs w:val="28"/>
              </w:rPr>
              <w:t xml:space="preserve">P. </w:t>
            </w:r>
            <w:r w:rsidR="00E16095">
              <w:rPr>
                <w:b/>
                <w:sz w:val="28"/>
                <w:szCs w:val="28"/>
              </w:rPr>
              <w:t>22</w:t>
            </w:r>
            <w:bookmarkEnd w:id="7"/>
            <w:r w:rsidR="00E16095">
              <w:rPr>
                <w:b/>
                <w:sz w:val="28"/>
                <w:szCs w:val="28"/>
              </w:rPr>
              <w:t xml:space="preserve"> (EN BANC RECONSIDERATION)</w:t>
            </w:r>
          </w:p>
          <w:p w14:paraId="2C4DF786" w14:textId="77777777" w:rsidR="00627DE6" w:rsidRDefault="00627DE6">
            <w:pPr>
              <w:pStyle w:val="DocumentTitle"/>
              <w:rPr>
                <w:szCs w:val="26"/>
              </w:rPr>
            </w:pPr>
          </w:p>
          <w:p w14:paraId="461DA6E5" w14:textId="77777777" w:rsidR="00627DE6" w:rsidRDefault="00627DE6">
            <w:pPr>
              <w:pStyle w:val="Caption"/>
              <w:ind w:left="1512" w:right="115" w:hanging="1253"/>
              <w:rPr>
                <w:szCs w:val="26"/>
              </w:rPr>
            </w:pPr>
          </w:p>
        </w:tc>
        <w:bookmarkEnd w:id="3"/>
      </w:tr>
    </w:tbl>
    <w:p w14:paraId="4C019F36" w14:textId="77777777" w:rsidR="009A0525" w:rsidRPr="00075386" w:rsidRDefault="009A0525" w:rsidP="00AC3F84">
      <w:pPr>
        <w:pStyle w:val="BodyText"/>
        <w:spacing w:before="1"/>
        <w:ind w:firstLine="0"/>
        <w:rPr>
          <w:b/>
          <w:szCs w:val="28"/>
        </w:rPr>
      </w:pPr>
    </w:p>
    <w:p w14:paraId="7C16FA55" w14:textId="714BD5B2" w:rsidR="00A14A19" w:rsidRPr="008A160C" w:rsidRDefault="00AC3F84" w:rsidP="00E16095">
      <w:pPr>
        <w:pStyle w:val="BodyText"/>
        <w:ind w:left="119" w:right="116" w:firstLine="719"/>
        <w:jc w:val="both"/>
        <w:rPr>
          <w:szCs w:val="28"/>
        </w:rPr>
      </w:pPr>
      <w:r>
        <w:rPr>
          <w:szCs w:val="28"/>
        </w:rPr>
        <w:t>P</w:t>
      </w:r>
      <w:r w:rsidRPr="00075386">
        <w:rPr>
          <w:szCs w:val="28"/>
        </w:rPr>
        <w:t>ursuant to</w:t>
      </w:r>
      <w:r>
        <w:rPr>
          <w:szCs w:val="28"/>
        </w:rPr>
        <w:t xml:space="preserve"> </w:t>
      </w:r>
      <w:bookmarkStart w:id="8" w:name="dabmci_84846cac52364f40a7bfa7b67f1ca53d"/>
      <w:r>
        <w:rPr>
          <w:szCs w:val="28"/>
        </w:rPr>
        <w:t>Supreme Court</w:t>
      </w:r>
      <w:r w:rsidRPr="00075386">
        <w:rPr>
          <w:szCs w:val="28"/>
        </w:rPr>
        <w:t xml:space="preserve"> Rule 28</w:t>
      </w:r>
      <w:r>
        <w:rPr>
          <w:szCs w:val="28"/>
        </w:rPr>
        <w:t>(e)</w:t>
      </w:r>
      <w:bookmarkEnd w:id="8"/>
      <w:r>
        <w:rPr>
          <w:szCs w:val="28"/>
        </w:rPr>
        <w:t>, the</w:t>
      </w:r>
      <w:r w:rsidR="009A0525" w:rsidRPr="00075386">
        <w:rPr>
          <w:szCs w:val="28"/>
        </w:rPr>
        <w:t xml:space="preserve"> Arizona Attorney General’s Office submits this comment </w:t>
      </w:r>
      <w:r w:rsidR="00391C32">
        <w:rPr>
          <w:szCs w:val="28"/>
        </w:rPr>
        <w:t xml:space="preserve">on the </w:t>
      </w:r>
      <w:r w:rsidR="00884182">
        <w:rPr>
          <w:szCs w:val="28"/>
        </w:rPr>
        <w:t>P</w:t>
      </w:r>
      <w:r w:rsidR="00391C32">
        <w:rPr>
          <w:szCs w:val="28"/>
        </w:rPr>
        <w:t xml:space="preserve">etition to amend the criminal and civil </w:t>
      </w:r>
      <w:r w:rsidR="004B75D6">
        <w:rPr>
          <w:szCs w:val="28"/>
        </w:rPr>
        <w:t xml:space="preserve">appellate </w:t>
      </w:r>
      <w:r w:rsidR="00391C32">
        <w:rPr>
          <w:szCs w:val="28"/>
        </w:rPr>
        <w:t xml:space="preserve">rules to allow parties to </w:t>
      </w:r>
      <w:r w:rsidR="00F27D83">
        <w:rPr>
          <w:szCs w:val="28"/>
        </w:rPr>
        <w:t>move for</w:t>
      </w:r>
      <w:r w:rsidR="00391C32">
        <w:rPr>
          <w:szCs w:val="28"/>
        </w:rPr>
        <w:t xml:space="preserve"> </w:t>
      </w:r>
      <w:proofErr w:type="spellStart"/>
      <w:r w:rsidR="00391C32">
        <w:rPr>
          <w:szCs w:val="28"/>
        </w:rPr>
        <w:t>en</w:t>
      </w:r>
      <w:proofErr w:type="spellEnd"/>
      <w:r w:rsidR="00391C32">
        <w:rPr>
          <w:szCs w:val="28"/>
        </w:rPr>
        <w:t xml:space="preserve"> banc </w:t>
      </w:r>
      <w:r w:rsidR="00F27D83">
        <w:rPr>
          <w:szCs w:val="28"/>
        </w:rPr>
        <w:t>reconsideration of decisions</w:t>
      </w:r>
      <w:r w:rsidR="00391C32">
        <w:rPr>
          <w:szCs w:val="28"/>
        </w:rPr>
        <w:t xml:space="preserve"> in the </w:t>
      </w:r>
      <w:r w:rsidR="00866C44">
        <w:rPr>
          <w:szCs w:val="28"/>
        </w:rPr>
        <w:t>c</w:t>
      </w:r>
      <w:r w:rsidR="00391C32">
        <w:rPr>
          <w:szCs w:val="28"/>
        </w:rPr>
        <w:t xml:space="preserve">ourt of </w:t>
      </w:r>
      <w:r w:rsidR="00866C44">
        <w:rPr>
          <w:szCs w:val="28"/>
        </w:rPr>
        <w:t>a</w:t>
      </w:r>
      <w:r w:rsidR="00391C32">
        <w:rPr>
          <w:szCs w:val="28"/>
        </w:rPr>
        <w:t>ppeals</w:t>
      </w:r>
      <w:r>
        <w:rPr>
          <w:szCs w:val="28"/>
        </w:rPr>
        <w:t>.</w:t>
      </w:r>
      <w:r w:rsidR="00391C32">
        <w:rPr>
          <w:szCs w:val="28"/>
        </w:rPr>
        <w:t xml:space="preserve"> </w:t>
      </w:r>
      <w:r w:rsidR="008D0890">
        <w:rPr>
          <w:szCs w:val="28"/>
        </w:rPr>
        <w:t xml:space="preserve"> </w:t>
      </w:r>
      <w:r w:rsidR="00391C32">
        <w:rPr>
          <w:szCs w:val="28"/>
        </w:rPr>
        <w:t>While the Office appreciates the</w:t>
      </w:r>
      <w:r w:rsidR="00B109FC">
        <w:rPr>
          <w:szCs w:val="28"/>
        </w:rPr>
        <w:t xml:space="preserve"> </w:t>
      </w:r>
      <w:r w:rsidR="004B75D6">
        <w:rPr>
          <w:szCs w:val="28"/>
        </w:rPr>
        <w:t>interest in promoting</w:t>
      </w:r>
      <w:r w:rsidR="008362EF">
        <w:rPr>
          <w:szCs w:val="28"/>
        </w:rPr>
        <w:t xml:space="preserve"> greater uniformity</w:t>
      </w:r>
      <w:r w:rsidR="0056530F">
        <w:rPr>
          <w:szCs w:val="28"/>
        </w:rPr>
        <w:t xml:space="preserve"> </w:t>
      </w:r>
      <w:r w:rsidR="004B75D6">
        <w:rPr>
          <w:szCs w:val="28"/>
        </w:rPr>
        <w:t>that underlies</w:t>
      </w:r>
      <w:r w:rsidR="00B109FC">
        <w:rPr>
          <w:szCs w:val="28"/>
        </w:rPr>
        <w:t xml:space="preserve"> the </w:t>
      </w:r>
      <w:r w:rsidR="002F6E28">
        <w:rPr>
          <w:szCs w:val="28"/>
        </w:rPr>
        <w:t>proposed amendment</w:t>
      </w:r>
      <w:r w:rsidR="00A32400">
        <w:rPr>
          <w:szCs w:val="28"/>
        </w:rPr>
        <w:t xml:space="preserve">, </w:t>
      </w:r>
      <w:r w:rsidR="003E5435">
        <w:rPr>
          <w:szCs w:val="28"/>
        </w:rPr>
        <w:t xml:space="preserve">we question </w:t>
      </w:r>
      <w:r w:rsidR="008D0890">
        <w:rPr>
          <w:szCs w:val="28"/>
        </w:rPr>
        <w:t xml:space="preserve">whether </w:t>
      </w:r>
      <w:r w:rsidR="00894A96">
        <w:rPr>
          <w:szCs w:val="28"/>
        </w:rPr>
        <w:t xml:space="preserve">the </w:t>
      </w:r>
      <w:r w:rsidR="00090A81">
        <w:rPr>
          <w:szCs w:val="28"/>
        </w:rPr>
        <w:t>uniformity</w:t>
      </w:r>
      <w:r w:rsidR="00866C44">
        <w:rPr>
          <w:szCs w:val="28"/>
        </w:rPr>
        <w:t xml:space="preserve"> </w:t>
      </w:r>
      <w:r w:rsidR="009B04F9">
        <w:rPr>
          <w:szCs w:val="28"/>
        </w:rPr>
        <w:t>benefit</w:t>
      </w:r>
      <w:r w:rsidR="00A32400">
        <w:rPr>
          <w:szCs w:val="28"/>
        </w:rPr>
        <w:t xml:space="preserve"> </w:t>
      </w:r>
      <w:r w:rsidR="0056530F">
        <w:rPr>
          <w:szCs w:val="28"/>
        </w:rPr>
        <w:t>outweigh</w:t>
      </w:r>
      <w:r w:rsidR="004B75D6">
        <w:rPr>
          <w:szCs w:val="28"/>
        </w:rPr>
        <w:t>s</w:t>
      </w:r>
      <w:r w:rsidR="0056530F">
        <w:rPr>
          <w:szCs w:val="28"/>
        </w:rPr>
        <w:t xml:space="preserve"> </w:t>
      </w:r>
      <w:r w:rsidR="004B75D6">
        <w:rPr>
          <w:szCs w:val="28"/>
        </w:rPr>
        <w:t>the amendment’s</w:t>
      </w:r>
      <w:r w:rsidR="00A32400">
        <w:rPr>
          <w:szCs w:val="28"/>
        </w:rPr>
        <w:t xml:space="preserve"> </w:t>
      </w:r>
      <w:r w:rsidR="009B04F9">
        <w:rPr>
          <w:szCs w:val="28"/>
        </w:rPr>
        <w:t>tangible costs</w:t>
      </w:r>
      <w:r w:rsidR="00A32400">
        <w:rPr>
          <w:szCs w:val="28"/>
        </w:rPr>
        <w:t xml:space="preserve"> </w:t>
      </w:r>
      <w:r w:rsidR="002F6E28">
        <w:rPr>
          <w:szCs w:val="28"/>
        </w:rPr>
        <w:t>in the form of</w:t>
      </w:r>
      <w:r w:rsidR="009B04F9">
        <w:rPr>
          <w:szCs w:val="28"/>
        </w:rPr>
        <w:t xml:space="preserve"> </w:t>
      </w:r>
      <w:r w:rsidR="009B04F9">
        <w:rPr>
          <w:szCs w:val="28"/>
        </w:rPr>
        <w:lastRenderedPageBreak/>
        <w:t xml:space="preserve">time, expense, and </w:t>
      </w:r>
      <w:r w:rsidR="009B04F9" w:rsidRPr="009B04F9">
        <w:rPr>
          <w:szCs w:val="28"/>
        </w:rPr>
        <w:t>uncertainty</w:t>
      </w:r>
      <w:r w:rsidR="00B70E20">
        <w:rPr>
          <w:szCs w:val="28"/>
        </w:rPr>
        <w:t xml:space="preserve"> during the pendency of litigation</w:t>
      </w:r>
      <w:r w:rsidR="00A32400">
        <w:rPr>
          <w:szCs w:val="28"/>
        </w:rPr>
        <w:t>.</w:t>
      </w:r>
      <w:r w:rsidR="00894A96">
        <w:rPr>
          <w:szCs w:val="28"/>
        </w:rPr>
        <w:t xml:space="preserve">  </w:t>
      </w:r>
      <w:r w:rsidR="009B04F9" w:rsidRPr="009B04F9">
        <w:rPr>
          <w:szCs w:val="28"/>
        </w:rPr>
        <w:t xml:space="preserve">The Office </w:t>
      </w:r>
      <w:r w:rsidR="009B04F9" w:rsidRPr="008A160C">
        <w:rPr>
          <w:szCs w:val="28"/>
        </w:rPr>
        <w:t xml:space="preserve">therefore respectfully opposes the introduction of </w:t>
      </w:r>
      <w:proofErr w:type="spellStart"/>
      <w:r w:rsidR="009B04F9" w:rsidRPr="008A160C">
        <w:rPr>
          <w:szCs w:val="28"/>
        </w:rPr>
        <w:t>en</w:t>
      </w:r>
      <w:proofErr w:type="spellEnd"/>
      <w:r w:rsidR="009B04F9" w:rsidRPr="008A160C">
        <w:rPr>
          <w:szCs w:val="28"/>
        </w:rPr>
        <w:t xml:space="preserve"> banc </w:t>
      </w:r>
      <w:r w:rsidR="00BF0D27">
        <w:rPr>
          <w:szCs w:val="28"/>
        </w:rPr>
        <w:t>reconsideration</w:t>
      </w:r>
      <w:r w:rsidR="00ED4240">
        <w:rPr>
          <w:szCs w:val="28"/>
        </w:rPr>
        <w:t xml:space="preserve"> at this time</w:t>
      </w:r>
      <w:r w:rsidR="009B04F9" w:rsidRPr="008A160C">
        <w:rPr>
          <w:szCs w:val="28"/>
        </w:rPr>
        <w:t>.</w:t>
      </w:r>
      <w:r w:rsidR="00FC22DB">
        <w:rPr>
          <w:szCs w:val="28"/>
        </w:rPr>
        <w:t xml:space="preserve">  </w:t>
      </w:r>
      <w:r w:rsidR="00BF0D27">
        <w:rPr>
          <w:szCs w:val="28"/>
        </w:rPr>
        <w:t xml:space="preserve">In the alternative, if the Court </w:t>
      </w:r>
      <w:r w:rsidR="000824BA">
        <w:rPr>
          <w:szCs w:val="28"/>
        </w:rPr>
        <w:t>is</w:t>
      </w:r>
      <w:r w:rsidR="00BF0D27">
        <w:rPr>
          <w:szCs w:val="28"/>
        </w:rPr>
        <w:t xml:space="preserve"> inclined to adopt some form of </w:t>
      </w:r>
      <w:proofErr w:type="spellStart"/>
      <w:r w:rsidR="00BF0D27">
        <w:rPr>
          <w:szCs w:val="28"/>
        </w:rPr>
        <w:t>en</w:t>
      </w:r>
      <w:proofErr w:type="spellEnd"/>
      <w:r w:rsidR="00BF0D27">
        <w:rPr>
          <w:szCs w:val="28"/>
        </w:rPr>
        <w:t xml:space="preserve"> banc rehearing, the Office would favor disaggregating the panel reconsideration and </w:t>
      </w:r>
      <w:proofErr w:type="spellStart"/>
      <w:r w:rsidR="00BF0D27">
        <w:rPr>
          <w:szCs w:val="28"/>
        </w:rPr>
        <w:t>en</w:t>
      </w:r>
      <w:proofErr w:type="spellEnd"/>
      <w:r w:rsidR="00BF0D27">
        <w:rPr>
          <w:szCs w:val="28"/>
        </w:rPr>
        <w:t xml:space="preserve"> banc reconsideration rules </w:t>
      </w:r>
      <w:r w:rsidR="00B70E20">
        <w:rPr>
          <w:szCs w:val="28"/>
        </w:rPr>
        <w:t xml:space="preserve">in a manner that does not conflate the </w:t>
      </w:r>
      <w:r w:rsidR="00BF0D27">
        <w:rPr>
          <w:szCs w:val="28"/>
        </w:rPr>
        <w:t>respective standards</w:t>
      </w:r>
      <w:r w:rsidR="00AF0AE0">
        <w:rPr>
          <w:szCs w:val="28"/>
        </w:rPr>
        <w:t xml:space="preserve"> for requesting reconsideration</w:t>
      </w:r>
      <w:r w:rsidR="00BF0D27">
        <w:rPr>
          <w:szCs w:val="28"/>
        </w:rPr>
        <w:t xml:space="preserve">. </w:t>
      </w:r>
    </w:p>
    <w:p w14:paraId="6082E48F" w14:textId="1774B8F3" w:rsidR="00391C32" w:rsidRPr="008A160C" w:rsidRDefault="008A160C" w:rsidP="009B04F9">
      <w:pPr>
        <w:pStyle w:val="OMCOABriefHeadingLevel2"/>
        <w:rPr>
          <w:sz w:val="28"/>
        </w:rPr>
      </w:pPr>
      <w:r w:rsidRPr="008A160C">
        <w:rPr>
          <w:sz w:val="28"/>
        </w:rPr>
        <w:t xml:space="preserve">Arizona has </w:t>
      </w:r>
      <w:r w:rsidR="009A09C1">
        <w:rPr>
          <w:sz w:val="28"/>
        </w:rPr>
        <w:t xml:space="preserve">existing </w:t>
      </w:r>
      <w:r w:rsidRPr="008A160C">
        <w:rPr>
          <w:sz w:val="28"/>
        </w:rPr>
        <w:t xml:space="preserve">mechanisms to promote uniformity in its caselaw. </w:t>
      </w:r>
    </w:p>
    <w:p w14:paraId="6F3D9EB6" w14:textId="2EE7DC05" w:rsidR="00E779D4" w:rsidRDefault="00745FD3" w:rsidP="00FA1B7C">
      <w:pPr>
        <w:pStyle w:val="BodyText"/>
        <w:ind w:right="116"/>
        <w:jc w:val="both"/>
      </w:pPr>
      <w:r>
        <w:t xml:space="preserve">As the Petition observes (at 2), </w:t>
      </w:r>
      <w:r w:rsidR="00D753A2">
        <w:t>different departments and divisions of the</w:t>
      </w:r>
      <w:r w:rsidR="00C91278">
        <w:t xml:space="preserve"> </w:t>
      </w:r>
      <w:r w:rsidR="00D753A2">
        <w:t>c</w:t>
      </w:r>
      <w:r w:rsidR="00C53DFC">
        <w:t xml:space="preserve">ourt of </w:t>
      </w:r>
      <w:r w:rsidR="00D753A2">
        <w:t>a</w:t>
      </w:r>
      <w:r w:rsidR="00C53DFC">
        <w:t>ppeals</w:t>
      </w:r>
      <w:r w:rsidR="00C91278">
        <w:t xml:space="preserve"> </w:t>
      </w:r>
      <w:r w:rsidR="00D753A2">
        <w:t>can</w:t>
      </w:r>
      <w:r w:rsidR="0014571C">
        <w:t xml:space="preserve"> </w:t>
      </w:r>
      <w:r w:rsidR="00C91278">
        <w:t xml:space="preserve">sometimes issue conflicting decisions.  </w:t>
      </w:r>
      <w:r w:rsidR="0014571C">
        <w:t>While t</w:t>
      </w:r>
      <w:r w:rsidR="00C91278">
        <w:t xml:space="preserve">he Office agrees that this </w:t>
      </w:r>
      <w:r w:rsidR="00174FC7">
        <w:t xml:space="preserve">may sometimes be </w:t>
      </w:r>
      <w:r w:rsidR="004B75D6">
        <w:t>a</w:t>
      </w:r>
      <w:r w:rsidR="00174FC7">
        <w:t xml:space="preserve"> concern</w:t>
      </w:r>
      <w:r w:rsidR="0014571C">
        <w:t xml:space="preserve">, </w:t>
      </w:r>
      <w:r w:rsidR="00174FC7">
        <w:t xml:space="preserve">there are already mechanisms in place that mitigate the extent to which it is </w:t>
      </w:r>
      <w:r w:rsidR="00AE2F6D">
        <w:t xml:space="preserve">frequently </w:t>
      </w:r>
      <w:r w:rsidR="00174FC7">
        <w:t>problematic</w:t>
      </w:r>
      <w:r w:rsidR="00C91278">
        <w:t xml:space="preserve">. </w:t>
      </w:r>
      <w:r w:rsidR="0014571C">
        <w:t xml:space="preserve"> </w:t>
      </w:r>
    </w:p>
    <w:p w14:paraId="6B0B5CFD" w14:textId="74F5E5F2" w:rsidR="00FA1B7C" w:rsidRPr="001F4913" w:rsidRDefault="00EF304F" w:rsidP="00FA1B7C">
      <w:pPr>
        <w:pStyle w:val="BodyText"/>
        <w:ind w:right="116"/>
        <w:jc w:val="both"/>
        <w:rPr>
          <w:szCs w:val="28"/>
        </w:rPr>
      </w:pPr>
      <w:r>
        <w:t>Most importantly</w:t>
      </w:r>
      <w:r w:rsidR="0014571C">
        <w:t>, i</w:t>
      </w:r>
      <w:r w:rsidR="008A160C" w:rsidRPr="008A160C">
        <w:t xml:space="preserve">f different </w:t>
      </w:r>
      <w:r w:rsidR="0014571C">
        <w:t xml:space="preserve">court of appeals panels </w:t>
      </w:r>
      <w:r w:rsidR="008A160C">
        <w:t xml:space="preserve">reach different conclusions on a given issue, parties </w:t>
      </w:r>
      <w:r w:rsidR="00FA1B7C">
        <w:t xml:space="preserve">already have recourse: they may petition this Court </w:t>
      </w:r>
      <w:r w:rsidR="004B75D6">
        <w:t>to</w:t>
      </w:r>
      <w:r w:rsidR="00FA1B7C">
        <w:t xml:space="preserve"> review</w:t>
      </w:r>
      <w:r w:rsidR="004B75D6">
        <w:t xml:space="preserve"> the matter</w:t>
      </w:r>
      <w:r w:rsidR="00FA1B7C">
        <w:t xml:space="preserve">.  While this review—like the United States Supreme Court’s review—is of course discretionary, that is where any real parallel ends.  According to the U.S. </w:t>
      </w:r>
      <w:r w:rsidR="0002206E">
        <w:t>Courts’</w:t>
      </w:r>
      <w:r w:rsidR="00894A96">
        <w:t xml:space="preserve"> website</w:t>
      </w:r>
      <w:r w:rsidR="00FA1B7C">
        <w:t>,</w:t>
      </w:r>
      <w:r w:rsidR="00894A96">
        <w:t xml:space="preserve"> </w:t>
      </w:r>
      <w:r w:rsidR="0002206E">
        <w:t>the U.S. Supreme Court</w:t>
      </w:r>
      <w:r w:rsidR="00FA1B7C">
        <w:t xml:space="preserve"> “</w:t>
      </w:r>
      <w:r w:rsidR="00FA1B7C" w:rsidRPr="00B12231">
        <w:t>accepts 100-150 of the more than 7,000 cases that it is asked to review each year</w:t>
      </w:r>
      <w:r w:rsidR="00FA1B7C" w:rsidRPr="001F4913">
        <w:rPr>
          <w:szCs w:val="28"/>
        </w:rPr>
        <w:t>”</w:t>
      </w:r>
      <w:r w:rsidR="00FA1B7C" w:rsidRPr="001F4913">
        <w:rPr>
          <w:rStyle w:val="FootnoteReference"/>
          <w:szCs w:val="28"/>
        </w:rPr>
        <w:footnoteReference w:id="1"/>
      </w:r>
      <w:r w:rsidR="00FA1B7C" w:rsidRPr="001F4913">
        <w:rPr>
          <w:szCs w:val="28"/>
        </w:rPr>
        <w:t>—an acceptance rate of about 2% at the high end.</w:t>
      </w:r>
      <w:r w:rsidR="00B64F9C" w:rsidRPr="001F4913">
        <w:rPr>
          <w:szCs w:val="28"/>
        </w:rPr>
        <w:t xml:space="preserve">  Thus, in any given case, it is exceedingly likely </w:t>
      </w:r>
      <w:r w:rsidR="00B64F9C" w:rsidRPr="001F4913">
        <w:rPr>
          <w:szCs w:val="28"/>
        </w:rPr>
        <w:lastRenderedPageBreak/>
        <w:t xml:space="preserve">that </w:t>
      </w:r>
      <w:r w:rsidR="00A32400">
        <w:rPr>
          <w:szCs w:val="28"/>
        </w:rPr>
        <w:t>a decision by one of the federal</w:t>
      </w:r>
      <w:r w:rsidR="00B64F9C" w:rsidRPr="001F4913">
        <w:rPr>
          <w:szCs w:val="28"/>
        </w:rPr>
        <w:t xml:space="preserve"> circuit courts of appeal will </w:t>
      </w:r>
      <w:r w:rsidR="00A32400">
        <w:rPr>
          <w:szCs w:val="28"/>
        </w:rPr>
        <w:t>be</w:t>
      </w:r>
      <w:r w:rsidR="00B64F9C" w:rsidRPr="001F4913">
        <w:rPr>
          <w:szCs w:val="28"/>
        </w:rPr>
        <w:t xml:space="preserve"> the final say in the matter. </w:t>
      </w:r>
      <w:r w:rsidR="00A32400">
        <w:rPr>
          <w:szCs w:val="28"/>
        </w:rPr>
        <w:t xml:space="preserve"> In </w:t>
      </w:r>
      <w:r w:rsidR="00BF0D27">
        <w:rPr>
          <w:szCs w:val="28"/>
        </w:rPr>
        <w:t>marked</w:t>
      </w:r>
      <w:r w:rsidR="00A32400">
        <w:rPr>
          <w:szCs w:val="28"/>
        </w:rPr>
        <w:t xml:space="preserve"> contrast</w:t>
      </w:r>
      <w:r w:rsidR="00174FC7">
        <w:rPr>
          <w:szCs w:val="28"/>
        </w:rPr>
        <w:t>, we understand this Court has recently accepted about 9% of the petitions for review it receives.</w:t>
      </w:r>
      <w:r w:rsidR="00174FC7">
        <w:rPr>
          <w:rStyle w:val="FootnoteReference"/>
          <w:szCs w:val="28"/>
        </w:rPr>
        <w:footnoteReference w:id="2"/>
      </w:r>
      <w:r w:rsidR="00174FC7">
        <w:rPr>
          <w:szCs w:val="28"/>
        </w:rPr>
        <w:t xml:space="preserve">  While this is still a relatively small percentage in absolute terms, many petitions, of course, concern decisions that were correctly decided and that do not involve matters of statewide importance. </w:t>
      </w:r>
    </w:p>
    <w:p w14:paraId="303B290C" w14:textId="39444E61" w:rsidR="00F53A49" w:rsidRPr="009A09C1" w:rsidRDefault="00FC22DB" w:rsidP="00FA1B7C">
      <w:pPr>
        <w:pStyle w:val="BodyText"/>
        <w:ind w:right="116"/>
        <w:jc w:val="both"/>
        <w:rPr>
          <w:szCs w:val="28"/>
        </w:rPr>
      </w:pPr>
      <w:r>
        <w:rPr>
          <w:szCs w:val="28"/>
        </w:rPr>
        <w:t>The court of appeals, moreover, has discretion as to whether to publish its decisions</w:t>
      </w:r>
      <w:r w:rsidR="004B75D6">
        <w:rPr>
          <w:szCs w:val="28"/>
        </w:rPr>
        <w:t>—</w:t>
      </w:r>
      <w:r>
        <w:rPr>
          <w:szCs w:val="28"/>
        </w:rPr>
        <w:t xml:space="preserve">an additional </w:t>
      </w:r>
      <w:r w:rsidR="00D76F07">
        <w:rPr>
          <w:szCs w:val="28"/>
        </w:rPr>
        <w:t>safeguard</w:t>
      </w:r>
      <w:r w:rsidR="00A32400">
        <w:rPr>
          <w:szCs w:val="28"/>
        </w:rPr>
        <w:t xml:space="preserve"> </w:t>
      </w:r>
      <w:r>
        <w:rPr>
          <w:szCs w:val="28"/>
        </w:rPr>
        <w:t>that</w:t>
      </w:r>
      <w:r w:rsidR="00A32400">
        <w:rPr>
          <w:szCs w:val="28"/>
        </w:rPr>
        <w:t xml:space="preserve"> promo</w:t>
      </w:r>
      <w:r>
        <w:rPr>
          <w:szCs w:val="28"/>
        </w:rPr>
        <w:t>tes</w:t>
      </w:r>
      <w:r w:rsidR="00A32400">
        <w:rPr>
          <w:szCs w:val="28"/>
        </w:rPr>
        <w:t xml:space="preserve"> uniformity in Arizona</w:t>
      </w:r>
      <w:r>
        <w:rPr>
          <w:szCs w:val="28"/>
        </w:rPr>
        <w:t xml:space="preserve"> law.</w:t>
      </w:r>
      <w:r w:rsidR="00A32400">
        <w:rPr>
          <w:szCs w:val="28"/>
        </w:rPr>
        <w:t xml:space="preserve">  </w:t>
      </w:r>
      <w:r w:rsidR="00A32400">
        <w:rPr>
          <w:i/>
          <w:szCs w:val="28"/>
        </w:rPr>
        <w:t xml:space="preserve">See </w:t>
      </w:r>
      <w:bookmarkStart w:id="9" w:name="dabmci_c6c94759d7c34856b77cd175a0009482"/>
      <w:r w:rsidR="00F53A49">
        <w:rPr>
          <w:szCs w:val="28"/>
        </w:rPr>
        <w:t>Ariz. R. Civ. App. P. 28</w:t>
      </w:r>
      <w:bookmarkEnd w:id="9"/>
      <w:r w:rsidR="00F53A49">
        <w:rPr>
          <w:szCs w:val="28"/>
        </w:rPr>
        <w:t xml:space="preserve">.  Through this </w:t>
      </w:r>
      <w:r w:rsidR="00D76F07">
        <w:rPr>
          <w:szCs w:val="28"/>
        </w:rPr>
        <w:t>mechanism</w:t>
      </w:r>
      <w:r w:rsidR="00F53A49">
        <w:rPr>
          <w:szCs w:val="28"/>
        </w:rPr>
        <w:t xml:space="preserve">, </w:t>
      </w:r>
      <w:r w:rsidR="009A09C1">
        <w:rPr>
          <w:szCs w:val="28"/>
        </w:rPr>
        <w:t xml:space="preserve">a majority of the panel that </w:t>
      </w:r>
      <w:r>
        <w:rPr>
          <w:szCs w:val="28"/>
        </w:rPr>
        <w:t>hears</w:t>
      </w:r>
      <w:r w:rsidR="009A09C1">
        <w:rPr>
          <w:szCs w:val="28"/>
        </w:rPr>
        <w:t xml:space="preserve"> a case</w:t>
      </w:r>
      <w:r w:rsidR="00F53A49">
        <w:rPr>
          <w:szCs w:val="28"/>
        </w:rPr>
        <w:t xml:space="preserve"> determines whether a decision will have precedential value based on factors </w:t>
      </w:r>
      <w:r w:rsidR="00BF0D27">
        <w:rPr>
          <w:szCs w:val="28"/>
        </w:rPr>
        <w:t>such as</w:t>
      </w:r>
      <w:r w:rsidR="00F53A49">
        <w:rPr>
          <w:szCs w:val="28"/>
        </w:rPr>
        <w:t xml:space="preserve"> whether a decision “[e]stablishes, alters, </w:t>
      </w:r>
      <w:r w:rsidR="009A09C1">
        <w:rPr>
          <w:szCs w:val="28"/>
        </w:rPr>
        <w:t>modifies</w:t>
      </w:r>
      <w:r w:rsidR="00F53A49">
        <w:rPr>
          <w:szCs w:val="28"/>
        </w:rPr>
        <w:t xml:space="preserve"> or </w:t>
      </w:r>
      <w:r w:rsidR="009A09C1">
        <w:rPr>
          <w:szCs w:val="28"/>
        </w:rPr>
        <w:t>clarifies</w:t>
      </w:r>
      <w:r w:rsidR="00F53A49">
        <w:rPr>
          <w:szCs w:val="28"/>
        </w:rPr>
        <w:t xml:space="preserve"> a rule of law”; </w:t>
      </w:r>
      <w:r w:rsidR="00211B22">
        <w:rPr>
          <w:szCs w:val="28"/>
        </w:rPr>
        <w:t>“</w:t>
      </w:r>
      <w:r w:rsidR="00F53A49">
        <w:rPr>
          <w:szCs w:val="28"/>
        </w:rPr>
        <w:t>[c]</w:t>
      </w:r>
      <w:proofErr w:type="spellStart"/>
      <w:r w:rsidR="00F53A49">
        <w:rPr>
          <w:szCs w:val="28"/>
        </w:rPr>
        <w:t>riticizes</w:t>
      </w:r>
      <w:proofErr w:type="spellEnd"/>
      <w:r w:rsidR="00F53A49">
        <w:rPr>
          <w:szCs w:val="28"/>
        </w:rPr>
        <w:t xml:space="preserve"> existing law”; or “[</w:t>
      </w:r>
      <w:proofErr w:type="spellStart"/>
      <w:r w:rsidR="00F53A49">
        <w:rPr>
          <w:szCs w:val="28"/>
        </w:rPr>
        <w:t>i</w:t>
      </w:r>
      <w:proofErr w:type="spellEnd"/>
      <w:r w:rsidR="00F53A49">
        <w:rPr>
          <w:szCs w:val="28"/>
        </w:rPr>
        <w:t>]</w:t>
      </w:r>
      <w:proofErr w:type="spellStart"/>
      <w:r w:rsidR="00F53A49">
        <w:rPr>
          <w:szCs w:val="28"/>
        </w:rPr>
        <w:t>nvolves</w:t>
      </w:r>
      <w:proofErr w:type="spellEnd"/>
      <w:r w:rsidR="00F53A49">
        <w:rPr>
          <w:szCs w:val="28"/>
        </w:rPr>
        <w:t xml:space="preserve"> a legal or factual issue of unique interest or substantial public importance.”  </w:t>
      </w:r>
      <w:bookmarkStart w:id="10" w:name="dabmci_3fc74b7d73264a19b10c25022effb5fd"/>
      <w:r w:rsidR="00F53A49">
        <w:rPr>
          <w:i/>
          <w:szCs w:val="28"/>
        </w:rPr>
        <w:t xml:space="preserve">Id. </w:t>
      </w:r>
      <w:r w:rsidR="00F53A49">
        <w:rPr>
          <w:szCs w:val="28"/>
        </w:rPr>
        <w:t>at Rule 28(b)</w:t>
      </w:r>
      <w:bookmarkEnd w:id="10"/>
      <w:r w:rsidR="00F53A49">
        <w:rPr>
          <w:szCs w:val="28"/>
        </w:rPr>
        <w:t xml:space="preserve">.  And regardless of the court of appeals’ publication decision, this Court </w:t>
      </w:r>
      <w:r w:rsidR="009A09C1">
        <w:rPr>
          <w:szCs w:val="28"/>
        </w:rPr>
        <w:t xml:space="preserve">may then order a decision </w:t>
      </w:r>
      <w:proofErr w:type="spellStart"/>
      <w:r w:rsidR="009A09C1">
        <w:rPr>
          <w:szCs w:val="28"/>
        </w:rPr>
        <w:t>depublished</w:t>
      </w:r>
      <w:proofErr w:type="spellEnd"/>
      <w:r w:rsidR="009A09C1">
        <w:rPr>
          <w:szCs w:val="28"/>
        </w:rPr>
        <w:t xml:space="preserve"> in a</w:t>
      </w:r>
      <w:r>
        <w:rPr>
          <w:szCs w:val="28"/>
        </w:rPr>
        <w:t>ny</w:t>
      </w:r>
      <w:r w:rsidR="009A09C1">
        <w:rPr>
          <w:szCs w:val="28"/>
        </w:rPr>
        <w:t xml:space="preserve"> case that comes before it.  </w:t>
      </w:r>
      <w:bookmarkStart w:id="11" w:name="dabmci_94eb6a4944a94aa8b7722bd97928b4c9"/>
      <w:r w:rsidR="009A09C1">
        <w:rPr>
          <w:i/>
          <w:szCs w:val="28"/>
        </w:rPr>
        <w:t xml:space="preserve">Id. </w:t>
      </w:r>
      <w:r w:rsidR="009A09C1">
        <w:rPr>
          <w:szCs w:val="28"/>
        </w:rPr>
        <w:t xml:space="preserve">at </w:t>
      </w:r>
      <w:r w:rsidR="004B75D6">
        <w:rPr>
          <w:szCs w:val="28"/>
        </w:rPr>
        <w:t xml:space="preserve">Rule </w:t>
      </w:r>
      <w:r w:rsidR="009A09C1">
        <w:rPr>
          <w:szCs w:val="28"/>
        </w:rPr>
        <w:t>28(e)</w:t>
      </w:r>
      <w:bookmarkEnd w:id="11"/>
      <w:r w:rsidR="009A09C1">
        <w:rPr>
          <w:szCs w:val="28"/>
        </w:rPr>
        <w:t xml:space="preserve">. </w:t>
      </w:r>
    </w:p>
    <w:p w14:paraId="4856F501" w14:textId="67377FB9" w:rsidR="0002206E" w:rsidRDefault="0002206E" w:rsidP="00FA1B7C">
      <w:pPr>
        <w:pStyle w:val="BodyText"/>
        <w:ind w:right="116"/>
        <w:jc w:val="both"/>
      </w:pPr>
      <w:r>
        <w:rPr>
          <w:szCs w:val="28"/>
        </w:rPr>
        <w:t>T</w:t>
      </w:r>
      <w:r w:rsidR="00A32400">
        <w:rPr>
          <w:szCs w:val="28"/>
        </w:rPr>
        <w:t>he Petition</w:t>
      </w:r>
      <w:r>
        <w:rPr>
          <w:szCs w:val="28"/>
        </w:rPr>
        <w:t xml:space="preserve"> discusses a New York Bar Association </w:t>
      </w:r>
      <w:r w:rsidR="000C64AD">
        <w:rPr>
          <w:szCs w:val="28"/>
        </w:rPr>
        <w:t>R</w:t>
      </w:r>
      <w:r>
        <w:rPr>
          <w:szCs w:val="28"/>
        </w:rPr>
        <w:t xml:space="preserve">eport that recommended </w:t>
      </w:r>
      <w:r w:rsidR="00A32400">
        <w:rPr>
          <w:szCs w:val="28"/>
        </w:rPr>
        <w:t xml:space="preserve">that New York adopt </w:t>
      </w:r>
      <w:proofErr w:type="spellStart"/>
      <w:r w:rsidR="00A32400">
        <w:rPr>
          <w:szCs w:val="28"/>
        </w:rPr>
        <w:t>en</w:t>
      </w:r>
      <w:proofErr w:type="spellEnd"/>
      <w:r w:rsidR="00A32400">
        <w:rPr>
          <w:szCs w:val="28"/>
        </w:rPr>
        <w:t xml:space="preserve"> banc review</w:t>
      </w:r>
      <w:r w:rsidR="004D087A">
        <w:rPr>
          <w:szCs w:val="28"/>
        </w:rPr>
        <w:t>.  B</w:t>
      </w:r>
      <w:r>
        <w:rPr>
          <w:szCs w:val="28"/>
        </w:rPr>
        <w:t xml:space="preserve">ut </w:t>
      </w:r>
      <w:r w:rsidR="004D087A">
        <w:rPr>
          <w:szCs w:val="28"/>
        </w:rPr>
        <w:t>as that</w:t>
      </w:r>
      <w:r>
        <w:rPr>
          <w:szCs w:val="28"/>
        </w:rPr>
        <w:t xml:space="preserve"> </w:t>
      </w:r>
      <w:r w:rsidR="00D76F07">
        <w:rPr>
          <w:szCs w:val="28"/>
        </w:rPr>
        <w:t>R</w:t>
      </w:r>
      <w:r>
        <w:rPr>
          <w:szCs w:val="28"/>
        </w:rPr>
        <w:t>eport</w:t>
      </w:r>
      <w:r w:rsidR="00A32400">
        <w:rPr>
          <w:szCs w:val="28"/>
        </w:rPr>
        <w:t xml:space="preserve"> </w:t>
      </w:r>
      <w:r w:rsidR="009A09C1">
        <w:rPr>
          <w:szCs w:val="28"/>
        </w:rPr>
        <w:t>observ</w:t>
      </w:r>
      <w:r w:rsidR="006B17D1">
        <w:rPr>
          <w:szCs w:val="28"/>
        </w:rPr>
        <w:t>es</w:t>
      </w:r>
      <w:r w:rsidR="004D087A">
        <w:rPr>
          <w:szCs w:val="28"/>
        </w:rPr>
        <w:t xml:space="preserve">, </w:t>
      </w:r>
      <w:r w:rsidR="00A32400">
        <w:rPr>
          <w:szCs w:val="28"/>
        </w:rPr>
        <w:t>“</w:t>
      </w:r>
      <w:r w:rsidR="00A32400">
        <w:t xml:space="preserve">New York stands alone amongst the fifty states in that it: (a) maintains a large intermediate appellate court; (b) does not provide for </w:t>
      </w:r>
      <w:proofErr w:type="spellStart"/>
      <w:r w:rsidR="00A32400">
        <w:t>en</w:t>
      </w:r>
      <w:proofErr w:type="spellEnd"/>
      <w:r w:rsidR="00A32400">
        <w:t xml:space="preserve"> banc review; and </w:t>
      </w:r>
      <w:r w:rsidR="00A32400">
        <w:lastRenderedPageBreak/>
        <w:t>(c)</w:t>
      </w:r>
      <w:r w:rsidR="00211B22">
        <w:t> </w:t>
      </w:r>
      <w:r w:rsidR="00A32400">
        <w:t>prohibits unpublished decisions by its appellate courts.</w:t>
      </w:r>
      <w:r w:rsidR="00F53A49">
        <w:t>”</w:t>
      </w:r>
      <w:r w:rsidR="00FC22DB">
        <w:t xml:space="preserve">  </w:t>
      </w:r>
      <w:proofErr w:type="spellStart"/>
      <w:r w:rsidR="00E12A8E">
        <w:t>Takemi</w:t>
      </w:r>
      <w:proofErr w:type="spellEnd"/>
      <w:r w:rsidR="00E12A8E">
        <w:t xml:space="preserve"> Ueno &amp; Jeffrey M. Winn, </w:t>
      </w:r>
      <w:proofErr w:type="spellStart"/>
      <w:r w:rsidR="00FC22DB" w:rsidRPr="00FC22DB">
        <w:rPr>
          <w:i/>
          <w:iCs/>
        </w:rPr>
        <w:t>En</w:t>
      </w:r>
      <w:proofErr w:type="spellEnd"/>
      <w:r w:rsidR="00FC22DB" w:rsidRPr="00FC22DB">
        <w:rPr>
          <w:i/>
          <w:iCs/>
        </w:rPr>
        <w:t xml:space="preserve"> Banc Review in New York Court</w:t>
      </w:r>
      <w:r w:rsidR="00FC22DB" w:rsidRPr="00FC22DB">
        <w:t>, New York City Bar Association Committee on State Courts of Superior Jurisdiction</w:t>
      </w:r>
      <w:r w:rsidR="000C64AD">
        <w:t xml:space="preserve"> (“N</w:t>
      </w:r>
      <w:r w:rsidR="004B75D6">
        <w:t xml:space="preserve">ew </w:t>
      </w:r>
      <w:r w:rsidR="000C64AD">
        <w:t>Y</w:t>
      </w:r>
      <w:r w:rsidR="004B75D6">
        <w:t>ork</w:t>
      </w:r>
      <w:r w:rsidR="000C64AD">
        <w:t xml:space="preserve"> Bar Report”)</w:t>
      </w:r>
      <w:r>
        <w:t>, at 9-10</w:t>
      </w:r>
      <w:r w:rsidR="00FC22DB">
        <w:t>.</w:t>
      </w:r>
      <w:r w:rsidR="00F53A49">
        <w:rPr>
          <w:rStyle w:val="FootnoteReference"/>
        </w:rPr>
        <w:footnoteReference w:id="3"/>
      </w:r>
      <w:r w:rsidR="004D087A">
        <w:t xml:space="preserve">  </w:t>
      </w:r>
      <w:r w:rsidR="000E6720">
        <w:t>Thus</w:t>
      </w:r>
      <w:r w:rsidR="009A09C1">
        <w:t>, “New York place</w:t>
      </w:r>
      <w:r w:rsidR="006B17D1">
        <w:t>s</w:t>
      </w:r>
      <w:r w:rsidR="009A09C1">
        <w:t xml:space="preserve"> the heaviest burden of any state on its intermediate appellate court when it comes to maintaining the uniformity and consistency of its decisions.” </w:t>
      </w:r>
      <w:r w:rsidR="0001614C">
        <w:t xml:space="preserve"> </w:t>
      </w:r>
      <w:r w:rsidR="009A09C1">
        <w:rPr>
          <w:i/>
        </w:rPr>
        <w:t xml:space="preserve">Id. </w:t>
      </w:r>
      <w:r w:rsidR="009A09C1">
        <w:t xml:space="preserve">at 10. </w:t>
      </w:r>
      <w:r w:rsidR="000E6720">
        <w:t xml:space="preserve"> </w:t>
      </w:r>
    </w:p>
    <w:p w14:paraId="4B85904B" w14:textId="1D7E36A8" w:rsidR="00601BE6" w:rsidRPr="009A09C1" w:rsidRDefault="006B17D1" w:rsidP="00FA1B7C">
      <w:pPr>
        <w:pStyle w:val="BodyText"/>
        <w:ind w:right="116"/>
        <w:jc w:val="both"/>
        <w:rPr>
          <w:szCs w:val="28"/>
        </w:rPr>
      </w:pPr>
      <w:r>
        <w:t xml:space="preserve">Notwithstanding </w:t>
      </w:r>
      <w:r w:rsidR="004D087A">
        <w:t>these</w:t>
      </w:r>
      <w:r>
        <w:t xml:space="preserve"> concerns, New York does not appear to have adopted </w:t>
      </w:r>
      <w:proofErr w:type="spellStart"/>
      <w:r>
        <w:t>en</w:t>
      </w:r>
      <w:proofErr w:type="spellEnd"/>
      <w:r>
        <w:t xml:space="preserve"> banc review.  </w:t>
      </w:r>
      <w:r w:rsidR="00D76F07">
        <w:t>But</w:t>
      </w:r>
      <w:r w:rsidR="00194F31">
        <w:t xml:space="preserve"> even if </w:t>
      </w:r>
      <w:proofErr w:type="spellStart"/>
      <w:r w:rsidR="00194F31">
        <w:t>en</w:t>
      </w:r>
      <w:proofErr w:type="spellEnd"/>
      <w:r w:rsidR="00194F31">
        <w:t xml:space="preserve"> banc review would arguably make sense for New York, </w:t>
      </w:r>
      <w:r>
        <w:t>t</w:t>
      </w:r>
      <w:r w:rsidR="000E6720">
        <w:t xml:space="preserve">he Arizona </w:t>
      </w:r>
      <w:r>
        <w:t>C</w:t>
      </w:r>
      <w:r w:rsidR="000E6720">
        <w:t xml:space="preserve">ourt of </w:t>
      </w:r>
      <w:r>
        <w:t>A</w:t>
      </w:r>
      <w:r w:rsidR="000E6720">
        <w:t>ppeals’ ability to issue unpublished memorandum decisions without precedential value substantially mitigates the threat to uniformity and consistency</w:t>
      </w:r>
      <w:r>
        <w:t xml:space="preserve"> </w:t>
      </w:r>
      <w:r w:rsidR="004B75D6">
        <w:t>in this State</w:t>
      </w:r>
      <w:r w:rsidR="000E6720">
        <w:t xml:space="preserve">. </w:t>
      </w:r>
    </w:p>
    <w:p w14:paraId="57C88843" w14:textId="4481DAA0" w:rsidR="008A160C" w:rsidRPr="001F4913" w:rsidRDefault="001F4913" w:rsidP="001F4913">
      <w:pPr>
        <w:pStyle w:val="OMCOABriefHeadingLevel2"/>
        <w:rPr>
          <w:sz w:val="28"/>
        </w:rPr>
      </w:pPr>
      <w:proofErr w:type="spellStart"/>
      <w:r w:rsidRPr="001F4913">
        <w:rPr>
          <w:sz w:val="28"/>
        </w:rPr>
        <w:t>En</w:t>
      </w:r>
      <w:proofErr w:type="spellEnd"/>
      <w:r w:rsidRPr="001F4913">
        <w:rPr>
          <w:sz w:val="28"/>
        </w:rPr>
        <w:t xml:space="preserve"> banc review would</w:t>
      </w:r>
      <w:r w:rsidR="000A2438">
        <w:rPr>
          <w:sz w:val="28"/>
        </w:rPr>
        <w:t xml:space="preserve"> likely</w:t>
      </w:r>
      <w:r w:rsidRPr="001F4913">
        <w:rPr>
          <w:sz w:val="28"/>
        </w:rPr>
        <w:t xml:space="preserve"> entail significant costs. </w:t>
      </w:r>
    </w:p>
    <w:p w14:paraId="07A61044" w14:textId="670F1D02" w:rsidR="00E37CCC" w:rsidRDefault="00E37CCC" w:rsidP="00E37CCC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New York Bar </w:t>
      </w:r>
      <w:r w:rsidR="00AE2F6D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eport </w:t>
      </w:r>
      <w:r w:rsidR="00AE2F6D">
        <w:rPr>
          <w:rFonts w:ascii="Times New Roman" w:hAnsi="Times New Roman"/>
        </w:rPr>
        <w:t>references</w:t>
      </w:r>
      <w:r>
        <w:rPr>
          <w:rFonts w:ascii="Times New Roman" w:hAnsi="Times New Roman"/>
        </w:rPr>
        <w:t xml:space="preserve"> Justice Frankfurter’s warning that petitions for rehearing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 were (in 1953) “filed almost as a matter of course” in some circuits, resulting in “needless delay” and “false hopes.”  N</w:t>
      </w:r>
      <w:r w:rsidR="004B75D6">
        <w:rPr>
          <w:rFonts w:ascii="Times New Roman" w:hAnsi="Times New Roman"/>
        </w:rPr>
        <w:t xml:space="preserve">ew </w:t>
      </w:r>
      <w:r>
        <w:rPr>
          <w:rFonts w:ascii="Times New Roman" w:hAnsi="Times New Roman"/>
        </w:rPr>
        <w:t>Y</w:t>
      </w:r>
      <w:r w:rsidR="004B75D6">
        <w:rPr>
          <w:rFonts w:ascii="Times New Roman" w:hAnsi="Times New Roman"/>
        </w:rPr>
        <w:t>ork</w:t>
      </w:r>
      <w:r>
        <w:rPr>
          <w:rFonts w:ascii="Times New Roman" w:hAnsi="Times New Roman"/>
        </w:rPr>
        <w:t xml:space="preserve"> Bar Report at 6 (quoting </w:t>
      </w:r>
      <w:bookmarkStart w:id="12" w:name="dabmci_a7b2777cb77e44d7993354ee15d1a2dd"/>
      <w:r w:rsidRPr="00AC7D72">
        <w:rPr>
          <w:rFonts w:ascii="Times New Roman" w:hAnsi="Times New Roman"/>
          <w:i/>
        </w:rPr>
        <w:t>Western P</w:t>
      </w:r>
      <w:r w:rsidR="00C50E2F">
        <w:rPr>
          <w:rFonts w:ascii="Times New Roman" w:hAnsi="Times New Roman"/>
          <w:i/>
        </w:rPr>
        <w:t>ac</w:t>
      </w:r>
      <w:r w:rsidRPr="00AC7D72">
        <w:rPr>
          <w:rFonts w:ascii="Times New Roman" w:hAnsi="Times New Roman"/>
          <w:i/>
        </w:rPr>
        <w:t>.</w:t>
      </w:r>
      <w:r w:rsidR="00C50E2F">
        <w:rPr>
          <w:rFonts w:ascii="Times New Roman" w:hAnsi="Times New Roman"/>
          <w:i/>
        </w:rPr>
        <w:t xml:space="preserve"> </w:t>
      </w:r>
      <w:r w:rsidRPr="00AC7D72">
        <w:rPr>
          <w:rFonts w:ascii="Times New Roman" w:hAnsi="Times New Roman"/>
          <w:i/>
        </w:rPr>
        <w:t>R. Corp. v. Western P</w:t>
      </w:r>
      <w:r w:rsidR="00C50E2F">
        <w:rPr>
          <w:rFonts w:ascii="Times New Roman" w:hAnsi="Times New Roman"/>
          <w:i/>
        </w:rPr>
        <w:t>ac</w:t>
      </w:r>
      <w:r w:rsidRPr="00AC7D72">
        <w:rPr>
          <w:rFonts w:ascii="Times New Roman" w:hAnsi="Times New Roman"/>
          <w:i/>
        </w:rPr>
        <w:t>.</w:t>
      </w:r>
      <w:r w:rsidR="00C50E2F">
        <w:rPr>
          <w:rFonts w:ascii="Times New Roman" w:hAnsi="Times New Roman"/>
          <w:i/>
        </w:rPr>
        <w:t xml:space="preserve"> </w:t>
      </w:r>
      <w:r w:rsidRPr="00AC7D72">
        <w:rPr>
          <w:rFonts w:ascii="Times New Roman" w:hAnsi="Times New Roman"/>
          <w:i/>
        </w:rPr>
        <w:t>R. Co.</w:t>
      </w:r>
      <w:r w:rsidRPr="000C64AD">
        <w:rPr>
          <w:rFonts w:ascii="Times New Roman" w:hAnsi="Times New Roman"/>
        </w:rPr>
        <w:t>, 345 U.S. 247, 257 (1953)</w:t>
      </w:r>
      <w:bookmarkEnd w:id="12"/>
      <w:r>
        <w:rPr>
          <w:rFonts w:ascii="Times New Roman" w:hAnsi="Times New Roman"/>
        </w:rPr>
        <w:t xml:space="preserve">). </w:t>
      </w:r>
      <w:r w:rsidR="00D76F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address this problem, the federal courts later adopted the modern federal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 rule. </w:t>
      </w:r>
      <w:r w:rsidR="00D753A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Id. </w:t>
      </w:r>
      <w:r>
        <w:rPr>
          <w:rFonts w:ascii="Times New Roman" w:hAnsi="Times New Roman"/>
        </w:rPr>
        <w:t xml:space="preserve">at 6-7. </w:t>
      </w:r>
    </w:p>
    <w:p w14:paraId="73274FFA" w14:textId="138A1B2E" w:rsidR="00D76F07" w:rsidRDefault="001F4913" w:rsidP="00E37CCC">
      <w:pPr>
        <w:pStyle w:val="OMCOABriefBody"/>
        <w:rPr>
          <w:rFonts w:ascii="Times New Roman" w:hAnsi="Times New Roman"/>
        </w:rPr>
      </w:pPr>
      <w:r w:rsidRPr="001F4913">
        <w:rPr>
          <w:rFonts w:ascii="Times New Roman" w:hAnsi="Times New Roman"/>
        </w:rPr>
        <w:lastRenderedPageBreak/>
        <w:t xml:space="preserve">The proposed rule </w:t>
      </w:r>
      <w:r w:rsidR="00E37CCC">
        <w:rPr>
          <w:rFonts w:ascii="Times New Roman" w:hAnsi="Times New Roman"/>
        </w:rPr>
        <w:t xml:space="preserve">here </w:t>
      </w:r>
      <w:r>
        <w:rPr>
          <w:rFonts w:ascii="Times New Roman" w:hAnsi="Times New Roman"/>
        </w:rPr>
        <w:t xml:space="preserve">provides that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 reconsideration “is not favored and ordinarily will not be granted unless” it “is necessary to secure or maintain uniformity of the court’s decisions” or it “involves a question of exceptional importance.” </w:t>
      </w:r>
      <w:r w:rsidR="000161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Pet. </w:t>
      </w:r>
      <w:r w:rsidR="00194F31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Appendix A</w:t>
      </w:r>
      <w:r w:rsidR="00D963FD">
        <w:rPr>
          <w:rFonts w:ascii="Times New Roman" w:hAnsi="Times New Roman"/>
        </w:rPr>
        <w:t xml:space="preserve"> &amp;</w:t>
      </w:r>
      <w:r w:rsidR="00194F31">
        <w:rPr>
          <w:rFonts w:ascii="Times New Roman" w:hAnsi="Times New Roman"/>
        </w:rPr>
        <w:t xml:space="preserve"> B.</w:t>
      </w:r>
      <w:r>
        <w:rPr>
          <w:rFonts w:ascii="Times New Roman" w:hAnsi="Times New Roman"/>
        </w:rPr>
        <w:t xml:space="preserve"> </w:t>
      </w:r>
      <w:r w:rsidR="0001614C">
        <w:rPr>
          <w:rFonts w:ascii="Times New Roman" w:hAnsi="Times New Roman"/>
        </w:rPr>
        <w:t xml:space="preserve"> </w:t>
      </w:r>
      <w:r w:rsidR="00E37CCC">
        <w:rPr>
          <w:rFonts w:ascii="Times New Roman" w:hAnsi="Times New Roman"/>
        </w:rPr>
        <w:t xml:space="preserve"> This is similar to the federal rule and </w:t>
      </w:r>
      <w:r w:rsidR="0001614C">
        <w:rPr>
          <w:rFonts w:ascii="Times New Roman" w:hAnsi="Times New Roman"/>
        </w:rPr>
        <w:t xml:space="preserve">sets a </w:t>
      </w:r>
      <w:r w:rsidR="00FB30F4">
        <w:rPr>
          <w:rFonts w:ascii="Times New Roman" w:hAnsi="Times New Roman"/>
        </w:rPr>
        <w:t xml:space="preserve">seemingly </w:t>
      </w:r>
      <w:r w:rsidR="0001614C">
        <w:rPr>
          <w:rFonts w:ascii="Times New Roman" w:hAnsi="Times New Roman"/>
        </w:rPr>
        <w:t>high</w:t>
      </w:r>
      <w:r w:rsidR="00D76F07">
        <w:rPr>
          <w:rFonts w:ascii="Times New Roman" w:hAnsi="Times New Roman"/>
        </w:rPr>
        <w:t xml:space="preserve"> (if fairly discretionary)</w:t>
      </w:r>
      <w:r w:rsidR="0001614C">
        <w:rPr>
          <w:rFonts w:ascii="Times New Roman" w:hAnsi="Times New Roman"/>
        </w:rPr>
        <w:t xml:space="preserve"> standard for </w:t>
      </w:r>
      <w:r w:rsidR="007A43C4">
        <w:rPr>
          <w:rFonts w:ascii="Times New Roman" w:hAnsi="Times New Roman"/>
          <w:i/>
        </w:rPr>
        <w:t xml:space="preserve">granting </w:t>
      </w:r>
      <w:proofErr w:type="spellStart"/>
      <w:r w:rsidR="007A43C4">
        <w:rPr>
          <w:rFonts w:ascii="Times New Roman" w:hAnsi="Times New Roman"/>
        </w:rPr>
        <w:t>en</w:t>
      </w:r>
      <w:proofErr w:type="spellEnd"/>
      <w:r w:rsidR="007A43C4">
        <w:rPr>
          <w:rFonts w:ascii="Times New Roman" w:hAnsi="Times New Roman"/>
        </w:rPr>
        <w:t xml:space="preserve"> banc </w:t>
      </w:r>
      <w:r w:rsidR="00E37CCC">
        <w:rPr>
          <w:rFonts w:ascii="Times New Roman" w:hAnsi="Times New Roman"/>
        </w:rPr>
        <w:t xml:space="preserve">reconsideration. </w:t>
      </w:r>
      <w:r w:rsidR="00D753A2">
        <w:rPr>
          <w:rFonts w:ascii="Times New Roman" w:hAnsi="Times New Roman"/>
        </w:rPr>
        <w:t xml:space="preserve"> </w:t>
      </w:r>
      <w:r w:rsidR="00E37CCC">
        <w:rPr>
          <w:rFonts w:ascii="Times New Roman" w:hAnsi="Times New Roman"/>
        </w:rPr>
        <w:t>The proposed</w:t>
      </w:r>
      <w:r w:rsidR="000A2438">
        <w:rPr>
          <w:rFonts w:ascii="Times New Roman" w:hAnsi="Times New Roman"/>
        </w:rPr>
        <w:t xml:space="preserve"> </w:t>
      </w:r>
      <w:r w:rsidR="007A43C4">
        <w:rPr>
          <w:rFonts w:ascii="Times New Roman" w:hAnsi="Times New Roman"/>
        </w:rPr>
        <w:t>rule</w:t>
      </w:r>
      <w:r w:rsidR="00E37CCC">
        <w:rPr>
          <w:rFonts w:ascii="Times New Roman" w:hAnsi="Times New Roman"/>
        </w:rPr>
        <w:t>, however,</w:t>
      </w:r>
      <w:r w:rsidR="007A43C4">
        <w:rPr>
          <w:rFonts w:ascii="Times New Roman" w:hAnsi="Times New Roman"/>
        </w:rPr>
        <w:t xml:space="preserve"> further provides that “[a] party may </w:t>
      </w:r>
      <w:r w:rsidR="007A43C4" w:rsidRPr="000E2AA8">
        <w:rPr>
          <w:rFonts w:ascii="Times New Roman" w:hAnsi="Times New Roman"/>
          <w:i/>
        </w:rPr>
        <w:t>file</w:t>
      </w:r>
      <w:r w:rsidR="007A43C4">
        <w:rPr>
          <w:rFonts w:ascii="Times New Roman" w:hAnsi="Times New Roman"/>
        </w:rPr>
        <w:t xml:space="preserve"> a motion for </w:t>
      </w:r>
      <w:r w:rsidR="00AC7D72">
        <w:rPr>
          <w:rFonts w:ascii="Times New Roman" w:hAnsi="Times New Roman"/>
        </w:rPr>
        <w:t>. . .</w:t>
      </w:r>
      <w:r w:rsidR="007A43C4">
        <w:rPr>
          <w:rFonts w:ascii="Times New Roman" w:hAnsi="Times New Roman"/>
        </w:rPr>
        <w:t xml:space="preserve"> reconsideration </w:t>
      </w:r>
      <w:proofErr w:type="spellStart"/>
      <w:r w:rsidR="007A43C4">
        <w:rPr>
          <w:rFonts w:ascii="Times New Roman" w:hAnsi="Times New Roman"/>
        </w:rPr>
        <w:t>en</w:t>
      </w:r>
      <w:proofErr w:type="spellEnd"/>
      <w:r w:rsidR="007A43C4">
        <w:rPr>
          <w:rFonts w:ascii="Times New Roman" w:hAnsi="Times New Roman"/>
        </w:rPr>
        <w:t xml:space="preserve"> banc </w:t>
      </w:r>
      <w:r w:rsidR="00AC7D72">
        <w:rPr>
          <w:rFonts w:ascii="Times New Roman" w:hAnsi="Times New Roman"/>
        </w:rPr>
        <w:t>. . .</w:t>
      </w:r>
      <w:r w:rsidR="007A43C4">
        <w:rPr>
          <w:rFonts w:ascii="Times New Roman" w:hAnsi="Times New Roman"/>
        </w:rPr>
        <w:t xml:space="preserve"> requesting an appellate court to reconsider whether its decision contained </w:t>
      </w:r>
      <w:r w:rsidR="007A43C4">
        <w:rPr>
          <w:rFonts w:ascii="Times New Roman" w:hAnsi="Times New Roman"/>
          <w:i/>
        </w:rPr>
        <w:t>erroneous determinations of fact or law</w:t>
      </w:r>
      <w:r w:rsidR="007A43C4">
        <w:rPr>
          <w:rFonts w:ascii="Times New Roman" w:hAnsi="Times New Roman"/>
        </w:rPr>
        <w:t>.”</w:t>
      </w:r>
      <w:r w:rsidR="00D4323A">
        <w:rPr>
          <w:rFonts w:ascii="Times New Roman" w:hAnsi="Times New Roman"/>
        </w:rPr>
        <w:t xml:space="preserve">  </w:t>
      </w:r>
      <w:r w:rsidR="007A43C4">
        <w:rPr>
          <w:rFonts w:ascii="Times New Roman" w:hAnsi="Times New Roman"/>
        </w:rPr>
        <w:t>Proposed Rule 31.20(b)</w:t>
      </w:r>
      <w:r w:rsidR="00FB30F4">
        <w:rPr>
          <w:rFonts w:ascii="Times New Roman" w:hAnsi="Times New Roman"/>
        </w:rPr>
        <w:t xml:space="preserve"> (emphasis added)</w:t>
      </w:r>
      <w:r w:rsidR="007A43C4">
        <w:rPr>
          <w:rFonts w:ascii="Times New Roman" w:hAnsi="Times New Roman"/>
        </w:rPr>
        <w:t>.</w:t>
      </w:r>
      <w:r w:rsidR="00D4323A">
        <w:rPr>
          <w:rFonts w:ascii="Times New Roman" w:hAnsi="Times New Roman"/>
        </w:rPr>
        <w:t xml:space="preserve">  </w:t>
      </w:r>
    </w:p>
    <w:p w14:paraId="14B2AF56" w14:textId="52466F43" w:rsidR="0001614C" w:rsidRDefault="007A43C4" w:rsidP="00E37CCC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>Nearly every losing party in ever</w:t>
      </w:r>
      <w:r w:rsidR="00FB30F4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appeal likely believes that there is at least arguably an erroneous determination of fact or law in the decision.</w:t>
      </w:r>
      <w:r w:rsidR="00FB30F4">
        <w:rPr>
          <w:rFonts w:ascii="Times New Roman" w:hAnsi="Times New Roman"/>
        </w:rPr>
        <w:t xml:space="preserve">  And while attorneys are conditioned to understand that traditional motions for reconsideration are rarely granted (and therefore not worth filing), </w:t>
      </w:r>
      <w:r w:rsidR="00D4323A">
        <w:rPr>
          <w:rFonts w:ascii="Times New Roman" w:hAnsi="Times New Roman"/>
        </w:rPr>
        <w:t xml:space="preserve">it is easy to foresee the proliferation of requests for rehearing </w:t>
      </w:r>
      <w:proofErr w:type="spellStart"/>
      <w:r w:rsidR="00D4323A">
        <w:rPr>
          <w:rFonts w:ascii="Times New Roman" w:hAnsi="Times New Roman"/>
        </w:rPr>
        <w:t>en</w:t>
      </w:r>
      <w:proofErr w:type="spellEnd"/>
      <w:r w:rsidR="00D4323A">
        <w:rPr>
          <w:rFonts w:ascii="Times New Roman" w:hAnsi="Times New Roman"/>
        </w:rPr>
        <w:t xml:space="preserve"> banc as attorneys and parties</w:t>
      </w:r>
      <w:r w:rsidR="003E3BC9">
        <w:rPr>
          <w:rFonts w:ascii="Times New Roman" w:hAnsi="Times New Roman"/>
        </w:rPr>
        <w:t xml:space="preserve"> deem their matters “exceptionally important” and believe that there was some kind of error</w:t>
      </w:r>
      <w:r w:rsidR="00D4323A">
        <w:rPr>
          <w:rFonts w:ascii="Times New Roman" w:hAnsi="Times New Roman"/>
        </w:rPr>
        <w:t>.</w:t>
      </w:r>
    </w:p>
    <w:p w14:paraId="23C3169E" w14:textId="77777777" w:rsidR="00211B22" w:rsidRDefault="003E3BC9" w:rsidP="00292101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While it is impossible to project how many requests for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 </w:t>
      </w:r>
      <w:r w:rsidR="00AE2F6D">
        <w:rPr>
          <w:rFonts w:ascii="Times New Roman" w:hAnsi="Times New Roman"/>
        </w:rPr>
        <w:t>reconsideration</w:t>
      </w:r>
      <w:r>
        <w:rPr>
          <w:rFonts w:ascii="Times New Roman" w:hAnsi="Times New Roman"/>
        </w:rPr>
        <w:t xml:space="preserve"> the </w:t>
      </w:r>
      <w:r w:rsidR="004B75D6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ourt of </w:t>
      </w:r>
      <w:r w:rsidR="004B75D6">
        <w:rPr>
          <w:rFonts w:ascii="Times New Roman" w:hAnsi="Times New Roman"/>
        </w:rPr>
        <w:t>a</w:t>
      </w:r>
      <w:r>
        <w:rPr>
          <w:rFonts w:ascii="Times New Roman" w:hAnsi="Times New Roman"/>
        </w:rPr>
        <w:t>ppeals would see</w:t>
      </w:r>
      <w:r w:rsidR="004B75D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it</w:t>
      </w:r>
      <w:r w:rsidR="00E37C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does not seem </w:t>
      </w:r>
      <w:r w:rsidR="00D76F07">
        <w:rPr>
          <w:rFonts w:ascii="Times New Roman" w:hAnsi="Times New Roman"/>
        </w:rPr>
        <w:t xml:space="preserve">farfetched </w:t>
      </w:r>
      <w:r>
        <w:rPr>
          <w:rFonts w:ascii="Times New Roman" w:hAnsi="Times New Roman"/>
        </w:rPr>
        <w:t xml:space="preserve">to expect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 rehearing requests in many, if not most, cases</w:t>
      </w:r>
      <w:r w:rsidR="00AE2F6D">
        <w:rPr>
          <w:rFonts w:ascii="Times New Roman" w:hAnsi="Times New Roman"/>
        </w:rPr>
        <w:t xml:space="preserve">, </w:t>
      </w:r>
      <w:r w:rsidR="00D753A2">
        <w:rPr>
          <w:rFonts w:ascii="Times New Roman" w:hAnsi="Times New Roman"/>
        </w:rPr>
        <w:t>at least for a period of time</w:t>
      </w:r>
      <w:r w:rsidR="004B75D6">
        <w:rPr>
          <w:rFonts w:ascii="Times New Roman" w:hAnsi="Times New Roman"/>
        </w:rPr>
        <w:t xml:space="preserve"> as parties calibrate their expectations</w:t>
      </w:r>
      <w:r>
        <w:rPr>
          <w:rFonts w:ascii="Times New Roman" w:hAnsi="Times New Roman"/>
        </w:rPr>
        <w:t xml:space="preserve">.  After all, the procedure </w:t>
      </w:r>
      <w:r w:rsidR="003A3BE1">
        <w:rPr>
          <w:rFonts w:ascii="Times New Roman" w:hAnsi="Times New Roman"/>
        </w:rPr>
        <w:t>would</w:t>
      </w:r>
      <w:r>
        <w:rPr>
          <w:rFonts w:ascii="Times New Roman" w:hAnsi="Times New Roman"/>
        </w:rPr>
        <w:t xml:space="preserve"> provide an additional bite at the apple that prudent attorneys will feel compelled to take</w:t>
      </w:r>
      <w:r w:rsidR="000E2AA8">
        <w:rPr>
          <w:rFonts w:ascii="Times New Roman" w:hAnsi="Times New Roman"/>
        </w:rPr>
        <w:t xml:space="preserve"> if there </w:t>
      </w:r>
      <w:r w:rsidR="000E2AA8">
        <w:rPr>
          <w:rFonts w:ascii="Times New Roman" w:hAnsi="Times New Roman"/>
        </w:rPr>
        <w:lastRenderedPageBreak/>
        <w:t>is any colorable basis to do so</w:t>
      </w:r>
      <w:r>
        <w:rPr>
          <w:rFonts w:ascii="Times New Roman" w:hAnsi="Times New Roman"/>
        </w:rPr>
        <w:t>.</w:t>
      </w:r>
      <w:r w:rsidR="00D753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E5686">
        <w:rPr>
          <w:rFonts w:ascii="Times New Roman" w:hAnsi="Times New Roman"/>
        </w:rPr>
        <w:t xml:space="preserve">For clients that have retained private counsel, </w:t>
      </w:r>
      <w:r w:rsidR="00E37CCC">
        <w:rPr>
          <w:rFonts w:ascii="Times New Roman" w:hAnsi="Times New Roman"/>
        </w:rPr>
        <w:t>this</w:t>
      </w:r>
      <w:r w:rsidR="005E5686">
        <w:rPr>
          <w:rFonts w:ascii="Times New Roman" w:hAnsi="Times New Roman"/>
        </w:rPr>
        <w:t xml:space="preserve"> may mean tens of thousands of dollars in additional fees</w:t>
      </w:r>
      <w:r w:rsidR="00D753A2">
        <w:rPr>
          <w:rFonts w:ascii="Times New Roman" w:hAnsi="Times New Roman"/>
        </w:rPr>
        <w:t>—a</w:t>
      </w:r>
      <w:r w:rsidR="005E5686">
        <w:rPr>
          <w:rFonts w:ascii="Times New Roman" w:hAnsi="Times New Roman"/>
        </w:rPr>
        <w:t xml:space="preserve">nd for everyone, it will mean additional time and delay. </w:t>
      </w:r>
    </w:p>
    <w:p w14:paraId="0DD23BDF" w14:textId="5442DA71" w:rsidR="00292101" w:rsidRDefault="00D76F07" w:rsidP="00292101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>In general terms, t</w:t>
      </w:r>
      <w:r w:rsidR="002B3B0C">
        <w:rPr>
          <w:rFonts w:ascii="Times New Roman" w:hAnsi="Times New Roman"/>
        </w:rPr>
        <w:t>here</w:t>
      </w:r>
      <w:r w:rsidR="0049646D">
        <w:rPr>
          <w:rFonts w:ascii="Times New Roman" w:hAnsi="Times New Roman"/>
        </w:rPr>
        <w:t xml:space="preserve"> are a few </w:t>
      </w:r>
      <w:r w:rsidR="004F2C08">
        <w:rPr>
          <w:rFonts w:ascii="Times New Roman" w:hAnsi="Times New Roman"/>
        </w:rPr>
        <w:t>possible outcomes</w:t>
      </w:r>
      <w:r w:rsidR="002B3B0C">
        <w:rPr>
          <w:rFonts w:ascii="Times New Roman" w:hAnsi="Times New Roman"/>
        </w:rPr>
        <w:t xml:space="preserve"> after a party requests </w:t>
      </w:r>
      <w:proofErr w:type="spellStart"/>
      <w:r w:rsidR="002B3B0C">
        <w:rPr>
          <w:rFonts w:ascii="Times New Roman" w:hAnsi="Times New Roman"/>
        </w:rPr>
        <w:t>en</w:t>
      </w:r>
      <w:proofErr w:type="spellEnd"/>
      <w:r w:rsidR="002B3B0C">
        <w:rPr>
          <w:rFonts w:ascii="Times New Roman" w:hAnsi="Times New Roman"/>
        </w:rPr>
        <w:t xml:space="preserve"> banc review</w:t>
      </w:r>
      <w:r w:rsidR="00292101">
        <w:rPr>
          <w:rFonts w:ascii="Times New Roman" w:hAnsi="Times New Roman"/>
        </w:rPr>
        <w:t xml:space="preserve">, at least two of which militate </w:t>
      </w:r>
      <w:r w:rsidR="003A3BE1">
        <w:rPr>
          <w:rFonts w:ascii="Times New Roman" w:hAnsi="Times New Roman"/>
        </w:rPr>
        <w:t xml:space="preserve">strongly </w:t>
      </w:r>
      <w:r w:rsidR="00292101">
        <w:rPr>
          <w:rFonts w:ascii="Times New Roman" w:hAnsi="Times New Roman"/>
        </w:rPr>
        <w:t>against the rule change</w:t>
      </w:r>
      <w:r w:rsidR="0049646D">
        <w:rPr>
          <w:rFonts w:ascii="Times New Roman" w:hAnsi="Times New Roman"/>
        </w:rPr>
        <w:t>.</w:t>
      </w:r>
      <w:r w:rsidR="004F2C08">
        <w:rPr>
          <w:rFonts w:ascii="Times New Roman" w:hAnsi="Times New Roman"/>
        </w:rPr>
        <w:t xml:space="preserve">  </w:t>
      </w:r>
      <w:r w:rsidR="00292101">
        <w:rPr>
          <w:rFonts w:ascii="Times New Roman" w:hAnsi="Times New Roman"/>
        </w:rPr>
        <w:t>First, t</w:t>
      </w:r>
      <w:r w:rsidR="004F2C08">
        <w:rPr>
          <w:rFonts w:ascii="Times New Roman" w:hAnsi="Times New Roman"/>
        </w:rPr>
        <w:t xml:space="preserve">o the extent </w:t>
      </w:r>
      <w:r w:rsidR="002B3B0C">
        <w:rPr>
          <w:rFonts w:ascii="Times New Roman" w:hAnsi="Times New Roman"/>
        </w:rPr>
        <w:t>litigants file</w:t>
      </w:r>
      <w:r w:rsidR="004F2C08">
        <w:rPr>
          <w:rFonts w:ascii="Times New Roman" w:hAnsi="Times New Roman"/>
        </w:rPr>
        <w:t xml:space="preserve"> </w:t>
      </w:r>
      <w:r w:rsidR="00D62388">
        <w:rPr>
          <w:rFonts w:ascii="Times New Roman" w:hAnsi="Times New Roman"/>
        </w:rPr>
        <w:t>a high number of</w:t>
      </w:r>
      <w:r w:rsidR="004F2C08">
        <w:rPr>
          <w:rFonts w:ascii="Times New Roman" w:hAnsi="Times New Roman"/>
        </w:rPr>
        <w:t xml:space="preserve"> unmeritorious and longshot motions, the vast majority </w:t>
      </w:r>
      <w:r w:rsidR="002B3B0C">
        <w:rPr>
          <w:rFonts w:ascii="Times New Roman" w:hAnsi="Times New Roman"/>
        </w:rPr>
        <w:t xml:space="preserve">of </w:t>
      </w:r>
      <w:r w:rsidR="004A339A">
        <w:rPr>
          <w:rFonts w:ascii="Times New Roman" w:hAnsi="Times New Roman"/>
        </w:rPr>
        <w:t>the</w:t>
      </w:r>
      <w:r w:rsidR="000E2AA8">
        <w:rPr>
          <w:rFonts w:ascii="Times New Roman" w:hAnsi="Times New Roman"/>
        </w:rPr>
        <w:t>se</w:t>
      </w:r>
      <w:r w:rsidR="004A339A">
        <w:rPr>
          <w:rFonts w:ascii="Times New Roman" w:hAnsi="Times New Roman"/>
        </w:rPr>
        <w:t xml:space="preserve"> </w:t>
      </w:r>
      <w:r w:rsidR="004F2C08">
        <w:rPr>
          <w:rFonts w:ascii="Times New Roman" w:hAnsi="Times New Roman"/>
        </w:rPr>
        <w:t xml:space="preserve">will presumably be denied </w:t>
      </w:r>
      <w:r w:rsidR="003A3BE1">
        <w:rPr>
          <w:rFonts w:ascii="Times New Roman" w:hAnsi="Times New Roman"/>
        </w:rPr>
        <w:t>after a lot of wasted time</w:t>
      </w:r>
      <w:r w:rsidR="00D753A2">
        <w:rPr>
          <w:rFonts w:ascii="Times New Roman" w:hAnsi="Times New Roman"/>
        </w:rPr>
        <w:t xml:space="preserve">, </w:t>
      </w:r>
      <w:r w:rsidR="004F2C08">
        <w:rPr>
          <w:rFonts w:ascii="Times New Roman" w:hAnsi="Times New Roman"/>
        </w:rPr>
        <w:t>expense</w:t>
      </w:r>
      <w:r>
        <w:rPr>
          <w:rFonts w:ascii="Times New Roman" w:hAnsi="Times New Roman"/>
        </w:rPr>
        <w:t>, and “false hope</w:t>
      </w:r>
      <w:r w:rsidR="00D753A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” </w:t>
      </w:r>
      <w:r w:rsidR="00D753A2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Justice Frankfurter warned</w:t>
      </w:r>
      <w:r w:rsidR="00D753A2">
        <w:rPr>
          <w:rFonts w:ascii="Times New Roman" w:hAnsi="Times New Roman"/>
        </w:rPr>
        <w:t xml:space="preserve">. </w:t>
      </w:r>
    </w:p>
    <w:p w14:paraId="11E2C39C" w14:textId="3994791F" w:rsidR="003E3BC9" w:rsidRDefault="00292101" w:rsidP="00292101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Second, the court of appeals will presumably accept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 review of a subset of the requests and then </w:t>
      </w:r>
      <w:r w:rsidR="00B96AC5">
        <w:rPr>
          <w:rFonts w:ascii="Times New Roman" w:hAnsi="Times New Roman"/>
        </w:rPr>
        <w:t xml:space="preserve">have the opportunity to </w:t>
      </w:r>
      <w:r>
        <w:rPr>
          <w:rFonts w:ascii="Times New Roman" w:hAnsi="Times New Roman"/>
        </w:rPr>
        <w:t xml:space="preserve">preserve uniformity and resolve questions of exceptional importance, just as the proposed rule change intends.  But </w:t>
      </w:r>
      <w:r w:rsidR="00B96AC5">
        <w:rPr>
          <w:rFonts w:ascii="Times New Roman" w:hAnsi="Times New Roman"/>
        </w:rPr>
        <w:t>th</w:t>
      </w:r>
      <w:r w:rsidR="004B75D6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will almost certainly not be the end of the story</w:t>
      </w:r>
      <w:r w:rsidR="00D62388">
        <w:rPr>
          <w:rFonts w:ascii="Times New Roman" w:hAnsi="Times New Roman"/>
        </w:rPr>
        <w:t xml:space="preserve">, given that </w:t>
      </w:r>
      <w:r>
        <w:rPr>
          <w:rFonts w:ascii="Times New Roman" w:hAnsi="Times New Roman"/>
        </w:rPr>
        <w:t xml:space="preserve">a matter important enough for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 review will </w:t>
      </w:r>
      <w:r w:rsidR="00B96AC5">
        <w:rPr>
          <w:rFonts w:ascii="Times New Roman" w:hAnsi="Times New Roman"/>
        </w:rPr>
        <w:t>very likely</w:t>
      </w:r>
      <w:r>
        <w:rPr>
          <w:rFonts w:ascii="Times New Roman" w:hAnsi="Times New Roman"/>
        </w:rPr>
        <w:t xml:space="preserve"> be important enough for </w:t>
      </w:r>
      <w:r w:rsidR="004B75D6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petition </w:t>
      </w:r>
      <w:r w:rsidR="00B96AC5">
        <w:rPr>
          <w:rFonts w:ascii="Times New Roman" w:hAnsi="Times New Roman"/>
        </w:rPr>
        <w:t>to this Court—and in many cases for this Court to grant review.  And in those cases—where this Court will ultimately have the final say, in any event—</w:t>
      </w:r>
      <w:proofErr w:type="spellStart"/>
      <w:r w:rsidR="00B96AC5">
        <w:rPr>
          <w:rFonts w:ascii="Times New Roman" w:hAnsi="Times New Roman"/>
        </w:rPr>
        <w:t>en</w:t>
      </w:r>
      <w:proofErr w:type="spellEnd"/>
      <w:r w:rsidR="00B96AC5">
        <w:rPr>
          <w:rFonts w:ascii="Times New Roman" w:hAnsi="Times New Roman"/>
        </w:rPr>
        <w:t xml:space="preserve"> banc review is </w:t>
      </w:r>
      <w:r w:rsidR="00C97F0A">
        <w:rPr>
          <w:rFonts w:ascii="Times New Roman" w:hAnsi="Times New Roman"/>
        </w:rPr>
        <w:t>largely</w:t>
      </w:r>
      <w:r w:rsidR="00B96AC5">
        <w:rPr>
          <w:rFonts w:ascii="Times New Roman" w:hAnsi="Times New Roman"/>
        </w:rPr>
        <w:t xml:space="preserve"> superfluous.</w:t>
      </w:r>
    </w:p>
    <w:p w14:paraId="75D1B7E7" w14:textId="792D265A" w:rsidR="00B96AC5" w:rsidRPr="000F15E9" w:rsidRDefault="00B96AC5" w:rsidP="00292101">
      <w:pPr>
        <w:pStyle w:val="OMCOABriefBody"/>
        <w:rPr>
          <w:rFonts w:ascii="Times New Roman" w:hAnsi="Times New Roman"/>
        </w:rPr>
      </w:pPr>
      <w:r w:rsidRPr="000F15E9">
        <w:rPr>
          <w:rFonts w:ascii="Times New Roman" w:hAnsi="Times New Roman"/>
        </w:rPr>
        <w:t xml:space="preserve">Third, there will also </w:t>
      </w:r>
      <w:r w:rsidR="0065247D" w:rsidRPr="000F15E9">
        <w:rPr>
          <w:rFonts w:ascii="Times New Roman" w:hAnsi="Times New Roman"/>
        </w:rPr>
        <w:t>surely</w:t>
      </w:r>
      <w:r w:rsidRPr="000F15E9">
        <w:rPr>
          <w:rFonts w:ascii="Times New Roman" w:hAnsi="Times New Roman"/>
        </w:rPr>
        <w:t xml:space="preserve"> be cases </w:t>
      </w:r>
      <w:r w:rsidR="00C97F0A" w:rsidRPr="000F15E9">
        <w:rPr>
          <w:rFonts w:ascii="Times New Roman" w:hAnsi="Times New Roman"/>
        </w:rPr>
        <w:t xml:space="preserve">where the court of appeals corrects </w:t>
      </w:r>
      <w:r w:rsidR="00636EC7" w:rsidRPr="000F15E9">
        <w:rPr>
          <w:rFonts w:ascii="Times New Roman" w:hAnsi="Times New Roman"/>
        </w:rPr>
        <w:t xml:space="preserve">a </w:t>
      </w:r>
      <w:r w:rsidR="00C97F0A" w:rsidRPr="000F15E9">
        <w:rPr>
          <w:rFonts w:ascii="Times New Roman" w:hAnsi="Times New Roman"/>
        </w:rPr>
        <w:t>significant error or patches up a uniformity problem</w:t>
      </w:r>
      <w:r w:rsidR="0065247D" w:rsidRPr="000F15E9">
        <w:rPr>
          <w:rFonts w:ascii="Times New Roman" w:hAnsi="Times New Roman"/>
        </w:rPr>
        <w:t xml:space="preserve"> </w:t>
      </w:r>
      <w:proofErr w:type="spellStart"/>
      <w:r w:rsidR="0065247D" w:rsidRPr="000F15E9">
        <w:rPr>
          <w:rFonts w:ascii="Times New Roman" w:hAnsi="Times New Roman"/>
        </w:rPr>
        <w:t>en</w:t>
      </w:r>
      <w:proofErr w:type="spellEnd"/>
      <w:r w:rsidR="0065247D" w:rsidRPr="000F15E9">
        <w:rPr>
          <w:rFonts w:ascii="Times New Roman" w:hAnsi="Times New Roman"/>
        </w:rPr>
        <w:t xml:space="preserve"> banc</w:t>
      </w:r>
      <w:r w:rsidR="00C97F0A" w:rsidRPr="000F15E9">
        <w:rPr>
          <w:rFonts w:ascii="Times New Roman" w:hAnsi="Times New Roman"/>
        </w:rPr>
        <w:t xml:space="preserve">, and this Court then declines review (or </w:t>
      </w:r>
      <w:r w:rsidR="00895C5B" w:rsidRPr="000F15E9">
        <w:rPr>
          <w:rFonts w:ascii="Times New Roman" w:hAnsi="Times New Roman"/>
        </w:rPr>
        <w:t xml:space="preserve">there is no petition, </w:t>
      </w:r>
      <w:r w:rsidR="00C97F0A" w:rsidRPr="000F15E9">
        <w:rPr>
          <w:rFonts w:ascii="Times New Roman" w:hAnsi="Times New Roman"/>
        </w:rPr>
        <w:t xml:space="preserve">for whatever reason).  These </w:t>
      </w:r>
      <w:r w:rsidR="000F15E9" w:rsidRPr="000F15E9">
        <w:rPr>
          <w:rFonts w:ascii="Times New Roman" w:hAnsi="Times New Roman"/>
        </w:rPr>
        <w:t>scenarios</w:t>
      </w:r>
      <w:r w:rsidR="00C97F0A" w:rsidRPr="000F15E9">
        <w:rPr>
          <w:rFonts w:ascii="Times New Roman" w:hAnsi="Times New Roman"/>
        </w:rPr>
        <w:t xml:space="preserve"> </w:t>
      </w:r>
      <w:r w:rsidR="00474D08" w:rsidRPr="000F15E9">
        <w:rPr>
          <w:rFonts w:ascii="Times New Roman" w:hAnsi="Times New Roman"/>
        </w:rPr>
        <w:t>provide the strongest rationale</w:t>
      </w:r>
      <w:r w:rsidR="00C97F0A" w:rsidRPr="000F15E9">
        <w:rPr>
          <w:rFonts w:ascii="Times New Roman" w:hAnsi="Times New Roman"/>
        </w:rPr>
        <w:t xml:space="preserve"> for the rule change, but they do not persuade </w:t>
      </w:r>
      <w:r w:rsidR="0065247D" w:rsidRPr="000F15E9">
        <w:rPr>
          <w:rFonts w:ascii="Times New Roman" w:hAnsi="Times New Roman"/>
        </w:rPr>
        <w:t xml:space="preserve">the </w:t>
      </w:r>
      <w:r w:rsidR="0065247D" w:rsidRPr="000F15E9">
        <w:rPr>
          <w:rFonts w:ascii="Times New Roman" w:hAnsi="Times New Roman"/>
        </w:rPr>
        <w:lastRenderedPageBreak/>
        <w:t>Office to support it</w:t>
      </w:r>
      <w:r w:rsidR="006E553D" w:rsidRPr="000F15E9">
        <w:rPr>
          <w:rFonts w:ascii="Times New Roman" w:hAnsi="Times New Roman"/>
        </w:rPr>
        <w:t xml:space="preserve"> </w:t>
      </w:r>
      <w:r w:rsidR="00453134" w:rsidRPr="000F15E9">
        <w:rPr>
          <w:rFonts w:ascii="Times New Roman" w:hAnsi="Times New Roman"/>
        </w:rPr>
        <w:t>given the likely predominance of the first two scenarios.</w:t>
      </w:r>
      <w:r w:rsidR="00B004C1" w:rsidRPr="000F15E9">
        <w:rPr>
          <w:rFonts w:ascii="Times New Roman" w:hAnsi="Times New Roman"/>
        </w:rPr>
        <w:t xml:space="preserve">  </w:t>
      </w:r>
      <w:r w:rsidR="00AF14F3" w:rsidRPr="000F15E9">
        <w:rPr>
          <w:rFonts w:ascii="Times New Roman" w:hAnsi="Times New Roman"/>
        </w:rPr>
        <w:t>Nor does legal error or non-uniformity need to be forever.  If this Court declines review in a given case and it subsequently becomes clear that there is a problem</w:t>
      </w:r>
      <w:r w:rsidR="00D62388" w:rsidRPr="000F15E9">
        <w:rPr>
          <w:rFonts w:ascii="Times New Roman" w:hAnsi="Times New Roman"/>
        </w:rPr>
        <w:t>, this</w:t>
      </w:r>
      <w:r w:rsidR="00AF14F3" w:rsidRPr="000F15E9">
        <w:rPr>
          <w:rFonts w:ascii="Times New Roman" w:hAnsi="Times New Roman"/>
        </w:rPr>
        <w:t xml:space="preserve"> Court can fix it in the next case</w:t>
      </w:r>
      <w:r w:rsidR="00D76F07" w:rsidRPr="000F15E9">
        <w:rPr>
          <w:rFonts w:ascii="Times New Roman" w:hAnsi="Times New Roman"/>
        </w:rPr>
        <w:t xml:space="preserve">.  In the meantime, it is not </w:t>
      </w:r>
      <w:r w:rsidR="000F15E9" w:rsidRPr="000F15E9">
        <w:rPr>
          <w:rFonts w:ascii="Times New Roman" w:hAnsi="Times New Roman"/>
        </w:rPr>
        <w:t xml:space="preserve">the end of the world for lower courts “to ‘use [their] discretion to adopt the decision that most persuasively interprets the law.’”  Pet. at 3 (quoting </w:t>
      </w:r>
      <w:bookmarkStart w:id="13" w:name="dabmci_22d9d51c3ba9461d86170aac0fdd70c9"/>
      <w:r w:rsidR="000F15E9" w:rsidRPr="000F15E9">
        <w:rPr>
          <w:rFonts w:ascii="Times New Roman" w:hAnsi="Times New Roman"/>
          <w:i/>
          <w:iCs/>
          <w:color w:val="3C3C3C"/>
        </w:rPr>
        <w:t>State v. Patterson</w:t>
      </w:r>
      <w:r w:rsidR="000F15E9" w:rsidRPr="000F15E9">
        <w:rPr>
          <w:rFonts w:ascii="Times New Roman" w:hAnsi="Times New Roman"/>
        </w:rPr>
        <w:t>, 222 Ariz. 574, 580, ¶ 20 (App. 2009)</w:t>
      </w:r>
      <w:bookmarkEnd w:id="13"/>
      <w:r w:rsidR="000F15E9" w:rsidRPr="000F15E9">
        <w:rPr>
          <w:rFonts w:ascii="Times New Roman" w:hAnsi="Times New Roman"/>
        </w:rPr>
        <w:t xml:space="preserve">).  After all, this is something that lawyers and judges do as a matter of course whenever there are potentially controlling or persuasive cases that appear to reach different results. </w:t>
      </w:r>
    </w:p>
    <w:p w14:paraId="1BD8FD1F" w14:textId="4A51B604" w:rsidR="00AF14F3" w:rsidRDefault="00D62388" w:rsidP="00EF69E9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>And irrespective</w:t>
      </w:r>
      <w:r w:rsidR="00AF14F3">
        <w:rPr>
          <w:rFonts w:ascii="Times New Roman" w:hAnsi="Times New Roman"/>
        </w:rPr>
        <w:t xml:space="preserve"> of </w:t>
      </w:r>
      <w:r w:rsidR="003F4FD7">
        <w:rPr>
          <w:rFonts w:ascii="Times New Roman" w:hAnsi="Times New Roman"/>
        </w:rPr>
        <w:t xml:space="preserve">how </w:t>
      </w:r>
      <w:proofErr w:type="spellStart"/>
      <w:r w:rsidR="003F4FD7">
        <w:rPr>
          <w:rFonts w:ascii="Times New Roman" w:hAnsi="Times New Roman"/>
        </w:rPr>
        <w:t>en</w:t>
      </w:r>
      <w:proofErr w:type="spellEnd"/>
      <w:r w:rsidR="003F4FD7">
        <w:rPr>
          <w:rFonts w:ascii="Times New Roman" w:hAnsi="Times New Roman"/>
        </w:rPr>
        <w:t xml:space="preserve"> banc review</w:t>
      </w:r>
      <w:r w:rsidR="00AF14F3">
        <w:rPr>
          <w:rFonts w:ascii="Times New Roman" w:hAnsi="Times New Roman"/>
        </w:rPr>
        <w:t xml:space="preserve"> plays out in a given case, there is another</w:t>
      </w:r>
      <w:r>
        <w:rPr>
          <w:rFonts w:ascii="Times New Roman" w:hAnsi="Times New Roman"/>
        </w:rPr>
        <w:t>,</w:t>
      </w:r>
      <w:r w:rsidR="00AF14F3">
        <w:rPr>
          <w:rFonts w:ascii="Times New Roman" w:hAnsi="Times New Roman"/>
        </w:rPr>
        <w:t xml:space="preserve"> less</w:t>
      </w:r>
      <w:r w:rsidR="00895C5B">
        <w:rPr>
          <w:rFonts w:ascii="Times New Roman" w:hAnsi="Times New Roman"/>
        </w:rPr>
        <w:t>-</w:t>
      </w:r>
      <w:r w:rsidR="00AF14F3">
        <w:rPr>
          <w:rFonts w:ascii="Times New Roman" w:hAnsi="Times New Roman"/>
        </w:rPr>
        <w:t xml:space="preserve">obvious risk lurking here.  </w:t>
      </w:r>
      <w:r w:rsidR="00EF69E9">
        <w:rPr>
          <w:rFonts w:ascii="Times New Roman" w:hAnsi="Times New Roman"/>
        </w:rPr>
        <w:t xml:space="preserve">At present, there is a </w:t>
      </w:r>
      <w:r w:rsidR="00DC19DB">
        <w:rPr>
          <w:rFonts w:ascii="Times New Roman" w:hAnsi="Times New Roman"/>
        </w:rPr>
        <w:t>familiar</w:t>
      </w:r>
      <w:r w:rsidR="00EF69E9">
        <w:rPr>
          <w:rFonts w:ascii="Times New Roman" w:hAnsi="Times New Roman"/>
        </w:rPr>
        <w:t xml:space="preserve"> symmetry in Arizona’s appeals process—trial court, court of appeals, Supreme Court.  </w:t>
      </w:r>
      <w:r w:rsidR="00DC19DB">
        <w:rPr>
          <w:rFonts w:ascii="Times New Roman" w:hAnsi="Times New Roman"/>
        </w:rPr>
        <w:t xml:space="preserve">Litigants understand that the court of appeals corrects trial court errors, and that this Court has the final say on Arizona law.  </w:t>
      </w:r>
      <w:r w:rsidR="000F15E9">
        <w:rPr>
          <w:rFonts w:ascii="Times New Roman" w:hAnsi="Times New Roman"/>
        </w:rPr>
        <w:t xml:space="preserve">This structure is predictable and it instills confidence in </w:t>
      </w:r>
      <w:r w:rsidR="008D3F17">
        <w:rPr>
          <w:rFonts w:ascii="Times New Roman" w:hAnsi="Times New Roman"/>
        </w:rPr>
        <w:t xml:space="preserve">each level of review.  </w:t>
      </w:r>
      <w:r w:rsidR="00EF69E9">
        <w:rPr>
          <w:rFonts w:ascii="Times New Roman" w:hAnsi="Times New Roman"/>
        </w:rPr>
        <w:t xml:space="preserve">With </w:t>
      </w:r>
      <w:proofErr w:type="spellStart"/>
      <w:r w:rsidR="00EF69E9">
        <w:rPr>
          <w:rFonts w:ascii="Times New Roman" w:hAnsi="Times New Roman"/>
        </w:rPr>
        <w:t>en</w:t>
      </w:r>
      <w:proofErr w:type="spellEnd"/>
      <w:r w:rsidR="00EF69E9">
        <w:rPr>
          <w:rFonts w:ascii="Times New Roman" w:hAnsi="Times New Roman"/>
        </w:rPr>
        <w:t xml:space="preserve"> banc review however, </w:t>
      </w:r>
      <w:r w:rsidR="00784F7F">
        <w:rPr>
          <w:rFonts w:ascii="Times New Roman" w:hAnsi="Times New Roman"/>
        </w:rPr>
        <w:t>if a</w:t>
      </w:r>
      <w:r w:rsidR="00EF69E9">
        <w:rPr>
          <w:rFonts w:ascii="Times New Roman" w:hAnsi="Times New Roman"/>
        </w:rPr>
        <w:t xml:space="preserve"> </w:t>
      </w:r>
      <w:r w:rsidR="00895C5B">
        <w:rPr>
          <w:rFonts w:ascii="Times New Roman" w:hAnsi="Times New Roman"/>
        </w:rPr>
        <w:t>case begins in the trial court, parties may receive at least four different opinions in their case</w:t>
      </w:r>
      <w:r w:rsidR="00EF69E9">
        <w:rPr>
          <w:rFonts w:ascii="Times New Roman" w:hAnsi="Times New Roman"/>
        </w:rPr>
        <w:t>—and possibly more if a case begins in an administrative tribunal or if there is a remand</w:t>
      </w:r>
      <w:r w:rsidR="00795679">
        <w:rPr>
          <w:rFonts w:ascii="Times New Roman" w:hAnsi="Times New Roman"/>
        </w:rPr>
        <w:t xml:space="preserve"> along the way</w:t>
      </w:r>
      <w:r w:rsidR="00EF69E9">
        <w:rPr>
          <w:rFonts w:ascii="Times New Roman" w:hAnsi="Times New Roman"/>
        </w:rPr>
        <w:t xml:space="preserve">. </w:t>
      </w:r>
    </w:p>
    <w:p w14:paraId="21FE7C1A" w14:textId="404C8CE1" w:rsidR="00DC19DB" w:rsidRDefault="00DC19DB" w:rsidP="00EF69E9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 w:rsidR="00314662">
        <w:rPr>
          <w:rFonts w:ascii="Times New Roman" w:hAnsi="Times New Roman"/>
        </w:rPr>
        <w:t>e</w:t>
      </w:r>
      <w:r w:rsidR="004A5185">
        <w:rPr>
          <w:rFonts w:ascii="Times New Roman" w:hAnsi="Times New Roman"/>
        </w:rPr>
        <w:t xml:space="preserve"> </w:t>
      </w:r>
      <w:r w:rsidR="00314662">
        <w:rPr>
          <w:rFonts w:ascii="Times New Roman" w:hAnsi="Times New Roman"/>
        </w:rPr>
        <w:t xml:space="preserve">potential whipsaw effect—where the trial court issues a judgment that is reversed by the court of appeals, which is then reversed by the court of appeals </w:t>
      </w:r>
      <w:proofErr w:type="spellStart"/>
      <w:r w:rsidR="00314662">
        <w:rPr>
          <w:rFonts w:ascii="Times New Roman" w:hAnsi="Times New Roman"/>
        </w:rPr>
        <w:t>en</w:t>
      </w:r>
      <w:proofErr w:type="spellEnd"/>
      <w:r w:rsidR="00314662">
        <w:rPr>
          <w:rFonts w:ascii="Times New Roman" w:hAnsi="Times New Roman"/>
        </w:rPr>
        <w:t xml:space="preserve"> </w:t>
      </w:r>
      <w:r w:rsidR="00314662">
        <w:rPr>
          <w:rFonts w:ascii="Times New Roman" w:hAnsi="Times New Roman"/>
        </w:rPr>
        <w:lastRenderedPageBreak/>
        <w:t xml:space="preserve">banc, which is then reversed by the Supreme Court—can only tend to undermine public confidence in the judiciary. </w:t>
      </w:r>
      <w:r w:rsidR="00795679">
        <w:rPr>
          <w:rFonts w:ascii="Times New Roman" w:hAnsi="Times New Roman"/>
        </w:rPr>
        <w:t xml:space="preserve"> </w:t>
      </w:r>
      <w:r w:rsidR="00314662">
        <w:rPr>
          <w:rFonts w:ascii="Times New Roman" w:hAnsi="Times New Roman"/>
        </w:rPr>
        <w:t>And while it is important for courts to get decisions “right,” finality is also important</w:t>
      </w:r>
      <w:r w:rsidR="00DE6DAC">
        <w:rPr>
          <w:rFonts w:ascii="Times New Roman" w:hAnsi="Times New Roman"/>
        </w:rPr>
        <w:t xml:space="preserve">—for both parties and lawyers. </w:t>
      </w:r>
      <w:r w:rsidR="00795679">
        <w:rPr>
          <w:rFonts w:ascii="Times New Roman" w:hAnsi="Times New Roman"/>
        </w:rPr>
        <w:t xml:space="preserve"> </w:t>
      </w:r>
      <w:r w:rsidR="003B7477">
        <w:rPr>
          <w:rFonts w:ascii="Times New Roman" w:hAnsi="Times New Roman"/>
        </w:rPr>
        <w:t>If a party loses decisively in the court of appeals</w:t>
      </w:r>
      <w:r w:rsidR="008148B6">
        <w:rPr>
          <w:rFonts w:ascii="Times New Roman" w:hAnsi="Times New Roman"/>
        </w:rPr>
        <w:t xml:space="preserve">, </w:t>
      </w:r>
      <w:r w:rsidR="0041262E">
        <w:rPr>
          <w:rFonts w:ascii="Times New Roman" w:hAnsi="Times New Roman"/>
        </w:rPr>
        <w:t xml:space="preserve">the party’s current options are to walk away or to file a petition to this Court.  </w:t>
      </w:r>
      <w:r w:rsidR="00C609A3">
        <w:rPr>
          <w:rFonts w:ascii="Times New Roman" w:hAnsi="Times New Roman"/>
        </w:rPr>
        <w:t xml:space="preserve">If counsel perceives only a 10% chance of acceptance and reversal, perhaps the walk-away option looks attractive. </w:t>
      </w:r>
      <w:r w:rsidR="004B75D6">
        <w:rPr>
          <w:rFonts w:ascii="Times New Roman" w:hAnsi="Times New Roman"/>
        </w:rPr>
        <w:t xml:space="preserve"> </w:t>
      </w:r>
      <w:r w:rsidR="00C609A3">
        <w:rPr>
          <w:rFonts w:ascii="Times New Roman" w:hAnsi="Times New Roman"/>
        </w:rPr>
        <w:t xml:space="preserve">But if there are two levels of review available, </w:t>
      </w:r>
      <w:r w:rsidR="00596325">
        <w:rPr>
          <w:rFonts w:ascii="Times New Roman" w:hAnsi="Times New Roman"/>
        </w:rPr>
        <w:t>the longshots will collectively look more attractive</w:t>
      </w:r>
      <w:r w:rsidR="00EA7762">
        <w:rPr>
          <w:rFonts w:ascii="Times New Roman" w:hAnsi="Times New Roman"/>
        </w:rPr>
        <w:t xml:space="preserve">—to the detriment of the prevailing party waiting for final relief, and more often than not to the losing party that expends money and mental capital in a futile effort. </w:t>
      </w:r>
    </w:p>
    <w:p w14:paraId="52079313" w14:textId="6CA8BB48" w:rsidR="00453134" w:rsidRDefault="00C97F0A" w:rsidP="00C97F0A">
      <w:pPr>
        <w:pStyle w:val="OMCOABriefHeadingLevel2"/>
        <w:rPr>
          <w:sz w:val="28"/>
        </w:rPr>
      </w:pPr>
      <w:r w:rsidRPr="0065247D">
        <w:rPr>
          <w:sz w:val="28"/>
        </w:rPr>
        <w:t xml:space="preserve">The </w:t>
      </w:r>
      <w:r w:rsidR="00784F7F">
        <w:rPr>
          <w:sz w:val="28"/>
        </w:rPr>
        <w:t xml:space="preserve">proposed </w:t>
      </w:r>
      <w:r w:rsidR="00453134">
        <w:rPr>
          <w:sz w:val="28"/>
        </w:rPr>
        <w:t xml:space="preserve">rule change’s </w:t>
      </w:r>
      <w:r w:rsidR="00784F7F">
        <w:rPr>
          <w:sz w:val="28"/>
        </w:rPr>
        <w:t xml:space="preserve">structure is problematic. </w:t>
      </w:r>
    </w:p>
    <w:p w14:paraId="13AEF5A2" w14:textId="22B0B7C0" w:rsidR="00391C32" w:rsidRDefault="00BE48D7" w:rsidP="00BE48D7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Petition (at 8) explains that the proposed rule is modeled on the federal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 rule</w:t>
      </w:r>
      <w:r w:rsidR="00AE2F6D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but there </w:t>
      </w:r>
      <w:r w:rsidR="00AE2F6D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="00140DEE">
        <w:rPr>
          <w:rFonts w:ascii="Times New Roman" w:hAnsi="Times New Roman"/>
        </w:rPr>
        <w:t xml:space="preserve">at least </w:t>
      </w:r>
      <w:r>
        <w:rPr>
          <w:rFonts w:ascii="Times New Roman" w:hAnsi="Times New Roman"/>
        </w:rPr>
        <w:t xml:space="preserve">one significant difference.  </w:t>
      </w:r>
      <w:bookmarkStart w:id="14" w:name="dabmci_2eb91ee0ec36490c9436be4960df35dc"/>
      <w:r>
        <w:rPr>
          <w:rFonts w:ascii="Times New Roman" w:hAnsi="Times New Roman"/>
        </w:rPr>
        <w:t>Federal Rule of Appellate Procedure 40</w:t>
      </w:r>
      <w:bookmarkEnd w:id="14"/>
      <w:r>
        <w:rPr>
          <w:rFonts w:ascii="Times New Roman" w:hAnsi="Times New Roman"/>
        </w:rPr>
        <w:t xml:space="preserve"> differentiates between a petition for panel rehearing and a petition for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banc</w:t>
      </w:r>
      <w:r w:rsidR="00140DEE">
        <w:rPr>
          <w:rFonts w:ascii="Times New Roman" w:hAnsi="Times New Roman"/>
        </w:rPr>
        <w:t xml:space="preserve"> rehearing</w:t>
      </w:r>
      <w:r>
        <w:rPr>
          <w:rFonts w:ascii="Times New Roman" w:hAnsi="Times New Roman"/>
        </w:rPr>
        <w:t xml:space="preserve">, </w:t>
      </w:r>
      <w:r w:rsidR="00140DEE">
        <w:rPr>
          <w:rFonts w:ascii="Times New Roman" w:hAnsi="Times New Roman"/>
        </w:rPr>
        <w:t xml:space="preserve">and </w:t>
      </w:r>
      <w:r w:rsidR="004B75D6">
        <w:rPr>
          <w:rFonts w:ascii="Times New Roman" w:hAnsi="Times New Roman"/>
        </w:rPr>
        <w:t>it provides for</w:t>
      </w:r>
      <w:r w:rsidR="00D62388">
        <w:rPr>
          <w:rFonts w:ascii="Times New Roman" w:hAnsi="Times New Roman"/>
        </w:rPr>
        <w:t xml:space="preserve"> very different contents</w:t>
      </w:r>
      <w:r w:rsidR="008D3F17">
        <w:rPr>
          <w:rFonts w:ascii="Times New Roman" w:hAnsi="Times New Roman"/>
        </w:rPr>
        <w:t xml:space="preserve"> </w:t>
      </w:r>
      <w:r w:rsidR="00D62388">
        <w:rPr>
          <w:rFonts w:ascii="Times New Roman" w:hAnsi="Times New Roman"/>
        </w:rPr>
        <w:t xml:space="preserve">in </w:t>
      </w:r>
      <w:r w:rsidR="00140DEE">
        <w:rPr>
          <w:rFonts w:ascii="Times New Roman" w:hAnsi="Times New Roman"/>
        </w:rPr>
        <w:t xml:space="preserve">the respective petitions.  </w:t>
      </w:r>
      <w:r w:rsidR="00140DEE">
        <w:rPr>
          <w:rFonts w:ascii="Times New Roman" w:hAnsi="Times New Roman"/>
          <w:i/>
        </w:rPr>
        <w:t xml:space="preserve">See </w:t>
      </w:r>
      <w:bookmarkStart w:id="15" w:name="dabmci_4dd98064b3e648a4b8af1a30eca7ce4b"/>
      <w:r w:rsidR="00AE2F6D">
        <w:rPr>
          <w:rFonts w:ascii="Times New Roman" w:hAnsi="Times New Roman"/>
        </w:rPr>
        <w:t>FRAP</w:t>
      </w:r>
      <w:r w:rsidR="00140DEE">
        <w:rPr>
          <w:rFonts w:ascii="Times New Roman" w:hAnsi="Times New Roman"/>
        </w:rPr>
        <w:t xml:space="preserve"> 40(b)(1)</w:t>
      </w:r>
      <w:bookmarkEnd w:id="15"/>
      <w:r w:rsidR="00140DEE">
        <w:rPr>
          <w:rFonts w:ascii="Times New Roman" w:hAnsi="Times New Roman"/>
        </w:rPr>
        <w:t xml:space="preserve"> (petition for panel rehearing must “</w:t>
      </w:r>
      <w:r w:rsidR="00140DEE" w:rsidRPr="00140DEE">
        <w:rPr>
          <w:rFonts w:ascii="Times New Roman" w:hAnsi="Times New Roman"/>
        </w:rPr>
        <w:t>state with particularity each point of law or fact that the petitioner believes the court has overlooked or misapprehended</w:t>
      </w:r>
      <w:r w:rsidR="00140DEE">
        <w:rPr>
          <w:rFonts w:ascii="Times New Roman" w:hAnsi="Times New Roman"/>
        </w:rPr>
        <w:t xml:space="preserve">”); </w:t>
      </w:r>
      <w:bookmarkStart w:id="16" w:name="dabmci_0e983890046046f2b6ff91c41b06fd07"/>
      <w:r w:rsidR="00AE2F6D">
        <w:rPr>
          <w:rFonts w:ascii="Times New Roman" w:hAnsi="Times New Roman"/>
        </w:rPr>
        <w:t>FRAP</w:t>
      </w:r>
      <w:r w:rsidR="00140DEE">
        <w:rPr>
          <w:rFonts w:ascii="Times New Roman" w:hAnsi="Times New Roman"/>
        </w:rPr>
        <w:t xml:space="preserve"> 40(b)(2)</w:t>
      </w:r>
      <w:bookmarkEnd w:id="16"/>
      <w:r w:rsidR="00140DEE">
        <w:rPr>
          <w:rFonts w:ascii="Times New Roman" w:hAnsi="Times New Roman"/>
        </w:rPr>
        <w:t xml:space="preserve"> (petition for </w:t>
      </w:r>
      <w:proofErr w:type="spellStart"/>
      <w:r w:rsidR="00140DEE">
        <w:rPr>
          <w:rFonts w:ascii="Times New Roman" w:hAnsi="Times New Roman"/>
        </w:rPr>
        <w:t>en</w:t>
      </w:r>
      <w:proofErr w:type="spellEnd"/>
      <w:r w:rsidR="00140DEE">
        <w:rPr>
          <w:rFonts w:ascii="Times New Roman" w:hAnsi="Times New Roman"/>
        </w:rPr>
        <w:t xml:space="preserve"> banc rehearing must identify a conflicting circuit, Supreme Court, or other authoritative decision—or alternatively identify a question “of exceptional importance”). </w:t>
      </w:r>
    </w:p>
    <w:p w14:paraId="0269DF81" w14:textId="55C9E7E5" w:rsidR="00140DEE" w:rsidRDefault="008D3F17" w:rsidP="00BE48D7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By</w:t>
      </w:r>
      <w:r w:rsidR="00140DEE">
        <w:rPr>
          <w:rFonts w:ascii="Times New Roman" w:hAnsi="Times New Roman"/>
        </w:rPr>
        <w:t xml:space="preserve"> contrast, the proposed </w:t>
      </w:r>
      <w:r w:rsidR="00621CB0">
        <w:rPr>
          <w:rFonts w:ascii="Times New Roman" w:hAnsi="Times New Roman"/>
        </w:rPr>
        <w:t>rule here</w:t>
      </w:r>
      <w:r w:rsidR="00140DEE">
        <w:rPr>
          <w:rFonts w:ascii="Times New Roman" w:hAnsi="Times New Roman"/>
        </w:rPr>
        <w:t xml:space="preserve"> would </w:t>
      </w:r>
      <w:r w:rsidR="00621CB0">
        <w:rPr>
          <w:rFonts w:ascii="Times New Roman" w:hAnsi="Times New Roman"/>
        </w:rPr>
        <w:t xml:space="preserve">establish a unified </w:t>
      </w:r>
      <w:r w:rsidR="00D62388">
        <w:rPr>
          <w:rFonts w:ascii="Times New Roman" w:hAnsi="Times New Roman"/>
        </w:rPr>
        <w:t xml:space="preserve">reconsideration </w:t>
      </w:r>
      <w:r w:rsidR="00621CB0">
        <w:rPr>
          <w:rFonts w:ascii="Times New Roman" w:hAnsi="Times New Roman"/>
        </w:rPr>
        <w:t>standard</w:t>
      </w:r>
      <w:r w:rsidR="00D546CC">
        <w:rPr>
          <w:rFonts w:ascii="Times New Roman" w:hAnsi="Times New Roman"/>
        </w:rPr>
        <w:t>—that a</w:t>
      </w:r>
      <w:r w:rsidR="00621CB0">
        <w:rPr>
          <w:rFonts w:ascii="Times New Roman" w:hAnsi="Times New Roman"/>
        </w:rPr>
        <w:t xml:space="preserve"> </w:t>
      </w:r>
      <w:r w:rsidR="00D546CC">
        <w:rPr>
          <w:rFonts w:ascii="Times New Roman" w:hAnsi="Times New Roman"/>
        </w:rPr>
        <w:t>“decision contain[s] erroneous determinations of fact or law”—</w:t>
      </w:r>
      <w:r w:rsidR="00621CB0">
        <w:rPr>
          <w:rFonts w:ascii="Times New Roman" w:hAnsi="Times New Roman"/>
        </w:rPr>
        <w:t xml:space="preserve">for either panel or </w:t>
      </w:r>
      <w:proofErr w:type="spellStart"/>
      <w:r w:rsidR="00621CB0">
        <w:rPr>
          <w:rFonts w:ascii="Times New Roman" w:hAnsi="Times New Roman"/>
        </w:rPr>
        <w:t>en</w:t>
      </w:r>
      <w:proofErr w:type="spellEnd"/>
      <w:r w:rsidR="00621CB0">
        <w:rPr>
          <w:rFonts w:ascii="Times New Roman" w:hAnsi="Times New Roman"/>
        </w:rPr>
        <w:t xml:space="preserve"> banc reconsideration</w:t>
      </w:r>
      <w:r w:rsidR="00D546CC">
        <w:rPr>
          <w:rFonts w:ascii="Times New Roman" w:hAnsi="Times New Roman"/>
        </w:rPr>
        <w:t>.</w:t>
      </w:r>
      <w:r w:rsidR="00621CB0">
        <w:rPr>
          <w:rFonts w:ascii="Times New Roman" w:hAnsi="Times New Roman"/>
        </w:rPr>
        <w:t xml:space="preserve"> </w:t>
      </w:r>
      <w:r w:rsidR="00795679">
        <w:rPr>
          <w:rFonts w:ascii="Times New Roman" w:hAnsi="Times New Roman"/>
        </w:rPr>
        <w:t xml:space="preserve"> </w:t>
      </w:r>
      <w:r w:rsidR="0017500B">
        <w:rPr>
          <w:rFonts w:ascii="Times New Roman" w:hAnsi="Times New Roman"/>
        </w:rPr>
        <w:t xml:space="preserve">Pet. </w:t>
      </w:r>
      <w:r w:rsidR="00AE2F6D">
        <w:rPr>
          <w:rFonts w:ascii="Times New Roman" w:hAnsi="Times New Roman"/>
        </w:rPr>
        <w:t xml:space="preserve">at </w:t>
      </w:r>
      <w:r w:rsidR="0017500B">
        <w:rPr>
          <w:rFonts w:ascii="Times New Roman" w:hAnsi="Times New Roman"/>
        </w:rPr>
        <w:t>Appendix A &amp; B.</w:t>
      </w:r>
      <w:r w:rsidR="00795679">
        <w:rPr>
          <w:rFonts w:ascii="Times New Roman" w:hAnsi="Times New Roman"/>
        </w:rPr>
        <w:t xml:space="preserve"> </w:t>
      </w:r>
      <w:r w:rsidR="0017500B">
        <w:rPr>
          <w:rFonts w:ascii="Times New Roman" w:hAnsi="Times New Roman"/>
        </w:rPr>
        <w:t xml:space="preserve"> </w:t>
      </w:r>
      <w:r w:rsidR="00636EC7">
        <w:rPr>
          <w:rFonts w:ascii="Times New Roman" w:hAnsi="Times New Roman"/>
        </w:rPr>
        <w:t>A</w:t>
      </w:r>
      <w:r w:rsidR="00795679">
        <w:rPr>
          <w:rFonts w:ascii="Times New Roman" w:hAnsi="Times New Roman"/>
        </w:rPr>
        <w:t>nd a</w:t>
      </w:r>
      <w:r w:rsidR="00636EC7">
        <w:rPr>
          <w:rFonts w:ascii="Times New Roman" w:hAnsi="Times New Roman"/>
        </w:rPr>
        <w:t xml:space="preserve">s a predicate for either motion, the proposed rule also requires parties to “state with </w:t>
      </w:r>
      <w:r w:rsidR="00636EC7" w:rsidRPr="00636EC7">
        <w:rPr>
          <w:rFonts w:ascii="Times New Roman" w:hAnsi="Times New Roman"/>
        </w:rPr>
        <w:t>particularity</w:t>
      </w:r>
      <w:r w:rsidR="00636EC7">
        <w:rPr>
          <w:rFonts w:ascii="Times New Roman" w:hAnsi="Times New Roman"/>
        </w:rPr>
        <w:t>” either “</w:t>
      </w:r>
      <w:r w:rsidR="00636EC7" w:rsidRPr="00636EC7">
        <w:rPr>
          <w:rFonts w:ascii="Times New Roman" w:hAnsi="Times New Roman"/>
        </w:rPr>
        <w:t>the points of law or fact that the party believes the appellate court has erroneously determined</w:t>
      </w:r>
      <w:r w:rsidR="00636EC7">
        <w:rPr>
          <w:rFonts w:ascii="Times New Roman" w:hAnsi="Times New Roman"/>
        </w:rPr>
        <w:t xml:space="preserve">” or “any changes in the law . . . that may entitle the party to relief.” </w:t>
      </w:r>
      <w:r w:rsidR="00636EC7">
        <w:rPr>
          <w:rFonts w:ascii="Times New Roman" w:hAnsi="Times New Roman"/>
          <w:i/>
        </w:rPr>
        <w:t>Id.</w:t>
      </w:r>
      <w:r w:rsidR="00636EC7">
        <w:rPr>
          <w:rFonts w:ascii="Times New Roman" w:hAnsi="Times New Roman"/>
        </w:rPr>
        <w:t xml:space="preserve">  </w:t>
      </w:r>
      <w:r w:rsidR="009E0C92">
        <w:rPr>
          <w:rFonts w:ascii="Times New Roman" w:hAnsi="Times New Roman"/>
        </w:rPr>
        <w:t>The</w:t>
      </w:r>
      <w:r w:rsidR="00D62388">
        <w:rPr>
          <w:rFonts w:ascii="Times New Roman" w:hAnsi="Times New Roman"/>
        </w:rPr>
        <w:t xml:space="preserve"> </w:t>
      </w:r>
      <w:r w:rsidR="0017500B">
        <w:rPr>
          <w:rFonts w:ascii="Times New Roman" w:hAnsi="Times New Roman"/>
        </w:rPr>
        <w:t xml:space="preserve">proposed rule </w:t>
      </w:r>
      <w:r w:rsidR="009E0C92">
        <w:rPr>
          <w:rFonts w:ascii="Times New Roman" w:hAnsi="Times New Roman"/>
        </w:rPr>
        <w:t xml:space="preserve">then </w:t>
      </w:r>
      <w:r w:rsidR="00621CB0">
        <w:rPr>
          <w:rFonts w:ascii="Times New Roman" w:hAnsi="Times New Roman"/>
        </w:rPr>
        <w:t>separately establish</w:t>
      </w:r>
      <w:r w:rsidR="0017500B">
        <w:rPr>
          <w:rFonts w:ascii="Times New Roman" w:hAnsi="Times New Roman"/>
        </w:rPr>
        <w:t>es</w:t>
      </w:r>
      <w:r w:rsidR="00621CB0">
        <w:rPr>
          <w:rFonts w:ascii="Times New Roman" w:hAnsi="Times New Roman"/>
        </w:rPr>
        <w:t xml:space="preserve"> that </w:t>
      </w:r>
      <w:proofErr w:type="spellStart"/>
      <w:r w:rsidR="00621CB0">
        <w:rPr>
          <w:rFonts w:ascii="Times New Roman" w:hAnsi="Times New Roman"/>
        </w:rPr>
        <w:t>en</w:t>
      </w:r>
      <w:proofErr w:type="spellEnd"/>
      <w:r w:rsidR="00621CB0">
        <w:rPr>
          <w:rFonts w:ascii="Times New Roman" w:hAnsi="Times New Roman"/>
        </w:rPr>
        <w:t xml:space="preserve"> banc reconsideration may only be </w:t>
      </w:r>
      <w:r w:rsidR="00621CB0">
        <w:rPr>
          <w:rFonts w:ascii="Times New Roman" w:hAnsi="Times New Roman"/>
          <w:i/>
        </w:rPr>
        <w:t xml:space="preserve">ordered </w:t>
      </w:r>
      <w:r w:rsidR="00621CB0">
        <w:rPr>
          <w:rFonts w:ascii="Times New Roman" w:hAnsi="Times New Roman"/>
        </w:rPr>
        <w:t>when necessary to maintain uniformity or where there is a question of exceptional importa</w:t>
      </w:r>
      <w:r w:rsidR="0017500B">
        <w:rPr>
          <w:rFonts w:ascii="Times New Roman" w:hAnsi="Times New Roman"/>
        </w:rPr>
        <w:t>nce</w:t>
      </w:r>
      <w:r w:rsidR="00621CB0">
        <w:rPr>
          <w:rFonts w:ascii="Times New Roman" w:hAnsi="Times New Roman"/>
        </w:rPr>
        <w:t>.</w:t>
      </w:r>
      <w:r w:rsidR="00D546CC">
        <w:rPr>
          <w:rFonts w:ascii="Times New Roman" w:hAnsi="Times New Roman"/>
        </w:rPr>
        <w:t xml:space="preserve">  </w:t>
      </w:r>
      <w:r w:rsidR="0017500B">
        <w:rPr>
          <w:rFonts w:ascii="Times New Roman" w:hAnsi="Times New Roman"/>
          <w:i/>
        </w:rPr>
        <w:t>Id.</w:t>
      </w:r>
    </w:p>
    <w:p w14:paraId="6CB7419A" w14:textId="12A5517C" w:rsidR="005419ED" w:rsidRDefault="00297E7A" w:rsidP="00BE48D7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While the intent might have been to mirror the federal rule without wholesale revisions to the existing state rules, the practical result is problematic in a few respects.  </w:t>
      </w:r>
      <w:r w:rsidR="0017500B">
        <w:rPr>
          <w:rFonts w:ascii="Times New Roman" w:hAnsi="Times New Roman"/>
        </w:rPr>
        <w:t xml:space="preserve">First, if panel reconsideration and </w:t>
      </w:r>
      <w:proofErr w:type="spellStart"/>
      <w:r w:rsidR="0017500B">
        <w:rPr>
          <w:rFonts w:ascii="Times New Roman" w:hAnsi="Times New Roman"/>
        </w:rPr>
        <w:t>en</w:t>
      </w:r>
      <w:proofErr w:type="spellEnd"/>
      <w:r w:rsidR="0017500B">
        <w:rPr>
          <w:rFonts w:ascii="Times New Roman" w:hAnsi="Times New Roman"/>
        </w:rPr>
        <w:t xml:space="preserve"> banc reconsideration are meant to serve different purposes</w:t>
      </w:r>
      <w:r w:rsidR="00742AB7">
        <w:rPr>
          <w:rFonts w:ascii="Times New Roman" w:hAnsi="Times New Roman"/>
        </w:rPr>
        <w:t xml:space="preserve"> (as they clearly are)</w:t>
      </w:r>
      <w:r w:rsidR="0017500B">
        <w:rPr>
          <w:rFonts w:ascii="Times New Roman" w:hAnsi="Times New Roman"/>
        </w:rPr>
        <w:t xml:space="preserve">, it is confusing for them to be </w:t>
      </w:r>
      <w:r w:rsidR="00742AB7">
        <w:rPr>
          <w:rFonts w:ascii="Times New Roman" w:hAnsi="Times New Roman"/>
        </w:rPr>
        <w:t>accessible</w:t>
      </w:r>
      <w:r w:rsidR="0017500B">
        <w:rPr>
          <w:rFonts w:ascii="Times New Roman" w:hAnsi="Times New Roman"/>
        </w:rPr>
        <w:t xml:space="preserve"> based on identical standards. </w:t>
      </w:r>
      <w:r w:rsidR="008D3F17">
        <w:rPr>
          <w:rFonts w:ascii="Times New Roman" w:hAnsi="Times New Roman"/>
        </w:rPr>
        <w:t xml:space="preserve"> </w:t>
      </w:r>
      <w:r w:rsidR="00742AB7">
        <w:rPr>
          <w:rFonts w:ascii="Times New Roman" w:hAnsi="Times New Roman"/>
        </w:rPr>
        <w:t xml:space="preserve">And the facial </w:t>
      </w:r>
      <w:r w:rsidR="00D62388">
        <w:rPr>
          <w:rFonts w:ascii="Times New Roman" w:hAnsi="Times New Roman"/>
        </w:rPr>
        <w:t>invitation to</w:t>
      </w:r>
      <w:r w:rsidR="00742AB7">
        <w:rPr>
          <w:rFonts w:ascii="Times New Roman" w:hAnsi="Times New Roman"/>
        </w:rPr>
        <w:t xml:space="preserve"> file motions for </w:t>
      </w:r>
      <w:proofErr w:type="spellStart"/>
      <w:r w:rsidR="00742AB7">
        <w:rPr>
          <w:rFonts w:ascii="Times New Roman" w:hAnsi="Times New Roman"/>
        </w:rPr>
        <w:t>en</w:t>
      </w:r>
      <w:proofErr w:type="spellEnd"/>
      <w:r w:rsidR="00742AB7">
        <w:rPr>
          <w:rFonts w:ascii="Times New Roman" w:hAnsi="Times New Roman"/>
        </w:rPr>
        <w:t xml:space="preserve"> banc reconsideration based on vanilla “erroneous determinations of fact or law”</w:t>
      </w:r>
      <w:r w:rsidR="0026320E">
        <w:rPr>
          <w:rFonts w:ascii="Times New Roman" w:hAnsi="Times New Roman"/>
        </w:rPr>
        <w:t xml:space="preserve"> may </w:t>
      </w:r>
      <w:r w:rsidR="00D62388">
        <w:rPr>
          <w:rFonts w:ascii="Times New Roman" w:hAnsi="Times New Roman"/>
        </w:rPr>
        <w:t>promote a</w:t>
      </w:r>
      <w:r w:rsidR="0026320E">
        <w:rPr>
          <w:rFonts w:ascii="Times New Roman" w:hAnsi="Times New Roman"/>
        </w:rPr>
        <w:t xml:space="preserve"> multiplicity of these motions, as discussed previously.  </w:t>
      </w:r>
    </w:p>
    <w:p w14:paraId="726D05C7" w14:textId="3EDDF74B" w:rsidR="00297E7A" w:rsidRDefault="0017500B" w:rsidP="00BE48D7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Second, </w:t>
      </w:r>
      <w:r w:rsidR="00742AB7">
        <w:rPr>
          <w:rFonts w:ascii="Times New Roman" w:hAnsi="Times New Roman"/>
        </w:rPr>
        <w:t xml:space="preserve">the disconnect between the standard for moving for </w:t>
      </w:r>
      <w:proofErr w:type="spellStart"/>
      <w:r w:rsidR="00742AB7">
        <w:rPr>
          <w:rFonts w:ascii="Times New Roman" w:hAnsi="Times New Roman"/>
        </w:rPr>
        <w:t>en</w:t>
      </w:r>
      <w:proofErr w:type="spellEnd"/>
      <w:r w:rsidR="00742AB7">
        <w:rPr>
          <w:rFonts w:ascii="Times New Roman" w:hAnsi="Times New Roman"/>
        </w:rPr>
        <w:t xml:space="preserve"> banc review and the standard for granting </w:t>
      </w:r>
      <w:proofErr w:type="spellStart"/>
      <w:r w:rsidR="00742AB7">
        <w:rPr>
          <w:rFonts w:ascii="Times New Roman" w:hAnsi="Times New Roman"/>
        </w:rPr>
        <w:t>en</w:t>
      </w:r>
      <w:proofErr w:type="spellEnd"/>
      <w:r w:rsidR="00742AB7">
        <w:rPr>
          <w:rFonts w:ascii="Times New Roman" w:hAnsi="Times New Roman"/>
        </w:rPr>
        <w:t xml:space="preserve"> banc review </w:t>
      </w:r>
      <w:r w:rsidR="006335D4">
        <w:rPr>
          <w:rFonts w:ascii="Times New Roman" w:hAnsi="Times New Roman"/>
        </w:rPr>
        <w:t>is</w:t>
      </w:r>
      <w:r w:rsidR="0026320E">
        <w:rPr>
          <w:rFonts w:ascii="Times New Roman" w:hAnsi="Times New Roman"/>
        </w:rPr>
        <w:t xml:space="preserve"> </w:t>
      </w:r>
      <w:r w:rsidR="006C41A5">
        <w:rPr>
          <w:rFonts w:ascii="Times New Roman" w:hAnsi="Times New Roman"/>
        </w:rPr>
        <w:t>unusual</w:t>
      </w:r>
      <w:r w:rsidR="00742AB7">
        <w:rPr>
          <w:rFonts w:ascii="Times New Roman" w:hAnsi="Times New Roman"/>
        </w:rPr>
        <w:t>.</w:t>
      </w:r>
      <w:r w:rsidR="0026320E">
        <w:rPr>
          <w:rFonts w:ascii="Times New Roman" w:hAnsi="Times New Roman"/>
        </w:rPr>
        <w:t xml:space="preserve">  Typically, of course, </w:t>
      </w:r>
      <w:r w:rsidR="00D71104">
        <w:rPr>
          <w:rFonts w:ascii="Times New Roman" w:hAnsi="Times New Roman"/>
        </w:rPr>
        <w:t xml:space="preserve">both sides of that coin are closely aligned—either expressly or by implication. </w:t>
      </w:r>
      <w:r w:rsidR="007A025B">
        <w:rPr>
          <w:rFonts w:ascii="Times New Roman" w:hAnsi="Times New Roman"/>
        </w:rPr>
        <w:t xml:space="preserve"> </w:t>
      </w:r>
      <w:r w:rsidR="00D81DCC">
        <w:rPr>
          <w:rFonts w:ascii="Times New Roman" w:hAnsi="Times New Roman"/>
          <w:i/>
        </w:rPr>
        <w:t xml:space="preserve">See, e.g., </w:t>
      </w:r>
      <w:bookmarkStart w:id="17" w:name="dabmci_00bb3cccb34841fc89c790c2c308b676"/>
      <w:r w:rsidR="00552D6B">
        <w:rPr>
          <w:rFonts w:ascii="Times New Roman" w:hAnsi="Times New Roman"/>
        </w:rPr>
        <w:t>FRAP</w:t>
      </w:r>
      <w:r w:rsidR="005419ED">
        <w:rPr>
          <w:rFonts w:ascii="Times New Roman" w:hAnsi="Times New Roman"/>
        </w:rPr>
        <w:t xml:space="preserve"> 40</w:t>
      </w:r>
      <w:bookmarkEnd w:id="17"/>
      <w:r w:rsidR="009A4EAF">
        <w:rPr>
          <w:rFonts w:ascii="Times New Roman" w:hAnsi="Times New Roman"/>
        </w:rPr>
        <w:t>(c)</w:t>
      </w:r>
      <w:r w:rsidR="005419ED">
        <w:rPr>
          <w:rFonts w:ascii="Times New Roman" w:hAnsi="Times New Roman"/>
        </w:rPr>
        <w:t xml:space="preserve"> (establishing criteria to move for </w:t>
      </w:r>
      <w:proofErr w:type="spellStart"/>
      <w:r w:rsidR="005419ED">
        <w:rPr>
          <w:rFonts w:ascii="Times New Roman" w:hAnsi="Times New Roman"/>
        </w:rPr>
        <w:t>en</w:t>
      </w:r>
      <w:proofErr w:type="spellEnd"/>
      <w:r w:rsidR="005419ED">
        <w:rPr>
          <w:rFonts w:ascii="Times New Roman" w:hAnsi="Times New Roman"/>
        </w:rPr>
        <w:t xml:space="preserve"> banc rehearing and </w:t>
      </w:r>
      <w:r w:rsidR="00D71104">
        <w:rPr>
          <w:rFonts w:ascii="Times New Roman" w:hAnsi="Times New Roman"/>
        </w:rPr>
        <w:t>stating</w:t>
      </w:r>
      <w:r w:rsidR="005419ED">
        <w:rPr>
          <w:rFonts w:ascii="Times New Roman" w:hAnsi="Times New Roman"/>
        </w:rPr>
        <w:t xml:space="preserve"> that </w:t>
      </w:r>
      <w:proofErr w:type="spellStart"/>
      <w:r w:rsidR="005419ED">
        <w:rPr>
          <w:rFonts w:ascii="Times New Roman" w:hAnsi="Times New Roman"/>
        </w:rPr>
        <w:t>en</w:t>
      </w:r>
      <w:proofErr w:type="spellEnd"/>
      <w:r w:rsidR="005419ED">
        <w:rPr>
          <w:rFonts w:ascii="Times New Roman" w:hAnsi="Times New Roman"/>
        </w:rPr>
        <w:t xml:space="preserve"> </w:t>
      </w:r>
      <w:r w:rsidR="005419ED">
        <w:rPr>
          <w:rFonts w:ascii="Times New Roman" w:hAnsi="Times New Roman"/>
        </w:rPr>
        <w:lastRenderedPageBreak/>
        <w:t xml:space="preserve">banc rehearing will typically “be allowed only if one of the criteria . . . is met”); </w:t>
      </w:r>
      <w:bookmarkStart w:id="18" w:name="dabmci_92a5a80848fc4d3d92fbfabd6aa7d609"/>
      <w:r w:rsidR="00D81DCC">
        <w:rPr>
          <w:rFonts w:ascii="Times New Roman" w:hAnsi="Times New Roman"/>
        </w:rPr>
        <w:t>Ariz. R. Civ. P. 56</w:t>
      </w:r>
      <w:bookmarkEnd w:id="18"/>
      <w:r w:rsidR="00D81DCC">
        <w:rPr>
          <w:rFonts w:ascii="Times New Roman" w:hAnsi="Times New Roman"/>
        </w:rPr>
        <w:t xml:space="preserve"> (providing </w:t>
      </w:r>
      <w:r w:rsidR="005419ED">
        <w:rPr>
          <w:rFonts w:ascii="Times New Roman" w:hAnsi="Times New Roman"/>
        </w:rPr>
        <w:t xml:space="preserve">that “[a] party may move for summary judgment” and establishing </w:t>
      </w:r>
      <w:r w:rsidR="00795679">
        <w:rPr>
          <w:rFonts w:ascii="Times New Roman" w:hAnsi="Times New Roman"/>
        </w:rPr>
        <w:t xml:space="preserve">the </w:t>
      </w:r>
      <w:r w:rsidR="005419ED">
        <w:rPr>
          <w:rFonts w:ascii="Times New Roman" w:hAnsi="Times New Roman"/>
        </w:rPr>
        <w:t>standard for granting summary judgment</w:t>
      </w:r>
      <w:r w:rsidR="00D71104">
        <w:rPr>
          <w:rFonts w:ascii="Times New Roman" w:hAnsi="Times New Roman"/>
        </w:rPr>
        <w:t>).</w:t>
      </w:r>
      <w:r w:rsidR="006C41A5">
        <w:rPr>
          <w:rFonts w:ascii="Times New Roman" w:hAnsi="Times New Roman"/>
        </w:rPr>
        <w:t xml:space="preserve">  </w:t>
      </w:r>
      <w:r w:rsidR="00D546CC">
        <w:rPr>
          <w:rFonts w:ascii="Times New Roman" w:hAnsi="Times New Roman"/>
        </w:rPr>
        <w:t>By reciting disparate standards</w:t>
      </w:r>
      <w:r w:rsidR="006C41A5">
        <w:rPr>
          <w:rFonts w:ascii="Times New Roman" w:hAnsi="Times New Roman"/>
        </w:rPr>
        <w:t xml:space="preserve">, the proposed rule appears to invite motions for reconsideration </w:t>
      </w:r>
      <w:proofErr w:type="spellStart"/>
      <w:r w:rsidR="006C41A5">
        <w:rPr>
          <w:rFonts w:ascii="Times New Roman" w:hAnsi="Times New Roman"/>
        </w:rPr>
        <w:t>en</w:t>
      </w:r>
      <w:proofErr w:type="spellEnd"/>
      <w:r w:rsidR="006C41A5">
        <w:rPr>
          <w:rFonts w:ascii="Times New Roman" w:hAnsi="Times New Roman"/>
        </w:rPr>
        <w:t xml:space="preserve"> banc that </w:t>
      </w:r>
      <w:r w:rsidR="006335D4">
        <w:rPr>
          <w:rFonts w:ascii="Times New Roman" w:hAnsi="Times New Roman"/>
        </w:rPr>
        <w:t xml:space="preserve">should only be brought (if at all) as motions for panel reconsideration and that </w:t>
      </w:r>
      <w:r w:rsidR="006C41A5">
        <w:rPr>
          <w:rFonts w:ascii="Times New Roman" w:hAnsi="Times New Roman"/>
        </w:rPr>
        <w:t xml:space="preserve">have </w:t>
      </w:r>
      <w:r w:rsidR="00D62388">
        <w:rPr>
          <w:rFonts w:ascii="Times New Roman" w:hAnsi="Times New Roman"/>
        </w:rPr>
        <w:t xml:space="preserve">little or </w:t>
      </w:r>
      <w:r w:rsidR="006C41A5">
        <w:rPr>
          <w:rFonts w:ascii="Times New Roman" w:hAnsi="Times New Roman"/>
        </w:rPr>
        <w:t xml:space="preserve">no chance of success. </w:t>
      </w:r>
    </w:p>
    <w:p w14:paraId="4B0CA728" w14:textId="171B00CC" w:rsidR="00126A5A" w:rsidRDefault="00D71104" w:rsidP="00D95D94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Third, </w:t>
      </w:r>
      <w:r w:rsidR="00126A5A">
        <w:rPr>
          <w:rFonts w:ascii="Times New Roman" w:hAnsi="Times New Roman"/>
        </w:rPr>
        <w:t xml:space="preserve">because the proposed rule requires as a threshold matter that the movant identify “erroneous determinations of fact or law,” this implies that the present decision must always be “wrong” and </w:t>
      </w:r>
      <w:r w:rsidR="00895DD9">
        <w:rPr>
          <w:rFonts w:ascii="Times New Roman" w:hAnsi="Times New Roman"/>
        </w:rPr>
        <w:t xml:space="preserve">that </w:t>
      </w:r>
      <w:r w:rsidR="00126A5A">
        <w:rPr>
          <w:rFonts w:ascii="Times New Roman" w:hAnsi="Times New Roman"/>
        </w:rPr>
        <w:t xml:space="preserve">a prior decision must always be “right” (or conceivably wrong in a different way) to obtain </w:t>
      </w:r>
      <w:proofErr w:type="spellStart"/>
      <w:r w:rsidR="00126A5A">
        <w:rPr>
          <w:rFonts w:ascii="Times New Roman" w:hAnsi="Times New Roman"/>
        </w:rPr>
        <w:t>en</w:t>
      </w:r>
      <w:proofErr w:type="spellEnd"/>
      <w:r w:rsidR="00126A5A">
        <w:rPr>
          <w:rFonts w:ascii="Times New Roman" w:hAnsi="Times New Roman"/>
        </w:rPr>
        <w:t xml:space="preserve"> banc review.  But it is not clear why this should be the case.  </w:t>
      </w:r>
      <w:r w:rsidR="00D95D94">
        <w:rPr>
          <w:rFonts w:ascii="Times New Roman" w:hAnsi="Times New Roman"/>
        </w:rPr>
        <w:t xml:space="preserve">While exceedingly rare, it is possible that a party with an institutional interest in uniformity may wish for </w:t>
      </w:r>
      <w:proofErr w:type="spellStart"/>
      <w:r w:rsidR="00D95D94">
        <w:rPr>
          <w:rFonts w:ascii="Times New Roman" w:hAnsi="Times New Roman"/>
        </w:rPr>
        <w:t>en</w:t>
      </w:r>
      <w:proofErr w:type="spellEnd"/>
      <w:r w:rsidR="00D95D94">
        <w:rPr>
          <w:rFonts w:ascii="Times New Roman" w:hAnsi="Times New Roman"/>
        </w:rPr>
        <w:t xml:space="preserve"> banc review even after prevailing, in much the same way that parties rarely (but occasionally) encourage the Supreme Court to grant review of a decision in which they prevailed.</w:t>
      </w:r>
      <w:r w:rsidR="00D963FD">
        <w:rPr>
          <w:rFonts w:ascii="Times New Roman" w:hAnsi="Times New Roman"/>
        </w:rPr>
        <w:t xml:space="preserve">  </w:t>
      </w:r>
      <w:r w:rsidR="00D60AB3">
        <w:rPr>
          <w:rFonts w:ascii="Times New Roman" w:hAnsi="Times New Roman"/>
        </w:rPr>
        <w:t xml:space="preserve">But as written, the proposed rule would preclude all motions </w:t>
      </w:r>
      <w:r w:rsidR="00895DD9">
        <w:rPr>
          <w:rFonts w:ascii="Times New Roman" w:hAnsi="Times New Roman"/>
        </w:rPr>
        <w:t xml:space="preserve">for </w:t>
      </w:r>
      <w:proofErr w:type="spellStart"/>
      <w:r w:rsidR="00895DD9">
        <w:rPr>
          <w:rFonts w:ascii="Times New Roman" w:hAnsi="Times New Roman"/>
        </w:rPr>
        <w:t>en</w:t>
      </w:r>
      <w:proofErr w:type="spellEnd"/>
      <w:r w:rsidR="00895DD9">
        <w:rPr>
          <w:rFonts w:ascii="Times New Roman" w:hAnsi="Times New Roman"/>
        </w:rPr>
        <w:t xml:space="preserve"> banc reconsideration of </w:t>
      </w:r>
      <w:r w:rsidR="00D60AB3">
        <w:rPr>
          <w:rFonts w:ascii="Times New Roman" w:hAnsi="Times New Roman"/>
        </w:rPr>
        <w:t xml:space="preserve">a correct-but-inconsistent decision in blanket fashion.  Even if such motions </w:t>
      </w:r>
      <w:r w:rsidR="00895DD9">
        <w:rPr>
          <w:rFonts w:ascii="Times New Roman" w:hAnsi="Times New Roman"/>
        </w:rPr>
        <w:t>are exceedingly rare, it is not conceptually clear why</w:t>
      </w:r>
      <w:r w:rsidR="00D95D94">
        <w:rPr>
          <w:rFonts w:ascii="Times New Roman" w:hAnsi="Times New Roman"/>
        </w:rPr>
        <w:t xml:space="preserve"> they should be barred altogether</w:t>
      </w:r>
      <w:r w:rsidR="00895DD9">
        <w:rPr>
          <w:rFonts w:ascii="Times New Roman" w:hAnsi="Times New Roman"/>
        </w:rPr>
        <w:t xml:space="preserve">. </w:t>
      </w:r>
    </w:p>
    <w:p w14:paraId="4067A39F" w14:textId="7740B28A" w:rsidR="00C84189" w:rsidRPr="00C84189" w:rsidRDefault="00C84189" w:rsidP="00AE2F6D">
      <w:pPr>
        <w:pStyle w:val="OMCOABriefBody"/>
        <w:keepNext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Conclusion</w:t>
      </w:r>
    </w:p>
    <w:p w14:paraId="1B0017F0" w14:textId="50AD8AD7" w:rsidR="00C84189" w:rsidRPr="00D81DCC" w:rsidRDefault="00CB16FC" w:rsidP="00BE48D7">
      <w:pPr>
        <w:pStyle w:val="OMCOABrief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While the Office is not dismissive of the uniformity concern underlying the Petition, </w:t>
      </w:r>
      <w:r w:rsidR="00AB35FE">
        <w:rPr>
          <w:rFonts w:ascii="Times New Roman" w:hAnsi="Times New Roman"/>
        </w:rPr>
        <w:t>we non</w:t>
      </w:r>
      <w:r w:rsidR="00B726B9">
        <w:rPr>
          <w:rFonts w:ascii="Times New Roman" w:hAnsi="Times New Roman"/>
        </w:rPr>
        <w:t xml:space="preserve">etheless oppose the proposed change because we </w:t>
      </w:r>
      <w:r w:rsidR="00795679">
        <w:rPr>
          <w:rFonts w:ascii="Times New Roman" w:hAnsi="Times New Roman"/>
        </w:rPr>
        <w:t xml:space="preserve">question whether </w:t>
      </w:r>
      <w:r w:rsidR="00795679">
        <w:rPr>
          <w:rFonts w:ascii="Times New Roman" w:hAnsi="Times New Roman"/>
        </w:rPr>
        <w:lastRenderedPageBreak/>
        <w:t xml:space="preserve">the </w:t>
      </w:r>
      <w:r w:rsidR="00AE2F6D">
        <w:rPr>
          <w:rFonts w:ascii="Times New Roman" w:hAnsi="Times New Roman"/>
        </w:rPr>
        <w:t xml:space="preserve">uniformity </w:t>
      </w:r>
      <w:r w:rsidR="00795679">
        <w:rPr>
          <w:rFonts w:ascii="Times New Roman" w:hAnsi="Times New Roman"/>
        </w:rPr>
        <w:t xml:space="preserve">benefit will outweigh the </w:t>
      </w:r>
      <w:r w:rsidR="00AF0AE0">
        <w:rPr>
          <w:rFonts w:ascii="Times New Roman" w:hAnsi="Times New Roman"/>
        </w:rPr>
        <w:t xml:space="preserve">downside risks and costs </w:t>
      </w:r>
      <w:r w:rsidR="00552D6B">
        <w:rPr>
          <w:rFonts w:ascii="Times New Roman" w:hAnsi="Times New Roman"/>
        </w:rPr>
        <w:t>discussed above</w:t>
      </w:r>
      <w:r w:rsidR="00795679">
        <w:rPr>
          <w:rFonts w:ascii="Times New Roman" w:hAnsi="Times New Roman"/>
        </w:rPr>
        <w:t xml:space="preserve">.  We also think that it would be a mistake to conflate the criteria for requesting panel and </w:t>
      </w:r>
      <w:proofErr w:type="spellStart"/>
      <w:r w:rsidR="00795679">
        <w:rPr>
          <w:rFonts w:ascii="Times New Roman" w:hAnsi="Times New Roman"/>
        </w:rPr>
        <w:t>en</w:t>
      </w:r>
      <w:proofErr w:type="spellEnd"/>
      <w:r w:rsidR="00795679">
        <w:rPr>
          <w:rFonts w:ascii="Times New Roman" w:hAnsi="Times New Roman"/>
        </w:rPr>
        <w:t xml:space="preserve"> banc reconsideration</w:t>
      </w:r>
      <w:r w:rsidR="002F5853">
        <w:rPr>
          <w:rFonts w:ascii="Times New Roman" w:hAnsi="Times New Roman"/>
        </w:rPr>
        <w:t>; if the Cour</w:t>
      </w:r>
      <w:bookmarkStart w:id="19" w:name="_GoBack"/>
      <w:bookmarkEnd w:id="19"/>
      <w:r w:rsidR="002F5853">
        <w:rPr>
          <w:rFonts w:ascii="Times New Roman" w:hAnsi="Times New Roman"/>
        </w:rPr>
        <w:t xml:space="preserve">t is </w:t>
      </w:r>
      <w:r w:rsidR="004B75D6">
        <w:rPr>
          <w:rFonts w:ascii="Times New Roman" w:hAnsi="Times New Roman"/>
        </w:rPr>
        <w:t>inclined</w:t>
      </w:r>
      <w:r w:rsidR="002F5853">
        <w:rPr>
          <w:rFonts w:ascii="Times New Roman" w:hAnsi="Times New Roman"/>
        </w:rPr>
        <w:t xml:space="preserve"> to adopt </w:t>
      </w:r>
      <w:proofErr w:type="spellStart"/>
      <w:r w:rsidR="002F5853">
        <w:rPr>
          <w:rFonts w:ascii="Times New Roman" w:hAnsi="Times New Roman"/>
        </w:rPr>
        <w:t>en</w:t>
      </w:r>
      <w:proofErr w:type="spellEnd"/>
      <w:r w:rsidR="002F5853">
        <w:rPr>
          <w:rFonts w:ascii="Times New Roman" w:hAnsi="Times New Roman"/>
        </w:rPr>
        <w:t xml:space="preserve"> banc review, the panel and </w:t>
      </w:r>
      <w:proofErr w:type="spellStart"/>
      <w:r w:rsidR="002F5853">
        <w:rPr>
          <w:rFonts w:ascii="Times New Roman" w:hAnsi="Times New Roman"/>
        </w:rPr>
        <w:t>en</w:t>
      </w:r>
      <w:proofErr w:type="spellEnd"/>
      <w:r w:rsidR="002F5853">
        <w:rPr>
          <w:rFonts w:ascii="Times New Roman" w:hAnsi="Times New Roman"/>
        </w:rPr>
        <w:t xml:space="preserve"> banc </w:t>
      </w:r>
      <w:r w:rsidR="00625F0A">
        <w:rPr>
          <w:rFonts w:ascii="Times New Roman" w:hAnsi="Times New Roman"/>
        </w:rPr>
        <w:t>reconsideration rules should be distinct and internally consistent</w:t>
      </w:r>
      <w:r w:rsidR="00CA7240">
        <w:rPr>
          <w:rFonts w:ascii="Times New Roman" w:hAnsi="Times New Roman"/>
        </w:rPr>
        <w:t xml:space="preserve">, as in </w:t>
      </w:r>
      <w:r w:rsidR="00EF497E">
        <w:rPr>
          <w:rFonts w:ascii="Times New Roman" w:hAnsi="Times New Roman"/>
        </w:rPr>
        <w:t xml:space="preserve">the federal rules. </w:t>
      </w:r>
    </w:p>
    <w:p w14:paraId="62E03821" w14:textId="77777777" w:rsidR="00391C32" w:rsidRDefault="00391C32" w:rsidP="00E16095">
      <w:pPr>
        <w:pStyle w:val="BodyText"/>
        <w:ind w:left="119" w:right="116" w:firstLine="719"/>
        <w:jc w:val="both"/>
      </w:pPr>
    </w:p>
    <w:p w14:paraId="0FC74133" w14:textId="155A1379" w:rsidR="009A0525" w:rsidRDefault="009A0525" w:rsidP="00CF1075">
      <w:pPr>
        <w:pStyle w:val="BodyText"/>
        <w:ind w:left="839"/>
        <w:jc w:val="both"/>
        <w:rPr>
          <w:sz w:val="27"/>
        </w:rPr>
      </w:pPr>
      <w:r w:rsidRPr="00075386">
        <w:rPr>
          <w:szCs w:val="28"/>
        </w:rPr>
        <w:t>Respectfully submitted</w:t>
      </w:r>
      <w:r w:rsidRPr="00075386">
        <w:rPr>
          <w:spacing w:val="3"/>
          <w:szCs w:val="28"/>
        </w:rPr>
        <w:t xml:space="preserve"> </w:t>
      </w:r>
      <w:r w:rsidRPr="00075386">
        <w:rPr>
          <w:szCs w:val="28"/>
        </w:rPr>
        <w:t>this</w:t>
      </w:r>
      <w:r w:rsidRPr="00075386">
        <w:rPr>
          <w:spacing w:val="2"/>
          <w:szCs w:val="28"/>
        </w:rPr>
        <w:t xml:space="preserve"> </w:t>
      </w:r>
      <w:r w:rsidR="00766980" w:rsidRPr="00766980">
        <w:rPr>
          <w:szCs w:val="28"/>
        </w:rPr>
        <w:t xml:space="preserve">25th </w:t>
      </w:r>
      <w:r w:rsidRPr="00766980">
        <w:rPr>
          <w:szCs w:val="28"/>
        </w:rPr>
        <w:t>day of</w:t>
      </w:r>
      <w:r w:rsidRPr="00766980">
        <w:rPr>
          <w:spacing w:val="1"/>
          <w:szCs w:val="28"/>
        </w:rPr>
        <w:t xml:space="preserve"> </w:t>
      </w:r>
      <w:r w:rsidR="00480C00">
        <w:rPr>
          <w:szCs w:val="28"/>
        </w:rPr>
        <w:t>April</w:t>
      </w:r>
      <w:r w:rsidRPr="00766980">
        <w:rPr>
          <w:spacing w:val="4"/>
          <w:szCs w:val="28"/>
        </w:rPr>
        <w:t xml:space="preserve"> </w:t>
      </w:r>
      <w:r w:rsidRPr="00766980">
        <w:rPr>
          <w:spacing w:val="-2"/>
          <w:szCs w:val="28"/>
        </w:rPr>
        <w:t>202</w:t>
      </w:r>
      <w:r w:rsidR="00E16095" w:rsidRPr="00766980">
        <w:rPr>
          <w:spacing w:val="-2"/>
          <w:szCs w:val="28"/>
        </w:rPr>
        <w:t>5</w:t>
      </w:r>
      <w:r w:rsidRPr="00766980">
        <w:rPr>
          <w:spacing w:val="-2"/>
          <w:szCs w:val="28"/>
        </w:rPr>
        <w:t>.</w:t>
      </w:r>
    </w:p>
    <w:p w14:paraId="6A1CF85F" w14:textId="668A8F9C" w:rsidR="009A0525" w:rsidRPr="005374E1" w:rsidRDefault="009A0525" w:rsidP="00CB16FC">
      <w:pPr>
        <w:tabs>
          <w:tab w:val="left" w:pos="7740"/>
        </w:tabs>
        <w:ind w:left="4140" w:right="1620"/>
        <w:rPr>
          <w:rFonts w:ascii="Times New Roman" w:hAnsi="Times New Roman" w:cs="Times New Roman"/>
        </w:rPr>
      </w:pPr>
      <w:r w:rsidRPr="005374E1">
        <w:rPr>
          <w:rFonts w:ascii="Times New Roman" w:hAnsi="Times New Roman" w:cs="Times New Roman"/>
        </w:rPr>
        <w:t xml:space="preserve">By: </w:t>
      </w:r>
      <w:r w:rsidRPr="005374E1">
        <w:rPr>
          <w:rFonts w:ascii="Times New Roman" w:hAnsi="Times New Roman" w:cs="Times New Roman"/>
          <w:u w:val="single"/>
        </w:rPr>
        <w:t xml:space="preserve">/s/ </w:t>
      </w:r>
      <w:r w:rsidR="00193049">
        <w:rPr>
          <w:rFonts w:ascii="Times New Roman" w:hAnsi="Times New Roman" w:cs="Times New Roman"/>
          <w:u w:val="single"/>
        </w:rPr>
        <w:t>Clinten N. Garrett</w:t>
      </w:r>
      <w:r w:rsidR="00CB16FC">
        <w:rPr>
          <w:rFonts w:ascii="Times New Roman" w:hAnsi="Times New Roman" w:cs="Times New Roman"/>
          <w:u w:val="single"/>
        </w:rPr>
        <w:tab/>
      </w:r>
      <w:r w:rsidR="00193049" w:rsidRPr="005374E1">
        <w:rPr>
          <w:rFonts w:ascii="Times New Roman" w:hAnsi="Times New Roman" w:cs="Times New Roman"/>
        </w:rPr>
        <w:t xml:space="preserve"> </w:t>
      </w:r>
    </w:p>
    <w:p w14:paraId="448DFED0" w14:textId="0024671F" w:rsidR="005374E1" w:rsidRPr="00D963FD" w:rsidRDefault="00D963FD" w:rsidP="005374E1">
      <w:pPr>
        <w:spacing w:before="100" w:beforeAutospacing="1"/>
        <w:ind w:left="4140"/>
        <w:rPr>
          <w:rFonts w:ascii="Times New Roman" w:hAnsi="Times New Roman" w:cs="Times New Roman"/>
          <w:szCs w:val="26"/>
        </w:rPr>
      </w:pPr>
      <w:r w:rsidRPr="00D963FD">
        <w:rPr>
          <w:rFonts w:ascii="Times New Roman" w:hAnsi="Times New Roman" w:cs="Times New Roman"/>
          <w:szCs w:val="26"/>
        </w:rPr>
        <w:t>Alexander W. Samuels</w:t>
      </w:r>
      <w:r w:rsidR="005374E1" w:rsidRPr="00D963FD">
        <w:rPr>
          <w:rFonts w:ascii="Times New Roman" w:hAnsi="Times New Roman" w:cs="Times New Roman"/>
          <w:szCs w:val="26"/>
        </w:rPr>
        <w:t xml:space="preserve"> (Bar No. 0</w:t>
      </w:r>
      <w:r w:rsidRPr="00D963FD">
        <w:rPr>
          <w:rFonts w:ascii="Times New Roman" w:hAnsi="Times New Roman" w:cs="Times New Roman"/>
          <w:szCs w:val="26"/>
        </w:rPr>
        <w:t>28926</w:t>
      </w:r>
      <w:r w:rsidR="005374E1" w:rsidRPr="00D963FD">
        <w:rPr>
          <w:rFonts w:ascii="Times New Roman" w:hAnsi="Times New Roman" w:cs="Times New Roman"/>
          <w:szCs w:val="26"/>
        </w:rPr>
        <w:t>)</w:t>
      </w:r>
    </w:p>
    <w:p w14:paraId="2C75E49E" w14:textId="77777777" w:rsidR="005374E1" w:rsidRPr="005374E1" w:rsidRDefault="005374E1" w:rsidP="005374E1">
      <w:pPr>
        <w:ind w:left="4140"/>
        <w:rPr>
          <w:rFonts w:ascii="Times New Roman" w:hAnsi="Times New Roman" w:cs="Times New Roman"/>
          <w:szCs w:val="26"/>
        </w:rPr>
      </w:pPr>
      <w:r w:rsidRPr="00D963FD">
        <w:rPr>
          <w:rFonts w:ascii="Times New Roman" w:hAnsi="Times New Roman" w:cs="Times New Roman"/>
          <w:szCs w:val="26"/>
        </w:rPr>
        <w:t>Clinten N. Garrett (Bar No. 022457)</w:t>
      </w:r>
    </w:p>
    <w:p w14:paraId="41D05192" w14:textId="77777777" w:rsidR="005374E1" w:rsidRPr="005374E1" w:rsidRDefault="005374E1" w:rsidP="005374E1">
      <w:pPr>
        <w:ind w:left="4140"/>
        <w:rPr>
          <w:rFonts w:ascii="Times New Roman" w:hAnsi="Times New Roman" w:cs="Times New Roman"/>
          <w:szCs w:val="26"/>
        </w:rPr>
      </w:pPr>
      <w:r w:rsidRPr="005374E1">
        <w:rPr>
          <w:rFonts w:ascii="Times New Roman" w:hAnsi="Times New Roman" w:cs="Times New Roman"/>
          <w:bCs/>
          <w:szCs w:val="26"/>
        </w:rPr>
        <w:t>Office of the Arizona Attorney General</w:t>
      </w:r>
      <w:r w:rsidRPr="005374E1">
        <w:rPr>
          <w:rFonts w:ascii="Times New Roman" w:hAnsi="Times New Roman" w:cs="Times New Roman"/>
          <w:bCs/>
          <w:szCs w:val="26"/>
        </w:rPr>
        <w:br/>
        <w:t>2005 N. Central Avenue</w:t>
      </w:r>
    </w:p>
    <w:p w14:paraId="6FD63583" w14:textId="77777777" w:rsidR="005374E1" w:rsidRPr="005374E1" w:rsidRDefault="005374E1" w:rsidP="005374E1">
      <w:pPr>
        <w:ind w:left="4140"/>
        <w:rPr>
          <w:rFonts w:ascii="Times New Roman" w:hAnsi="Times New Roman" w:cs="Times New Roman"/>
          <w:bCs/>
          <w:szCs w:val="26"/>
        </w:rPr>
      </w:pPr>
      <w:r w:rsidRPr="005374E1">
        <w:rPr>
          <w:rFonts w:ascii="Times New Roman" w:hAnsi="Times New Roman" w:cs="Times New Roman"/>
          <w:bCs/>
          <w:szCs w:val="26"/>
        </w:rPr>
        <w:t>Phoenix, AZ 85004-1592</w:t>
      </w:r>
    </w:p>
    <w:p w14:paraId="07CFDCE0" w14:textId="77777777" w:rsidR="005374E1" w:rsidRPr="005374E1" w:rsidRDefault="005374E1" w:rsidP="005374E1">
      <w:pPr>
        <w:ind w:left="4140"/>
        <w:rPr>
          <w:rFonts w:ascii="Times New Roman" w:hAnsi="Times New Roman" w:cs="Times New Roman"/>
          <w:szCs w:val="26"/>
        </w:rPr>
      </w:pPr>
      <w:r w:rsidRPr="005374E1">
        <w:rPr>
          <w:rFonts w:ascii="Times New Roman" w:hAnsi="Times New Roman" w:cs="Times New Roman"/>
          <w:szCs w:val="26"/>
        </w:rPr>
        <w:t>(602) 542-3333</w:t>
      </w:r>
    </w:p>
    <w:p w14:paraId="4C5941A2" w14:textId="11C55CCB" w:rsidR="005374E1" w:rsidRPr="005374E1" w:rsidRDefault="00D963FD" w:rsidP="005374E1">
      <w:pPr>
        <w:ind w:left="4140"/>
        <w:rPr>
          <w:rFonts w:ascii="Times New Roman" w:hAnsi="Times New Roman" w:cs="Times New Roman"/>
          <w:bCs/>
          <w:szCs w:val="26"/>
        </w:rPr>
      </w:pPr>
      <w:r>
        <w:rPr>
          <w:rFonts w:ascii="Times New Roman" w:hAnsi="Times New Roman" w:cs="Times New Roman"/>
          <w:bCs/>
          <w:szCs w:val="26"/>
        </w:rPr>
        <w:t>Alexander</w:t>
      </w:r>
      <w:r w:rsidR="005374E1" w:rsidRPr="005374E1">
        <w:rPr>
          <w:rFonts w:ascii="Times New Roman" w:hAnsi="Times New Roman" w:cs="Times New Roman"/>
          <w:bCs/>
          <w:szCs w:val="26"/>
        </w:rPr>
        <w:t>.</w:t>
      </w:r>
      <w:r>
        <w:rPr>
          <w:rFonts w:ascii="Times New Roman" w:hAnsi="Times New Roman" w:cs="Times New Roman"/>
          <w:bCs/>
          <w:szCs w:val="26"/>
        </w:rPr>
        <w:t>Samuels</w:t>
      </w:r>
      <w:r w:rsidR="005374E1" w:rsidRPr="005374E1">
        <w:rPr>
          <w:rFonts w:ascii="Times New Roman" w:hAnsi="Times New Roman" w:cs="Times New Roman"/>
          <w:bCs/>
          <w:szCs w:val="26"/>
        </w:rPr>
        <w:t>@azag.gov</w:t>
      </w:r>
    </w:p>
    <w:p w14:paraId="532F818C" w14:textId="77777777" w:rsidR="005374E1" w:rsidRPr="005374E1" w:rsidRDefault="005374E1" w:rsidP="005374E1">
      <w:pPr>
        <w:ind w:left="4140"/>
        <w:rPr>
          <w:rFonts w:ascii="Times New Roman" w:hAnsi="Times New Roman" w:cs="Times New Roman"/>
          <w:color w:val="0000FF" w:themeColor="hyperlink"/>
        </w:rPr>
      </w:pPr>
      <w:r w:rsidRPr="005374E1">
        <w:rPr>
          <w:rFonts w:ascii="Times New Roman" w:hAnsi="Times New Roman" w:cs="Times New Roman"/>
        </w:rPr>
        <w:t>Clinten.Garrett@azag.gov</w:t>
      </w:r>
    </w:p>
    <w:p w14:paraId="6089AD47" w14:textId="77777777" w:rsidR="005374E1" w:rsidRPr="005374E1" w:rsidRDefault="005374E1" w:rsidP="005374E1">
      <w:pPr>
        <w:ind w:left="4140"/>
        <w:rPr>
          <w:rFonts w:ascii="Times New Roman" w:hAnsi="Times New Roman" w:cs="Times New Roman"/>
        </w:rPr>
      </w:pPr>
      <w:r w:rsidRPr="005374E1">
        <w:rPr>
          <w:rFonts w:ascii="Times New Roman" w:hAnsi="Times New Roman" w:cs="Times New Roman"/>
        </w:rPr>
        <w:t xml:space="preserve">ACL@azag.gov </w:t>
      </w:r>
    </w:p>
    <w:p w14:paraId="06A89CDB" w14:textId="467F2B54" w:rsidR="00EE5D83" w:rsidRPr="00D57284" w:rsidRDefault="00EE5D83" w:rsidP="00D57284">
      <w:pPr>
        <w:pStyle w:val="OMCOABriefBody"/>
        <w:spacing w:after="240" w:line="240" w:lineRule="auto"/>
        <w:ind w:firstLine="0"/>
        <w:rPr>
          <w:rFonts w:ascii="Times New Roman" w:hAnsi="Times New Roman"/>
          <w:sz w:val="26"/>
          <w:szCs w:val="26"/>
        </w:rPr>
      </w:pPr>
    </w:p>
    <w:sectPr w:rsidR="00EE5D83" w:rsidRPr="00D57284" w:rsidSect="00E1253B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C219E5" w16cex:dateUtc="2024-05-14T14:26:00Z"/>
  <w16cex:commentExtensible w16cex:durableId="5CBB0443" w16cex:dateUtc="2024-05-14T15:41:00Z"/>
  <w16cex:commentExtensible w16cex:durableId="511A0E03" w16cex:dateUtc="2024-05-14T15:54:00Z"/>
  <w16cex:commentExtensible w16cex:durableId="7474F1F9" w16cex:dateUtc="2024-05-14T15:58:00Z"/>
  <w16cex:commentExtensible w16cex:durableId="06243354" w16cex:dateUtc="2024-05-14T16:02:00Z"/>
  <w16cex:commentExtensible w16cex:durableId="2160AE95" w16cex:dateUtc="2024-05-14T21:03:00Z"/>
  <w16cex:commentExtensible w16cex:durableId="6A67AF87" w16cex:dateUtc="2024-05-15T12:03:00Z"/>
  <w16cex:commentExtensible w16cex:durableId="4D0F9750" w16cex:dateUtc="2024-05-15T12:06:00Z"/>
  <w16cex:commentExtensible w16cex:durableId="7F29BB85" w16cex:dateUtc="2024-05-14T21:26:00Z"/>
  <w16cex:commentExtensible w16cex:durableId="32C64D6F" w16cex:dateUtc="2024-05-15T02:02:00Z"/>
  <w16cex:commentExtensible w16cex:durableId="2D945C6D" w16cex:dateUtc="2024-05-15T02:13:00Z"/>
  <w16cex:commentExtensible w16cex:durableId="3148F276" w16cex:dateUtc="2024-05-15T02:19:00Z"/>
  <w16cex:commentExtensible w16cex:durableId="02C5AD94" w16cex:dateUtc="2024-05-15T02:20:00Z"/>
  <w16cex:commentExtensible w16cex:durableId="47D68FAC" w16cex:dateUtc="2024-05-15T02:21:00Z"/>
  <w16cex:commentExtensible w16cex:durableId="205F1C56" w16cex:dateUtc="2024-05-15T02:24:00Z"/>
  <w16cex:commentExtensible w16cex:durableId="723D7346" w16cex:dateUtc="2024-05-15T02:57:00Z"/>
  <w16cex:commentExtensible w16cex:durableId="5D35917D" w16cex:dateUtc="2024-05-15T02:59:00Z"/>
  <w16cex:commentExtensible w16cex:durableId="4C4F30F5" w16cex:dateUtc="2024-05-15T03:03:00Z"/>
  <w16cex:commentExtensible w16cex:durableId="6FBE2F16" w16cex:dateUtc="2024-05-15T03:06:00Z"/>
  <w16cex:commentExtensible w16cex:durableId="00D126F1" w16cex:dateUtc="2024-05-15T03:08:00Z"/>
  <w16cex:commentExtensible w16cex:durableId="1265BF5E" w16cex:dateUtc="2024-05-15T03:15:00Z"/>
  <w16cex:commentExtensible w16cex:durableId="436491F9" w16cex:dateUtc="2024-05-15T03:17:00Z"/>
  <w16cex:commentExtensible w16cex:durableId="6FC17CFC" w16cex:dateUtc="2024-05-15T03:19:00Z"/>
  <w16cex:commentExtensible w16cex:durableId="7E66A32E" w16cex:dateUtc="2024-05-15T03:22:00Z"/>
  <w16cex:commentExtensible w16cex:durableId="4411ACF0" w16cex:dateUtc="2024-05-15T03:24:00Z"/>
  <w16cex:commentExtensible w16cex:durableId="7F51CFF7" w16cex:dateUtc="2024-05-15T03:27:00Z"/>
  <w16cex:commentExtensible w16cex:durableId="054CA243" w16cex:dateUtc="2024-05-15T03:32:00Z"/>
  <w16cex:commentExtensible w16cex:durableId="0E0F3BEB" w16cex:dateUtc="2024-05-15T03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8D864" w14:textId="77777777" w:rsidR="00636EC7" w:rsidRDefault="00636EC7" w:rsidP="00E1253B">
      <w:r>
        <w:separator/>
      </w:r>
    </w:p>
  </w:endnote>
  <w:endnote w:type="continuationSeparator" w:id="0">
    <w:p w14:paraId="3DF46699" w14:textId="77777777" w:rsidR="00636EC7" w:rsidRDefault="00636EC7" w:rsidP="00E1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B23B5" w14:textId="77777777" w:rsidR="00636EC7" w:rsidRPr="00E1253B" w:rsidRDefault="00636EC7" w:rsidP="00E1253B">
    <w:pPr>
      <w:pStyle w:val="Footer"/>
      <w:jc w:val="center"/>
      <w:rPr>
        <w:rFonts w:asciiTheme="majorHAnsi" w:hAnsiTheme="majorHAnsi"/>
      </w:rPr>
    </w:pPr>
    <w:r w:rsidRPr="00E1253B">
      <w:rPr>
        <w:rFonts w:asciiTheme="majorHAnsi" w:hAnsiTheme="majorHAnsi"/>
      </w:rPr>
      <w:fldChar w:fldCharType="begin"/>
    </w:r>
    <w:r w:rsidRPr="00E1253B">
      <w:rPr>
        <w:rFonts w:asciiTheme="majorHAnsi" w:hAnsiTheme="majorHAnsi"/>
      </w:rPr>
      <w:instrText xml:space="preserve"> PAGE   \* MERGEFORMAT </w:instrText>
    </w:r>
    <w:r w:rsidRPr="00E1253B">
      <w:rPr>
        <w:rFonts w:asciiTheme="majorHAnsi" w:hAnsiTheme="majorHAnsi"/>
      </w:rPr>
      <w:fldChar w:fldCharType="separate"/>
    </w:r>
    <w:r>
      <w:rPr>
        <w:rFonts w:asciiTheme="majorHAnsi" w:hAnsiTheme="majorHAnsi"/>
        <w:noProof/>
      </w:rPr>
      <w:t>2</w:t>
    </w:r>
    <w:r w:rsidRPr="00E1253B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61739" w14:textId="77777777" w:rsidR="00636EC7" w:rsidRDefault="00636EC7" w:rsidP="00E1253B">
      <w:r>
        <w:separator/>
      </w:r>
    </w:p>
  </w:footnote>
  <w:footnote w:type="continuationSeparator" w:id="0">
    <w:p w14:paraId="0A411792" w14:textId="77777777" w:rsidR="00636EC7" w:rsidRDefault="00636EC7" w:rsidP="00E1253B">
      <w:r>
        <w:continuationSeparator/>
      </w:r>
    </w:p>
  </w:footnote>
  <w:footnote w:id="1">
    <w:p w14:paraId="09DAD152" w14:textId="1C93FA0B" w:rsidR="00636EC7" w:rsidRPr="00B64F9C" w:rsidRDefault="00636EC7">
      <w:pPr>
        <w:pStyle w:val="FootnoteText"/>
        <w:rPr>
          <w:rFonts w:ascii="Times New Roman" w:hAnsi="Times New Roman" w:cs="Times New Roman"/>
        </w:rPr>
      </w:pPr>
      <w:r w:rsidRPr="00B64F9C">
        <w:rPr>
          <w:rStyle w:val="FootnoteReference"/>
          <w:rFonts w:ascii="Times New Roman" w:hAnsi="Times New Roman" w:cs="Times New Roman"/>
        </w:rPr>
        <w:footnoteRef/>
      </w:r>
      <w:r w:rsidRPr="00B64F9C">
        <w:rPr>
          <w:rFonts w:ascii="Times New Roman" w:hAnsi="Times New Roman" w:cs="Times New Roman"/>
        </w:rPr>
        <w:t xml:space="preserve"> </w:t>
      </w:r>
      <w:r w:rsidRPr="00B64F9C">
        <w:rPr>
          <w:rFonts w:ascii="Times New Roman" w:hAnsi="Times New Roman" w:cs="Times New Roman"/>
          <w:i/>
        </w:rPr>
        <w:t xml:space="preserve">See </w:t>
      </w:r>
      <w:hyperlink r:id="rId1" w:history="1">
        <w:r w:rsidRPr="00B64F9C">
          <w:rPr>
            <w:rStyle w:val="Hyperlink"/>
            <w:rFonts w:ascii="Times New Roman" w:hAnsi="Times New Roman" w:cs="Times New Roman"/>
          </w:rPr>
          <w:t>https://www.uscourts.gov/about-federal-courts/educational-resources/</w:t>
        </w:r>
        <w:r w:rsidR="00D753A2">
          <w:rPr>
            <w:rStyle w:val="Hyperlink"/>
            <w:rFonts w:ascii="Times New Roman" w:hAnsi="Times New Roman" w:cs="Times New Roman"/>
          </w:rPr>
          <w:t>‌</w:t>
        </w:r>
        <w:r w:rsidRPr="00B64F9C">
          <w:rPr>
            <w:rStyle w:val="Hyperlink"/>
            <w:rFonts w:ascii="Times New Roman" w:hAnsi="Times New Roman" w:cs="Times New Roman"/>
          </w:rPr>
          <w:t>about-educational-outreach/activity-resources/supreme-court-procedures</w:t>
        </w:r>
      </w:hyperlink>
      <w:r w:rsidRPr="00B64F9C">
        <w:rPr>
          <w:rFonts w:ascii="Times New Roman" w:hAnsi="Times New Roman" w:cs="Times New Roman"/>
        </w:rPr>
        <w:t xml:space="preserve">.  </w:t>
      </w:r>
    </w:p>
  </w:footnote>
  <w:footnote w:id="2">
    <w:p w14:paraId="6021C7F8" w14:textId="05A66CC1" w:rsidR="00174FC7" w:rsidRPr="00174FC7" w:rsidRDefault="00174FC7">
      <w:pPr>
        <w:pStyle w:val="FootnoteText"/>
        <w:rPr>
          <w:rFonts w:ascii="Times New Roman" w:hAnsi="Times New Roman" w:cs="Times New Roman"/>
        </w:rPr>
      </w:pPr>
      <w:r w:rsidRPr="00174FC7">
        <w:rPr>
          <w:rStyle w:val="FootnoteReference"/>
          <w:rFonts w:ascii="Times New Roman" w:hAnsi="Times New Roman" w:cs="Times New Roman"/>
        </w:rPr>
        <w:footnoteRef/>
      </w:r>
      <w:r w:rsidRPr="00174FC7">
        <w:rPr>
          <w:rFonts w:ascii="Times New Roman" w:hAnsi="Times New Roman" w:cs="Times New Roman"/>
        </w:rPr>
        <w:t xml:space="preserve"> According to a panelist at the </w:t>
      </w:r>
      <w:r>
        <w:rPr>
          <w:rFonts w:ascii="Times New Roman" w:hAnsi="Times New Roman" w:cs="Times New Roman"/>
        </w:rPr>
        <w:t>April 4, 2025 “Working with the Court of Appeals” CLE, th</w:t>
      </w:r>
      <w:r w:rsidR="004B75D6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Court accepted 28 of the 326 petitions </w:t>
      </w:r>
      <w:r w:rsidR="004B75D6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it received in 2024. </w:t>
      </w:r>
    </w:p>
  </w:footnote>
  <w:footnote w:id="3">
    <w:p w14:paraId="194479A5" w14:textId="79DBF82E" w:rsidR="00636EC7" w:rsidRPr="00F53A49" w:rsidRDefault="00636EC7">
      <w:pPr>
        <w:pStyle w:val="FootnoteText"/>
        <w:rPr>
          <w:rFonts w:ascii="Times New Roman" w:hAnsi="Times New Roman" w:cs="Times New Roman"/>
        </w:rPr>
      </w:pPr>
      <w:r w:rsidRPr="00F53A49">
        <w:rPr>
          <w:rStyle w:val="FootnoteReference"/>
          <w:rFonts w:ascii="Times New Roman" w:hAnsi="Times New Roman" w:cs="Times New Roman"/>
        </w:rPr>
        <w:footnoteRef/>
      </w:r>
      <w:r w:rsidRPr="00F53A49">
        <w:rPr>
          <w:rFonts w:ascii="Times New Roman" w:hAnsi="Times New Roman" w:cs="Times New Roman"/>
        </w:rPr>
        <w:t xml:space="preserve"> </w:t>
      </w:r>
      <w:hyperlink r:id="rId2" w:history="1">
        <w:r w:rsidRPr="004A7A43">
          <w:rPr>
            <w:rStyle w:val="Hyperlink"/>
            <w:rFonts w:ascii="Times New Roman" w:hAnsi="Times New Roman" w:cs="Times New Roman"/>
          </w:rPr>
          <w:t>https://www.nycbar.org/wp-content/uploads/2023/05/En_Banc_Article.pdf</w:t>
        </w:r>
      </w:hyperlink>
      <w:r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8C6EF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0097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82B7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628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2C4F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9A70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A9E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84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C68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AD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442DE"/>
    <w:multiLevelType w:val="hybridMultilevel"/>
    <w:tmpl w:val="1F125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786E4D"/>
    <w:multiLevelType w:val="hybridMultilevel"/>
    <w:tmpl w:val="2F04F618"/>
    <w:lvl w:ilvl="0" w:tplc="1B108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A3AC7"/>
    <w:multiLevelType w:val="hybridMultilevel"/>
    <w:tmpl w:val="52260F56"/>
    <w:lvl w:ilvl="0" w:tplc="1C4CF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30F2"/>
    <w:multiLevelType w:val="multilevel"/>
    <w:tmpl w:val="20106230"/>
    <w:lvl w:ilvl="0">
      <w:start w:val="1"/>
      <w:numFmt w:val="upperRoman"/>
      <w:pStyle w:val="AG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AGLeve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AGLevel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AGLevel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AGLevel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AGLev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AGLevel7"/>
      <w:lvlText w:val="%7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pStyle w:val="AGLevel8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pStyle w:val="AGLevel9"/>
      <w:lvlText w:val="%9.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14" w15:restartNumberingAfterBreak="0">
    <w:nsid w:val="29D51405"/>
    <w:multiLevelType w:val="hybridMultilevel"/>
    <w:tmpl w:val="169E28CE"/>
    <w:lvl w:ilvl="0" w:tplc="EF60C04A">
      <w:start w:val="1"/>
      <w:numFmt w:val="bullet"/>
      <w:pStyle w:val="OMCOABrief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95C6F"/>
    <w:multiLevelType w:val="hybridMultilevel"/>
    <w:tmpl w:val="0850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F57E8"/>
    <w:multiLevelType w:val="hybridMultilevel"/>
    <w:tmpl w:val="D8445662"/>
    <w:lvl w:ilvl="0" w:tplc="D6C26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E3599"/>
    <w:multiLevelType w:val="hybridMultilevel"/>
    <w:tmpl w:val="5A525F5C"/>
    <w:lvl w:ilvl="0" w:tplc="0B04D88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E3768"/>
    <w:multiLevelType w:val="hybridMultilevel"/>
    <w:tmpl w:val="90741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BB4DD8"/>
    <w:multiLevelType w:val="hybridMultilevel"/>
    <w:tmpl w:val="BBD2117A"/>
    <w:lvl w:ilvl="0" w:tplc="D35CFAD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890" w:hanging="180"/>
      </w:pPr>
    </w:lvl>
    <w:lvl w:ilvl="3" w:tplc="04090019">
      <w:start w:val="1"/>
      <w:numFmt w:val="lowerLetter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A2706D3"/>
    <w:multiLevelType w:val="hybridMultilevel"/>
    <w:tmpl w:val="21FC16F8"/>
    <w:lvl w:ilvl="0" w:tplc="D35CFAD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890" w:hanging="180"/>
      </w:pPr>
    </w:lvl>
    <w:lvl w:ilvl="3" w:tplc="04090019">
      <w:start w:val="1"/>
      <w:numFmt w:val="lowerLetter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87E2A6F"/>
    <w:multiLevelType w:val="multilevel"/>
    <w:tmpl w:val="54D877F2"/>
    <w:name w:val="COA List"/>
    <w:lvl w:ilvl="0">
      <w:start w:val="1"/>
      <w:numFmt w:val="upperRoman"/>
      <w:pStyle w:val="OMCOABriefHeadingLevel2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OMCOABriefHeadingLevel3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pStyle w:val="OMCOABriefHeadingLevel4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pStyle w:val="OMCOABriefHeadingLevel5"/>
      <w:lvlText w:val="(%4)"/>
      <w:lvlJc w:val="left"/>
      <w:pPr>
        <w:tabs>
          <w:tab w:val="num" w:pos="2160"/>
        </w:tabs>
        <w:ind w:left="2880" w:hanging="720"/>
      </w:pPr>
      <w:rPr>
        <w:rFonts w:hint="default"/>
        <w:b/>
        <w:i w:val="0"/>
      </w:rPr>
    </w:lvl>
    <w:lvl w:ilvl="4">
      <w:start w:val="1"/>
      <w:numFmt w:val="lowerRoman"/>
      <w:pStyle w:val="OMCOABriefHeadingLevel6"/>
      <w:lvlText w:val="%5."/>
      <w:lvlJc w:val="left"/>
      <w:pPr>
        <w:tabs>
          <w:tab w:val="num" w:pos="2880"/>
        </w:tabs>
        <w:ind w:left="3600" w:hanging="72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9F0E2E"/>
    <w:multiLevelType w:val="multilevel"/>
    <w:tmpl w:val="9D22C6F0"/>
    <w:lvl w:ilvl="0">
      <w:start w:val="1"/>
      <w:numFmt w:val="decimal"/>
      <w:pStyle w:val="OMCOABriefIssues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 w15:restartNumberingAfterBreak="0">
    <w:nsid w:val="595F4BD0"/>
    <w:multiLevelType w:val="hybridMultilevel"/>
    <w:tmpl w:val="3EDE2246"/>
    <w:lvl w:ilvl="0" w:tplc="4CCCA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B0C0B"/>
    <w:multiLevelType w:val="hybridMultilevel"/>
    <w:tmpl w:val="7534B6BC"/>
    <w:lvl w:ilvl="0" w:tplc="DFAA317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B3EC1"/>
    <w:multiLevelType w:val="hybridMultilevel"/>
    <w:tmpl w:val="88AA8BB8"/>
    <w:lvl w:ilvl="0" w:tplc="7DE0666A">
      <w:start w:val="1"/>
      <w:numFmt w:val="decimal"/>
      <w:lvlText w:val="(%1)"/>
      <w:lvlJc w:val="left"/>
      <w:pPr>
        <w:ind w:left="750" w:hanging="39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2F7B"/>
    <w:multiLevelType w:val="hybridMultilevel"/>
    <w:tmpl w:val="71D4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F169C"/>
    <w:multiLevelType w:val="hybridMultilevel"/>
    <w:tmpl w:val="14F8B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9"/>
  </w:num>
  <w:num w:numId="20">
    <w:abstractNumId w:val="20"/>
  </w:num>
  <w:num w:numId="21">
    <w:abstractNumId w:val="2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7"/>
  </w:num>
  <w:num w:numId="26">
    <w:abstractNumId w:val="18"/>
  </w:num>
  <w:num w:numId="27">
    <w:abstractNumId w:val="24"/>
  </w:num>
  <w:num w:numId="28">
    <w:abstractNumId w:val="17"/>
  </w:num>
  <w:num w:numId="29">
    <w:abstractNumId w:val="25"/>
  </w:num>
  <w:num w:numId="30">
    <w:abstractNumId w:val="16"/>
  </w:num>
  <w:num w:numId="31">
    <w:abstractNumId w:val="15"/>
  </w:num>
  <w:num w:numId="32">
    <w:abstractNumId w:val="1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CE"/>
    <w:rsid w:val="00001E82"/>
    <w:rsid w:val="00001FCA"/>
    <w:rsid w:val="00002437"/>
    <w:rsid w:val="0000417F"/>
    <w:rsid w:val="000044BB"/>
    <w:rsid w:val="00004BE9"/>
    <w:rsid w:val="00005101"/>
    <w:rsid w:val="00007043"/>
    <w:rsid w:val="0000707D"/>
    <w:rsid w:val="00010B9B"/>
    <w:rsid w:val="000112BF"/>
    <w:rsid w:val="00014024"/>
    <w:rsid w:val="000153DE"/>
    <w:rsid w:val="0001614C"/>
    <w:rsid w:val="00017160"/>
    <w:rsid w:val="000178BF"/>
    <w:rsid w:val="000206DB"/>
    <w:rsid w:val="0002206E"/>
    <w:rsid w:val="00027E56"/>
    <w:rsid w:val="00030DCB"/>
    <w:rsid w:val="000317CB"/>
    <w:rsid w:val="00032BBE"/>
    <w:rsid w:val="0003351F"/>
    <w:rsid w:val="0003546D"/>
    <w:rsid w:val="000400FC"/>
    <w:rsid w:val="000443CE"/>
    <w:rsid w:val="00045F8C"/>
    <w:rsid w:val="00046AD1"/>
    <w:rsid w:val="00046DB8"/>
    <w:rsid w:val="00047227"/>
    <w:rsid w:val="00047F1F"/>
    <w:rsid w:val="00053C6E"/>
    <w:rsid w:val="00055D74"/>
    <w:rsid w:val="00056E56"/>
    <w:rsid w:val="00057999"/>
    <w:rsid w:val="000600B4"/>
    <w:rsid w:val="00060E85"/>
    <w:rsid w:val="00060FC7"/>
    <w:rsid w:val="00061CCC"/>
    <w:rsid w:val="00062053"/>
    <w:rsid w:val="000627F0"/>
    <w:rsid w:val="00065174"/>
    <w:rsid w:val="000663CD"/>
    <w:rsid w:val="00067028"/>
    <w:rsid w:val="000675D4"/>
    <w:rsid w:val="00067C2A"/>
    <w:rsid w:val="000704F7"/>
    <w:rsid w:val="00070C06"/>
    <w:rsid w:val="00071D8D"/>
    <w:rsid w:val="00073328"/>
    <w:rsid w:val="00073F1E"/>
    <w:rsid w:val="000747AF"/>
    <w:rsid w:val="00074F00"/>
    <w:rsid w:val="00075386"/>
    <w:rsid w:val="000802E2"/>
    <w:rsid w:val="000811F0"/>
    <w:rsid w:val="000813F1"/>
    <w:rsid w:val="000824BA"/>
    <w:rsid w:val="000825F1"/>
    <w:rsid w:val="00083861"/>
    <w:rsid w:val="00083C84"/>
    <w:rsid w:val="000850AB"/>
    <w:rsid w:val="00086CCA"/>
    <w:rsid w:val="00087ACD"/>
    <w:rsid w:val="00090A81"/>
    <w:rsid w:val="0009172F"/>
    <w:rsid w:val="00093E54"/>
    <w:rsid w:val="0009503C"/>
    <w:rsid w:val="000961B8"/>
    <w:rsid w:val="00097822"/>
    <w:rsid w:val="000A1122"/>
    <w:rsid w:val="000A1A72"/>
    <w:rsid w:val="000A2438"/>
    <w:rsid w:val="000A2623"/>
    <w:rsid w:val="000A2B84"/>
    <w:rsid w:val="000A4BBA"/>
    <w:rsid w:val="000A6602"/>
    <w:rsid w:val="000A7D80"/>
    <w:rsid w:val="000B03D8"/>
    <w:rsid w:val="000B3595"/>
    <w:rsid w:val="000B39C5"/>
    <w:rsid w:val="000B43D4"/>
    <w:rsid w:val="000B4D7B"/>
    <w:rsid w:val="000B5013"/>
    <w:rsid w:val="000B6A60"/>
    <w:rsid w:val="000C0556"/>
    <w:rsid w:val="000C0CFF"/>
    <w:rsid w:val="000C2FFA"/>
    <w:rsid w:val="000C3383"/>
    <w:rsid w:val="000C5499"/>
    <w:rsid w:val="000C63AC"/>
    <w:rsid w:val="000C64AD"/>
    <w:rsid w:val="000C6AFB"/>
    <w:rsid w:val="000C7DC9"/>
    <w:rsid w:val="000D1D7D"/>
    <w:rsid w:val="000D271B"/>
    <w:rsid w:val="000D2916"/>
    <w:rsid w:val="000D3489"/>
    <w:rsid w:val="000D3C43"/>
    <w:rsid w:val="000D666B"/>
    <w:rsid w:val="000D68E2"/>
    <w:rsid w:val="000D6A5C"/>
    <w:rsid w:val="000D6F6B"/>
    <w:rsid w:val="000E0999"/>
    <w:rsid w:val="000E2AA8"/>
    <w:rsid w:val="000E4072"/>
    <w:rsid w:val="000E45BF"/>
    <w:rsid w:val="000E4DFF"/>
    <w:rsid w:val="000E55F2"/>
    <w:rsid w:val="000E6720"/>
    <w:rsid w:val="000E6848"/>
    <w:rsid w:val="000E7300"/>
    <w:rsid w:val="000F0779"/>
    <w:rsid w:val="000F15E9"/>
    <w:rsid w:val="000F1D15"/>
    <w:rsid w:val="000F51FB"/>
    <w:rsid w:val="000F65AB"/>
    <w:rsid w:val="000F793A"/>
    <w:rsid w:val="000F7BE3"/>
    <w:rsid w:val="00101010"/>
    <w:rsid w:val="00102094"/>
    <w:rsid w:val="00102A5D"/>
    <w:rsid w:val="001045AB"/>
    <w:rsid w:val="00105848"/>
    <w:rsid w:val="00106637"/>
    <w:rsid w:val="00111847"/>
    <w:rsid w:val="001127A1"/>
    <w:rsid w:val="0011583C"/>
    <w:rsid w:val="00120938"/>
    <w:rsid w:val="00121EC7"/>
    <w:rsid w:val="00123B4B"/>
    <w:rsid w:val="00124227"/>
    <w:rsid w:val="00125C5A"/>
    <w:rsid w:val="001266B3"/>
    <w:rsid w:val="00126A5A"/>
    <w:rsid w:val="00127D05"/>
    <w:rsid w:val="00131672"/>
    <w:rsid w:val="00133187"/>
    <w:rsid w:val="001339BE"/>
    <w:rsid w:val="0013701A"/>
    <w:rsid w:val="00140DEE"/>
    <w:rsid w:val="00141B01"/>
    <w:rsid w:val="001438EA"/>
    <w:rsid w:val="00144195"/>
    <w:rsid w:val="0014571C"/>
    <w:rsid w:val="00150A73"/>
    <w:rsid w:val="00153541"/>
    <w:rsid w:val="00155EF3"/>
    <w:rsid w:val="001574BB"/>
    <w:rsid w:val="001575B0"/>
    <w:rsid w:val="001600C2"/>
    <w:rsid w:val="00160109"/>
    <w:rsid w:val="00160BDE"/>
    <w:rsid w:val="001620CD"/>
    <w:rsid w:val="00162AF7"/>
    <w:rsid w:val="00165BAC"/>
    <w:rsid w:val="00165CDD"/>
    <w:rsid w:val="00173065"/>
    <w:rsid w:val="00173253"/>
    <w:rsid w:val="00174FC7"/>
    <w:rsid w:val="0017500B"/>
    <w:rsid w:val="00175762"/>
    <w:rsid w:val="00177095"/>
    <w:rsid w:val="00177CE2"/>
    <w:rsid w:val="00177E6A"/>
    <w:rsid w:val="001802FE"/>
    <w:rsid w:val="00181C07"/>
    <w:rsid w:val="00183EE2"/>
    <w:rsid w:val="0018468E"/>
    <w:rsid w:val="00190504"/>
    <w:rsid w:val="001907F1"/>
    <w:rsid w:val="00191C19"/>
    <w:rsid w:val="00193049"/>
    <w:rsid w:val="0019496D"/>
    <w:rsid w:val="00194F31"/>
    <w:rsid w:val="00195AAC"/>
    <w:rsid w:val="00196D45"/>
    <w:rsid w:val="001A1361"/>
    <w:rsid w:val="001A13F4"/>
    <w:rsid w:val="001A16E3"/>
    <w:rsid w:val="001A1AB4"/>
    <w:rsid w:val="001A36B9"/>
    <w:rsid w:val="001A42CF"/>
    <w:rsid w:val="001A4800"/>
    <w:rsid w:val="001A67E0"/>
    <w:rsid w:val="001A7E7D"/>
    <w:rsid w:val="001B146A"/>
    <w:rsid w:val="001B2FBE"/>
    <w:rsid w:val="001B36B2"/>
    <w:rsid w:val="001B4639"/>
    <w:rsid w:val="001B4F9C"/>
    <w:rsid w:val="001B5BCA"/>
    <w:rsid w:val="001B5D36"/>
    <w:rsid w:val="001C0649"/>
    <w:rsid w:val="001C0EF3"/>
    <w:rsid w:val="001C2885"/>
    <w:rsid w:val="001D29C5"/>
    <w:rsid w:val="001D2BF2"/>
    <w:rsid w:val="001D3A73"/>
    <w:rsid w:val="001D3C8E"/>
    <w:rsid w:val="001D3E9E"/>
    <w:rsid w:val="001D3FB3"/>
    <w:rsid w:val="001D4E53"/>
    <w:rsid w:val="001D6956"/>
    <w:rsid w:val="001D740A"/>
    <w:rsid w:val="001E14B9"/>
    <w:rsid w:val="001E5571"/>
    <w:rsid w:val="001E69E1"/>
    <w:rsid w:val="001E75D7"/>
    <w:rsid w:val="001F3325"/>
    <w:rsid w:val="001F4913"/>
    <w:rsid w:val="001F6CCB"/>
    <w:rsid w:val="001F6CF5"/>
    <w:rsid w:val="001F7B57"/>
    <w:rsid w:val="00200A90"/>
    <w:rsid w:val="00202B65"/>
    <w:rsid w:val="00202F8E"/>
    <w:rsid w:val="00204393"/>
    <w:rsid w:val="0020475A"/>
    <w:rsid w:val="00204BD0"/>
    <w:rsid w:val="00206311"/>
    <w:rsid w:val="002073F8"/>
    <w:rsid w:val="00210F85"/>
    <w:rsid w:val="00211676"/>
    <w:rsid w:val="00211B22"/>
    <w:rsid w:val="00213313"/>
    <w:rsid w:val="00213FDA"/>
    <w:rsid w:val="00214296"/>
    <w:rsid w:val="002143FD"/>
    <w:rsid w:val="0021789C"/>
    <w:rsid w:val="002221F4"/>
    <w:rsid w:val="00223659"/>
    <w:rsid w:val="002243D3"/>
    <w:rsid w:val="00225FEF"/>
    <w:rsid w:val="0022601B"/>
    <w:rsid w:val="00226896"/>
    <w:rsid w:val="00226C9B"/>
    <w:rsid w:val="002279AB"/>
    <w:rsid w:val="002316B5"/>
    <w:rsid w:val="00237F22"/>
    <w:rsid w:val="00242428"/>
    <w:rsid w:val="0024264C"/>
    <w:rsid w:val="002445E9"/>
    <w:rsid w:val="002458C7"/>
    <w:rsid w:val="00246463"/>
    <w:rsid w:val="00251229"/>
    <w:rsid w:val="002526C0"/>
    <w:rsid w:val="00253866"/>
    <w:rsid w:val="00256BE5"/>
    <w:rsid w:val="0025793E"/>
    <w:rsid w:val="0026031D"/>
    <w:rsid w:val="002615F3"/>
    <w:rsid w:val="002618E3"/>
    <w:rsid w:val="00262330"/>
    <w:rsid w:val="002627C3"/>
    <w:rsid w:val="0026320E"/>
    <w:rsid w:val="00263596"/>
    <w:rsid w:val="00264417"/>
    <w:rsid w:val="0026467B"/>
    <w:rsid w:val="00264D05"/>
    <w:rsid w:val="00266446"/>
    <w:rsid w:val="00266879"/>
    <w:rsid w:val="00266CF8"/>
    <w:rsid w:val="00272A6B"/>
    <w:rsid w:val="00272A76"/>
    <w:rsid w:val="00273709"/>
    <w:rsid w:val="0027686E"/>
    <w:rsid w:val="00280FA6"/>
    <w:rsid w:val="00281C9D"/>
    <w:rsid w:val="00281FD5"/>
    <w:rsid w:val="002842B2"/>
    <w:rsid w:val="002845A0"/>
    <w:rsid w:val="00284788"/>
    <w:rsid w:val="002857B9"/>
    <w:rsid w:val="00286C99"/>
    <w:rsid w:val="00287408"/>
    <w:rsid w:val="00287A4A"/>
    <w:rsid w:val="00287CBE"/>
    <w:rsid w:val="00290CE5"/>
    <w:rsid w:val="00291404"/>
    <w:rsid w:val="002915F0"/>
    <w:rsid w:val="00292101"/>
    <w:rsid w:val="00292F28"/>
    <w:rsid w:val="002930E5"/>
    <w:rsid w:val="00294CC0"/>
    <w:rsid w:val="002958BE"/>
    <w:rsid w:val="00297E7A"/>
    <w:rsid w:val="002A0E7A"/>
    <w:rsid w:val="002A1417"/>
    <w:rsid w:val="002A1427"/>
    <w:rsid w:val="002A2640"/>
    <w:rsid w:val="002A68D5"/>
    <w:rsid w:val="002A6D00"/>
    <w:rsid w:val="002B008A"/>
    <w:rsid w:val="002B3B0C"/>
    <w:rsid w:val="002B4332"/>
    <w:rsid w:val="002B4B6A"/>
    <w:rsid w:val="002B5060"/>
    <w:rsid w:val="002B5F0F"/>
    <w:rsid w:val="002C3439"/>
    <w:rsid w:val="002C5537"/>
    <w:rsid w:val="002C6A56"/>
    <w:rsid w:val="002C72F1"/>
    <w:rsid w:val="002D2530"/>
    <w:rsid w:val="002D3DC8"/>
    <w:rsid w:val="002D3E17"/>
    <w:rsid w:val="002D4005"/>
    <w:rsid w:val="002D4347"/>
    <w:rsid w:val="002D4A7B"/>
    <w:rsid w:val="002D4BF1"/>
    <w:rsid w:val="002D5BD8"/>
    <w:rsid w:val="002D7189"/>
    <w:rsid w:val="002E175E"/>
    <w:rsid w:val="002E1C1F"/>
    <w:rsid w:val="002E1E42"/>
    <w:rsid w:val="002E2335"/>
    <w:rsid w:val="002E2BC9"/>
    <w:rsid w:val="002E2F6C"/>
    <w:rsid w:val="002E30CE"/>
    <w:rsid w:val="002E37F6"/>
    <w:rsid w:val="002E4009"/>
    <w:rsid w:val="002E439B"/>
    <w:rsid w:val="002E4BA6"/>
    <w:rsid w:val="002E6CE6"/>
    <w:rsid w:val="002F122C"/>
    <w:rsid w:val="002F357F"/>
    <w:rsid w:val="002F3B36"/>
    <w:rsid w:val="002F488C"/>
    <w:rsid w:val="002F4E60"/>
    <w:rsid w:val="002F5853"/>
    <w:rsid w:val="002F69DC"/>
    <w:rsid w:val="002F6E28"/>
    <w:rsid w:val="00300566"/>
    <w:rsid w:val="0030356A"/>
    <w:rsid w:val="003059A2"/>
    <w:rsid w:val="00310C4C"/>
    <w:rsid w:val="00310E78"/>
    <w:rsid w:val="00312DB4"/>
    <w:rsid w:val="00313564"/>
    <w:rsid w:val="00313A46"/>
    <w:rsid w:val="00314662"/>
    <w:rsid w:val="003155AD"/>
    <w:rsid w:val="003156FB"/>
    <w:rsid w:val="00320AD1"/>
    <w:rsid w:val="00320B0F"/>
    <w:rsid w:val="00327007"/>
    <w:rsid w:val="003301D0"/>
    <w:rsid w:val="00331084"/>
    <w:rsid w:val="00332C26"/>
    <w:rsid w:val="00333656"/>
    <w:rsid w:val="003344A1"/>
    <w:rsid w:val="00335CF1"/>
    <w:rsid w:val="00336393"/>
    <w:rsid w:val="0034434B"/>
    <w:rsid w:val="003458E4"/>
    <w:rsid w:val="003461BD"/>
    <w:rsid w:val="0034782F"/>
    <w:rsid w:val="00352D36"/>
    <w:rsid w:val="003565EC"/>
    <w:rsid w:val="00357614"/>
    <w:rsid w:val="003603D3"/>
    <w:rsid w:val="00360B25"/>
    <w:rsid w:val="00362C89"/>
    <w:rsid w:val="00362FA3"/>
    <w:rsid w:val="00363441"/>
    <w:rsid w:val="003641D9"/>
    <w:rsid w:val="0036540B"/>
    <w:rsid w:val="00365D81"/>
    <w:rsid w:val="003703FF"/>
    <w:rsid w:val="00370A4C"/>
    <w:rsid w:val="00370C99"/>
    <w:rsid w:val="003733D2"/>
    <w:rsid w:val="00374514"/>
    <w:rsid w:val="00374848"/>
    <w:rsid w:val="00376123"/>
    <w:rsid w:val="00377203"/>
    <w:rsid w:val="00377302"/>
    <w:rsid w:val="00383011"/>
    <w:rsid w:val="00384A3F"/>
    <w:rsid w:val="0038500E"/>
    <w:rsid w:val="00386AC1"/>
    <w:rsid w:val="00391BC7"/>
    <w:rsid w:val="00391C32"/>
    <w:rsid w:val="003922ED"/>
    <w:rsid w:val="00397B3E"/>
    <w:rsid w:val="003A00E7"/>
    <w:rsid w:val="003A19BF"/>
    <w:rsid w:val="003A1AD6"/>
    <w:rsid w:val="003A1E04"/>
    <w:rsid w:val="003A39B7"/>
    <w:rsid w:val="003A3BE1"/>
    <w:rsid w:val="003A496F"/>
    <w:rsid w:val="003A6C04"/>
    <w:rsid w:val="003A7FE1"/>
    <w:rsid w:val="003B00C0"/>
    <w:rsid w:val="003B0112"/>
    <w:rsid w:val="003B05DC"/>
    <w:rsid w:val="003B1BA4"/>
    <w:rsid w:val="003B42A3"/>
    <w:rsid w:val="003B4690"/>
    <w:rsid w:val="003B5754"/>
    <w:rsid w:val="003B5AC7"/>
    <w:rsid w:val="003B7172"/>
    <w:rsid w:val="003B7477"/>
    <w:rsid w:val="003C20DD"/>
    <w:rsid w:val="003C334D"/>
    <w:rsid w:val="003C4356"/>
    <w:rsid w:val="003C5250"/>
    <w:rsid w:val="003D1BE8"/>
    <w:rsid w:val="003D25C9"/>
    <w:rsid w:val="003D268A"/>
    <w:rsid w:val="003D4BCC"/>
    <w:rsid w:val="003D4D5E"/>
    <w:rsid w:val="003D4D7B"/>
    <w:rsid w:val="003D733A"/>
    <w:rsid w:val="003E090A"/>
    <w:rsid w:val="003E1314"/>
    <w:rsid w:val="003E1389"/>
    <w:rsid w:val="003E2002"/>
    <w:rsid w:val="003E20CE"/>
    <w:rsid w:val="003E3575"/>
    <w:rsid w:val="003E3BC9"/>
    <w:rsid w:val="003E41F6"/>
    <w:rsid w:val="003E449B"/>
    <w:rsid w:val="003E4613"/>
    <w:rsid w:val="003E4CF8"/>
    <w:rsid w:val="003E5435"/>
    <w:rsid w:val="003E59D5"/>
    <w:rsid w:val="003E679D"/>
    <w:rsid w:val="003E6C80"/>
    <w:rsid w:val="003E6EBE"/>
    <w:rsid w:val="003E745E"/>
    <w:rsid w:val="003F003A"/>
    <w:rsid w:val="003F2170"/>
    <w:rsid w:val="003F3DA5"/>
    <w:rsid w:val="003F4FD7"/>
    <w:rsid w:val="003F77B5"/>
    <w:rsid w:val="004015C8"/>
    <w:rsid w:val="00401637"/>
    <w:rsid w:val="004018F1"/>
    <w:rsid w:val="0040355D"/>
    <w:rsid w:val="00403D7C"/>
    <w:rsid w:val="00403E13"/>
    <w:rsid w:val="00405951"/>
    <w:rsid w:val="00405BE8"/>
    <w:rsid w:val="00407272"/>
    <w:rsid w:val="00411EE0"/>
    <w:rsid w:val="0041262E"/>
    <w:rsid w:val="004139D9"/>
    <w:rsid w:val="004145FF"/>
    <w:rsid w:val="004173F2"/>
    <w:rsid w:val="00420DD1"/>
    <w:rsid w:val="00422D40"/>
    <w:rsid w:val="00423E61"/>
    <w:rsid w:val="00425900"/>
    <w:rsid w:val="00425F9F"/>
    <w:rsid w:val="00427833"/>
    <w:rsid w:val="00427C70"/>
    <w:rsid w:val="00431204"/>
    <w:rsid w:val="00431769"/>
    <w:rsid w:val="00431A25"/>
    <w:rsid w:val="00433273"/>
    <w:rsid w:val="0043403C"/>
    <w:rsid w:val="00434301"/>
    <w:rsid w:val="00435862"/>
    <w:rsid w:val="0044139C"/>
    <w:rsid w:val="00441580"/>
    <w:rsid w:val="00441752"/>
    <w:rsid w:val="00443269"/>
    <w:rsid w:val="004445DE"/>
    <w:rsid w:val="00444F60"/>
    <w:rsid w:val="004459D4"/>
    <w:rsid w:val="004463CA"/>
    <w:rsid w:val="004463FC"/>
    <w:rsid w:val="00446A69"/>
    <w:rsid w:val="00446D48"/>
    <w:rsid w:val="00446D52"/>
    <w:rsid w:val="00450A50"/>
    <w:rsid w:val="00452248"/>
    <w:rsid w:val="00452648"/>
    <w:rsid w:val="00453134"/>
    <w:rsid w:val="00453C5C"/>
    <w:rsid w:val="00453E11"/>
    <w:rsid w:val="00454F04"/>
    <w:rsid w:val="00457251"/>
    <w:rsid w:val="004577AD"/>
    <w:rsid w:val="004577B3"/>
    <w:rsid w:val="00457C9E"/>
    <w:rsid w:val="00457E08"/>
    <w:rsid w:val="00460935"/>
    <w:rsid w:val="00460D40"/>
    <w:rsid w:val="00461FC9"/>
    <w:rsid w:val="00462D6C"/>
    <w:rsid w:val="00462F87"/>
    <w:rsid w:val="00466790"/>
    <w:rsid w:val="00466F30"/>
    <w:rsid w:val="00471C8F"/>
    <w:rsid w:val="00471F74"/>
    <w:rsid w:val="00472400"/>
    <w:rsid w:val="004726E4"/>
    <w:rsid w:val="0047309F"/>
    <w:rsid w:val="00473EB3"/>
    <w:rsid w:val="00474D08"/>
    <w:rsid w:val="0047518A"/>
    <w:rsid w:val="00476EDB"/>
    <w:rsid w:val="00480C00"/>
    <w:rsid w:val="00480CEE"/>
    <w:rsid w:val="004819E9"/>
    <w:rsid w:val="004836D9"/>
    <w:rsid w:val="00484340"/>
    <w:rsid w:val="00485C11"/>
    <w:rsid w:val="00485EC0"/>
    <w:rsid w:val="004868F9"/>
    <w:rsid w:val="004923B2"/>
    <w:rsid w:val="00495C35"/>
    <w:rsid w:val="0049646D"/>
    <w:rsid w:val="004A0978"/>
    <w:rsid w:val="004A339A"/>
    <w:rsid w:val="004A4B6A"/>
    <w:rsid w:val="004A5185"/>
    <w:rsid w:val="004A6382"/>
    <w:rsid w:val="004A74CF"/>
    <w:rsid w:val="004B0ADE"/>
    <w:rsid w:val="004B18CA"/>
    <w:rsid w:val="004B26B5"/>
    <w:rsid w:val="004B2DFF"/>
    <w:rsid w:val="004B351E"/>
    <w:rsid w:val="004B3E9B"/>
    <w:rsid w:val="004B75D6"/>
    <w:rsid w:val="004B787D"/>
    <w:rsid w:val="004C0725"/>
    <w:rsid w:val="004C19A4"/>
    <w:rsid w:val="004C2171"/>
    <w:rsid w:val="004C35F0"/>
    <w:rsid w:val="004C3645"/>
    <w:rsid w:val="004C3FEB"/>
    <w:rsid w:val="004C5861"/>
    <w:rsid w:val="004C5D4B"/>
    <w:rsid w:val="004D087A"/>
    <w:rsid w:val="004D1B01"/>
    <w:rsid w:val="004D48CF"/>
    <w:rsid w:val="004D4BB3"/>
    <w:rsid w:val="004D5749"/>
    <w:rsid w:val="004D6D92"/>
    <w:rsid w:val="004D7993"/>
    <w:rsid w:val="004D7A8F"/>
    <w:rsid w:val="004E02CA"/>
    <w:rsid w:val="004E0CC4"/>
    <w:rsid w:val="004E131B"/>
    <w:rsid w:val="004E4307"/>
    <w:rsid w:val="004E5D40"/>
    <w:rsid w:val="004E68AB"/>
    <w:rsid w:val="004E71FE"/>
    <w:rsid w:val="004F0076"/>
    <w:rsid w:val="004F1325"/>
    <w:rsid w:val="004F297F"/>
    <w:rsid w:val="004F2C08"/>
    <w:rsid w:val="004F48D2"/>
    <w:rsid w:val="004F48F9"/>
    <w:rsid w:val="004F5867"/>
    <w:rsid w:val="004F60A5"/>
    <w:rsid w:val="00500136"/>
    <w:rsid w:val="00502371"/>
    <w:rsid w:val="00502623"/>
    <w:rsid w:val="00503667"/>
    <w:rsid w:val="00504C0A"/>
    <w:rsid w:val="00504FDC"/>
    <w:rsid w:val="005076CE"/>
    <w:rsid w:val="005079FA"/>
    <w:rsid w:val="00510851"/>
    <w:rsid w:val="00511AC4"/>
    <w:rsid w:val="0051354C"/>
    <w:rsid w:val="00514747"/>
    <w:rsid w:val="00514B09"/>
    <w:rsid w:val="00520B1C"/>
    <w:rsid w:val="005222FE"/>
    <w:rsid w:val="00523701"/>
    <w:rsid w:val="00523FF8"/>
    <w:rsid w:val="0052490C"/>
    <w:rsid w:val="0053080E"/>
    <w:rsid w:val="00531630"/>
    <w:rsid w:val="00532045"/>
    <w:rsid w:val="00532174"/>
    <w:rsid w:val="0053449A"/>
    <w:rsid w:val="00535A4F"/>
    <w:rsid w:val="00536AB1"/>
    <w:rsid w:val="005374E1"/>
    <w:rsid w:val="005403B7"/>
    <w:rsid w:val="00540724"/>
    <w:rsid w:val="00540A8C"/>
    <w:rsid w:val="005419ED"/>
    <w:rsid w:val="00543F1A"/>
    <w:rsid w:val="00545182"/>
    <w:rsid w:val="00545ADB"/>
    <w:rsid w:val="00547C73"/>
    <w:rsid w:val="005503B0"/>
    <w:rsid w:val="005524DB"/>
    <w:rsid w:val="00552D6B"/>
    <w:rsid w:val="00553152"/>
    <w:rsid w:val="0055327D"/>
    <w:rsid w:val="005539EA"/>
    <w:rsid w:val="005551C1"/>
    <w:rsid w:val="0055559B"/>
    <w:rsid w:val="0055725F"/>
    <w:rsid w:val="005578EC"/>
    <w:rsid w:val="005609C2"/>
    <w:rsid w:val="00561297"/>
    <w:rsid w:val="0056530F"/>
    <w:rsid w:val="0056688A"/>
    <w:rsid w:val="00567DDB"/>
    <w:rsid w:val="00570118"/>
    <w:rsid w:val="00570C10"/>
    <w:rsid w:val="00570FC4"/>
    <w:rsid w:val="00571227"/>
    <w:rsid w:val="00572277"/>
    <w:rsid w:val="005731E5"/>
    <w:rsid w:val="005735D4"/>
    <w:rsid w:val="00573816"/>
    <w:rsid w:val="00573D2F"/>
    <w:rsid w:val="005764E6"/>
    <w:rsid w:val="00580DE1"/>
    <w:rsid w:val="005815AD"/>
    <w:rsid w:val="00582997"/>
    <w:rsid w:val="005836FE"/>
    <w:rsid w:val="0058562E"/>
    <w:rsid w:val="00587293"/>
    <w:rsid w:val="00587971"/>
    <w:rsid w:val="005909B2"/>
    <w:rsid w:val="00593327"/>
    <w:rsid w:val="00596325"/>
    <w:rsid w:val="00596603"/>
    <w:rsid w:val="005A08E1"/>
    <w:rsid w:val="005A1ACA"/>
    <w:rsid w:val="005A2063"/>
    <w:rsid w:val="005A21A9"/>
    <w:rsid w:val="005A2E96"/>
    <w:rsid w:val="005A392A"/>
    <w:rsid w:val="005A4063"/>
    <w:rsid w:val="005A5EB4"/>
    <w:rsid w:val="005B01EC"/>
    <w:rsid w:val="005B1941"/>
    <w:rsid w:val="005B1C65"/>
    <w:rsid w:val="005B3F16"/>
    <w:rsid w:val="005B48F4"/>
    <w:rsid w:val="005B4C0B"/>
    <w:rsid w:val="005B4D35"/>
    <w:rsid w:val="005B7235"/>
    <w:rsid w:val="005C27FD"/>
    <w:rsid w:val="005C37C0"/>
    <w:rsid w:val="005C3CC7"/>
    <w:rsid w:val="005C5FE1"/>
    <w:rsid w:val="005C6B57"/>
    <w:rsid w:val="005C715D"/>
    <w:rsid w:val="005D143D"/>
    <w:rsid w:val="005D4760"/>
    <w:rsid w:val="005D58A7"/>
    <w:rsid w:val="005D66D2"/>
    <w:rsid w:val="005D730D"/>
    <w:rsid w:val="005D75D6"/>
    <w:rsid w:val="005E0298"/>
    <w:rsid w:val="005E0653"/>
    <w:rsid w:val="005E393F"/>
    <w:rsid w:val="005E5686"/>
    <w:rsid w:val="005E6BBA"/>
    <w:rsid w:val="005F03E7"/>
    <w:rsid w:val="005F04CE"/>
    <w:rsid w:val="005F07EB"/>
    <w:rsid w:val="005F27B6"/>
    <w:rsid w:val="005F2F01"/>
    <w:rsid w:val="005F43DB"/>
    <w:rsid w:val="005F51B7"/>
    <w:rsid w:val="005F546D"/>
    <w:rsid w:val="005F721C"/>
    <w:rsid w:val="005F7520"/>
    <w:rsid w:val="00601661"/>
    <w:rsid w:val="00601BE6"/>
    <w:rsid w:val="00605CCB"/>
    <w:rsid w:val="006067E5"/>
    <w:rsid w:val="006071B6"/>
    <w:rsid w:val="00607AB4"/>
    <w:rsid w:val="00612FD6"/>
    <w:rsid w:val="00613EEE"/>
    <w:rsid w:val="00615375"/>
    <w:rsid w:val="00620B90"/>
    <w:rsid w:val="00621CB0"/>
    <w:rsid w:val="006221D0"/>
    <w:rsid w:val="0062355A"/>
    <w:rsid w:val="00623C15"/>
    <w:rsid w:val="00624F06"/>
    <w:rsid w:val="00625F0A"/>
    <w:rsid w:val="00625F3C"/>
    <w:rsid w:val="00627DE6"/>
    <w:rsid w:val="00631330"/>
    <w:rsid w:val="00631F4E"/>
    <w:rsid w:val="00632373"/>
    <w:rsid w:val="0063255C"/>
    <w:rsid w:val="006335D4"/>
    <w:rsid w:val="006347B7"/>
    <w:rsid w:val="00636AA1"/>
    <w:rsid w:val="00636EC7"/>
    <w:rsid w:val="00644413"/>
    <w:rsid w:val="006473CC"/>
    <w:rsid w:val="00652069"/>
    <w:rsid w:val="0065247D"/>
    <w:rsid w:val="00653565"/>
    <w:rsid w:val="00653D99"/>
    <w:rsid w:val="00654493"/>
    <w:rsid w:val="006546B9"/>
    <w:rsid w:val="006559B7"/>
    <w:rsid w:val="00660DBC"/>
    <w:rsid w:val="00661C7F"/>
    <w:rsid w:val="00663FF3"/>
    <w:rsid w:val="006658CB"/>
    <w:rsid w:val="00666B74"/>
    <w:rsid w:val="00667F5C"/>
    <w:rsid w:val="0067390F"/>
    <w:rsid w:val="006742D7"/>
    <w:rsid w:val="0067439C"/>
    <w:rsid w:val="0067450E"/>
    <w:rsid w:val="0067462A"/>
    <w:rsid w:val="00674EB9"/>
    <w:rsid w:val="00676546"/>
    <w:rsid w:val="00677273"/>
    <w:rsid w:val="0068010A"/>
    <w:rsid w:val="00680B61"/>
    <w:rsid w:val="00680FB6"/>
    <w:rsid w:val="006812B7"/>
    <w:rsid w:val="0068161E"/>
    <w:rsid w:val="00681E3F"/>
    <w:rsid w:val="006822AD"/>
    <w:rsid w:val="00682B88"/>
    <w:rsid w:val="00683ADC"/>
    <w:rsid w:val="00683CA1"/>
    <w:rsid w:val="00685402"/>
    <w:rsid w:val="00685786"/>
    <w:rsid w:val="006874D9"/>
    <w:rsid w:val="00691B1B"/>
    <w:rsid w:val="00692867"/>
    <w:rsid w:val="00692970"/>
    <w:rsid w:val="00692F4B"/>
    <w:rsid w:val="006950EE"/>
    <w:rsid w:val="006953FB"/>
    <w:rsid w:val="00695C6A"/>
    <w:rsid w:val="00696BAF"/>
    <w:rsid w:val="006A186F"/>
    <w:rsid w:val="006A1F93"/>
    <w:rsid w:val="006A2860"/>
    <w:rsid w:val="006A3878"/>
    <w:rsid w:val="006A39EA"/>
    <w:rsid w:val="006A3F49"/>
    <w:rsid w:val="006A429B"/>
    <w:rsid w:val="006B070D"/>
    <w:rsid w:val="006B17D1"/>
    <w:rsid w:val="006B2144"/>
    <w:rsid w:val="006B2F83"/>
    <w:rsid w:val="006B4C04"/>
    <w:rsid w:val="006B7E17"/>
    <w:rsid w:val="006C0969"/>
    <w:rsid w:val="006C0AEA"/>
    <w:rsid w:val="006C13C1"/>
    <w:rsid w:val="006C1FD8"/>
    <w:rsid w:val="006C3AF3"/>
    <w:rsid w:val="006C41A5"/>
    <w:rsid w:val="006D054A"/>
    <w:rsid w:val="006D198B"/>
    <w:rsid w:val="006D3928"/>
    <w:rsid w:val="006D5F10"/>
    <w:rsid w:val="006D68BA"/>
    <w:rsid w:val="006D6B86"/>
    <w:rsid w:val="006D7CFF"/>
    <w:rsid w:val="006D7F0C"/>
    <w:rsid w:val="006E007B"/>
    <w:rsid w:val="006E553D"/>
    <w:rsid w:val="006E5619"/>
    <w:rsid w:val="006E5818"/>
    <w:rsid w:val="006E5CAD"/>
    <w:rsid w:val="006E5F04"/>
    <w:rsid w:val="006E66C8"/>
    <w:rsid w:val="006E6D45"/>
    <w:rsid w:val="006E7FDA"/>
    <w:rsid w:val="006F00FC"/>
    <w:rsid w:val="006F071D"/>
    <w:rsid w:val="006F1355"/>
    <w:rsid w:val="006F2A11"/>
    <w:rsid w:val="006F3EA4"/>
    <w:rsid w:val="006F5B73"/>
    <w:rsid w:val="006F6C45"/>
    <w:rsid w:val="006F748D"/>
    <w:rsid w:val="006F7AA3"/>
    <w:rsid w:val="00700999"/>
    <w:rsid w:val="00701AEB"/>
    <w:rsid w:val="00701BA7"/>
    <w:rsid w:val="00702334"/>
    <w:rsid w:val="00702F06"/>
    <w:rsid w:val="00704732"/>
    <w:rsid w:val="00705155"/>
    <w:rsid w:val="0070533C"/>
    <w:rsid w:val="0070676B"/>
    <w:rsid w:val="00706C52"/>
    <w:rsid w:val="007114E7"/>
    <w:rsid w:val="00713F07"/>
    <w:rsid w:val="007145FB"/>
    <w:rsid w:val="00714793"/>
    <w:rsid w:val="007148BB"/>
    <w:rsid w:val="00715778"/>
    <w:rsid w:val="0071578A"/>
    <w:rsid w:val="0071771E"/>
    <w:rsid w:val="00720095"/>
    <w:rsid w:val="00722890"/>
    <w:rsid w:val="007231A0"/>
    <w:rsid w:val="00723A5F"/>
    <w:rsid w:val="00723D59"/>
    <w:rsid w:val="00723DA3"/>
    <w:rsid w:val="007241D5"/>
    <w:rsid w:val="007262E1"/>
    <w:rsid w:val="007271AD"/>
    <w:rsid w:val="00727533"/>
    <w:rsid w:val="007301E7"/>
    <w:rsid w:val="0073415C"/>
    <w:rsid w:val="007341D1"/>
    <w:rsid w:val="007342B0"/>
    <w:rsid w:val="0073534E"/>
    <w:rsid w:val="0073648A"/>
    <w:rsid w:val="00736C1C"/>
    <w:rsid w:val="0073770B"/>
    <w:rsid w:val="007422E3"/>
    <w:rsid w:val="00742AB7"/>
    <w:rsid w:val="007434E6"/>
    <w:rsid w:val="0074383D"/>
    <w:rsid w:val="007445C2"/>
    <w:rsid w:val="007459C9"/>
    <w:rsid w:val="00745FD3"/>
    <w:rsid w:val="00746E90"/>
    <w:rsid w:val="007504DE"/>
    <w:rsid w:val="00750E62"/>
    <w:rsid w:val="007512FD"/>
    <w:rsid w:val="007538FB"/>
    <w:rsid w:val="007553BA"/>
    <w:rsid w:val="00757949"/>
    <w:rsid w:val="0076014A"/>
    <w:rsid w:val="00760FBB"/>
    <w:rsid w:val="007628FF"/>
    <w:rsid w:val="0076595F"/>
    <w:rsid w:val="0076666E"/>
    <w:rsid w:val="00766980"/>
    <w:rsid w:val="00770671"/>
    <w:rsid w:val="00771746"/>
    <w:rsid w:val="00772B51"/>
    <w:rsid w:val="00775311"/>
    <w:rsid w:val="00775DDC"/>
    <w:rsid w:val="0077602B"/>
    <w:rsid w:val="00776D86"/>
    <w:rsid w:val="00780617"/>
    <w:rsid w:val="00781299"/>
    <w:rsid w:val="00781C84"/>
    <w:rsid w:val="00784557"/>
    <w:rsid w:val="00784E05"/>
    <w:rsid w:val="00784F7F"/>
    <w:rsid w:val="007854CE"/>
    <w:rsid w:val="0078657A"/>
    <w:rsid w:val="0078723F"/>
    <w:rsid w:val="00787770"/>
    <w:rsid w:val="00790DDD"/>
    <w:rsid w:val="007923C8"/>
    <w:rsid w:val="00792515"/>
    <w:rsid w:val="00793619"/>
    <w:rsid w:val="00795679"/>
    <w:rsid w:val="00795F98"/>
    <w:rsid w:val="007A025B"/>
    <w:rsid w:val="007A1D5B"/>
    <w:rsid w:val="007A43C4"/>
    <w:rsid w:val="007A666F"/>
    <w:rsid w:val="007B02BA"/>
    <w:rsid w:val="007B0C2C"/>
    <w:rsid w:val="007B10E6"/>
    <w:rsid w:val="007B2015"/>
    <w:rsid w:val="007B32B4"/>
    <w:rsid w:val="007B7DEA"/>
    <w:rsid w:val="007C1807"/>
    <w:rsid w:val="007C4C17"/>
    <w:rsid w:val="007C6235"/>
    <w:rsid w:val="007C68B3"/>
    <w:rsid w:val="007C68FB"/>
    <w:rsid w:val="007C6EA7"/>
    <w:rsid w:val="007C74F2"/>
    <w:rsid w:val="007D098D"/>
    <w:rsid w:val="007D0B3A"/>
    <w:rsid w:val="007D101E"/>
    <w:rsid w:val="007D15E9"/>
    <w:rsid w:val="007D4848"/>
    <w:rsid w:val="007D52B2"/>
    <w:rsid w:val="007E277D"/>
    <w:rsid w:val="007E4CE8"/>
    <w:rsid w:val="007E5CF1"/>
    <w:rsid w:val="007E6172"/>
    <w:rsid w:val="007F168A"/>
    <w:rsid w:val="007F3E1B"/>
    <w:rsid w:val="007F47F6"/>
    <w:rsid w:val="007F6310"/>
    <w:rsid w:val="007F7480"/>
    <w:rsid w:val="00803936"/>
    <w:rsid w:val="00804177"/>
    <w:rsid w:val="0080477E"/>
    <w:rsid w:val="00804FE9"/>
    <w:rsid w:val="00805431"/>
    <w:rsid w:val="00807750"/>
    <w:rsid w:val="008106A6"/>
    <w:rsid w:val="008131F8"/>
    <w:rsid w:val="008143B8"/>
    <w:rsid w:val="008148B6"/>
    <w:rsid w:val="00815126"/>
    <w:rsid w:val="00816B5F"/>
    <w:rsid w:val="00822AE2"/>
    <w:rsid w:val="00824DEE"/>
    <w:rsid w:val="00824F5E"/>
    <w:rsid w:val="0082624D"/>
    <w:rsid w:val="0082736B"/>
    <w:rsid w:val="008276A4"/>
    <w:rsid w:val="00831CE2"/>
    <w:rsid w:val="008325A9"/>
    <w:rsid w:val="0083363A"/>
    <w:rsid w:val="00833D45"/>
    <w:rsid w:val="00835FC0"/>
    <w:rsid w:val="00836220"/>
    <w:rsid w:val="008362EF"/>
    <w:rsid w:val="008372D1"/>
    <w:rsid w:val="00841835"/>
    <w:rsid w:val="00841953"/>
    <w:rsid w:val="00841AF5"/>
    <w:rsid w:val="008429F4"/>
    <w:rsid w:val="008434E6"/>
    <w:rsid w:val="008439AA"/>
    <w:rsid w:val="0084491D"/>
    <w:rsid w:val="00845E58"/>
    <w:rsid w:val="008474A3"/>
    <w:rsid w:val="0085014C"/>
    <w:rsid w:val="00851F17"/>
    <w:rsid w:val="00853226"/>
    <w:rsid w:val="008539FD"/>
    <w:rsid w:val="00853F52"/>
    <w:rsid w:val="00855764"/>
    <w:rsid w:val="00855B96"/>
    <w:rsid w:val="008575F4"/>
    <w:rsid w:val="008623FD"/>
    <w:rsid w:val="0086383F"/>
    <w:rsid w:val="00863BB0"/>
    <w:rsid w:val="008644E1"/>
    <w:rsid w:val="00866C44"/>
    <w:rsid w:val="00867061"/>
    <w:rsid w:val="00870A32"/>
    <w:rsid w:val="00872E67"/>
    <w:rsid w:val="00873197"/>
    <w:rsid w:val="00873A0A"/>
    <w:rsid w:val="00874E74"/>
    <w:rsid w:val="0087581F"/>
    <w:rsid w:val="00876B45"/>
    <w:rsid w:val="00877198"/>
    <w:rsid w:val="00880A49"/>
    <w:rsid w:val="00880F5A"/>
    <w:rsid w:val="008827DF"/>
    <w:rsid w:val="00883FA7"/>
    <w:rsid w:val="00884182"/>
    <w:rsid w:val="00885534"/>
    <w:rsid w:val="0088742F"/>
    <w:rsid w:val="008875B7"/>
    <w:rsid w:val="00890F98"/>
    <w:rsid w:val="008914E8"/>
    <w:rsid w:val="00893193"/>
    <w:rsid w:val="00894A96"/>
    <w:rsid w:val="00894C97"/>
    <w:rsid w:val="00895C5B"/>
    <w:rsid w:val="00895DD9"/>
    <w:rsid w:val="00895F4A"/>
    <w:rsid w:val="008A1047"/>
    <w:rsid w:val="008A160C"/>
    <w:rsid w:val="008A1D95"/>
    <w:rsid w:val="008A2A80"/>
    <w:rsid w:val="008A308C"/>
    <w:rsid w:val="008A3E00"/>
    <w:rsid w:val="008A3EAB"/>
    <w:rsid w:val="008B2CE2"/>
    <w:rsid w:val="008B388B"/>
    <w:rsid w:val="008B3B8E"/>
    <w:rsid w:val="008B4E59"/>
    <w:rsid w:val="008B57BC"/>
    <w:rsid w:val="008B674A"/>
    <w:rsid w:val="008C0110"/>
    <w:rsid w:val="008C059A"/>
    <w:rsid w:val="008C0DD3"/>
    <w:rsid w:val="008C2F70"/>
    <w:rsid w:val="008C54BD"/>
    <w:rsid w:val="008D0890"/>
    <w:rsid w:val="008D3F17"/>
    <w:rsid w:val="008D46F3"/>
    <w:rsid w:val="008D56E6"/>
    <w:rsid w:val="008E0DE1"/>
    <w:rsid w:val="008E1276"/>
    <w:rsid w:val="008E260A"/>
    <w:rsid w:val="008E339C"/>
    <w:rsid w:val="008E6A97"/>
    <w:rsid w:val="008F0800"/>
    <w:rsid w:val="008F092C"/>
    <w:rsid w:val="008F1DC4"/>
    <w:rsid w:val="008F674D"/>
    <w:rsid w:val="008F7822"/>
    <w:rsid w:val="008F7A65"/>
    <w:rsid w:val="009006E7"/>
    <w:rsid w:val="00901228"/>
    <w:rsid w:val="009043A7"/>
    <w:rsid w:val="0090752F"/>
    <w:rsid w:val="009114CF"/>
    <w:rsid w:val="00912CFE"/>
    <w:rsid w:val="0091392C"/>
    <w:rsid w:val="00915124"/>
    <w:rsid w:val="00917F2D"/>
    <w:rsid w:val="009207FF"/>
    <w:rsid w:val="00920C89"/>
    <w:rsid w:val="00925EA9"/>
    <w:rsid w:val="0092676E"/>
    <w:rsid w:val="009303A5"/>
    <w:rsid w:val="00931313"/>
    <w:rsid w:val="00934430"/>
    <w:rsid w:val="00937548"/>
    <w:rsid w:val="00940EA0"/>
    <w:rsid w:val="009415FB"/>
    <w:rsid w:val="009435BC"/>
    <w:rsid w:val="0095079F"/>
    <w:rsid w:val="00954D25"/>
    <w:rsid w:val="0095570F"/>
    <w:rsid w:val="00956906"/>
    <w:rsid w:val="009578B7"/>
    <w:rsid w:val="00961105"/>
    <w:rsid w:val="00961319"/>
    <w:rsid w:val="00962442"/>
    <w:rsid w:val="009627EF"/>
    <w:rsid w:val="00962FD2"/>
    <w:rsid w:val="0096439B"/>
    <w:rsid w:val="00965AC4"/>
    <w:rsid w:val="00965E61"/>
    <w:rsid w:val="00967462"/>
    <w:rsid w:val="00967F0D"/>
    <w:rsid w:val="00970644"/>
    <w:rsid w:val="009708C6"/>
    <w:rsid w:val="00970B2C"/>
    <w:rsid w:val="00970E9D"/>
    <w:rsid w:val="00971C07"/>
    <w:rsid w:val="00974607"/>
    <w:rsid w:val="00977F17"/>
    <w:rsid w:val="00980AFC"/>
    <w:rsid w:val="009821E5"/>
    <w:rsid w:val="00983E19"/>
    <w:rsid w:val="00987160"/>
    <w:rsid w:val="009914CB"/>
    <w:rsid w:val="00991B3A"/>
    <w:rsid w:val="0099377D"/>
    <w:rsid w:val="009940D4"/>
    <w:rsid w:val="00994D03"/>
    <w:rsid w:val="009957BE"/>
    <w:rsid w:val="00996460"/>
    <w:rsid w:val="009968A6"/>
    <w:rsid w:val="00997188"/>
    <w:rsid w:val="009973C8"/>
    <w:rsid w:val="009976B0"/>
    <w:rsid w:val="009A03D2"/>
    <w:rsid w:val="009A0525"/>
    <w:rsid w:val="009A09C1"/>
    <w:rsid w:val="009A2974"/>
    <w:rsid w:val="009A3846"/>
    <w:rsid w:val="009A3D8E"/>
    <w:rsid w:val="009A4EAF"/>
    <w:rsid w:val="009A5A14"/>
    <w:rsid w:val="009B04F9"/>
    <w:rsid w:val="009B2D2B"/>
    <w:rsid w:val="009B417B"/>
    <w:rsid w:val="009C0909"/>
    <w:rsid w:val="009C099A"/>
    <w:rsid w:val="009C15AE"/>
    <w:rsid w:val="009C1EEE"/>
    <w:rsid w:val="009C69B9"/>
    <w:rsid w:val="009D26CF"/>
    <w:rsid w:val="009D376F"/>
    <w:rsid w:val="009D3AB6"/>
    <w:rsid w:val="009D4996"/>
    <w:rsid w:val="009E0B0B"/>
    <w:rsid w:val="009E0C92"/>
    <w:rsid w:val="009E13BE"/>
    <w:rsid w:val="009E1885"/>
    <w:rsid w:val="009E3DE4"/>
    <w:rsid w:val="009E4225"/>
    <w:rsid w:val="009E4A1F"/>
    <w:rsid w:val="009E7AC7"/>
    <w:rsid w:val="009F06F0"/>
    <w:rsid w:val="009F1A17"/>
    <w:rsid w:val="009F29BF"/>
    <w:rsid w:val="009F2C4B"/>
    <w:rsid w:val="009F5204"/>
    <w:rsid w:val="00A00B03"/>
    <w:rsid w:val="00A01331"/>
    <w:rsid w:val="00A01D56"/>
    <w:rsid w:val="00A04A4E"/>
    <w:rsid w:val="00A0543A"/>
    <w:rsid w:val="00A06970"/>
    <w:rsid w:val="00A06C10"/>
    <w:rsid w:val="00A10E18"/>
    <w:rsid w:val="00A10F69"/>
    <w:rsid w:val="00A13F46"/>
    <w:rsid w:val="00A14A19"/>
    <w:rsid w:val="00A17A44"/>
    <w:rsid w:val="00A20347"/>
    <w:rsid w:val="00A22CCD"/>
    <w:rsid w:val="00A23093"/>
    <w:rsid w:val="00A2331D"/>
    <w:rsid w:val="00A23BFD"/>
    <w:rsid w:val="00A24074"/>
    <w:rsid w:val="00A258C0"/>
    <w:rsid w:val="00A25EEF"/>
    <w:rsid w:val="00A27128"/>
    <w:rsid w:val="00A31DC3"/>
    <w:rsid w:val="00A32400"/>
    <w:rsid w:val="00A32C20"/>
    <w:rsid w:val="00A32D85"/>
    <w:rsid w:val="00A345A5"/>
    <w:rsid w:val="00A35785"/>
    <w:rsid w:val="00A35C9F"/>
    <w:rsid w:val="00A360E2"/>
    <w:rsid w:val="00A37121"/>
    <w:rsid w:val="00A4176B"/>
    <w:rsid w:val="00A42ABD"/>
    <w:rsid w:val="00A44C38"/>
    <w:rsid w:val="00A45B2F"/>
    <w:rsid w:val="00A466A9"/>
    <w:rsid w:val="00A472E9"/>
    <w:rsid w:val="00A510CE"/>
    <w:rsid w:val="00A54CF5"/>
    <w:rsid w:val="00A55116"/>
    <w:rsid w:val="00A5749D"/>
    <w:rsid w:val="00A643BC"/>
    <w:rsid w:val="00A66A03"/>
    <w:rsid w:val="00A71FA7"/>
    <w:rsid w:val="00A721F4"/>
    <w:rsid w:val="00A7296F"/>
    <w:rsid w:val="00A73092"/>
    <w:rsid w:val="00A73B40"/>
    <w:rsid w:val="00A73B5F"/>
    <w:rsid w:val="00A75FB4"/>
    <w:rsid w:val="00A762A3"/>
    <w:rsid w:val="00A764C2"/>
    <w:rsid w:val="00A80295"/>
    <w:rsid w:val="00A813FC"/>
    <w:rsid w:val="00A83CC6"/>
    <w:rsid w:val="00A85108"/>
    <w:rsid w:val="00A85562"/>
    <w:rsid w:val="00A87208"/>
    <w:rsid w:val="00A901C8"/>
    <w:rsid w:val="00A91016"/>
    <w:rsid w:val="00A92572"/>
    <w:rsid w:val="00A9372C"/>
    <w:rsid w:val="00A93D41"/>
    <w:rsid w:val="00A93D82"/>
    <w:rsid w:val="00A94577"/>
    <w:rsid w:val="00AA2726"/>
    <w:rsid w:val="00AA3A09"/>
    <w:rsid w:val="00AA41E1"/>
    <w:rsid w:val="00AA67CC"/>
    <w:rsid w:val="00AA69F7"/>
    <w:rsid w:val="00AA6D6C"/>
    <w:rsid w:val="00AA6EAC"/>
    <w:rsid w:val="00AA7CC7"/>
    <w:rsid w:val="00AA7F14"/>
    <w:rsid w:val="00AB19A8"/>
    <w:rsid w:val="00AB35FE"/>
    <w:rsid w:val="00AC3F84"/>
    <w:rsid w:val="00AC455F"/>
    <w:rsid w:val="00AC5381"/>
    <w:rsid w:val="00AC7AC7"/>
    <w:rsid w:val="00AC7D72"/>
    <w:rsid w:val="00AD0138"/>
    <w:rsid w:val="00AD0DD0"/>
    <w:rsid w:val="00AD0FFF"/>
    <w:rsid w:val="00AD4C36"/>
    <w:rsid w:val="00AD5975"/>
    <w:rsid w:val="00AD6068"/>
    <w:rsid w:val="00AE2220"/>
    <w:rsid w:val="00AE2F6D"/>
    <w:rsid w:val="00AE31A2"/>
    <w:rsid w:val="00AE3BE7"/>
    <w:rsid w:val="00AE6347"/>
    <w:rsid w:val="00AE66E4"/>
    <w:rsid w:val="00AF0AE0"/>
    <w:rsid w:val="00AF14F3"/>
    <w:rsid w:val="00AF1D81"/>
    <w:rsid w:val="00AF667E"/>
    <w:rsid w:val="00AF6726"/>
    <w:rsid w:val="00AF7163"/>
    <w:rsid w:val="00B004C1"/>
    <w:rsid w:val="00B00B49"/>
    <w:rsid w:val="00B00D6E"/>
    <w:rsid w:val="00B0116F"/>
    <w:rsid w:val="00B02A5D"/>
    <w:rsid w:val="00B037CF"/>
    <w:rsid w:val="00B03D53"/>
    <w:rsid w:val="00B0415E"/>
    <w:rsid w:val="00B05A36"/>
    <w:rsid w:val="00B05ACF"/>
    <w:rsid w:val="00B06048"/>
    <w:rsid w:val="00B07CC0"/>
    <w:rsid w:val="00B109FC"/>
    <w:rsid w:val="00B12231"/>
    <w:rsid w:val="00B137A4"/>
    <w:rsid w:val="00B14735"/>
    <w:rsid w:val="00B14A84"/>
    <w:rsid w:val="00B150C8"/>
    <w:rsid w:val="00B2065B"/>
    <w:rsid w:val="00B2069C"/>
    <w:rsid w:val="00B207D5"/>
    <w:rsid w:val="00B21805"/>
    <w:rsid w:val="00B21C1F"/>
    <w:rsid w:val="00B22C07"/>
    <w:rsid w:val="00B24E3A"/>
    <w:rsid w:val="00B26EC9"/>
    <w:rsid w:val="00B277E2"/>
    <w:rsid w:val="00B27E35"/>
    <w:rsid w:val="00B30266"/>
    <w:rsid w:val="00B30A49"/>
    <w:rsid w:val="00B3125E"/>
    <w:rsid w:val="00B313BD"/>
    <w:rsid w:val="00B316FE"/>
    <w:rsid w:val="00B31851"/>
    <w:rsid w:val="00B33134"/>
    <w:rsid w:val="00B331B7"/>
    <w:rsid w:val="00B338E1"/>
    <w:rsid w:val="00B35935"/>
    <w:rsid w:val="00B35F90"/>
    <w:rsid w:val="00B365A8"/>
    <w:rsid w:val="00B366B0"/>
    <w:rsid w:val="00B36B46"/>
    <w:rsid w:val="00B400D6"/>
    <w:rsid w:val="00B405E1"/>
    <w:rsid w:val="00B41141"/>
    <w:rsid w:val="00B4144B"/>
    <w:rsid w:val="00B4320D"/>
    <w:rsid w:val="00B432A7"/>
    <w:rsid w:val="00B43A79"/>
    <w:rsid w:val="00B43AF2"/>
    <w:rsid w:val="00B458FD"/>
    <w:rsid w:val="00B460F1"/>
    <w:rsid w:val="00B47BDA"/>
    <w:rsid w:val="00B5026C"/>
    <w:rsid w:val="00B503AB"/>
    <w:rsid w:val="00B504B4"/>
    <w:rsid w:val="00B51307"/>
    <w:rsid w:val="00B53697"/>
    <w:rsid w:val="00B538A7"/>
    <w:rsid w:val="00B54505"/>
    <w:rsid w:val="00B5460D"/>
    <w:rsid w:val="00B5505F"/>
    <w:rsid w:val="00B6007D"/>
    <w:rsid w:val="00B60243"/>
    <w:rsid w:val="00B60ABD"/>
    <w:rsid w:val="00B60E44"/>
    <w:rsid w:val="00B639AB"/>
    <w:rsid w:val="00B64F9C"/>
    <w:rsid w:val="00B64FA5"/>
    <w:rsid w:val="00B65CC0"/>
    <w:rsid w:val="00B67461"/>
    <w:rsid w:val="00B70E20"/>
    <w:rsid w:val="00B726B9"/>
    <w:rsid w:val="00B72FC8"/>
    <w:rsid w:val="00B73668"/>
    <w:rsid w:val="00B7449B"/>
    <w:rsid w:val="00B752F2"/>
    <w:rsid w:val="00B76423"/>
    <w:rsid w:val="00B77166"/>
    <w:rsid w:val="00B81E92"/>
    <w:rsid w:val="00B823C6"/>
    <w:rsid w:val="00B84A19"/>
    <w:rsid w:val="00B8669B"/>
    <w:rsid w:val="00B86F9A"/>
    <w:rsid w:val="00B935ED"/>
    <w:rsid w:val="00B94140"/>
    <w:rsid w:val="00B95B81"/>
    <w:rsid w:val="00B95DA0"/>
    <w:rsid w:val="00B96139"/>
    <w:rsid w:val="00B962FD"/>
    <w:rsid w:val="00B96AC5"/>
    <w:rsid w:val="00B97AB8"/>
    <w:rsid w:val="00BA061D"/>
    <w:rsid w:val="00BA3DD2"/>
    <w:rsid w:val="00BB0AA2"/>
    <w:rsid w:val="00BB407E"/>
    <w:rsid w:val="00BB7F0A"/>
    <w:rsid w:val="00BC0721"/>
    <w:rsid w:val="00BC07B7"/>
    <w:rsid w:val="00BC0BC7"/>
    <w:rsid w:val="00BC10D6"/>
    <w:rsid w:val="00BC1F09"/>
    <w:rsid w:val="00BC2C02"/>
    <w:rsid w:val="00BC39A0"/>
    <w:rsid w:val="00BC4C91"/>
    <w:rsid w:val="00BC4CA1"/>
    <w:rsid w:val="00BC5C2F"/>
    <w:rsid w:val="00BC647A"/>
    <w:rsid w:val="00BD0139"/>
    <w:rsid w:val="00BD22D0"/>
    <w:rsid w:val="00BD4024"/>
    <w:rsid w:val="00BD40B4"/>
    <w:rsid w:val="00BD5D74"/>
    <w:rsid w:val="00BE1546"/>
    <w:rsid w:val="00BE48D7"/>
    <w:rsid w:val="00BF08BD"/>
    <w:rsid w:val="00BF0CCD"/>
    <w:rsid w:val="00BF0D27"/>
    <w:rsid w:val="00BF263A"/>
    <w:rsid w:val="00BF2CD8"/>
    <w:rsid w:val="00BF359D"/>
    <w:rsid w:val="00BF52CE"/>
    <w:rsid w:val="00BF561B"/>
    <w:rsid w:val="00C00CE4"/>
    <w:rsid w:val="00C04768"/>
    <w:rsid w:val="00C048A7"/>
    <w:rsid w:val="00C14072"/>
    <w:rsid w:val="00C178FB"/>
    <w:rsid w:val="00C207E6"/>
    <w:rsid w:val="00C20F27"/>
    <w:rsid w:val="00C21237"/>
    <w:rsid w:val="00C231A8"/>
    <w:rsid w:val="00C24305"/>
    <w:rsid w:val="00C24EC2"/>
    <w:rsid w:val="00C257A1"/>
    <w:rsid w:val="00C25E6F"/>
    <w:rsid w:val="00C27585"/>
    <w:rsid w:val="00C31141"/>
    <w:rsid w:val="00C312DC"/>
    <w:rsid w:val="00C31D04"/>
    <w:rsid w:val="00C3239A"/>
    <w:rsid w:val="00C3566C"/>
    <w:rsid w:val="00C36714"/>
    <w:rsid w:val="00C37173"/>
    <w:rsid w:val="00C40697"/>
    <w:rsid w:val="00C40FCB"/>
    <w:rsid w:val="00C44285"/>
    <w:rsid w:val="00C445B8"/>
    <w:rsid w:val="00C450B9"/>
    <w:rsid w:val="00C46725"/>
    <w:rsid w:val="00C46777"/>
    <w:rsid w:val="00C46A63"/>
    <w:rsid w:val="00C50E2F"/>
    <w:rsid w:val="00C515FE"/>
    <w:rsid w:val="00C52081"/>
    <w:rsid w:val="00C52DD1"/>
    <w:rsid w:val="00C53DFC"/>
    <w:rsid w:val="00C609A3"/>
    <w:rsid w:val="00C6354B"/>
    <w:rsid w:val="00C64D5A"/>
    <w:rsid w:val="00C64E42"/>
    <w:rsid w:val="00C657A4"/>
    <w:rsid w:val="00C6783D"/>
    <w:rsid w:val="00C700FB"/>
    <w:rsid w:val="00C71AC9"/>
    <w:rsid w:val="00C72497"/>
    <w:rsid w:val="00C728D0"/>
    <w:rsid w:val="00C73971"/>
    <w:rsid w:val="00C7477D"/>
    <w:rsid w:val="00C74988"/>
    <w:rsid w:val="00C76299"/>
    <w:rsid w:val="00C77B03"/>
    <w:rsid w:val="00C80A92"/>
    <w:rsid w:val="00C81358"/>
    <w:rsid w:val="00C81FB2"/>
    <w:rsid w:val="00C84189"/>
    <w:rsid w:val="00C8473F"/>
    <w:rsid w:val="00C84DE7"/>
    <w:rsid w:val="00C86621"/>
    <w:rsid w:val="00C86E11"/>
    <w:rsid w:val="00C874C2"/>
    <w:rsid w:val="00C90713"/>
    <w:rsid w:val="00C91278"/>
    <w:rsid w:val="00C91A96"/>
    <w:rsid w:val="00C96B77"/>
    <w:rsid w:val="00C973ED"/>
    <w:rsid w:val="00C97F0A"/>
    <w:rsid w:val="00CA1A09"/>
    <w:rsid w:val="00CA2653"/>
    <w:rsid w:val="00CA27F1"/>
    <w:rsid w:val="00CA4FCD"/>
    <w:rsid w:val="00CA67DC"/>
    <w:rsid w:val="00CA6911"/>
    <w:rsid w:val="00CA7240"/>
    <w:rsid w:val="00CA7332"/>
    <w:rsid w:val="00CB00E5"/>
    <w:rsid w:val="00CB16FC"/>
    <w:rsid w:val="00CB18FD"/>
    <w:rsid w:val="00CB2077"/>
    <w:rsid w:val="00CB49C0"/>
    <w:rsid w:val="00CB543B"/>
    <w:rsid w:val="00CB63E9"/>
    <w:rsid w:val="00CB7B73"/>
    <w:rsid w:val="00CC4F02"/>
    <w:rsid w:val="00CD1488"/>
    <w:rsid w:val="00CD40E2"/>
    <w:rsid w:val="00CD7EC6"/>
    <w:rsid w:val="00CE3FFC"/>
    <w:rsid w:val="00CE5648"/>
    <w:rsid w:val="00CE60CF"/>
    <w:rsid w:val="00CE7251"/>
    <w:rsid w:val="00CF0FB4"/>
    <w:rsid w:val="00CF1075"/>
    <w:rsid w:val="00CF30E4"/>
    <w:rsid w:val="00CF6A4D"/>
    <w:rsid w:val="00CF789D"/>
    <w:rsid w:val="00D00B95"/>
    <w:rsid w:val="00D00C22"/>
    <w:rsid w:val="00D01580"/>
    <w:rsid w:val="00D0328B"/>
    <w:rsid w:val="00D042D6"/>
    <w:rsid w:val="00D05022"/>
    <w:rsid w:val="00D05286"/>
    <w:rsid w:val="00D0688B"/>
    <w:rsid w:val="00D068BC"/>
    <w:rsid w:val="00D06DC0"/>
    <w:rsid w:val="00D12B63"/>
    <w:rsid w:val="00D12E63"/>
    <w:rsid w:val="00D13627"/>
    <w:rsid w:val="00D16EDC"/>
    <w:rsid w:val="00D201D7"/>
    <w:rsid w:val="00D22800"/>
    <w:rsid w:val="00D22F24"/>
    <w:rsid w:val="00D279AE"/>
    <w:rsid w:val="00D27BA5"/>
    <w:rsid w:val="00D27D6E"/>
    <w:rsid w:val="00D302AF"/>
    <w:rsid w:val="00D3334E"/>
    <w:rsid w:val="00D34B96"/>
    <w:rsid w:val="00D3720F"/>
    <w:rsid w:val="00D3726F"/>
    <w:rsid w:val="00D4100E"/>
    <w:rsid w:val="00D41B6B"/>
    <w:rsid w:val="00D42AFA"/>
    <w:rsid w:val="00D4323A"/>
    <w:rsid w:val="00D441B3"/>
    <w:rsid w:val="00D4543B"/>
    <w:rsid w:val="00D45803"/>
    <w:rsid w:val="00D47CAC"/>
    <w:rsid w:val="00D47E9E"/>
    <w:rsid w:val="00D512AD"/>
    <w:rsid w:val="00D51A4F"/>
    <w:rsid w:val="00D52CD2"/>
    <w:rsid w:val="00D546CC"/>
    <w:rsid w:val="00D57284"/>
    <w:rsid w:val="00D60AB3"/>
    <w:rsid w:val="00D62388"/>
    <w:rsid w:val="00D63003"/>
    <w:rsid w:val="00D636A9"/>
    <w:rsid w:val="00D6626F"/>
    <w:rsid w:val="00D66CD9"/>
    <w:rsid w:val="00D672B2"/>
    <w:rsid w:val="00D70BF1"/>
    <w:rsid w:val="00D71104"/>
    <w:rsid w:val="00D716D2"/>
    <w:rsid w:val="00D71B11"/>
    <w:rsid w:val="00D721FE"/>
    <w:rsid w:val="00D753A2"/>
    <w:rsid w:val="00D75F32"/>
    <w:rsid w:val="00D7661F"/>
    <w:rsid w:val="00D7664F"/>
    <w:rsid w:val="00D76F07"/>
    <w:rsid w:val="00D77003"/>
    <w:rsid w:val="00D7735B"/>
    <w:rsid w:val="00D77E60"/>
    <w:rsid w:val="00D80AE1"/>
    <w:rsid w:val="00D81DCC"/>
    <w:rsid w:val="00D82217"/>
    <w:rsid w:val="00D8230E"/>
    <w:rsid w:val="00D83738"/>
    <w:rsid w:val="00D838AF"/>
    <w:rsid w:val="00D900FD"/>
    <w:rsid w:val="00D93B3D"/>
    <w:rsid w:val="00D958EB"/>
    <w:rsid w:val="00D95D94"/>
    <w:rsid w:val="00D963FD"/>
    <w:rsid w:val="00D9646C"/>
    <w:rsid w:val="00D965C1"/>
    <w:rsid w:val="00D97304"/>
    <w:rsid w:val="00D97771"/>
    <w:rsid w:val="00D9782A"/>
    <w:rsid w:val="00DA0097"/>
    <w:rsid w:val="00DA1DD0"/>
    <w:rsid w:val="00DA7EBC"/>
    <w:rsid w:val="00DB1D7A"/>
    <w:rsid w:val="00DB2AC0"/>
    <w:rsid w:val="00DB3D7C"/>
    <w:rsid w:val="00DB4176"/>
    <w:rsid w:val="00DB482C"/>
    <w:rsid w:val="00DB530F"/>
    <w:rsid w:val="00DB65BC"/>
    <w:rsid w:val="00DB75C4"/>
    <w:rsid w:val="00DC0085"/>
    <w:rsid w:val="00DC02F4"/>
    <w:rsid w:val="00DC19DB"/>
    <w:rsid w:val="00DC2CB9"/>
    <w:rsid w:val="00DC5296"/>
    <w:rsid w:val="00DC7141"/>
    <w:rsid w:val="00DC77AC"/>
    <w:rsid w:val="00DD03D9"/>
    <w:rsid w:val="00DD26BE"/>
    <w:rsid w:val="00DD3782"/>
    <w:rsid w:val="00DD37A2"/>
    <w:rsid w:val="00DD3A4A"/>
    <w:rsid w:val="00DD3B90"/>
    <w:rsid w:val="00DD475F"/>
    <w:rsid w:val="00DD5306"/>
    <w:rsid w:val="00DD6DC4"/>
    <w:rsid w:val="00DD7158"/>
    <w:rsid w:val="00DE151F"/>
    <w:rsid w:val="00DE3158"/>
    <w:rsid w:val="00DE3332"/>
    <w:rsid w:val="00DE4203"/>
    <w:rsid w:val="00DE592B"/>
    <w:rsid w:val="00DE6546"/>
    <w:rsid w:val="00DE6DAC"/>
    <w:rsid w:val="00DE7CA5"/>
    <w:rsid w:val="00DE7CCF"/>
    <w:rsid w:val="00DF1F39"/>
    <w:rsid w:val="00DF23D7"/>
    <w:rsid w:val="00DF253B"/>
    <w:rsid w:val="00DF28AC"/>
    <w:rsid w:val="00DF367B"/>
    <w:rsid w:val="00DF4B69"/>
    <w:rsid w:val="00E00701"/>
    <w:rsid w:val="00E026DB"/>
    <w:rsid w:val="00E057F2"/>
    <w:rsid w:val="00E07F5E"/>
    <w:rsid w:val="00E102D2"/>
    <w:rsid w:val="00E12176"/>
    <w:rsid w:val="00E1253B"/>
    <w:rsid w:val="00E126EA"/>
    <w:rsid w:val="00E129E7"/>
    <w:rsid w:val="00E12A8E"/>
    <w:rsid w:val="00E12C8A"/>
    <w:rsid w:val="00E12FDB"/>
    <w:rsid w:val="00E138F5"/>
    <w:rsid w:val="00E144FE"/>
    <w:rsid w:val="00E14DF6"/>
    <w:rsid w:val="00E1556D"/>
    <w:rsid w:val="00E157B5"/>
    <w:rsid w:val="00E16095"/>
    <w:rsid w:val="00E17965"/>
    <w:rsid w:val="00E20E6B"/>
    <w:rsid w:val="00E21B69"/>
    <w:rsid w:val="00E21BAD"/>
    <w:rsid w:val="00E22E9F"/>
    <w:rsid w:val="00E24E8A"/>
    <w:rsid w:val="00E24F7C"/>
    <w:rsid w:val="00E25118"/>
    <w:rsid w:val="00E2572D"/>
    <w:rsid w:val="00E257C9"/>
    <w:rsid w:val="00E277CC"/>
    <w:rsid w:val="00E27A9B"/>
    <w:rsid w:val="00E30FBE"/>
    <w:rsid w:val="00E31E15"/>
    <w:rsid w:val="00E33328"/>
    <w:rsid w:val="00E33784"/>
    <w:rsid w:val="00E342CC"/>
    <w:rsid w:val="00E3467C"/>
    <w:rsid w:val="00E3559F"/>
    <w:rsid w:val="00E362A7"/>
    <w:rsid w:val="00E37CCC"/>
    <w:rsid w:val="00E37DFE"/>
    <w:rsid w:val="00E409F3"/>
    <w:rsid w:val="00E40CFA"/>
    <w:rsid w:val="00E416C7"/>
    <w:rsid w:val="00E456A1"/>
    <w:rsid w:val="00E45B99"/>
    <w:rsid w:val="00E53601"/>
    <w:rsid w:val="00E54063"/>
    <w:rsid w:val="00E5414C"/>
    <w:rsid w:val="00E552FA"/>
    <w:rsid w:val="00E557AE"/>
    <w:rsid w:val="00E55A4B"/>
    <w:rsid w:val="00E5607B"/>
    <w:rsid w:val="00E565A0"/>
    <w:rsid w:val="00E56F56"/>
    <w:rsid w:val="00E57399"/>
    <w:rsid w:val="00E61501"/>
    <w:rsid w:val="00E6254D"/>
    <w:rsid w:val="00E625BE"/>
    <w:rsid w:val="00E63110"/>
    <w:rsid w:val="00E632C5"/>
    <w:rsid w:val="00E63CDC"/>
    <w:rsid w:val="00E64D7F"/>
    <w:rsid w:val="00E6544B"/>
    <w:rsid w:val="00E668B5"/>
    <w:rsid w:val="00E70347"/>
    <w:rsid w:val="00E733C1"/>
    <w:rsid w:val="00E73678"/>
    <w:rsid w:val="00E7398A"/>
    <w:rsid w:val="00E74121"/>
    <w:rsid w:val="00E7536A"/>
    <w:rsid w:val="00E756C9"/>
    <w:rsid w:val="00E758C3"/>
    <w:rsid w:val="00E764AA"/>
    <w:rsid w:val="00E779D4"/>
    <w:rsid w:val="00E81EA0"/>
    <w:rsid w:val="00E82100"/>
    <w:rsid w:val="00E82538"/>
    <w:rsid w:val="00E82E2F"/>
    <w:rsid w:val="00E83AF4"/>
    <w:rsid w:val="00E86D8C"/>
    <w:rsid w:val="00E876A6"/>
    <w:rsid w:val="00E9291C"/>
    <w:rsid w:val="00E94060"/>
    <w:rsid w:val="00E94815"/>
    <w:rsid w:val="00E94F9B"/>
    <w:rsid w:val="00E963E3"/>
    <w:rsid w:val="00E9710B"/>
    <w:rsid w:val="00E97110"/>
    <w:rsid w:val="00EA0B06"/>
    <w:rsid w:val="00EA1495"/>
    <w:rsid w:val="00EA2A5A"/>
    <w:rsid w:val="00EA4541"/>
    <w:rsid w:val="00EA60DF"/>
    <w:rsid w:val="00EA6A3E"/>
    <w:rsid w:val="00EA7762"/>
    <w:rsid w:val="00EB12AA"/>
    <w:rsid w:val="00EB18BB"/>
    <w:rsid w:val="00EB1BAE"/>
    <w:rsid w:val="00EB239D"/>
    <w:rsid w:val="00EB5554"/>
    <w:rsid w:val="00EB5712"/>
    <w:rsid w:val="00EB57BC"/>
    <w:rsid w:val="00EB5C16"/>
    <w:rsid w:val="00EB7C25"/>
    <w:rsid w:val="00EC13AE"/>
    <w:rsid w:val="00EC19BB"/>
    <w:rsid w:val="00EC1A3D"/>
    <w:rsid w:val="00EC1AB8"/>
    <w:rsid w:val="00EC4275"/>
    <w:rsid w:val="00EC7E46"/>
    <w:rsid w:val="00ED1343"/>
    <w:rsid w:val="00ED4240"/>
    <w:rsid w:val="00ED6EAC"/>
    <w:rsid w:val="00ED72D4"/>
    <w:rsid w:val="00EE1378"/>
    <w:rsid w:val="00EE5564"/>
    <w:rsid w:val="00EE5D83"/>
    <w:rsid w:val="00EF07F0"/>
    <w:rsid w:val="00EF2C6C"/>
    <w:rsid w:val="00EF2F19"/>
    <w:rsid w:val="00EF304F"/>
    <w:rsid w:val="00EF385F"/>
    <w:rsid w:val="00EF40DE"/>
    <w:rsid w:val="00EF497E"/>
    <w:rsid w:val="00EF5803"/>
    <w:rsid w:val="00EF69E9"/>
    <w:rsid w:val="00EF7D62"/>
    <w:rsid w:val="00F005F8"/>
    <w:rsid w:val="00F007B6"/>
    <w:rsid w:val="00F007FC"/>
    <w:rsid w:val="00F0139D"/>
    <w:rsid w:val="00F019EC"/>
    <w:rsid w:val="00F02903"/>
    <w:rsid w:val="00F04BC9"/>
    <w:rsid w:val="00F05A53"/>
    <w:rsid w:val="00F06332"/>
    <w:rsid w:val="00F06B49"/>
    <w:rsid w:val="00F13566"/>
    <w:rsid w:val="00F14421"/>
    <w:rsid w:val="00F1772C"/>
    <w:rsid w:val="00F20FA5"/>
    <w:rsid w:val="00F21D20"/>
    <w:rsid w:val="00F27D83"/>
    <w:rsid w:val="00F27F66"/>
    <w:rsid w:val="00F30645"/>
    <w:rsid w:val="00F307F5"/>
    <w:rsid w:val="00F317EB"/>
    <w:rsid w:val="00F3642E"/>
    <w:rsid w:val="00F364E2"/>
    <w:rsid w:val="00F36CD3"/>
    <w:rsid w:val="00F36D26"/>
    <w:rsid w:val="00F36EA6"/>
    <w:rsid w:val="00F37E3F"/>
    <w:rsid w:val="00F4118C"/>
    <w:rsid w:val="00F4483D"/>
    <w:rsid w:val="00F4717E"/>
    <w:rsid w:val="00F4781B"/>
    <w:rsid w:val="00F52B6C"/>
    <w:rsid w:val="00F53A49"/>
    <w:rsid w:val="00F56C30"/>
    <w:rsid w:val="00F56DF7"/>
    <w:rsid w:val="00F5752D"/>
    <w:rsid w:val="00F61454"/>
    <w:rsid w:val="00F61490"/>
    <w:rsid w:val="00F615A0"/>
    <w:rsid w:val="00F6248E"/>
    <w:rsid w:val="00F666F9"/>
    <w:rsid w:val="00F66FF0"/>
    <w:rsid w:val="00F67BFD"/>
    <w:rsid w:val="00F72793"/>
    <w:rsid w:val="00F72A28"/>
    <w:rsid w:val="00F72D75"/>
    <w:rsid w:val="00F74275"/>
    <w:rsid w:val="00F74395"/>
    <w:rsid w:val="00F7526D"/>
    <w:rsid w:val="00F761F7"/>
    <w:rsid w:val="00F761FB"/>
    <w:rsid w:val="00F802DB"/>
    <w:rsid w:val="00F8032D"/>
    <w:rsid w:val="00F807DB"/>
    <w:rsid w:val="00F843E0"/>
    <w:rsid w:val="00F8479F"/>
    <w:rsid w:val="00F86979"/>
    <w:rsid w:val="00F925D5"/>
    <w:rsid w:val="00F96F55"/>
    <w:rsid w:val="00F975C1"/>
    <w:rsid w:val="00F97DE5"/>
    <w:rsid w:val="00FA1B7C"/>
    <w:rsid w:val="00FA2F06"/>
    <w:rsid w:val="00FA4D87"/>
    <w:rsid w:val="00FA7D3C"/>
    <w:rsid w:val="00FB0262"/>
    <w:rsid w:val="00FB053D"/>
    <w:rsid w:val="00FB2F76"/>
    <w:rsid w:val="00FB30F4"/>
    <w:rsid w:val="00FB3179"/>
    <w:rsid w:val="00FB38E0"/>
    <w:rsid w:val="00FB6026"/>
    <w:rsid w:val="00FB6162"/>
    <w:rsid w:val="00FB63A0"/>
    <w:rsid w:val="00FC057F"/>
    <w:rsid w:val="00FC22DB"/>
    <w:rsid w:val="00FC28D1"/>
    <w:rsid w:val="00FD0249"/>
    <w:rsid w:val="00FD0EF8"/>
    <w:rsid w:val="00FD1280"/>
    <w:rsid w:val="00FD2F3E"/>
    <w:rsid w:val="00FD58E8"/>
    <w:rsid w:val="00FD6347"/>
    <w:rsid w:val="00FD68A3"/>
    <w:rsid w:val="00FD7FE7"/>
    <w:rsid w:val="00FE07F4"/>
    <w:rsid w:val="00FE0C8C"/>
    <w:rsid w:val="00FE157E"/>
    <w:rsid w:val="00FE168E"/>
    <w:rsid w:val="00FE1D1D"/>
    <w:rsid w:val="00FE3461"/>
    <w:rsid w:val="00FE422D"/>
    <w:rsid w:val="00FE6ED5"/>
    <w:rsid w:val="00FF12B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9836D"/>
  <w15:docId w15:val="{A1B32C82-6A03-4A81-803E-4E389B92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8"/>
        <w:szCs w:val="28"/>
        <w:lang w:val="en-US" w:eastAsia="en-US" w:bidi="ar-SA"/>
      </w:rPr>
    </w:rPrDefault>
    <w:pPrDefault>
      <w:pPr>
        <w:spacing w:after="240"/>
        <w:ind w:left="720" w:hanging="7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88B"/>
    <w:pPr>
      <w:spacing w:after="0"/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semiHidden/>
    <w:rsid w:val="00D0688B"/>
    <w:pPr>
      <w:keepNext/>
      <w:keepLines/>
      <w:spacing w:before="480"/>
      <w:outlineLvl w:val="0"/>
    </w:pPr>
    <w:rPr>
      <w:rFonts w:eastAsiaTheme="majorEastAsia" w:cstheme="majorBidi"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39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6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6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6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COABriefBody">
    <w:name w:val="OM COA Brief Body"/>
    <w:basedOn w:val="Normal"/>
    <w:link w:val="OMCOABriefBodyChar"/>
    <w:qFormat/>
    <w:rsid w:val="00B72FC8"/>
    <w:pPr>
      <w:spacing w:line="480" w:lineRule="auto"/>
      <w:ind w:firstLine="720"/>
      <w:jc w:val="both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0688B"/>
    <w:rPr>
      <w:rFonts w:eastAsiaTheme="majorEastAsia" w:cstheme="majorBidi"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semiHidden/>
    <w:qFormat/>
    <w:rsid w:val="00C73971"/>
    <w:pPr>
      <w:contextualSpacing/>
    </w:pPr>
  </w:style>
  <w:style w:type="character" w:customStyle="1" w:styleId="OMCOABriefBodyChar">
    <w:name w:val="OM COA Brief Body Char"/>
    <w:basedOn w:val="DefaultParagraphFont"/>
    <w:link w:val="OMCOABriefBody"/>
    <w:rsid w:val="00B72FC8"/>
    <w:rPr>
      <w:rFonts w:cs="Times New Roman"/>
    </w:rPr>
  </w:style>
  <w:style w:type="paragraph" w:customStyle="1" w:styleId="OMCOABriefHeadingLevel1-centered">
    <w:name w:val="OM COA Brief Heading Level 1 - centered"/>
    <w:basedOn w:val="Normal"/>
    <w:next w:val="OMCOABriefBody"/>
    <w:link w:val="OMCOABriefHeadingLevel1-centeredChar"/>
    <w:qFormat/>
    <w:rsid w:val="008C2F70"/>
    <w:pPr>
      <w:keepNext/>
      <w:keepLines/>
      <w:spacing w:after="240"/>
      <w:jc w:val="center"/>
      <w:outlineLvl w:val="0"/>
    </w:pPr>
    <w:rPr>
      <w:rFonts w:cs="Times New Roman"/>
      <w:b/>
    </w:rPr>
  </w:style>
  <w:style w:type="paragraph" w:customStyle="1" w:styleId="OMCOABriefHeadingLevel2">
    <w:name w:val="OM COA Brief Heading Level 2"/>
    <w:basedOn w:val="Normal"/>
    <w:next w:val="OMCOABriefBody"/>
    <w:qFormat/>
    <w:rsid w:val="00DA7EBC"/>
    <w:pPr>
      <w:keepNext/>
      <w:keepLines/>
      <w:numPr>
        <w:numId w:val="4"/>
      </w:numPr>
      <w:spacing w:after="240"/>
      <w:jc w:val="both"/>
      <w:outlineLvl w:val="1"/>
    </w:pPr>
    <w:rPr>
      <w:rFonts w:ascii="Times New Roman" w:hAnsi="Times New Roman" w:cs="Times New Roman"/>
      <w:b/>
      <w:bCs/>
      <w:sz w:val="26"/>
    </w:rPr>
  </w:style>
  <w:style w:type="paragraph" w:customStyle="1" w:styleId="OMCOABriefHeadingLevel3">
    <w:name w:val="OM COA Brief Heading Level 3"/>
    <w:basedOn w:val="OMCOABriefHeadingLevel2"/>
    <w:next w:val="OMCOABriefBody"/>
    <w:link w:val="OMCOABriefHeadingLevel3Char"/>
    <w:qFormat/>
    <w:rsid w:val="008C2F70"/>
    <w:pPr>
      <w:numPr>
        <w:ilvl w:val="1"/>
      </w:numPr>
      <w:outlineLvl w:val="2"/>
    </w:pPr>
    <w:rPr>
      <w:bCs w:val="0"/>
    </w:rPr>
  </w:style>
  <w:style w:type="paragraph" w:customStyle="1" w:styleId="OMCOABriefHeadingLevel4">
    <w:name w:val="OM COA Brief Heading Level 4"/>
    <w:basedOn w:val="OMCOABriefHeadingLevel3"/>
    <w:next w:val="OMCOABriefBody"/>
    <w:link w:val="OMCOABriefHeadingLevel4Char"/>
    <w:qFormat/>
    <w:rsid w:val="00A510CE"/>
    <w:pPr>
      <w:numPr>
        <w:ilvl w:val="2"/>
      </w:numPr>
      <w:outlineLvl w:val="3"/>
    </w:pPr>
  </w:style>
  <w:style w:type="paragraph" w:customStyle="1" w:styleId="OMCOABriefHeadingLevel5">
    <w:name w:val="OM COA Brief Heading Level 5"/>
    <w:basedOn w:val="OMCOABriefHeadingLevel4"/>
    <w:next w:val="OMCOABriefBody"/>
    <w:link w:val="OMCOABriefHeadingLevel5Char"/>
    <w:qFormat/>
    <w:rsid w:val="00A510CE"/>
    <w:pPr>
      <w:numPr>
        <w:ilvl w:val="3"/>
      </w:numPr>
      <w:outlineLvl w:val="4"/>
    </w:pPr>
  </w:style>
  <w:style w:type="paragraph" w:customStyle="1" w:styleId="OMCOABriefquote">
    <w:name w:val="OM COA Brief quote"/>
    <w:basedOn w:val="Normal"/>
    <w:next w:val="OMCOABriefBody"/>
    <w:qFormat/>
    <w:rsid w:val="00DD3A4A"/>
    <w:pPr>
      <w:spacing w:after="240"/>
      <w:ind w:left="720" w:right="720"/>
      <w:jc w:val="both"/>
    </w:pPr>
    <w:rPr>
      <w:rFonts w:cs="Times New Roman"/>
      <w:color w:val="000000"/>
    </w:rPr>
  </w:style>
  <w:style w:type="table" w:styleId="TableGrid">
    <w:name w:val="Table Grid"/>
    <w:basedOn w:val="TableNormal"/>
    <w:uiPriority w:val="59"/>
    <w:rsid w:val="00AD60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E7A"/>
    <w:rPr>
      <w:color w:val="0000FF" w:themeColor="hyperlink"/>
      <w:u w:val="none"/>
    </w:rPr>
  </w:style>
  <w:style w:type="paragraph" w:styleId="Header">
    <w:name w:val="header"/>
    <w:basedOn w:val="Normal"/>
    <w:link w:val="HeaderChar"/>
    <w:unhideWhenUsed/>
    <w:rsid w:val="00E12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53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2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53B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qFormat/>
    <w:rsid w:val="00CE5648"/>
    <w:pPr>
      <w:keepLines/>
      <w:tabs>
        <w:tab w:val="left" w:pos="1080"/>
      </w:tabs>
      <w:spacing w:after="120"/>
      <w:ind w:firstLine="720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5648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50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6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6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6A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rsid w:val="00087ACD"/>
    <w:pPr>
      <w:spacing w:before="240"/>
      <w:ind w:left="720" w:right="1008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3D25C9"/>
    <w:pPr>
      <w:tabs>
        <w:tab w:val="left" w:pos="720"/>
        <w:tab w:val="right" w:leader="dot" w:pos="9350"/>
      </w:tabs>
      <w:spacing w:before="240"/>
      <w:ind w:left="720" w:right="1008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3D25C9"/>
    <w:pPr>
      <w:tabs>
        <w:tab w:val="left" w:pos="1440"/>
        <w:tab w:val="right" w:leader="dot" w:pos="9350"/>
      </w:tabs>
      <w:spacing w:before="240"/>
      <w:ind w:left="1440" w:right="1008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D25C9"/>
    <w:pPr>
      <w:tabs>
        <w:tab w:val="left" w:pos="2160"/>
        <w:tab w:val="right" w:leader="dot" w:pos="9350"/>
      </w:tabs>
      <w:spacing w:before="240"/>
      <w:ind w:left="2160" w:right="1008" w:hanging="72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3D25C9"/>
    <w:pPr>
      <w:tabs>
        <w:tab w:val="left" w:pos="2880"/>
        <w:tab w:val="right" w:leader="dot" w:pos="9350"/>
      </w:tabs>
      <w:spacing w:before="240"/>
      <w:ind w:left="2880" w:right="1008" w:hanging="72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qFormat/>
    <w:rsid w:val="008106A6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6A6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autoRedefine/>
    <w:uiPriority w:val="99"/>
    <w:semiHidden/>
    <w:rsid w:val="0011583C"/>
    <w:pPr>
      <w:keepNext/>
      <w:spacing w:before="240" w:line="240" w:lineRule="exact"/>
    </w:pPr>
    <w:rPr>
      <w:rFonts w:eastAsiaTheme="majorEastAsia" w:cstheme="majorBidi"/>
      <w:b/>
      <w:bCs/>
      <w:szCs w:val="24"/>
    </w:rPr>
  </w:style>
  <w:style w:type="paragraph" w:styleId="TableofAuthorities">
    <w:name w:val="table of authorities"/>
    <w:basedOn w:val="Normal"/>
    <w:next w:val="Normal"/>
    <w:autoRedefine/>
    <w:uiPriority w:val="99"/>
    <w:semiHidden/>
    <w:rsid w:val="008A1047"/>
    <w:pPr>
      <w:keepLines/>
      <w:tabs>
        <w:tab w:val="left" w:pos="720"/>
        <w:tab w:val="right" w:leader="dot" w:pos="9350"/>
      </w:tabs>
      <w:spacing w:before="240"/>
      <w:ind w:left="720" w:right="1008" w:hanging="720"/>
    </w:pPr>
    <w:rPr>
      <w:noProof/>
      <w:szCs w:val="22"/>
    </w:rPr>
  </w:style>
  <w:style w:type="paragraph" w:customStyle="1" w:styleId="OMCOABriefTOCPageHeading">
    <w:name w:val="OM COA Brief TOC Page Heading"/>
    <w:basedOn w:val="OMCOABriefHeadingLevel1-centered"/>
    <w:link w:val="OMCOABriefTOCPageHeadingChar"/>
    <w:qFormat/>
    <w:rsid w:val="00B72FC8"/>
  </w:style>
  <w:style w:type="character" w:customStyle="1" w:styleId="OMCOABriefHeadingLevel1-centeredChar">
    <w:name w:val="OM COA Brief Heading Level 1 - centered Char"/>
    <w:basedOn w:val="DefaultParagraphFont"/>
    <w:link w:val="OMCOABriefHeadingLevel1-centered"/>
    <w:rsid w:val="008C2F70"/>
    <w:rPr>
      <w:rFonts w:cs="Times New Roman"/>
      <w:b/>
    </w:rPr>
  </w:style>
  <w:style w:type="character" w:customStyle="1" w:styleId="OMCOABriefTOCPageHeadingChar">
    <w:name w:val="OM COA Brief TOC Page Heading Char"/>
    <w:basedOn w:val="OMCOABriefHeadingLevel1-centeredChar"/>
    <w:link w:val="OMCOABriefTOCPageHeading"/>
    <w:rsid w:val="00B72FC8"/>
    <w:rPr>
      <w:rFonts w:cs="Times New Roman"/>
      <w:b/>
      <w:color w:val="000000"/>
    </w:rPr>
  </w:style>
  <w:style w:type="paragraph" w:customStyle="1" w:styleId="OMCOABriefIssues">
    <w:name w:val="OM COA Brief Issues"/>
    <w:basedOn w:val="OMCOABriefBody"/>
    <w:link w:val="OMCOABriefIssuesChar"/>
    <w:qFormat/>
    <w:rsid w:val="000C2FFA"/>
    <w:pPr>
      <w:numPr>
        <w:numId w:val="7"/>
      </w:numPr>
    </w:pPr>
  </w:style>
  <w:style w:type="character" w:customStyle="1" w:styleId="OMCOABriefIssuesChar">
    <w:name w:val="OM COA Brief Issues Char"/>
    <w:basedOn w:val="OMCOABriefBodyChar"/>
    <w:link w:val="OMCOABriefIssues"/>
    <w:rsid w:val="000C2FFA"/>
    <w:rPr>
      <w:rFonts w:cs="Times New Roman"/>
    </w:rPr>
  </w:style>
  <w:style w:type="paragraph" w:customStyle="1" w:styleId="OMCOABriefFootnoteText">
    <w:name w:val="OM COA Brief Footnote Text"/>
    <w:basedOn w:val="FootnoteText"/>
    <w:qFormat/>
    <w:rsid w:val="00E94F9B"/>
  </w:style>
  <w:style w:type="paragraph" w:customStyle="1" w:styleId="OMCOABriefBulletedList">
    <w:name w:val="OM COA Brief Bulleted List"/>
    <w:basedOn w:val="OMCOABriefBody"/>
    <w:link w:val="OMCOABriefBulletedListChar"/>
    <w:qFormat/>
    <w:rsid w:val="0053080E"/>
    <w:pPr>
      <w:numPr>
        <w:numId w:val="18"/>
      </w:numPr>
      <w:spacing w:after="200" w:line="240" w:lineRule="auto"/>
      <w:ind w:left="1440"/>
    </w:pPr>
  </w:style>
  <w:style w:type="character" w:customStyle="1" w:styleId="OMCOABriefBulletedListChar">
    <w:name w:val="OM COA Brief Bulleted List Char"/>
    <w:basedOn w:val="OMCOABriefBodyChar"/>
    <w:link w:val="OMCOABriefBulletedList"/>
    <w:rsid w:val="0053080E"/>
    <w:rPr>
      <w:rFonts w:cs="Times New Roman"/>
    </w:rPr>
  </w:style>
  <w:style w:type="paragraph" w:customStyle="1" w:styleId="OMCOABriefHeadingLevel6">
    <w:name w:val="OM COA Brief Heading Level 6"/>
    <w:basedOn w:val="OMCOABriefHeadingLevel5"/>
    <w:next w:val="OMCOABriefBody"/>
    <w:link w:val="OMCOABriefHeadingLevel6Char"/>
    <w:qFormat/>
    <w:rsid w:val="00D75F32"/>
    <w:pPr>
      <w:numPr>
        <w:ilvl w:val="4"/>
      </w:numPr>
      <w:outlineLvl w:val="5"/>
    </w:pPr>
  </w:style>
  <w:style w:type="paragraph" w:styleId="TOC6">
    <w:name w:val="toc 6"/>
    <w:basedOn w:val="Normal"/>
    <w:next w:val="Normal"/>
    <w:autoRedefine/>
    <w:uiPriority w:val="39"/>
    <w:unhideWhenUsed/>
    <w:rsid w:val="002D7189"/>
    <w:pPr>
      <w:tabs>
        <w:tab w:val="left" w:pos="3600"/>
        <w:tab w:val="right" w:leader="dot" w:pos="9350"/>
      </w:tabs>
      <w:spacing w:before="240"/>
      <w:ind w:left="3600" w:right="1008" w:hanging="720"/>
    </w:pPr>
    <w:rPr>
      <w:noProof/>
    </w:rPr>
  </w:style>
  <w:style w:type="character" w:customStyle="1" w:styleId="OMCOABriefHeadingLevel3Char">
    <w:name w:val="OM COA Brief Heading Level 3 Char"/>
    <w:basedOn w:val="Heading1Char"/>
    <w:link w:val="OMCOABriefHeadingLevel3"/>
    <w:rsid w:val="008C2F70"/>
    <w:rPr>
      <w:rFonts w:eastAsiaTheme="majorEastAsia" w:cs="Times New Roman"/>
      <w:b/>
      <w:bCs w:val="0"/>
    </w:rPr>
  </w:style>
  <w:style w:type="character" w:customStyle="1" w:styleId="OMCOABriefHeadingLevel4Char">
    <w:name w:val="OM COA Brief Heading Level 4 Char"/>
    <w:basedOn w:val="OMCOABriefHeadingLevel3Char"/>
    <w:link w:val="OMCOABriefHeadingLevel4"/>
    <w:rsid w:val="00D75F32"/>
    <w:rPr>
      <w:rFonts w:asciiTheme="majorHAnsi" w:eastAsiaTheme="majorEastAsia" w:hAnsiTheme="majorHAnsi" w:cs="Times New Roman"/>
      <w:b/>
      <w:bCs w:val="0"/>
      <w:color w:val="365F91" w:themeColor="accent1" w:themeShade="BF"/>
    </w:rPr>
  </w:style>
  <w:style w:type="character" w:customStyle="1" w:styleId="OMCOABriefHeadingLevel5Char">
    <w:name w:val="OM COA Brief Heading Level 5 Char"/>
    <w:basedOn w:val="OMCOABriefHeadingLevel4Char"/>
    <w:link w:val="OMCOABriefHeadingLevel5"/>
    <w:rsid w:val="00D75F32"/>
    <w:rPr>
      <w:rFonts w:asciiTheme="majorHAnsi" w:eastAsiaTheme="majorEastAsia" w:hAnsiTheme="majorHAnsi" w:cs="Times New Roman"/>
      <w:b/>
      <w:bCs w:val="0"/>
      <w:color w:val="365F91" w:themeColor="accent1" w:themeShade="BF"/>
    </w:rPr>
  </w:style>
  <w:style w:type="character" w:customStyle="1" w:styleId="OMCOABriefHeadingLevel6Char">
    <w:name w:val="OM COA Brief Heading Level 6 Char"/>
    <w:basedOn w:val="OMCOABriefHeadingLevel5Char"/>
    <w:link w:val="OMCOABriefHeadingLevel6"/>
    <w:rsid w:val="00D75F32"/>
    <w:rPr>
      <w:rFonts w:asciiTheme="majorHAnsi" w:eastAsiaTheme="majorEastAsia" w:hAnsiTheme="majorHAnsi" w:cs="Times New Roman"/>
      <w:b/>
      <w:bCs w:val="0"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F615A0"/>
    <w:rPr>
      <w:color w:val="0000FF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3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09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BCA"/>
    <w:rPr>
      <w:color w:val="605E5C"/>
      <w:shd w:val="clear" w:color="auto" w:fill="E1DFDD"/>
    </w:rPr>
  </w:style>
  <w:style w:type="paragraph" w:customStyle="1" w:styleId="AGTITLEB-NoTOC">
    <w:name w:val="AG TITLE B -No TOC"/>
    <w:basedOn w:val="Normal"/>
    <w:rsid w:val="00B67461"/>
    <w:pPr>
      <w:spacing w:line="48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paragraph" w:styleId="BodyText">
    <w:name w:val="Body Text"/>
    <w:basedOn w:val="Normal"/>
    <w:link w:val="BodyTextChar"/>
    <w:qFormat/>
    <w:rsid w:val="00B67461"/>
    <w:pPr>
      <w:spacing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67461"/>
    <w:rPr>
      <w:rFonts w:ascii="Times New Roman" w:eastAsia="Times New Roman" w:hAnsi="Times New Roman" w:cs="Times New Roman"/>
      <w:szCs w:val="20"/>
    </w:rPr>
  </w:style>
  <w:style w:type="paragraph" w:customStyle="1" w:styleId="AGLevel1">
    <w:name w:val="AG Level 1"/>
    <w:basedOn w:val="Normal"/>
    <w:next w:val="Normal"/>
    <w:rsid w:val="00B67461"/>
    <w:pPr>
      <w:numPr>
        <w:numId w:val="22"/>
      </w:numPr>
      <w:spacing w:after="320"/>
    </w:pPr>
    <w:rPr>
      <w:rFonts w:ascii="Times New Roman" w:eastAsia="Times New Roman" w:hAnsi="Times New Roman" w:cs="Times New Roman"/>
      <w:b/>
      <w:szCs w:val="24"/>
    </w:rPr>
  </w:style>
  <w:style w:type="paragraph" w:customStyle="1" w:styleId="AGzSigBlock">
    <w:name w:val="AG zSig Block"/>
    <w:basedOn w:val="Normal"/>
    <w:rsid w:val="00B67461"/>
    <w:pPr>
      <w:ind w:left="5040"/>
    </w:pPr>
    <w:rPr>
      <w:rFonts w:ascii="Times New Roman" w:eastAsia="Times New Roman" w:hAnsi="Times New Roman" w:cs="Times New Roman"/>
      <w:szCs w:val="26"/>
    </w:rPr>
  </w:style>
  <w:style w:type="paragraph" w:customStyle="1" w:styleId="AGLevel2">
    <w:name w:val="AG Level 2"/>
    <w:basedOn w:val="Normal"/>
    <w:next w:val="Normal"/>
    <w:rsid w:val="00B67461"/>
    <w:pPr>
      <w:numPr>
        <w:ilvl w:val="1"/>
        <w:numId w:val="22"/>
      </w:numPr>
      <w:spacing w:after="320"/>
    </w:pPr>
    <w:rPr>
      <w:rFonts w:ascii="Times New Roman" w:eastAsia="Times New Roman" w:hAnsi="Times New Roman" w:cs="Times New Roman"/>
      <w:b/>
      <w:szCs w:val="24"/>
    </w:rPr>
  </w:style>
  <w:style w:type="paragraph" w:customStyle="1" w:styleId="AGLevel3">
    <w:name w:val="AG Level 3"/>
    <w:basedOn w:val="Normal"/>
    <w:next w:val="Normal"/>
    <w:rsid w:val="00B67461"/>
    <w:pPr>
      <w:numPr>
        <w:ilvl w:val="2"/>
        <w:numId w:val="22"/>
      </w:numPr>
      <w:spacing w:after="320"/>
    </w:pPr>
    <w:rPr>
      <w:rFonts w:ascii="Times New Roman" w:eastAsia="Times New Roman" w:hAnsi="Times New Roman" w:cs="Times New Roman"/>
      <w:b/>
      <w:szCs w:val="24"/>
    </w:rPr>
  </w:style>
  <w:style w:type="paragraph" w:customStyle="1" w:styleId="AGLevel4">
    <w:name w:val="AG Level 4"/>
    <w:basedOn w:val="Normal"/>
    <w:next w:val="Normal"/>
    <w:rsid w:val="00B67461"/>
    <w:pPr>
      <w:numPr>
        <w:ilvl w:val="3"/>
        <w:numId w:val="22"/>
      </w:numPr>
      <w:spacing w:after="320"/>
    </w:pPr>
    <w:rPr>
      <w:rFonts w:ascii="Times New Roman" w:eastAsia="Times New Roman" w:hAnsi="Times New Roman" w:cs="Times New Roman"/>
      <w:b/>
      <w:szCs w:val="24"/>
    </w:rPr>
  </w:style>
  <w:style w:type="paragraph" w:customStyle="1" w:styleId="AGLevel5">
    <w:name w:val="AG Level 5"/>
    <w:basedOn w:val="Normal"/>
    <w:next w:val="Normal"/>
    <w:rsid w:val="00B67461"/>
    <w:pPr>
      <w:numPr>
        <w:ilvl w:val="4"/>
        <w:numId w:val="22"/>
      </w:numPr>
      <w:spacing w:after="320"/>
    </w:pPr>
    <w:rPr>
      <w:rFonts w:ascii="Times New Roman" w:eastAsia="Times New Roman" w:hAnsi="Times New Roman" w:cs="Times New Roman"/>
      <w:szCs w:val="24"/>
    </w:rPr>
  </w:style>
  <w:style w:type="paragraph" w:customStyle="1" w:styleId="AGLevel6">
    <w:name w:val="AG Level 6"/>
    <w:basedOn w:val="Normal"/>
    <w:semiHidden/>
    <w:rsid w:val="00B67461"/>
    <w:pPr>
      <w:numPr>
        <w:ilvl w:val="5"/>
        <w:numId w:val="22"/>
      </w:numPr>
    </w:pPr>
    <w:rPr>
      <w:rFonts w:ascii="Times New Roman" w:eastAsia="Times New Roman" w:hAnsi="Times New Roman" w:cs="Times New Roman"/>
      <w:szCs w:val="24"/>
    </w:rPr>
  </w:style>
  <w:style w:type="paragraph" w:customStyle="1" w:styleId="AGLevel7">
    <w:name w:val="AG Level 7"/>
    <w:basedOn w:val="Normal"/>
    <w:semiHidden/>
    <w:rsid w:val="00B67461"/>
    <w:pPr>
      <w:numPr>
        <w:ilvl w:val="6"/>
        <w:numId w:val="22"/>
      </w:numPr>
    </w:pPr>
    <w:rPr>
      <w:rFonts w:ascii="Times New Roman" w:eastAsia="Times New Roman" w:hAnsi="Times New Roman" w:cs="Times New Roman"/>
      <w:szCs w:val="24"/>
    </w:rPr>
  </w:style>
  <w:style w:type="paragraph" w:customStyle="1" w:styleId="AGLevel8">
    <w:name w:val="AG Level 8"/>
    <w:basedOn w:val="Normal"/>
    <w:semiHidden/>
    <w:rsid w:val="00B67461"/>
    <w:pPr>
      <w:numPr>
        <w:ilvl w:val="7"/>
        <w:numId w:val="22"/>
      </w:numPr>
    </w:pPr>
    <w:rPr>
      <w:rFonts w:ascii="Times New Roman" w:eastAsia="Times New Roman" w:hAnsi="Times New Roman" w:cs="Times New Roman"/>
      <w:szCs w:val="24"/>
    </w:rPr>
  </w:style>
  <w:style w:type="paragraph" w:customStyle="1" w:styleId="AGLevel9">
    <w:name w:val="AG Level 9"/>
    <w:basedOn w:val="Normal"/>
    <w:semiHidden/>
    <w:rsid w:val="00B67461"/>
    <w:pPr>
      <w:numPr>
        <w:ilvl w:val="8"/>
        <w:numId w:val="22"/>
      </w:numPr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CB18FD"/>
    <w:pPr>
      <w:spacing w:after="0"/>
      <w:ind w:left="0" w:firstLine="0"/>
      <w:jc w:val="left"/>
    </w:pPr>
  </w:style>
  <w:style w:type="paragraph" w:styleId="Caption">
    <w:name w:val="caption"/>
    <w:basedOn w:val="Normal"/>
    <w:next w:val="Normal"/>
    <w:semiHidden/>
    <w:unhideWhenUsed/>
    <w:qFormat/>
    <w:rsid w:val="00627DE6"/>
    <w:pPr>
      <w:widowControl w:val="0"/>
      <w:spacing w:line="240" w:lineRule="exact"/>
    </w:pPr>
    <w:rPr>
      <w:rFonts w:ascii="Times New Roman" w:eastAsia="Times New Roman" w:hAnsi="Times New Roman" w:cs="Times New Roman"/>
      <w:bCs/>
      <w:sz w:val="26"/>
      <w:szCs w:val="20"/>
    </w:rPr>
  </w:style>
  <w:style w:type="paragraph" w:customStyle="1" w:styleId="Court">
    <w:name w:val="Court"/>
    <w:basedOn w:val="Normal"/>
    <w:rsid w:val="00627DE6"/>
    <w:pPr>
      <w:widowControl w:val="0"/>
      <w:spacing w:after="240" w:line="480" w:lineRule="exact"/>
      <w:jc w:val="center"/>
    </w:pPr>
    <w:rPr>
      <w:rFonts w:ascii="Times New Roman" w:eastAsia="Times New Roman" w:hAnsi="Times New Roman" w:cs="Times New Roman"/>
      <w:caps/>
      <w:sz w:val="26"/>
      <w:szCs w:val="26"/>
    </w:rPr>
  </w:style>
  <w:style w:type="paragraph" w:customStyle="1" w:styleId="DocumentTitle">
    <w:name w:val="Document Title"/>
    <w:basedOn w:val="Normal"/>
    <w:rsid w:val="00627DE6"/>
    <w:pPr>
      <w:widowControl w:val="0"/>
      <w:tabs>
        <w:tab w:val="left" w:pos="1238"/>
      </w:tabs>
      <w:spacing w:line="240" w:lineRule="exact"/>
      <w:ind w:left="259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Default">
    <w:name w:val="Default"/>
    <w:rsid w:val="00F21D20"/>
    <w:pPr>
      <w:autoSpaceDE w:val="0"/>
      <w:autoSpaceDN w:val="0"/>
      <w:adjustRightInd w:val="0"/>
      <w:spacing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ycbar.org/wp-content/uploads/2023/05/En_Banc_Article.pdf" TargetMode="External"/><Relationship Id="rId1" Type="http://schemas.openxmlformats.org/officeDocument/2006/relationships/hyperlink" Target="https://www.uscourts.gov/about-federal-courts/educational-resources/about-educational-outreach/activity-resources/supreme-court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A660-A5C3-4FC8-8B70-B68F6D92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Osborn Maledon PA</Company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Luci</dc:creator>
  <cp:lastModifiedBy>Garrett, Clinten</cp:lastModifiedBy>
  <cp:revision>3</cp:revision>
  <cp:lastPrinted>2025-04-11T14:52:00Z</cp:lastPrinted>
  <dcterms:created xsi:type="dcterms:W3CDTF">2025-04-25T15:06:00Z</dcterms:created>
  <dcterms:modified xsi:type="dcterms:W3CDTF">2025-04-25T15:21:00Z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W9U2MQIV0G0S4R</vt:lpwstr>
  </property>
  <property fmtid="{D5CDD505-2E9C-101B-9397-08002B2CF9AE}" pid="3" name="LFORIGNAME">
    <vt:lpwstr>[http][W9U2MQIV0G0S4R][][v][2025-04-15 Comment on Rule Pet].docx</vt:lpwstr>
  </property>
</Properties>
</file>