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9F02" w14:textId="64656E74" w:rsidR="00A74317" w:rsidRPr="00DA0D25"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3479BB2D" w14:textId="027CD7E4" w:rsidR="00A74317" w:rsidRPr="002F1FBD"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AC3538">
        <w:rPr>
          <w:rFonts w:ascii="Times New Roman" w:hAnsi="Times New Roman"/>
          <w:b/>
          <w:sz w:val="24"/>
          <w:szCs w:val="24"/>
          <w:vertAlign w:val="superscript"/>
        </w:rPr>
        <w:t>st</w:t>
      </w:r>
      <w:r>
        <w:rPr>
          <w:rFonts w:ascii="Times New Roman" w:hAnsi="Times New Roman"/>
          <w:b/>
          <w:sz w:val="24"/>
          <w:szCs w:val="24"/>
        </w:rPr>
        <w:t xml:space="preserve"> Floor, Tucson, AZ 85701</w:t>
      </w:r>
    </w:p>
    <w:p w14:paraId="3D0E8D2E" w14:textId="42606A80" w:rsidR="00A74317" w:rsidRDefault="00A74317" w:rsidP="00A74317">
      <w:pPr>
        <w:pStyle w:val="AttorneyName"/>
        <w:spacing w:line="240" w:lineRule="auto"/>
        <w:rPr>
          <w:rFonts w:ascii="Times New Roman" w:hAnsi="Times New Roman"/>
          <w:b/>
          <w:sz w:val="24"/>
          <w:szCs w:val="24"/>
        </w:rPr>
      </w:pPr>
      <w:r>
        <w:rPr>
          <w:rFonts w:ascii="Times New Roman" w:hAnsi="Times New Roman"/>
          <w:b/>
          <w:sz w:val="24"/>
          <w:szCs w:val="24"/>
        </w:rPr>
        <w:t>TEL:</w:t>
      </w:r>
      <w:r w:rsidR="009B5BAF">
        <w:rPr>
          <w:rFonts w:ascii="Times New Roman" w:hAnsi="Times New Roman"/>
          <w:b/>
          <w:sz w:val="24"/>
          <w:szCs w:val="24"/>
        </w:rPr>
        <w:t xml:space="preserve"> </w:t>
      </w:r>
      <w:r w:rsidRPr="002F1FBD">
        <w:rPr>
          <w:rFonts w:ascii="Times New Roman" w:hAnsi="Times New Roman"/>
          <w:b/>
          <w:sz w:val="24"/>
          <w:szCs w:val="24"/>
        </w:rPr>
        <w:t>(</w:t>
      </w:r>
      <w:r w:rsidR="00AC3538">
        <w:rPr>
          <w:rFonts w:ascii="Times New Roman" w:hAnsi="Times New Roman"/>
          <w:b/>
          <w:sz w:val="24"/>
          <w:szCs w:val="24"/>
        </w:rPr>
        <w:t>52</w:t>
      </w:r>
      <w:r w:rsidR="009B5BAF">
        <w:rPr>
          <w:rFonts w:ascii="Times New Roman" w:hAnsi="Times New Roman"/>
          <w:b/>
          <w:sz w:val="24"/>
          <w:szCs w:val="24"/>
        </w:rPr>
        <w:t xml:space="preserve">0) </w:t>
      </w:r>
      <w:r w:rsidR="00AC3538">
        <w:rPr>
          <w:rFonts w:ascii="Times New Roman" w:hAnsi="Times New Roman"/>
          <w:b/>
          <w:sz w:val="24"/>
          <w:szCs w:val="24"/>
        </w:rPr>
        <w:t>724</w:t>
      </w:r>
      <w:r w:rsidR="009B5BAF">
        <w:rPr>
          <w:rFonts w:ascii="Times New Roman" w:hAnsi="Times New Roman"/>
          <w:b/>
          <w:sz w:val="24"/>
          <w:szCs w:val="24"/>
        </w:rPr>
        <w:t>-</w:t>
      </w:r>
      <w:r w:rsidR="00AC3538">
        <w:rPr>
          <w:rFonts w:ascii="Times New Roman" w:hAnsi="Times New Roman"/>
          <w:b/>
          <w:sz w:val="24"/>
          <w:szCs w:val="24"/>
        </w:rPr>
        <w:t>68</w:t>
      </w:r>
      <w:r w:rsidR="009B5BAF">
        <w:rPr>
          <w:rFonts w:ascii="Times New Roman" w:hAnsi="Times New Roman"/>
          <w:b/>
          <w:sz w:val="24"/>
          <w:szCs w:val="24"/>
        </w:rPr>
        <w:t>00</w:t>
      </w:r>
    </w:p>
    <w:p w14:paraId="724B03C3" w14:textId="04F6CA8C" w:rsidR="00A74317" w:rsidRDefault="00A74317" w:rsidP="00A74317">
      <w:pPr>
        <w:pStyle w:val="AttorneyName"/>
        <w:spacing w:line="240" w:lineRule="auto"/>
        <w:rPr>
          <w:rStyle w:val="Hyperlink"/>
          <w:rFonts w:ascii="Times New Roman" w:hAnsi="Times New Roman"/>
          <w:b/>
          <w:sz w:val="24"/>
          <w:szCs w:val="24"/>
        </w:rPr>
      </w:pPr>
      <w:r>
        <w:rPr>
          <w:rFonts w:ascii="Times New Roman" w:hAnsi="Times New Roman"/>
          <w:b/>
          <w:sz w:val="24"/>
          <w:szCs w:val="24"/>
        </w:rPr>
        <w:t xml:space="preserve">E-Mail: </w:t>
      </w:r>
      <w:hyperlink r:id="rId11" w:history="1">
        <w:r w:rsidR="00AC3538" w:rsidRPr="00B370A5">
          <w:rPr>
            <w:rStyle w:val="Hyperlink"/>
            <w:rFonts w:ascii="Times New Roman" w:hAnsi="Times New Roman"/>
            <w:b/>
            <w:sz w:val="24"/>
            <w:szCs w:val="24"/>
          </w:rPr>
          <w:t>david.euchner@pima.gov</w:t>
        </w:r>
      </w:hyperlink>
      <w:r w:rsidR="00AC3538">
        <w:rPr>
          <w:rFonts w:ascii="Times New Roman" w:hAnsi="Times New Roman"/>
          <w:b/>
          <w:sz w:val="24"/>
          <w:szCs w:val="24"/>
        </w:rPr>
        <w:t xml:space="preserve"> </w:t>
      </w:r>
      <w:r w:rsidR="009B5BAF">
        <w:rPr>
          <w:rFonts w:ascii="Times New Roman" w:hAnsi="Times New Roman"/>
          <w:b/>
          <w:sz w:val="24"/>
          <w:szCs w:val="24"/>
        </w:rPr>
        <w:t xml:space="preserve"> </w:t>
      </w: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State">
        <w:smartTag w:uri="urn:schemas-microsoft-com:office:smarttags" w:element="plac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622" w:type="dxa"/>
        <w:tblLayout w:type="fixed"/>
        <w:tblCellMar>
          <w:left w:w="120" w:type="dxa"/>
          <w:right w:w="120" w:type="dxa"/>
        </w:tblCellMar>
        <w:tblLook w:val="0000" w:firstRow="0" w:lastRow="0" w:firstColumn="0" w:lastColumn="0" w:noHBand="0" w:noVBand="0"/>
      </w:tblPr>
      <w:tblGrid>
        <w:gridCol w:w="4836"/>
        <w:gridCol w:w="4786"/>
      </w:tblGrid>
      <w:tr w:rsidR="00434005" w:rsidRPr="00545329" w14:paraId="6E112B59" w14:textId="77777777" w:rsidTr="00362654">
        <w:trPr>
          <w:cantSplit/>
          <w:trHeight w:val="1657"/>
        </w:trPr>
        <w:tc>
          <w:tcPr>
            <w:tcW w:w="4836" w:type="dxa"/>
            <w:tcBorders>
              <w:top w:val="nil"/>
              <w:left w:val="nil"/>
              <w:bottom w:val="single" w:sz="6" w:space="0" w:color="auto"/>
              <w:right w:val="single" w:sz="6" w:space="0" w:color="auto"/>
            </w:tcBorders>
            <w:shd w:val="clear" w:color="auto" w:fill="auto"/>
            <w:tcMar>
              <w:top w:w="260" w:type="dxa"/>
              <w:left w:w="60" w:type="dxa"/>
              <w:bottom w:w="260" w:type="dxa"/>
              <w:right w:w="60" w:type="dxa"/>
            </w:tcMar>
          </w:tcPr>
          <w:p w14:paraId="59E8933B" w14:textId="77777777" w:rsidR="00434005" w:rsidRPr="0014499B" w:rsidRDefault="00434005" w:rsidP="0036265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4A651A5F" w14:textId="77777777" w:rsidR="00434005" w:rsidRPr="00434005" w:rsidRDefault="00434005" w:rsidP="00362654">
            <w:pPr>
              <w:tabs>
                <w:tab w:val="left" w:pos="1500"/>
              </w:tabs>
              <w:spacing w:line="240" w:lineRule="auto"/>
              <w:rPr>
                <w:rFonts w:ascii="Times New Roman" w:hAnsi="Times New Roman"/>
                <w:sz w:val="28"/>
                <w:szCs w:val="28"/>
              </w:rPr>
            </w:pPr>
          </w:p>
          <w:p w14:paraId="23B1837C" w14:textId="7EA319EE" w:rsidR="00434005" w:rsidRPr="002C29E3" w:rsidRDefault="00434005" w:rsidP="00362654">
            <w:pPr>
              <w:pStyle w:val="Caseinfo"/>
              <w:tabs>
                <w:tab w:val="clear" w:pos="2179"/>
                <w:tab w:val="left" w:pos="2502"/>
              </w:tabs>
              <w:spacing w:line="240" w:lineRule="auto"/>
              <w:rPr>
                <w:smallCaps w:val="0"/>
                <w:color w:val="000000" w:themeColor="text1"/>
              </w:rPr>
            </w:pPr>
            <w:r w:rsidRPr="00434005">
              <w:rPr>
                <w:smallCaps w:val="0"/>
              </w:rPr>
              <w:t xml:space="preserve">Petition to Amend ARCAP </w:t>
            </w:r>
            <w:r w:rsidR="00281563">
              <w:rPr>
                <w:smallCaps w:val="0"/>
              </w:rPr>
              <w:t>4,</w:t>
            </w:r>
            <w:r w:rsidRPr="00434005">
              <w:rPr>
                <w:smallCaps w:val="0"/>
              </w:rPr>
              <w:t xml:space="preserve"> 1</w:t>
            </w:r>
            <w:r w:rsidR="00281563">
              <w:rPr>
                <w:smallCaps w:val="0"/>
              </w:rPr>
              <w:t>6</w:t>
            </w:r>
            <w:r w:rsidRPr="00434005">
              <w:rPr>
                <w:smallCaps w:val="0"/>
              </w:rPr>
              <w:t>,</w:t>
            </w:r>
            <w:r w:rsidR="00281563">
              <w:rPr>
                <w:smallCaps w:val="0"/>
              </w:rPr>
              <w:t xml:space="preserve"> and 23,</w:t>
            </w:r>
            <w:r w:rsidRPr="00434005">
              <w:rPr>
                <w:smallCaps w:val="0"/>
              </w:rPr>
              <w:t xml:space="preserve"> Ariz. R. Crim. P. 31</w:t>
            </w:r>
            <w:r w:rsidR="00281563">
              <w:rPr>
                <w:smallCaps w:val="0"/>
              </w:rPr>
              <w:t>.6, 31.15, and 31.21</w:t>
            </w:r>
            <w:r w:rsidRPr="00434005">
              <w:rPr>
                <w:smallCaps w:val="0"/>
              </w:rPr>
              <w:t xml:space="preserve">, and </w:t>
            </w:r>
            <w:r w:rsidR="00281563">
              <w:rPr>
                <w:smallCaps w:val="0"/>
              </w:rPr>
              <w:t>Ariz. R. P. Juv.</w:t>
            </w:r>
            <w:r w:rsidRPr="00434005">
              <w:rPr>
                <w:smallCaps w:val="0"/>
              </w:rPr>
              <w:t xml:space="preserve"> Ct.</w:t>
            </w:r>
            <w:r w:rsidR="00281563">
              <w:rPr>
                <w:smallCaps w:val="0"/>
              </w:rPr>
              <w:t xml:space="preserve"> 609.</w:t>
            </w:r>
          </w:p>
        </w:tc>
        <w:tc>
          <w:tcPr>
            <w:tcW w:w="4786" w:type="dxa"/>
            <w:tcBorders>
              <w:top w:val="nil"/>
              <w:left w:val="single" w:sz="6" w:space="0" w:color="auto"/>
              <w:bottom w:val="nil"/>
              <w:right w:val="nil"/>
            </w:tcBorders>
            <w:tcMar>
              <w:top w:w="260" w:type="dxa"/>
              <w:left w:w="173" w:type="dxa"/>
              <w:bottom w:w="260" w:type="dxa"/>
              <w:right w:w="0" w:type="dxa"/>
            </w:tcMar>
          </w:tcPr>
          <w:p w14:paraId="6C0DDEC5" w14:textId="52838845" w:rsidR="00434005" w:rsidRDefault="00434005" w:rsidP="00362654">
            <w:pPr>
              <w:pStyle w:val="StyleCaseinfoLeft03After12ptLinespacingsingle"/>
              <w:spacing w:after="0"/>
              <w:ind w:left="126"/>
              <w:rPr>
                <w:color w:val="000000" w:themeColor="text1"/>
              </w:rPr>
            </w:pPr>
            <w:r>
              <w:rPr>
                <w:b/>
              </w:rPr>
              <w:t xml:space="preserve">Comment of David Euchner regarding Petition to Amend </w:t>
            </w:r>
            <w:r w:rsidR="00C66BDF" w:rsidRPr="00C66BDF">
              <w:rPr>
                <w:b/>
              </w:rPr>
              <w:t>ARCAP 4, 16, and 23, Ariz. R. Crim. P. 31.6, 31.15, and 31.21, and Ariz. R. P. Juv. Ct. 609</w:t>
            </w:r>
          </w:p>
          <w:tbl>
            <w:tblPr>
              <w:tblW w:w="9697" w:type="dxa"/>
              <w:tblInd w:w="3" w:type="dxa"/>
              <w:tblBorders>
                <w:top w:val="nil"/>
                <w:left w:val="nil"/>
                <w:bottom w:val="nil"/>
                <w:right w:val="nil"/>
              </w:tblBorders>
              <w:tblLayout w:type="fixed"/>
              <w:tblLook w:val="0000" w:firstRow="0" w:lastRow="0" w:firstColumn="0" w:lastColumn="0" w:noHBand="0" w:noVBand="0"/>
            </w:tblPr>
            <w:tblGrid>
              <w:gridCol w:w="9697"/>
            </w:tblGrid>
            <w:tr w:rsidR="00434005" w:rsidRPr="00545329" w14:paraId="7EF8D82D" w14:textId="77777777" w:rsidTr="00362654">
              <w:trPr>
                <w:trHeight w:val="145"/>
              </w:trPr>
              <w:tc>
                <w:tcPr>
                  <w:tcW w:w="9697" w:type="dxa"/>
                </w:tcPr>
                <w:p w14:paraId="6B282AA4" w14:textId="77777777" w:rsidR="00434005" w:rsidRPr="00545329" w:rsidRDefault="00434005" w:rsidP="00362654">
                  <w:pPr>
                    <w:pStyle w:val="Caseinfo"/>
                    <w:rPr>
                      <w:color w:val="000000" w:themeColor="text1"/>
                      <w:highlight w:val="yellow"/>
                    </w:rPr>
                  </w:pPr>
                </w:p>
              </w:tc>
            </w:tr>
          </w:tbl>
          <w:p w14:paraId="2B8A2744" w14:textId="77777777" w:rsidR="00434005" w:rsidRPr="00545329" w:rsidRDefault="00434005" w:rsidP="00362654">
            <w:pPr>
              <w:rPr>
                <w:color w:val="000000" w:themeColor="text1"/>
                <w:sz w:val="28"/>
                <w:szCs w:val="28"/>
                <w:lang w:val="es-MX"/>
              </w:rPr>
            </w:pPr>
          </w:p>
        </w:tc>
      </w:tr>
    </w:tbl>
    <w:p w14:paraId="05A9B099" w14:textId="77777777" w:rsidR="00434005" w:rsidRPr="0014499B" w:rsidRDefault="00434005" w:rsidP="007F091F">
      <w:pPr>
        <w:spacing w:line="480" w:lineRule="auto"/>
        <w:jc w:val="both"/>
        <w:rPr>
          <w:rFonts w:ascii="Times New Roman" w:hAnsi="Times New Roman"/>
          <w:sz w:val="28"/>
          <w:szCs w:val="28"/>
        </w:rPr>
      </w:pPr>
    </w:p>
    <w:p w14:paraId="1CC5A357" w14:textId="0E7C027F" w:rsidR="001D0E6C" w:rsidRDefault="00DC38DE" w:rsidP="000B6489">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Supreme Court</w:t>
      </w:r>
      <w:r w:rsidR="000B6489">
        <w:rPr>
          <w:rFonts w:ascii="Times New Roman" w:hAnsi="Times New Roman"/>
          <w:sz w:val="28"/>
          <w:szCs w:val="28"/>
        </w:rPr>
        <w:t>, David J. Euchner</w:t>
      </w:r>
      <w:r w:rsidRPr="0014499B">
        <w:rPr>
          <w:rFonts w:ascii="Times New Roman" w:hAnsi="Times New Roman"/>
          <w:sz w:val="28"/>
          <w:szCs w:val="28"/>
        </w:rPr>
        <w:t xml:space="preserve"> hereby submits the following </w:t>
      </w:r>
      <w:r w:rsidR="002C54D2">
        <w:rPr>
          <w:rFonts w:ascii="Times New Roman" w:hAnsi="Times New Roman"/>
          <w:sz w:val="28"/>
          <w:szCs w:val="28"/>
        </w:rPr>
        <w:t xml:space="preserve">comment on the </w:t>
      </w:r>
      <w:r w:rsidRPr="0014499B">
        <w:rPr>
          <w:rFonts w:ascii="Times New Roman" w:hAnsi="Times New Roman"/>
          <w:sz w:val="28"/>
          <w:szCs w:val="28"/>
        </w:rPr>
        <w:t>petition</w:t>
      </w:r>
      <w:r w:rsidR="00A74317">
        <w:rPr>
          <w:rFonts w:ascii="Times New Roman" w:hAnsi="Times New Roman"/>
          <w:sz w:val="28"/>
          <w:szCs w:val="28"/>
        </w:rPr>
        <w:t xml:space="preserve"> to </w:t>
      </w:r>
      <w:r w:rsidR="009F0094">
        <w:rPr>
          <w:rFonts w:ascii="Times New Roman" w:hAnsi="Times New Roman"/>
          <w:sz w:val="28"/>
          <w:szCs w:val="28"/>
        </w:rPr>
        <w:t>amend</w:t>
      </w:r>
      <w:r w:rsidR="000B6489">
        <w:rPr>
          <w:rFonts w:ascii="Times New Roman" w:hAnsi="Times New Roman"/>
          <w:sz w:val="28"/>
          <w:szCs w:val="28"/>
        </w:rPr>
        <w:t xml:space="preserve"> various rules of </w:t>
      </w:r>
      <w:r w:rsidR="00BF265F">
        <w:rPr>
          <w:rFonts w:ascii="Times New Roman" w:hAnsi="Times New Roman"/>
          <w:sz w:val="28"/>
          <w:szCs w:val="28"/>
        </w:rPr>
        <w:t xml:space="preserve">appellate </w:t>
      </w:r>
      <w:r w:rsidR="000B6489">
        <w:rPr>
          <w:rFonts w:ascii="Times New Roman" w:hAnsi="Times New Roman"/>
          <w:sz w:val="28"/>
          <w:szCs w:val="28"/>
        </w:rPr>
        <w:t>procedure</w:t>
      </w:r>
      <w:r w:rsidR="00A74317">
        <w:rPr>
          <w:rFonts w:ascii="Times New Roman" w:hAnsi="Times New Roman"/>
          <w:sz w:val="28"/>
          <w:szCs w:val="28"/>
        </w:rPr>
        <w:t>.</w:t>
      </w:r>
    </w:p>
    <w:p w14:paraId="5F7BB62C" w14:textId="33EEDEEC" w:rsidR="001B3667" w:rsidRPr="001B3667" w:rsidRDefault="001B3667" w:rsidP="001B3667">
      <w:pPr>
        <w:spacing w:line="480" w:lineRule="auto"/>
        <w:jc w:val="both"/>
        <w:rPr>
          <w:rFonts w:ascii="Times New Roman" w:hAnsi="Times New Roman"/>
          <w:b/>
          <w:bCs/>
          <w:sz w:val="28"/>
          <w:szCs w:val="28"/>
          <w:u w:val="single"/>
        </w:rPr>
      </w:pPr>
      <w:r w:rsidRPr="001B3667">
        <w:rPr>
          <w:rFonts w:ascii="Times New Roman" w:hAnsi="Times New Roman"/>
          <w:b/>
          <w:bCs/>
          <w:sz w:val="28"/>
          <w:szCs w:val="28"/>
          <w:u w:val="single"/>
        </w:rPr>
        <w:t>Introduction</w:t>
      </w:r>
    </w:p>
    <w:p w14:paraId="170D2D46" w14:textId="10E0A6B5" w:rsidR="00281563" w:rsidRDefault="003E5547" w:rsidP="00281563">
      <w:pPr>
        <w:spacing w:line="480" w:lineRule="auto"/>
        <w:ind w:firstLine="720"/>
        <w:jc w:val="both"/>
        <w:rPr>
          <w:rFonts w:ascii="Times New Roman" w:hAnsi="Times New Roman"/>
          <w:sz w:val="28"/>
          <w:szCs w:val="28"/>
        </w:rPr>
      </w:pPr>
      <w:r>
        <w:rPr>
          <w:rFonts w:ascii="Times New Roman" w:hAnsi="Times New Roman"/>
          <w:sz w:val="28"/>
          <w:szCs w:val="28"/>
        </w:rPr>
        <w:t>I have</w:t>
      </w:r>
      <w:r w:rsidR="000B6489">
        <w:rPr>
          <w:rFonts w:ascii="Times New Roman" w:hAnsi="Times New Roman"/>
          <w:sz w:val="28"/>
          <w:szCs w:val="28"/>
        </w:rPr>
        <w:t xml:space="preserve"> been a full-time appellate practitioner for </w:t>
      </w:r>
      <w:r w:rsidR="00434005">
        <w:rPr>
          <w:rFonts w:ascii="Times New Roman" w:hAnsi="Times New Roman"/>
          <w:sz w:val="28"/>
          <w:szCs w:val="28"/>
        </w:rPr>
        <w:t>18</w:t>
      </w:r>
      <w:r w:rsidR="000B6489">
        <w:rPr>
          <w:rFonts w:ascii="Times New Roman" w:hAnsi="Times New Roman"/>
          <w:sz w:val="28"/>
          <w:szCs w:val="28"/>
        </w:rPr>
        <w:t xml:space="preserve"> years. For </w:t>
      </w:r>
      <w:r w:rsidR="00434005">
        <w:rPr>
          <w:rFonts w:ascii="Times New Roman" w:hAnsi="Times New Roman"/>
          <w:sz w:val="28"/>
          <w:szCs w:val="28"/>
        </w:rPr>
        <w:t>13</w:t>
      </w:r>
      <w:r w:rsidR="000B6489">
        <w:rPr>
          <w:rFonts w:ascii="Times New Roman" w:hAnsi="Times New Roman"/>
          <w:sz w:val="28"/>
          <w:szCs w:val="28"/>
        </w:rPr>
        <w:t xml:space="preserve"> years, </w:t>
      </w:r>
      <w:r>
        <w:rPr>
          <w:rFonts w:ascii="Times New Roman" w:hAnsi="Times New Roman"/>
          <w:sz w:val="28"/>
          <w:szCs w:val="28"/>
        </w:rPr>
        <w:t>I have</w:t>
      </w:r>
      <w:r w:rsidR="000B6489">
        <w:rPr>
          <w:rFonts w:ascii="Times New Roman" w:hAnsi="Times New Roman"/>
          <w:sz w:val="28"/>
          <w:szCs w:val="28"/>
        </w:rPr>
        <w:t xml:space="preserve"> supervised the appellate unit of the Pima County Public Defender’s Office. For the last 1</w:t>
      </w:r>
      <w:r w:rsidR="00434005">
        <w:rPr>
          <w:rFonts w:ascii="Times New Roman" w:hAnsi="Times New Roman"/>
          <w:sz w:val="28"/>
          <w:szCs w:val="28"/>
        </w:rPr>
        <w:t>4</w:t>
      </w:r>
      <w:r w:rsidR="000B6489">
        <w:rPr>
          <w:rFonts w:ascii="Times New Roman" w:hAnsi="Times New Roman"/>
          <w:sz w:val="28"/>
          <w:szCs w:val="28"/>
        </w:rPr>
        <w:t xml:space="preserve"> years, </w:t>
      </w:r>
      <w:r>
        <w:rPr>
          <w:rFonts w:ascii="Times New Roman" w:hAnsi="Times New Roman"/>
          <w:sz w:val="28"/>
          <w:szCs w:val="28"/>
        </w:rPr>
        <w:t>I have</w:t>
      </w:r>
      <w:r w:rsidR="000B6489">
        <w:rPr>
          <w:rFonts w:ascii="Times New Roman" w:hAnsi="Times New Roman"/>
          <w:sz w:val="28"/>
          <w:szCs w:val="28"/>
        </w:rPr>
        <w:t xml:space="preserve"> served as a chair or co-chair of the amicus and rules committee of Arizona Attorneys for Criminal Justice, and in that </w:t>
      </w:r>
      <w:r w:rsidR="00AF517B">
        <w:rPr>
          <w:rFonts w:ascii="Times New Roman" w:hAnsi="Times New Roman"/>
          <w:sz w:val="28"/>
          <w:szCs w:val="28"/>
        </w:rPr>
        <w:t>capacity,</w:t>
      </w:r>
      <w:r w:rsidR="000B6489">
        <w:rPr>
          <w:rFonts w:ascii="Times New Roman" w:hAnsi="Times New Roman"/>
          <w:sz w:val="28"/>
          <w:szCs w:val="28"/>
        </w:rPr>
        <w:t xml:space="preserve"> </w:t>
      </w:r>
      <w:r>
        <w:rPr>
          <w:rFonts w:ascii="Times New Roman" w:hAnsi="Times New Roman"/>
          <w:sz w:val="28"/>
          <w:szCs w:val="28"/>
        </w:rPr>
        <w:t xml:space="preserve">I </w:t>
      </w:r>
      <w:r w:rsidR="00BF265F">
        <w:rPr>
          <w:rFonts w:ascii="Times New Roman" w:hAnsi="Times New Roman"/>
          <w:sz w:val="28"/>
          <w:szCs w:val="28"/>
        </w:rPr>
        <w:t>file</w:t>
      </w:r>
      <w:r w:rsidR="000B6489">
        <w:rPr>
          <w:rFonts w:ascii="Times New Roman" w:hAnsi="Times New Roman"/>
          <w:sz w:val="28"/>
          <w:szCs w:val="28"/>
        </w:rPr>
        <w:t xml:space="preserve"> </w:t>
      </w:r>
      <w:r w:rsidR="00BF265F">
        <w:rPr>
          <w:rFonts w:ascii="Times New Roman" w:hAnsi="Times New Roman"/>
          <w:sz w:val="28"/>
          <w:szCs w:val="28"/>
        </w:rPr>
        <w:t>several</w:t>
      </w:r>
      <w:r w:rsidR="000B6489">
        <w:rPr>
          <w:rFonts w:ascii="Times New Roman" w:hAnsi="Times New Roman"/>
          <w:sz w:val="28"/>
          <w:szCs w:val="28"/>
        </w:rPr>
        <w:t xml:space="preserve"> </w:t>
      </w:r>
      <w:r w:rsidR="000B6489" w:rsidRPr="00ED2D12">
        <w:rPr>
          <w:rFonts w:ascii="Times New Roman" w:hAnsi="Times New Roman"/>
          <w:i/>
          <w:iCs/>
          <w:sz w:val="28"/>
          <w:szCs w:val="28"/>
        </w:rPr>
        <w:t>amicus curiae</w:t>
      </w:r>
      <w:r w:rsidR="000B6489">
        <w:rPr>
          <w:rFonts w:ascii="Times New Roman" w:hAnsi="Times New Roman"/>
          <w:sz w:val="28"/>
          <w:szCs w:val="28"/>
        </w:rPr>
        <w:t xml:space="preserve"> briefs in state and federal appellate courts</w:t>
      </w:r>
      <w:r w:rsidR="00BF265F">
        <w:rPr>
          <w:rFonts w:ascii="Times New Roman" w:hAnsi="Times New Roman"/>
          <w:sz w:val="28"/>
          <w:szCs w:val="28"/>
        </w:rPr>
        <w:t xml:space="preserve"> every year</w:t>
      </w:r>
      <w:r w:rsidR="000B6489">
        <w:rPr>
          <w:rFonts w:ascii="Times New Roman" w:hAnsi="Times New Roman"/>
          <w:sz w:val="28"/>
          <w:szCs w:val="28"/>
        </w:rPr>
        <w:t>.</w:t>
      </w:r>
      <w:r w:rsidR="00BF265F">
        <w:rPr>
          <w:rFonts w:ascii="Times New Roman" w:hAnsi="Times New Roman"/>
          <w:sz w:val="28"/>
          <w:szCs w:val="28"/>
        </w:rPr>
        <w:t xml:space="preserve"> </w:t>
      </w:r>
      <w:r w:rsidR="006933C3">
        <w:rPr>
          <w:rFonts w:ascii="Times New Roman" w:hAnsi="Times New Roman"/>
          <w:sz w:val="28"/>
          <w:szCs w:val="28"/>
        </w:rPr>
        <w:t xml:space="preserve">Soon </w:t>
      </w:r>
      <w:r w:rsidR="002A4DD3">
        <w:rPr>
          <w:rFonts w:ascii="Times New Roman" w:hAnsi="Times New Roman"/>
          <w:sz w:val="28"/>
          <w:szCs w:val="28"/>
        </w:rPr>
        <w:t>I</w:t>
      </w:r>
      <w:r w:rsidR="00434005">
        <w:rPr>
          <w:rFonts w:ascii="Times New Roman" w:hAnsi="Times New Roman"/>
          <w:sz w:val="28"/>
          <w:szCs w:val="28"/>
        </w:rPr>
        <w:t xml:space="preserve"> </w:t>
      </w:r>
      <w:r w:rsidR="006933C3">
        <w:rPr>
          <w:rFonts w:ascii="Times New Roman" w:hAnsi="Times New Roman"/>
          <w:sz w:val="28"/>
          <w:szCs w:val="28"/>
        </w:rPr>
        <w:t>will be</w:t>
      </w:r>
      <w:r w:rsidR="00434005">
        <w:rPr>
          <w:rFonts w:ascii="Times New Roman" w:hAnsi="Times New Roman"/>
          <w:sz w:val="28"/>
          <w:szCs w:val="28"/>
        </w:rPr>
        <w:t xml:space="preserve"> appear</w:t>
      </w:r>
      <w:r w:rsidR="006933C3">
        <w:rPr>
          <w:rFonts w:ascii="Times New Roman" w:hAnsi="Times New Roman"/>
          <w:sz w:val="28"/>
          <w:szCs w:val="28"/>
        </w:rPr>
        <w:t>ing</w:t>
      </w:r>
      <w:r w:rsidR="00434005">
        <w:rPr>
          <w:rFonts w:ascii="Times New Roman" w:hAnsi="Times New Roman"/>
          <w:sz w:val="28"/>
          <w:szCs w:val="28"/>
        </w:rPr>
        <w:t xml:space="preserve"> at oral argument</w:t>
      </w:r>
      <w:r w:rsidR="006933C3">
        <w:rPr>
          <w:rFonts w:ascii="Times New Roman" w:hAnsi="Times New Roman"/>
          <w:sz w:val="28"/>
          <w:szCs w:val="28"/>
        </w:rPr>
        <w:t xml:space="preserve"> in this Court for the 40th time</w:t>
      </w:r>
      <w:r w:rsidR="00434005">
        <w:rPr>
          <w:rFonts w:ascii="Times New Roman" w:hAnsi="Times New Roman"/>
          <w:sz w:val="28"/>
          <w:szCs w:val="28"/>
        </w:rPr>
        <w:t xml:space="preserve">, as counsel for the party or as </w:t>
      </w:r>
      <w:r w:rsidR="00281563">
        <w:rPr>
          <w:rFonts w:ascii="Times New Roman" w:hAnsi="Times New Roman"/>
          <w:sz w:val="28"/>
          <w:szCs w:val="28"/>
        </w:rPr>
        <w:t xml:space="preserve">an </w:t>
      </w:r>
      <w:r w:rsidR="00434005">
        <w:rPr>
          <w:rFonts w:ascii="Times New Roman" w:hAnsi="Times New Roman"/>
          <w:sz w:val="28"/>
          <w:szCs w:val="28"/>
        </w:rPr>
        <w:t>amicus</w:t>
      </w:r>
      <w:r w:rsidR="002A4DD3">
        <w:rPr>
          <w:rFonts w:ascii="Times New Roman" w:hAnsi="Times New Roman"/>
          <w:sz w:val="28"/>
          <w:szCs w:val="28"/>
        </w:rPr>
        <w:t>.</w:t>
      </w:r>
      <w:r w:rsidR="00434005">
        <w:rPr>
          <w:rFonts w:ascii="Times New Roman" w:hAnsi="Times New Roman"/>
          <w:sz w:val="28"/>
          <w:szCs w:val="28"/>
        </w:rPr>
        <w:t xml:space="preserve"> In addition to the cases where I file an appearance, I advise countless </w:t>
      </w:r>
      <w:r w:rsidR="00434005">
        <w:rPr>
          <w:rFonts w:ascii="Times New Roman" w:hAnsi="Times New Roman"/>
          <w:sz w:val="28"/>
          <w:szCs w:val="28"/>
        </w:rPr>
        <w:lastRenderedPageBreak/>
        <w:t>criminal defense attorneys as well as the occasional civil litigant on Supreme Court practice.</w:t>
      </w:r>
      <w:r w:rsidR="00281563">
        <w:rPr>
          <w:rFonts w:ascii="Times New Roman" w:hAnsi="Times New Roman"/>
          <w:sz w:val="28"/>
          <w:szCs w:val="28"/>
        </w:rPr>
        <w:t xml:space="preserve"> M</w:t>
      </w:r>
      <w:r w:rsidR="006A3EB6">
        <w:rPr>
          <w:rFonts w:ascii="Times New Roman" w:hAnsi="Times New Roman"/>
          <w:sz w:val="28"/>
          <w:szCs w:val="28"/>
        </w:rPr>
        <w:t>y experience</w:t>
      </w:r>
      <w:r w:rsidR="00A33A33">
        <w:rPr>
          <w:rFonts w:ascii="Times New Roman" w:hAnsi="Times New Roman"/>
          <w:sz w:val="28"/>
          <w:szCs w:val="28"/>
        </w:rPr>
        <w:t xml:space="preserve"> in this Court is limited to indigent defense (including juvenile cases)</w:t>
      </w:r>
      <w:r w:rsidR="00281563">
        <w:rPr>
          <w:rFonts w:ascii="Times New Roman" w:hAnsi="Times New Roman"/>
          <w:sz w:val="28"/>
          <w:szCs w:val="28"/>
        </w:rPr>
        <w:t>, but the issues raised in this Petition are not peculiar to any type of case or “side” of the litigation</w:t>
      </w:r>
      <w:r w:rsidR="00A33A33">
        <w:rPr>
          <w:rFonts w:ascii="Times New Roman" w:hAnsi="Times New Roman"/>
          <w:sz w:val="28"/>
          <w:szCs w:val="28"/>
        </w:rPr>
        <w:t>.</w:t>
      </w:r>
      <w:r w:rsidR="00281563">
        <w:rPr>
          <w:rFonts w:ascii="Times New Roman" w:hAnsi="Times New Roman"/>
          <w:sz w:val="28"/>
          <w:szCs w:val="28"/>
        </w:rPr>
        <w:t xml:space="preserve"> Although </w:t>
      </w:r>
      <w:r w:rsidR="00FA44BB">
        <w:rPr>
          <w:rFonts w:ascii="Times New Roman" w:hAnsi="Times New Roman"/>
          <w:sz w:val="28"/>
          <w:szCs w:val="28"/>
        </w:rPr>
        <w:t>I am almost always the</w:t>
      </w:r>
      <w:r w:rsidR="00281563">
        <w:rPr>
          <w:rFonts w:ascii="Times New Roman" w:hAnsi="Times New Roman"/>
          <w:sz w:val="28"/>
          <w:szCs w:val="28"/>
        </w:rPr>
        <w:t xml:space="preserve"> appellant in the court of appeals,</w:t>
      </w:r>
      <w:r w:rsidR="00FA44BB">
        <w:rPr>
          <w:rFonts w:ascii="Times New Roman" w:hAnsi="Times New Roman"/>
          <w:sz w:val="28"/>
          <w:szCs w:val="28"/>
        </w:rPr>
        <w:t xml:space="preserve"> in cases where this Court grants review and I appear at oral argument,</w:t>
      </w:r>
      <w:r w:rsidR="00281563">
        <w:rPr>
          <w:rFonts w:ascii="Times New Roman" w:hAnsi="Times New Roman"/>
          <w:sz w:val="28"/>
          <w:szCs w:val="28"/>
        </w:rPr>
        <w:t xml:space="preserve"> I </w:t>
      </w:r>
      <w:r w:rsidR="00FA44BB">
        <w:rPr>
          <w:rFonts w:ascii="Times New Roman" w:hAnsi="Times New Roman"/>
          <w:sz w:val="28"/>
          <w:szCs w:val="28"/>
        </w:rPr>
        <w:t xml:space="preserve">have argued from the </w:t>
      </w:r>
      <w:r w:rsidR="00653B3E">
        <w:rPr>
          <w:rFonts w:ascii="Times New Roman" w:hAnsi="Times New Roman"/>
          <w:sz w:val="28"/>
          <w:szCs w:val="28"/>
        </w:rPr>
        <w:t>p</w:t>
      </w:r>
      <w:r w:rsidR="00281563">
        <w:rPr>
          <w:rFonts w:ascii="Times New Roman" w:hAnsi="Times New Roman"/>
          <w:sz w:val="28"/>
          <w:szCs w:val="28"/>
        </w:rPr>
        <w:t>etitioner</w:t>
      </w:r>
      <w:r w:rsidR="00FA44BB">
        <w:rPr>
          <w:rFonts w:ascii="Times New Roman" w:hAnsi="Times New Roman"/>
          <w:sz w:val="28"/>
          <w:szCs w:val="28"/>
        </w:rPr>
        <w:t>’s table in two-thirds of</w:t>
      </w:r>
      <w:r w:rsidR="00AF517B">
        <w:rPr>
          <w:rFonts w:ascii="Times New Roman" w:hAnsi="Times New Roman"/>
          <w:sz w:val="28"/>
          <w:szCs w:val="28"/>
        </w:rPr>
        <w:t xml:space="preserve"> those</w:t>
      </w:r>
      <w:r w:rsidR="00FA44BB">
        <w:rPr>
          <w:rFonts w:ascii="Times New Roman" w:hAnsi="Times New Roman"/>
          <w:sz w:val="28"/>
          <w:szCs w:val="28"/>
        </w:rPr>
        <w:t xml:space="preserve"> cases</w:t>
      </w:r>
      <w:r w:rsidR="00281563">
        <w:rPr>
          <w:rFonts w:ascii="Times New Roman" w:hAnsi="Times New Roman"/>
          <w:sz w:val="28"/>
          <w:szCs w:val="28"/>
        </w:rPr>
        <w:t>.</w:t>
      </w:r>
      <w:r w:rsidR="00653B3E">
        <w:rPr>
          <w:rStyle w:val="FootnoteReference"/>
          <w:rFonts w:ascii="Times New Roman" w:hAnsi="Times New Roman"/>
          <w:sz w:val="28"/>
          <w:szCs w:val="28"/>
        </w:rPr>
        <w:footnoteReference w:id="1"/>
      </w:r>
      <w:r w:rsidR="00281563">
        <w:rPr>
          <w:rFonts w:ascii="Times New Roman" w:hAnsi="Times New Roman"/>
          <w:sz w:val="28"/>
          <w:szCs w:val="28"/>
        </w:rPr>
        <w:t xml:space="preserve"> </w:t>
      </w:r>
    </w:p>
    <w:p w14:paraId="4E6C4B7D" w14:textId="4112DA29" w:rsidR="00281563" w:rsidRDefault="00653B3E" w:rsidP="00281563">
      <w:pPr>
        <w:spacing w:line="480" w:lineRule="auto"/>
        <w:ind w:firstLine="720"/>
        <w:jc w:val="both"/>
        <w:rPr>
          <w:rFonts w:ascii="Times New Roman" w:hAnsi="Times New Roman"/>
          <w:sz w:val="28"/>
          <w:szCs w:val="28"/>
        </w:rPr>
      </w:pPr>
      <w:r>
        <w:rPr>
          <w:rFonts w:ascii="Times New Roman" w:hAnsi="Times New Roman"/>
          <w:sz w:val="28"/>
          <w:szCs w:val="28"/>
        </w:rPr>
        <w:t xml:space="preserve">I agree with some parts of the Petition, but I largely disagree </w:t>
      </w:r>
      <w:r w:rsidR="005C6FB2">
        <w:rPr>
          <w:rFonts w:ascii="Times New Roman" w:hAnsi="Times New Roman"/>
          <w:sz w:val="28"/>
          <w:szCs w:val="28"/>
        </w:rPr>
        <w:t xml:space="preserve">with it </w:t>
      </w:r>
      <w:r>
        <w:rPr>
          <w:rFonts w:ascii="Times New Roman" w:hAnsi="Times New Roman"/>
          <w:sz w:val="28"/>
          <w:szCs w:val="28"/>
        </w:rPr>
        <w:t>because I think the Petition assumes things about practice in this Court that are not</w:t>
      </w:r>
      <w:r w:rsidR="00F365F8">
        <w:rPr>
          <w:rFonts w:ascii="Times New Roman" w:hAnsi="Times New Roman"/>
          <w:sz w:val="28"/>
          <w:szCs w:val="28"/>
        </w:rPr>
        <w:t xml:space="preserve"> entirely</w:t>
      </w:r>
      <w:r>
        <w:rPr>
          <w:rFonts w:ascii="Times New Roman" w:hAnsi="Times New Roman"/>
          <w:sz w:val="28"/>
          <w:szCs w:val="28"/>
        </w:rPr>
        <w:t xml:space="preserve"> true</w:t>
      </w:r>
      <w:r w:rsidR="005C6FB2">
        <w:rPr>
          <w:rFonts w:ascii="Times New Roman" w:hAnsi="Times New Roman"/>
          <w:sz w:val="28"/>
          <w:szCs w:val="28"/>
        </w:rPr>
        <w:t>. I specifically disagree with changing the rules to permit sequential briefing instead of supplemental briefing after review is granted, not only because it will not necessarily improve the briefing but also because it will prolong the briefing process and thus delay justice for all, but especially criminal defendants.</w:t>
      </w:r>
    </w:p>
    <w:p w14:paraId="2FFB6771" w14:textId="252907F7" w:rsidR="00D377B7" w:rsidRDefault="00D377B7" w:rsidP="00D377B7">
      <w:pPr>
        <w:spacing w:line="480" w:lineRule="auto"/>
        <w:ind w:firstLine="720"/>
        <w:jc w:val="both"/>
        <w:rPr>
          <w:rFonts w:ascii="Times New Roman" w:hAnsi="Times New Roman"/>
          <w:sz w:val="28"/>
          <w:szCs w:val="28"/>
        </w:rPr>
      </w:pPr>
      <w:r>
        <w:rPr>
          <w:rFonts w:ascii="Times New Roman" w:hAnsi="Times New Roman"/>
          <w:sz w:val="28"/>
          <w:szCs w:val="28"/>
        </w:rPr>
        <w:t xml:space="preserve">The Petition seeks to make the practice in this Court the same as in the U.S. Supreme Court and other state courts. </w:t>
      </w:r>
      <w:r w:rsidR="00D224F5">
        <w:rPr>
          <w:rFonts w:ascii="Times New Roman" w:hAnsi="Times New Roman"/>
          <w:sz w:val="28"/>
          <w:szCs w:val="28"/>
        </w:rPr>
        <w:t xml:space="preserve">The fact that Arizona is in a small minority of states that manage supplemental briefing in this manner is reason to consider the proposal, but by itself it cannot be </w:t>
      </w:r>
      <w:r w:rsidR="0037523F">
        <w:rPr>
          <w:rFonts w:ascii="Times New Roman" w:hAnsi="Times New Roman"/>
          <w:sz w:val="28"/>
          <w:szCs w:val="28"/>
        </w:rPr>
        <w:t>grounds</w:t>
      </w:r>
      <w:r w:rsidR="00D224F5">
        <w:rPr>
          <w:rFonts w:ascii="Times New Roman" w:hAnsi="Times New Roman"/>
          <w:sz w:val="28"/>
          <w:szCs w:val="28"/>
        </w:rPr>
        <w:t xml:space="preserve"> to change our</w:t>
      </w:r>
      <w:r w:rsidR="0037523F">
        <w:rPr>
          <w:rFonts w:ascii="Times New Roman" w:hAnsi="Times New Roman"/>
          <w:sz w:val="28"/>
          <w:szCs w:val="28"/>
        </w:rPr>
        <w:t xml:space="preserve"> longstanding</w:t>
      </w:r>
      <w:r w:rsidR="00D224F5">
        <w:rPr>
          <w:rFonts w:ascii="Times New Roman" w:hAnsi="Times New Roman"/>
          <w:sz w:val="28"/>
          <w:szCs w:val="28"/>
        </w:rPr>
        <w:t xml:space="preserve"> practice. As the saying goes, “if it ain’t broke, don’t fix it.”</w:t>
      </w:r>
    </w:p>
    <w:p w14:paraId="0FA9A62B" w14:textId="77777777" w:rsidR="0037523F" w:rsidRDefault="0037523F" w:rsidP="00D377B7">
      <w:pPr>
        <w:spacing w:line="480" w:lineRule="auto"/>
        <w:ind w:firstLine="720"/>
        <w:jc w:val="both"/>
        <w:rPr>
          <w:rFonts w:ascii="Times New Roman" w:hAnsi="Times New Roman"/>
          <w:sz w:val="28"/>
          <w:szCs w:val="28"/>
        </w:rPr>
      </w:pPr>
    </w:p>
    <w:p w14:paraId="6773D45D" w14:textId="1D0DD476" w:rsidR="001B3667" w:rsidRPr="001B3667" w:rsidRDefault="00E251E2" w:rsidP="001B3667">
      <w:pPr>
        <w:spacing w:line="480" w:lineRule="auto"/>
        <w:jc w:val="both"/>
        <w:rPr>
          <w:rFonts w:ascii="Times New Roman" w:hAnsi="Times New Roman"/>
          <w:b/>
          <w:bCs/>
          <w:sz w:val="28"/>
          <w:szCs w:val="28"/>
          <w:u w:val="single"/>
        </w:rPr>
      </w:pPr>
      <w:r>
        <w:rPr>
          <w:rFonts w:ascii="Times New Roman" w:hAnsi="Times New Roman"/>
          <w:b/>
          <w:bCs/>
          <w:sz w:val="28"/>
          <w:szCs w:val="28"/>
          <w:u w:val="single"/>
        </w:rPr>
        <w:lastRenderedPageBreak/>
        <w:t>The “merits stage”</w:t>
      </w:r>
    </w:p>
    <w:p w14:paraId="0A38AEAD" w14:textId="7757C2FE" w:rsidR="003B62E4" w:rsidRDefault="00B01511" w:rsidP="001F54B7">
      <w:pPr>
        <w:spacing w:line="480" w:lineRule="auto"/>
        <w:ind w:firstLine="720"/>
        <w:jc w:val="both"/>
        <w:rPr>
          <w:rFonts w:ascii="Times New Roman" w:hAnsi="Times New Roman"/>
          <w:sz w:val="28"/>
          <w:szCs w:val="28"/>
        </w:rPr>
      </w:pPr>
      <w:r>
        <w:rPr>
          <w:rFonts w:ascii="Times New Roman" w:hAnsi="Times New Roman"/>
          <w:sz w:val="28"/>
          <w:szCs w:val="28"/>
        </w:rPr>
        <w:t>First,</w:t>
      </w:r>
      <w:r w:rsidR="003B62E4">
        <w:rPr>
          <w:rFonts w:ascii="Times New Roman" w:hAnsi="Times New Roman"/>
          <w:sz w:val="28"/>
          <w:szCs w:val="28"/>
        </w:rPr>
        <w:t xml:space="preserve"> the </w:t>
      </w:r>
      <w:r>
        <w:rPr>
          <w:rFonts w:ascii="Times New Roman" w:hAnsi="Times New Roman"/>
          <w:sz w:val="28"/>
          <w:szCs w:val="28"/>
        </w:rPr>
        <w:t xml:space="preserve">Petition seeks to create a </w:t>
      </w:r>
      <w:r w:rsidR="003B62E4">
        <w:rPr>
          <w:rFonts w:ascii="Times New Roman" w:hAnsi="Times New Roman"/>
          <w:sz w:val="28"/>
          <w:szCs w:val="28"/>
        </w:rPr>
        <w:t>“merits stage” of a case in this Court</w:t>
      </w:r>
      <w:r w:rsidR="006933C3">
        <w:rPr>
          <w:rFonts w:ascii="Times New Roman" w:hAnsi="Times New Roman"/>
          <w:sz w:val="28"/>
          <w:szCs w:val="28"/>
        </w:rPr>
        <w:t>, which, in their view, would “better delineate the purpose of each stage of briefing.” Petition at 4-5</w:t>
      </w:r>
      <w:r w:rsidR="003B62E4">
        <w:rPr>
          <w:rFonts w:ascii="Times New Roman" w:hAnsi="Times New Roman"/>
          <w:sz w:val="28"/>
          <w:szCs w:val="28"/>
        </w:rPr>
        <w:t xml:space="preserve">. </w:t>
      </w:r>
      <w:r w:rsidR="00837A5A">
        <w:rPr>
          <w:rFonts w:ascii="Times New Roman" w:hAnsi="Times New Roman"/>
          <w:sz w:val="28"/>
          <w:szCs w:val="28"/>
        </w:rPr>
        <w:t xml:space="preserve">I have heard many experienced practitioners </w:t>
      </w:r>
      <w:r w:rsidR="006933C3">
        <w:rPr>
          <w:rFonts w:ascii="Times New Roman" w:hAnsi="Times New Roman"/>
          <w:sz w:val="28"/>
          <w:szCs w:val="28"/>
        </w:rPr>
        <w:t xml:space="preserve">refer to the “merits stage,” but </w:t>
      </w:r>
      <w:r>
        <w:rPr>
          <w:rFonts w:ascii="Times New Roman" w:hAnsi="Times New Roman"/>
          <w:sz w:val="28"/>
          <w:szCs w:val="28"/>
        </w:rPr>
        <w:t xml:space="preserve">I have </w:t>
      </w:r>
      <w:r w:rsidR="00F67F2E">
        <w:rPr>
          <w:rFonts w:ascii="Times New Roman" w:hAnsi="Times New Roman"/>
          <w:sz w:val="28"/>
          <w:szCs w:val="28"/>
        </w:rPr>
        <w:t>rarely if ever</w:t>
      </w:r>
      <w:r>
        <w:rPr>
          <w:rFonts w:ascii="Times New Roman" w:hAnsi="Times New Roman"/>
          <w:sz w:val="28"/>
          <w:szCs w:val="28"/>
        </w:rPr>
        <w:t xml:space="preserve"> heard a Justice, staff attorney,</w:t>
      </w:r>
      <w:r w:rsidR="00F67F2E">
        <w:rPr>
          <w:rFonts w:ascii="Times New Roman" w:hAnsi="Times New Roman"/>
          <w:sz w:val="28"/>
          <w:szCs w:val="28"/>
        </w:rPr>
        <w:t xml:space="preserve"> or clerk use </w:t>
      </w:r>
      <w:r w:rsidR="006933C3">
        <w:rPr>
          <w:rFonts w:ascii="Times New Roman" w:hAnsi="Times New Roman"/>
          <w:sz w:val="28"/>
          <w:szCs w:val="28"/>
        </w:rPr>
        <w:t>the term</w:t>
      </w:r>
      <w:r w:rsidR="00F67F2E">
        <w:rPr>
          <w:rFonts w:ascii="Times New Roman" w:hAnsi="Times New Roman"/>
          <w:sz w:val="28"/>
          <w:szCs w:val="28"/>
        </w:rPr>
        <w:t>. I have served on task forces to restyle the Rules of Criminal Procedure and the Rules of Procedure for Special Actions</w:t>
      </w:r>
      <w:r w:rsidR="00D711F9">
        <w:rPr>
          <w:rFonts w:ascii="Times New Roman" w:hAnsi="Times New Roman"/>
          <w:sz w:val="28"/>
          <w:szCs w:val="28"/>
        </w:rPr>
        <w:t>;</w:t>
      </w:r>
      <w:r w:rsidR="00F67F2E">
        <w:rPr>
          <w:rFonts w:ascii="Times New Roman" w:hAnsi="Times New Roman"/>
          <w:sz w:val="28"/>
          <w:szCs w:val="28"/>
        </w:rPr>
        <w:t xml:space="preserve"> not only do the rules not contain the term “merits stage,” but I cannot recall if anyone used </w:t>
      </w:r>
      <w:r w:rsidR="00D377B7">
        <w:rPr>
          <w:rFonts w:ascii="Times New Roman" w:hAnsi="Times New Roman"/>
          <w:sz w:val="28"/>
          <w:szCs w:val="28"/>
        </w:rPr>
        <w:t>the term</w:t>
      </w:r>
      <w:r w:rsidR="00F67F2E">
        <w:rPr>
          <w:rFonts w:ascii="Times New Roman" w:hAnsi="Times New Roman"/>
          <w:sz w:val="28"/>
          <w:szCs w:val="28"/>
        </w:rPr>
        <w:t xml:space="preserve"> in </w:t>
      </w:r>
      <w:r w:rsidR="006933C3">
        <w:rPr>
          <w:rFonts w:ascii="Times New Roman" w:hAnsi="Times New Roman"/>
          <w:sz w:val="28"/>
          <w:szCs w:val="28"/>
        </w:rPr>
        <w:t xml:space="preserve">task force </w:t>
      </w:r>
      <w:r w:rsidR="00F67F2E">
        <w:rPr>
          <w:rFonts w:ascii="Times New Roman" w:hAnsi="Times New Roman"/>
          <w:sz w:val="28"/>
          <w:szCs w:val="28"/>
        </w:rPr>
        <w:t xml:space="preserve">discussions. </w:t>
      </w:r>
      <w:r w:rsidR="002138B5">
        <w:rPr>
          <w:rFonts w:ascii="Times New Roman" w:hAnsi="Times New Roman"/>
          <w:sz w:val="28"/>
          <w:szCs w:val="28"/>
        </w:rPr>
        <w:t>Unlike the U.S. Supreme Court, which uses the term “brief on the merits” in its rules, this Court has chosen to use the phrase “after review is granted” to define that stage of the case. ARCAP 16(d)(2), 23(k); Ariz. R. Crim. P. 31.15(d)(2), 31.21(j).</w:t>
      </w:r>
    </w:p>
    <w:p w14:paraId="779CDCE4" w14:textId="6AA77627" w:rsidR="00265DE9" w:rsidRDefault="006933C3" w:rsidP="001F54B7">
      <w:pPr>
        <w:spacing w:line="480" w:lineRule="auto"/>
        <w:ind w:firstLine="720"/>
        <w:jc w:val="both"/>
        <w:rPr>
          <w:rFonts w:ascii="Times New Roman" w:hAnsi="Times New Roman"/>
          <w:sz w:val="28"/>
          <w:szCs w:val="28"/>
        </w:rPr>
      </w:pPr>
      <w:r>
        <w:rPr>
          <w:rFonts w:ascii="Times New Roman" w:hAnsi="Times New Roman"/>
          <w:sz w:val="28"/>
          <w:szCs w:val="28"/>
        </w:rPr>
        <w:t>T</w:t>
      </w:r>
      <w:r w:rsidR="002138B5">
        <w:rPr>
          <w:rFonts w:ascii="Times New Roman" w:hAnsi="Times New Roman"/>
          <w:sz w:val="28"/>
          <w:szCs w:val="28"/>
        </w:rPr>
        <w:t>his distinction is</w:t>
      </w:r>
      <w:r>
        <w:rPr>
          <w:rFonts w:ascii="Times New Roman" w:hAnsi="Times New Roman"/>
          <w:sz w:val="28"/>
          <w:szCs w:val="28"/>
        </w:rPr>
        <w:t xml:space="preserve"> not</w:t>
      </w:r>
      <w:r w:rsidR="002138B5">
        <w:rPr>
          <w:rFonts w:ascii="Times New Roman" w:hAnsi="Times New Roman"/>
          <w:sz w:val="28"/>
          <w:szCs w:val="28"/>
        </w:rPr>
        <w:t xml:space="preserve"> semantic. </w:t>
      </w:r>
      <w:r w:rsidR="00760555">
        <w:rPr>
          <w:rFonts w:ascii="Times New Roman" w:hAnsi="Times New Roman"/>
          <w:sz w:val="28"/>
          <w:szCs w:val="28"/>
        </w:rPr>
        <w:t xml:space="preserve">Since both courts have discretionary review, a successful petition must have a “hook” to grab the Court’s attention. </w:t>
      </w:r>
      <w:r w:rsidR="006B2F75">
        <w:rPr>
          <w:rFonts w:ascii="Times New Roman" w:hAnsi="Times New Roman"/>
          <w:sz w:val="28"/>
          <w:szCs w:val="28"/>
        </w:rPr>
        <w:t xml:space="preserve">Because the U.S. Supreme Court rarely accepts a case where the issue is novel or for error correction, it is of paramount important at the “petition stage” to develop an intractable split of authority as a basis for accepting review. </w:t>
      </w:r>
      <w:r>
        <w:rPr>
          <w:rFonts w:ascii="Times New Roman" w:hAnsi="Times New Roman"/>
          <w:sz w:val="28"/>
          <w:szCs w:val="28"/>
        </w:rPr>
        <w:t>Unlike</w:t>
      </w:r>
      <w:r w:rsidR="00760555">
        <w:rPr>
          <w:rFonts w:ascii="Times New Roman" w:hAnsi="Times New Roman"/>
          <w:sz w:val="28"/>
          <w:szCs w:val="28"/>
        </w:rPr>
        <w:t xml:space="preserve"> the U.S. Supreme Court</w:t>
      </w:r>
      <w:r>
        <w:rPr>
          <w:rFonts w:ascii="Times New Roman" w:hAnsi="Times New Roman"/>
          <w:sz w:val="28"/>
          <w:szCs w:val="28"/>
        </w:rPr>
        <w:t>, which</w:t>
      </w:r>
      <w:r w:rsidR="00760555">
        <w:rPr>
          <w:rFonts w:ascii="Times New Roman" w:hAnsi="Times New Roman"/>
          <w:sz w:val="28"/>
          <w:szCs w:val="28"/>
        </w:rPr>
        <w:t xml:space="preserve"> </w:t>
      </w:r>
      <w:r w:rsidR="006B2F75">
        <w:rPr>
          <w:rFonts w:ascii="Times New Roman" w:hAnsi="Times New Roman"/>
          <w:sz w:val="28"/>
          <w:szCs w:val="28"/>
        </w:rPr>
        <w:t>must</w:t>
      </w:r>
      <w:r w:rsidR="00760555">
        <w:rPr>
          <w:rFonts w:ascii="Times New Roman" w:hAnsi="Times New Roman"/>
          <w:sz w:val="28"/>
          <w:szCs w:val="28"/>
        </w:rPr>
        <w:t xml:space="preserve"> resolve splits of authority among fifty states and twelve federal circuit courts, this Court reviews cases from a single court – the Arizona Court of Appeals. There are two divisions and several panels, and it is possible for one panel to disagree with another, but once the court of appeals decides a question, it is not </w:t>
      </w:r>
      <w:r w:rsidR="00760555">
        <w:rPr>
          <w:rFonts w:ascii="Times New Roman" w:hAnsi="Times New Roman"/>
          <w:sz w:val="28"/>
          <w:szCs w:val="28"/>
        </w:rPr>
        <w:lastRenderedPageBreak/>
        <w:t>merely persuasive but binding precedent on that court for all future cases</w:t>
      </w:r>
      <w:r w:rsidR="00065B6D">
        <w:rPr>
          <w:rFonts w:ascii="Times New Roman" w:hAnsi="Times New Roman"/>
          <w:sz w:val="28"/>
          <w:szCs w:val="28"/>
        </w:rPr>
        <w:t xml:space="preserve">. </w:t>
      </w:r>
      <w:r w:rsidR="00065B6D" w:rsidRPr="00065B6D">
        <w:rPr>
          <w:rFonts w:ascii="Times New Roman" w:hAnsi="Times New Roman"/>
          <w:i/>
          <w:iCs/>
          <w:sz w:val="28"/>
          <w:szCs w:val="28"/>
        </w:rPr>
        <w:t>Scappaticci v. Southwest Sav. &amp; Loan Ass’n</w:t>
      </w:r>
      <w:r w:rsidR="00065B6D">
        <w:rPr>
          <w:rFonts w:ascii="Times New Roman" w:hAnsi="Times New Roman"/>
          <w:sz w:val="28"/>
          <w:szCs w:val="28"/>
        </w:rPr>
        <w:t>, 135 Ariz. 456, 461 (1983)</w:t>
      </w:r>
      <w:r w:rsidR="00760555">
        <w:rPr>
          <w:rFonts w:ascii="Times New Roman" w:hAnsi="Times New Roman"/>
          <w:sz w:val="28"/>
          <w:szCs w:val="28"/>
        </w:rPr>
        <w:t xml:space="preserve">. This makes it far less likely that </w:t>
      </w:r>
      <w:r w:rsidR="0023387C">
        <w:rPr>
          <w:rFonts w:ascii="Times New Roman" w:hAnsi="Times New Roman"/>
          <w:sz w:val="28"/>
          <w:szCs w:val="28"/>
        </w:rPr>
        <w:t>a split of authority will materialize. It is for this reason that this Court lists as a reason to grant review that “</w:t>
      </w:r>
      <w:r w:rsidR="0023387C" w:rsidRPr="0023387C">
        <w:rPr>
          <w:rFonts w:ascii="Times New Roman" w:hAnsi="Times New Roman"/>
          <w:sz w:val="28"/>
          <w:szCs w:val="28"/>
        </w:rPr>
        <w:t>no Arizona decision controls the point of law in question</w:t>
      </w:r>
      <w:r w:rsidR="0023387C">
        <w:rPr>
          <w:rFonts w:ascii="Times New Roman" w:hAnsi="Times New Roman"/>
          <w:sz w:val="28"/>
          <w:szCs w:val="28"/>
        </w:rPr>
        <w:t>.”</w:t>
      </w:r>
      <w:r w:rsidR="0023387C" w:rsidRPr="0023387C">
        <w:rPr>
          <w:rFonts w:ascii="Times New Roman" w:hAnsi="Times New Roman"/>
          <w:sz w:val="28"/>
          <w:szCs w:val="28"/>
        </w:rPr>
        <w:t xml:space="preserve"> </w:t>
      </w:r>
      <w:r w:rsidR="0023387C">
        <w:rPr>
          <w:rFonts w:ascii="Times New Roman" w:hAnsi="Times New Roman"/>
          <w:sz w:val="28"/>
          <w:szCs w:val="28"/>
        </w:rPr>
        <w:t>ARCAP 23(d)(3); Ariz. R. Crim. P. 31.21(d)(1)(C). Those same rules recognize another reason is “</w:t>
      </w:r>
      <w:r w:rsidR="0023387C" w:rsidRPr="0023387C">
        <w:rPr>
          <w:rFonts w:ascii="Times New Roman" w:hAnsi="Times New Roman"/>
          <w:sz w:val="28"/>
          <w:szCs w:val="28"/>
        </w:rPr>
        <w:t>that important issues of law have been incorrectly decided</w:t>
      </w:r>
      <w:r w:rsidR="0023387C">
        <w:rPr>
          <w:rFonts w:ascii="Times New Roman" w:hAnsi="Times New Roman"/>
          <w:sz w:val="28"/>
          <w:szCs w:val="28"/>
        </w:rPr>
        <w:t xml:space="preserve">,” </w:t>
      </w:r>
      <w:r w:rsidR="0023387C" w:rsidRPr="0023387C">
        <w:rPr>
          <w:rFonts w:ascii="Times New Roman" w:hAnsi="Times New Roman"/>
          <w:i/>
          <w:iCs/>
          <w:sz w:val="28"/>
          <w:szCs w:val="28"/>
        </w:rPr>
        <w:t>id</w:t>
      </w:r>
      <w:r w:rsidR="0023387C">
        <w:rPr>
          <w:rFonts w:ascii="Times New Roman" w:hAnsi="Times New Roman"/>
          <w:sz w:val="28"/>
          <w:szCs w:val="28"/>
        </w:rPr>
        <w:t xml:space="preserve">., whereas </w:t>
      </w:r>
      <w:r w:rsidR="000C51C3">
        <w:rPr>
          <w:rFonts w:ascii="Times New Roman" w:hAnsi="Times New Roman"/>
          <w:sz w:val="28"/>
          <w:szCs w:val="28"/>
        </w:rPr>
        <w:t xml:space="preserve">it is not uncommon for </w:t>
      </w:r>
      <w:r w:rsidR="0023387C">
        <w:rPr>
          <w:rFonts w:ascii="Times New Roman" w:hAnsi="Times New Roman"/>
          <w:sz w:val="28"/>
          <w:szCs w:val="28"/>
        </w:rPr>
        <w:t xml:space="preserve">U.S. Supreme Court justices who dissent </w:t>
      </w:r>
      <w:r w:rsidR="000C51C3">
        <w:rPr>
          <w:rFonts w:ascii="Times New Roman" w:hAnsi="Times New Roman"/>
          <w:sz w:val="28"/>
          <w:szCs w:val="28"/>
        </w:rPr>
        <w:t>to</w:t>
      </w:r>
      <w:r w:rsidR="0023387C">
        <w:rPr>
          <w:rFonts w:ascii="Times New Roman" w:hAnsi="Times New Roman"/>
          <w:sz w:val="28"/>
          <w:szCs w:val="28"/>
        </w:rPr>
        <w:t xml:space="preserve"> criticize their colleagues for granting certiorari on this basis.</w:t>
      </w:r>
      <w:r w:rsidR="0023387C">
        <w:rPr>
          <w:rStyle w:val="FootnoteReference"/>
          <w:rFonts w:ascii="Times New Roman" w:hAnsi="Times New Roman"/>
          <w:sz w:val="28"/>
          <w:szCs w:val="28"/>
        </w:rPr>
        <w:footnoteReference w:id="2"/>
      </w:r>
      <w:r w:rsidR="0023387C">
        <w:rPr>
          <w:rFonts w:ascii="Times New Roman" w:hAnsi="Times New Roman"/>
          <w:sz w:val="28"/>
          <w:szCs w:val="28"/>
        </w:rPr>
        <w:t xml:space="preserve"> </w:t>
      </w:r>
      <w:r w:rsidR="00E16A0A">
        <w:rPr>
          <w:rFonts w:ascii="Times New Roman" w:hAnsi="Times New Roman"/>
          <w:sz w:val="28"/>
          <w:szCs w:val="28"/>
        </w:rPr>
        <w:t>For these reasons, in this Court, the petition for review is no less a “merits stage” brief than is the supplemental brief.</w:t>
      </w:r>
    </w:p>
    <w:p w14:paraId="26C24C5A" w14:textId="3EC74972" w:rsidR="00E251E2" w:rsidRPr="001B3667" w:rsidRDefault="00C32C87" w:rsidP="00E251E2">
      <w:pPr>
        <w:spacing w:line="480" w:lineRule="auto"/>
        <w:jc w:val="both"/>
        <w:rPr>
          <w:rFonts w:ascii="Times New Roman" w:hAnsi="Times New Roman"/>
          <w:b/>
          <w:bCs/>
          <w:sz w:val="28"/>
          <w:szCs w:val="28"/>
          <w:u w:val="single"/>
        </w:rPr>
      </w:pPr>
      <w:r>
        <w:rPr>
          <w:rFonts w:ascii="Times New Roman" w:hAnsi="Times New Roman"/>
          <w:b/>
          <w:bCs/>
          <w:sz w:val="28"/>
          <w:szCs w:val="28"/>
          <w:u w:val="single"/>
        </w:rPr>
        <w:t>Perceived lack of quality</w:t>
      </w:r>
      <w:r w:rsidR="00E251E2">
        <w:rPr>
          <w:rFonts w:ascii="Times New Roman" w:hAnsi="Times New Roman"/>
          <w:b/>
          <w:bCs/>
          <w:sz w:val="28"/>
          <w:szCs w:val="28"/>
          <w:u w:val="single"/>
        </w:rPr>
        <w:t xml:space="preserve"> in simultaneous</w:t>
      </w:r>
      <w:r w:rsidR="00D377B7">
        <w:rPr>
          <w:rFonts w:ascii="Times New Roman" w:hAnsi="Times New Roman"/>
          <w:b/>
          <w:bCs/>
          <w:sz w:val="28"/>
          <w:szCs w:val="28"/>
          <w:u w:val="single"/>
        </w:rPr>
        <w:t xml:space="preserve"> supplemental</w:t>
      </w:r>
      <w:r w:rsidR="00E251E2">
        <w:rPr>
          <w:rFonts w:ascii="Times New Roman" w:hAnsi="Times New Roman"/>
          <w:b/>
          <w:bCs/>
          <w:sz w:val="28"/>
          <w:szCs w:val="28"/>
          <w:u w:val="single"/>
        </w:rPr>
        <w:t xml:space="preserve"> briefing</w:t>
      </w:r>
    </w:p>
    <w:p w14:paraId="3751BEA1" w14:textId="4AD86E3A" w:rsidR="00C32C87" w:rsidRDefault="00E251E2" w:rsidP="001F54B7">
      <w:pPr>
        <w:spacing w:line="480" w:lineRule="auto"/>
        <w:ind w:firstLine="720"/>
        <w:jc w:val="both"/>
        <w:rPr>
          <w:rFonts w:ascii="Times New Roman" w:hAnsi="Times New Roman"/>
          <w:sz w:val="28"/>
          <w:szCs w:val="28"/>
        </w:rPr>
      </w:pPr>
      <w:r>
        <w:rPr>
          <w:rFonts w:ascii="Times New Roman" w:hAnsi="Times New Roman"/>
          <w:sz w:val="28"/>
          <w:szCs w:val="28"/>
        </w:rPr>
        <w:t>Petitioners perceive a lack of quality in supplemental briefs</w:t>
      </w:r>
      <w:r w:rsidR="00F97763">
        <w:rPr>
          <w:rFonts w:ascii="Times New Roman" w:hAnsi="Times New Roman"/>
          <w:sz w:val="28"/>
          <w:szCs w:val="28"/>
        </w:rPr>
        <w:t xml:space="preserve">, which they </w:t>
      </w:r>
      <w:r>
        <w:rPr>
          <w:rFonts w:ascii="Times New Roman" w:hAnsi="Times New Roman"/>
          <w:sz w:val="28"/>
          <w:szCs w:val="28"/>
        </w:rPr>
        <w:t>attribute to</w:t>
      </w:r>
      <w:r w:rsidR="00F97763">
        <w:rPr>
          <w:rFonts w:ascii="Times New Roman" w:hAnsi="Times New Roman"/>
          <w:sz w:val="28"/>
          <w:szCs w:val="28"/>
        </w:rPr>
        <w:t xml:space="preserve"> the fact that</w:t>
      </w:r>
      <w:r>
        <w:rPr>
          <w:rFonts w:ascii="Times New Roman" w:hAnsi="Times New Roman"/>
          <w:sz w:val="28"/>
          <w:szCs w:val="28"/>
        </w:rPr>
        <w:t xml:space="preserve"> </w:t>
      </w:r>
      <w:r w:rsidR="00515E8D">
        <w:rPr>
          <w:rFonts w:ascii="Times New Roman" w:hAnsi="Times New Roman"/>
          <w:sz w:val="28"/>
          <w:szCs w:val="28"/>
        </w:rPr>
        <w:t xml:space="preserve">simultaneous briefing </w:t>
      </w:r>
      <w:r w:rsidR="00F97763">
        <w:rPr>
          <w:rFonts w:ascii="Times New Roman" w:hAnsi="Times New Roman"/>
          <w:sz w:val="28"/>
          <w:szCs w:val="28"/>
        </w:rPr>
        <w:t>requires the parties to anticipate arguments and not be able to respond to their opponents’ arguments.</w:t>
      </w:r>
    </w:p>
    <w:p w14:paraId="5F40CEFD" w14:textId="06068328" w:rsidR="00013D7C" w:rsidRDefault="002D3F50" w:rsidP="001F54B7">
      <w:pPr>
        <w:spacing w:line="480" w:lineRule="auto"/>
        <w:ind w:firstLine="720"/>
        <w:jc w:val="both"/>
        <w:rPr>
          <w:rFonts w:ascii="Times New Roman" w:hAnsi="Times New Roman"/>
          <w:sz w:val="28"/>
          <w:szCs w:val="28"/>
        </w:rPr>
      </w:pPr>
      <w:r>
        <w:rPr>
          <w:rFonts w:ascii="Times New Roman" w:hAnsi="Times New Roman"/>
          <w:sz w:val="28"/>
          <w:szCs w:val="28"/>
        </w:rPr>
        <w:t>What Petitioners see as a bug, I see as a feature. Simultaneous briefing</w:t>
      </w:r>
      <w:r w:rsidR="00C32C87">
        <w:rPr>
          <w:rFonts w:ascii="Times New Roman" w:hAnsi="Times New Roman"/>
          <w:sz w:val="28"/>
          <w:szCs w:val="28"/>
        </w:rPr>
        <w:t xml:space="preserve"> requires the lawyer to </w:t>
      </w:r>
      <w:r>
        <w:rPr>
          <w:rFonts w:ascii="Times New Roman" w:hAnsi="Times New Roman"/>
          <w:sz w:val="28"/>
          <w:szCs w:val="28"/>
        </w:rPr>
        <w:t>engage in</w:t>
      </w:r>
      <w:r w:rsidR="00C32C87">
        <w:rPr>
          <w:rFonts w:ascii="Times New Roman" w:hAnsi="Times New Roman"/>
          <w:sz w:val="28"/>
          <w:szCs w:val="28"/>
        </w:rPr>
        <w:t xml:space="preserve"> deep thought </w:t>
      </w:r>
      <w:r>
        <w:rPr>
          <w:rFonts w:ascii="Times New Roman" w:hAnsi="Times New Roman"/>
          <w:sz w:val="28"/>
          <w:szCs w:val="28"/>
        </w:rPr>
        <w:t xml:space="preserve">about the </w:t>
      </w:r>
      <w:r w:rsidR="00D711F9">
        <w:rPr>
          <w:rFonts w:ascii="Times New Roman" w:hAnsi="Times New Roman"/>
          <w:sz w:val="28"/>
          <w:szCs w:val="28"/>
        </w:rPr>
        <w:t>contours</w:t>
      </w:r>
      <w:r>
        <w:rPr>
          <w:rFonts w:ascii="Times New Roman" w:hAnsi="Times New Roman"/>
          <w:sz w:val="28"/>
          <w:szCs w:val="28"/>
        </w:rPr>
        <w:t xml:space="preserve"> of the case, explore </w:t>
      </w:r>
      <w:r>
        <w:rPr>
          <w:rFonts w:ascii="Times New Roman" w:hAnsi="Times New Roman"/>
          <w:sz w:val="28"/>
          <w:szCs w:val="28"/>
        </w:rPr>
        <w:lastRenderedPageBreak/>
        <w:t>all the angles, and anticipate the best opposing arguments that can be made and counter them.</w:t>
      </w:r>
      <w:r w:rsidR="006B6B9E">
        <w:rPr>
          <w:rFonts w:ascii="Times New Roman" w:hAnsi="Times New Roman"/>
          <w:sz w:val="28"/>
          <w:szCs w:val="28"/>
        </w:rPr>
        <w:t xml:space="preserve"> In this way, appellate litigation is like chess. And like chess, litigation is not merely strategy and research but also art.</w:t>
      </w:r>
      <w:r w:rsidR="008F2BD6">
        <w:rPr>
          <w:rFonts w:ascii="Times New Roman" w:hAnsi="Times New Roman"/>
          <w:sz w:val="28"/>
          <w:szCs w:val="28"/>
        </w:rPr>
        <w:t xml:space="preserve"> Therefore</w:t>
      </w:r>
      <w:r w:rsidR="006B6B9E">
        <w:rPr>
          <w:rFonts w:ascii="Times New Roman" w:hAnsi="Times New Roman"/>
          <w:sz w:val="28"/>
          <w:szCs w:val="28"/>
        </w:rPr>
        <w:t>,</w:t>
      </w:r>
      <w:r w:rsidR="008F2BD6">
        <w:rPr>
          <w:rFonts w:ascii="Times New Roman" w:hAnsi="Times New Roman"/>
          <w:sz w:val="28"/>
          <w:szCs w:val="28"/>
        </w:rPr>
        <w:t xml:space="preserve"> litigation requires imagination.</w:t>
      </w:r>
      <w:r w:rsidR="006B6B9E">
        <w:rPr>
          <w:rFonts w:ascii="Times New Roman" w:hAnsi="Times New Roman"/>
          <w:sz w:val="28"/>
          <w:szCs w:val="28"/>
        </w:rPr>
        <w:t xml:space="preserve"> Of course, appellate lawyers do not engage in the theatrics of trial lawyers, but that does not mean we should dispense with creativity altogether.</w:t>
      </w:r>
    </w:p>
    <w:p w14:paraId="446C7343" w14:textId="592DAC77" w:rsidR="00C32C87" w:rsidRDefault="00013D7C" w:rsidP="001F54B7">
      <w:pPr>
        <w:spacing w:line="480" w:lineRule="auto"/>
        <w:ind w:firstLine="720"/>
        <w:jc w:val="both"/>
        <w:rPr>
          <w:rFonts w:ascii="Times New Roman" w:hAnsi="Times New Roman"/>
          <w:sz w:val="28"/>
          <w:szCs w:val="28"/>
        </w:rPr>
      </w:pPr>
      <w:r>
        <w:rPr>
          <w:rFonts w:ascii="Times New Roman" w:hAnsi="Times New Roman"/>
          <w:sz w:val="28"/>
          <w:szCs w:val="28"/>
        </w:rPr>
        <w:t>When this Court grants review, the standard order states</w:t>
      </w:r>
      <w:r w:rsidR="00D711F9">
        <w:rPr>
          <w:rFonts w:ascii="Times New Roman" w:hAnsi="Times New Roman"/>
          <w:sz w:val="28"/>
          <w:szCs w:val="28"/>
        </w:rPr>
        <w:t>: “</w:t>
      </w:r>
      <w:r w:rsidR="00D711F9" w:rsidRPr="00D711F9">
        <w:rPr>
          <w:rFonts w:ascii="Times New Roman" w:hAnsi="Times New Roman"/>
          <w:sz w:val="28"/>
          <w:szCs w:val="28"/>
        </w:rPr>
        <w:t>This order should not be construed as an invitation to repeat the contents of the Petition for Review, the Response, or any Reply</w:t>
      </w:r>
      <w:r w:rsidR="00D711F9">
        <w:rPr>
          <w:rFonts w:ascii="Times New Roman" w:hAnsi="Times New Roman"/>
          <w:sz w:val="28"/>
          <w:szCs w:val="28"/>
        </w:rPr>
        <w:t xml:space="preserve">.” </w:t>
      </w:r>
      <w:r w:rsidR="00A75BF6">
        <w:rPr>
          <w:rFonts w:ascii="Times New Roman" w:hAnsi="Times New Roman"/>
          <w:sz w:val="28"/>
          <w:szCs w:val="28"/>
        </w:rPr>
        <w:t>Some</w:t>
      </w:r>
      <w:r w:rsidR="00D711F9">
        <w:rPr>
          <w:rFonts w:ascii="Times New Roman" w:hAnsi="Times New Roman"/>
          <w:sz w:val="28"/>
          <w:szCs w:val="28"/>
        </w:rPr>
        <w:t xml:space="preserve"> briefs </w:t>
      </w:r>
      <w:r w:rsidR="00A75BF6">
        <w:rPr>
          <w:rFonts w:ascii="Times New Roman" w:hAnsi="Times New Roman"/>
          <w:sz w:val="28"/>
          <w:szCs w:val="28"/>
        </w:rPr>
        <w:t>are written in a manner that repeats the essential arguments but adds new citations, which suggests that</w:t>
      </w:r>
      <w:r w:rsidR="00D711F9">
        <w:rPr>
          <w:rFonts w:ascii="Times New Roman" w:hAnsi="Times New Roman"/>
          <w:sz w:val="28"/>
          <w:szCs w:val="28"/>
        </w:rPr>
        <w:t xml:space="preserve"> </w:t>
      </w:r>
      <w:r w:rsidR="00A75BF6">
        <w:rPr>
          <w:rFonts w:ascii="Times New Roman" w:hAnsi="Times New Roman"/>
          <w:sz w:val="28"/>
          <w:szCs w:val="28"/>
        </w:rPr>
        <w:t>some</w:t>
      </w:r>
      <w:r w:rsidR="00D711F9">
        <w:rPr>
          <w:rFonts w:ascii="Times New Roman" w:hAnsi="Times New Roman"/>
          <w:sz w:val="28"/>
          <w:szCs w:val="28"/>
        </w:rPr>
        <w:t xml:space="preserve"> lawyers interpret this order as only prohibiting</w:t>
      </w:r>
      <w:r>
        <w:rPr>
          <w:rFonts w:ascii="Times New Roman" w:hAnsi="Times New Roman"/>
          <w:sz w:val="28"/>
          <w:szCs w:val="28"/>
        </w:rPr>
        <w:t xml:space="preserve"> copy</w:t>
      </w:r>
      <w:r w:rsidR="00D711F9">
        <w:rPr>
          <w:rFonts w:ascii="Times New Roman" w:hAnsi="Times New Roman"/>
          <w:sz w:val="28"/>
          <w:szCs w:val="28"/>
        </w:rPr>
        <w:t>-</w:t>
      </w:r>
      <w:r>
        <w:rPr>
          <w:rFonts w:ascii="Times New Roman" w:hAnsi="Times New Roman"/>
          <w:sz w:val="28"/>
          <w:szCs w:val="28"/>
        </w:rPr>
        <w:t>and</w:t>
      </w:r>
      <w:r w:rsidR="00D711F9">
        <w:rPr>
          <w:rFonts w:ascii="Times New Roman" w:hAnsi="Times New Roman"/>
          <w:sz w:val="28"/>
          <w:szCs w:val="28"/>
        </w:rPr>
        <w:t>-</w:t>
      </w:r>
      <w:r>
        <w:rPr>
          <w:rFonts w:ascii="Times New Roman" w:hAnsi="Times New Roman"/>
          <w:sz w:val="28"/>
          <w:szCs w:val="28"/>
        </w:rPr>
        <w:t>paste</w:t>
      </w:r>
      <w:r w:rsidR="00D711F9">
        <w:rPr>
          <w:rFonts w:ascii="Times New Roman" w:hAnsi="Times New Roman"/>
          <w:sz w:val="28"/>
          <w:szCs w:val="28"/>
        </w:rPr>
        <w:t xml:space="preserve"> job</w:t>
      </w:r>
      <w:r w:rsidR="00A75BF6">
        <w:rPr>
          <w:rFonts w:ascii="Times New Roman" w:hAnsi="Times New Roman"/>
          <w:sz w:val="28"/>
          <w:szCs w:val="28"/>
        </w:rPr>
        <w:t>s</w:t>
      </w:r>
      <w:r>
        <w:rPr>
          <w:rFonts w:ascii="Times New Roman" w:hAnsi="Times New Roman"/>
          <w:sz w:val="28"/>
          <w:szCs w:val="28"/>
        </w:rPr>
        <w:t xml:space="preserve">. Petitioners’ proposal </w:t>
      </w:r>
      <w:r w:rsidR="00E866CC" w:rsidRPr="008F2BD6">
        <w:rPr>
          <w:rFonts w:ascii="Times New Roman" w:hAnsi="Times New Roman"/>
          <w:b/>
          <w:bCs/>
          <w:sz w:val="28"/>
          <w:szCs w:val="28"/>
          <w:u w:val="single"/>
        </w:rPr>
        <w:t>might</w:t>
      </w:r>
      <w:r w:rsidR="00E866CC">
        <w:rPr>
          <w:rFonts w:ascii="Times New Roman" w:hAnsi="Times New Roman"/>
          <w:sz w:val="28"/>
          <w:szCs w:val="28"/>
        </w:rPr>
        <w:t xml:space="preserve"> help an unimaginative respondent</w:t>
      </w:r>
      <w:r w:rsidR="008F2BD6">
        <w:rPr>
          <w:rFonts w:ascii="Times New Roman" w:hAnsi="Times New Roman"/>
          <w:sz w:val="28"/>
          <w:szCs w:val="28"/>
        </w:rPr>
        <w:t xml:space="preserve"> (</w:t>
      </w:r>
      <w:r w:rsidR="00D711F9">
        <w:rPr>
          <w:rFonts w:ascii="Times New Roman" w:hAnsi="Times New Roman"/>
          <w:sz w:val="28"/>
          <w:szCs w:val="28"/>
        </w:rPr>
        <w:t>then again,</w:t>
      </w:r>
      <w:r w:rsidR="008F2BD6">
        <w:rPr>
          <w:rFonts w:ascii="Times New Roman" w:hAnsi="Times New Roman"/>
          <w:sz w:val="28"/>
          <w:szCs w:val="28"/>
        </w:rPr>
        <w:t xml:space="preserve"> </w:t>
      </w:r>
      <w:r w:rsidR="00D711F9">
        <w:rPr>
          <w:rFonts w:ascii="Times New Roman" w:hAnsi="Times New Roman"/>
          <w:sz w:val="28"/>
          <w:szCs w:val="28"/>
        </w:rPr>
        <w:t>maybe not</w:t>
      </w:r>
      <w:r w:rsidR="008F2BD6">
        <w:rPr>
          <w:rFonts w:ascii="Times New Roman" w:hAnsi="Times New Roman"/>
          <w:sz w:val="28"/>
          <w:szCs w:val="28"/>
        </w:rPr>
        <w:t xml:space="preserve">); </w:t>
      </w:r>
      <w:r w:rsidR="00E866CC">
        <w:rPr>
          <w:rFonts w:ascii="Times New Roman" w:hAnsi="Times New Roman"/>
          <w:sz w:val="28"/>
          <w:szCs w:val="28"/>
        </w:rPr>
        <w:t>but</w:t>
      </w:r>
      <w:r w:rsidR="008F2BD6">
        <w:rPr>
          <w:rFonts w:ascii="Times New Roman" w:hAnsi="Times New Roman"/>
          <w:sz w:val="28"/>
          <w:szCs w:val="28"/>
        </w:rPr>
        <w:t xml:space="preserve"> it</w:t>
      </w:r>
      <w:r w:rsidR="00E866CC">
        <w:rPr>
          <w:rFonts w:ascii="Times New Roman" w:hAnsi="Times New Roman"/>
          <w:sz w:val="28"/>
          <w:szCs w:val="28"/>
        </w:rPr>
        <w:t xml:space="preserve"> </w:t>
      </w:r>
      <w:r w:rsidR="008F2BD6">
        <w:rPr>
          <w:rFonts w:ascii="Times New Roman" w:hAnsi="Times New Roman"/>
          <w:sz w:val="28"/>
          <w:szCs w:val="28"/>
        </w:rPr>
        <w:t>c</w:t>
      </w:r>
      <w:r w:rsidR="00E866CC">
        <w:rPr>
          <w:rFonts w:ascii="Times New Roman" w:hAnsi="Times New Roman"/>
          <w:sz w:val="28"/>
          <w:szCs w:val="28"/>
        </w:rPr>
        <w:t>ould do nothing to help the unimaginative petitioner.</w:t>
      </w:r>
    </w:p>
    <w:p w14:paraId="526473D4" w14:textId="64FC4EFD" w:rsidR="00013D7C" w:rsidRDefault="006B6B9E" w:rsidP="001F54B7">
      <w:pPr>
        <w:spacing w:line="480" w:lineRule="auto"/>
        <w:ind w:firstLine="720"/>
        <w:jc w:val="both"/>
        <w:rPr>
          <w:rFonts w:ascii="Times New Roman" w:hAnsi="Times New Roman"/>
          <w:sz w:val="28"/>
          <w:szCs w:val="28"/>
        </w:rPr>
      </w:pPr>
      <w:r>
        <w:rPr>
          <w:rFonts w:ascii="Times New Roman" w:hAnsi="Times New Roman"/>
          <w:sz w:val="28"/>
          <w:szCs w:val="28"/>
        </w:rPr>
        <w:t>If Petitioners’ proposal were adopted, t</w:t>
      </w:r>
      <w:r w:rsidR="008F2BD6">
        <w:rPr>
          <w:rFonts w:ascii="Times New Roman" w:hAnsi="Times New Roman"/>
          <w:sz w:val="28"/>
          <w:szCs w:val="28"/>
        </w:rPr>
        <w:t xml:space="preserve">he best value </w:t>
      </w:r>
      <w:r>
        <w:rPr>
          <w:rFonts w:ascii="Times New Roman" w:hAnsi="Times New Roman"/>
          <w:sz w:val="28"/>
          <w:szCs w:val="28"/>
        </w:rPr>
        <w:t xml:space="preserve">that litigants will obtain from being able to file an </w:t>
      </w:r>
      <w:r w:rsidR="008F2BD6">
        <w:rPr>
          <w:rFonts w:ascii="Times New Roman" w:hAnsi="Times New Roman"/>
          <w:sz w:val="28"/>
          <w:szCs w:val="28"/>
        </w:rPr>
        <w:t xml:space="preserve">answering brief </w:t>
      </w:r>
      <w:r>
        <w:rPr>
          <w:rFonts w:ascii="Times New Roman" w:hAnsi="Times New Roman"/>
          <w:sz w:val="28"/>
          <w:szCs w:val="28"/>
        </w:rPr>
        <w:t>or</w:t>
      </w:r>
      <w:r w:rsidR="008F2BD6">
        <w:rPr>
          <w:rFonts w:ascii="Times New Roman" w:hAnsi="Times New Roman"/>
          <w:sz w:val="28"/>
          <w:szCs w:val="28"/>
        </w:rPr>
        <w:t xml:space="preserve"> reply brief is</w:t>
      </w:r>
      <w:r>
        <w:rPr>
          <w:rFonts w:ascii="Times New Roman" w:hAnsi="Times New Roman"/>
          <w:sz w:val="28"/>
          <w:szCs w:val="28"/>
        </w:rPr>
        <w:t xml:space="preserve"> in</w:t>
      </w:r>
      <w:r w:rsidR="008F2BD6">
        <w:rPr>
          <w:rFonts w:ascii="Times New Roman" w:hAnsi="Times New Roman"/>
          <w:sz w:val="28"/>
          <w:szCs w:val="28"/>
        </w:rPr>
        <w:t xml:space="preserve"> addressing the authorities cited in the opening brief or answering brief. </w:t>
      </w:r>
      <w:r w:rsidR="00AC21D5">
        <w:rPr>
          <w:rFonts w:ascii="Times New Roman" w:hAnsi="Times New Roman"/>
          <w:sz w:val="28"/>
          <w:szCs w:val="28"/>
        </w:rPr>
        <w:t xml:space="preserve">I do not see this as good cause for substantially expanding the briefing process, as the litigants can address those authorities </w:t>
      </w:r>
      <w:r w:rsidR="008F2BD6">
        <w:rPr>
          <w:rFonts w:ascii="Times New Roman" w:hAnsi="Times New Roman"/>
          <w:sz w:val="28"/>
          <w:szCs w:val="28"/>
        </w:rPr>
        <w:t>at oral argument.</w:t>
      </w:r>
      <w:r w:rsidR="00AC21D5">
        <w:rPr>
          <w:rFonts w:ascii="Times New Roman" w:hAnsi="Times New Roman"/>
          <w:sz w:val="28"/>
          <w:szCs w:val="28"/>
        </w:rPr>
        <w:t xml:space="preserve"> Although the 20 minutes of oral argument does go by fast, I have never felt that I lacked opportunity to counter my opponent’s supplemental brief while at the podium, and my opponents seem </w:t>
      </w:r>
      <w:r w:rsidR="00D711F9">
        <w:rPr>
          <w:rFonts w:ascii="Times New Roman" w:hAnsi="Times New Roman"/>
          <w:sz w:val="28"/>
          <w:szCs w:val="28"/>
        </w:rPr>
        <w:t xml:space="preserve">equally </w:t>
      </w:r>
      <w:r w:rsidR="00AC21D5">
        <w:rPr>
          <w:rFonts w:ascii="Times New Roman" w:hAnsi="Times New Roman"/>
          <w:sz w:val="28"/>
          <w:szCs w:val="28"/>
        </w:rPr>
        <w:t>able.</w:t>
      </w:r>
    </w:p>
    <w:p w14:paraId="3B064ED6" w14:textId="77777777" w:rsidR="006933C3" w:rsidRDefault="006933C3" w:rsidP="001F54B7">
      <w:pPr>
        <w:spacing w:line="480" w:lineRule="auto"/>
        <w:ind w:firstLine="720"/>
        <w:jc w:val="both"/>
        <w:rPr>
          <w:rFonts w:ascii="Times New Roman" w:hAnsi="Times New Roman"/>
          <w:sz w:val="28"/>
          <w:szCs w:val="28"/>
        </w:rPr>
      </w:pPr>
    </w:p>
    <w:p w14:paraId="7F7D03A8" w14:textId="77777777" w:rsidR="00C32C87" w:rsidRPr="001B3667" w:rsidRDefault="00C32C87" w:rsidP="00C32C87">
      <w:pPr>
        <w:spacing w:line="480" w:lineRule="auto"/>
        <w:jc w:val="both"/>
        <w:rPr>
          <w:rFonts w:ascii="Times New Roman" w:hAnsi="Times New Roman"/>
          <w:b/>
          <w:bCs/>
          <w:sz w:val="28"/>
          <w:szCs w:val="28"/>
          <w:u w:val="single"/>
        </w:rPr>
      </w:pPr>
      <w:r>
        <w:rPr>
          <w:rFonts w:ascii="Times New Roman" w:hAnsi="Times New Roman"/>
          <w:b/>
          <w:bCs/>
          <w:sz w:val="28"/>
          <w:szCs w:val="28"/>
          <w:u w:val="single"/>
        </w:rPr>
        <w:lastRenderedPageBreak/>
        <w:t>Raising new issues in simultaneous supplemental briefing</w:t>
      </w:r>
    </w:p>
    <w:p w14:paraId="07A1E339" w14:textId="4DD678FD" w:rsidR="00F97763" w:rsidRDefault="00C32C87" w:rsidP="001F54B7">
      <w:pPr>
        <w:spacing w:line="480" w:lineRule="auto"/>
        <w:ind w:firstLine="720"/>
        <w:jc w:val="both"/>
        <w:rPr>
          <w:rFonts w:ascii="Times New Roman" w:hAnsi="Times New Roman"/>
          <w:sz w:val="28"/>
          <w:szCs w:val="28"/>
        </w:rPr>
      </w:pPr>
      <w:r>
        <w:rPr>
          <w:rFonts w:ascii="Times New Roman" w:hAnsi="Times New Roman"/>
          <w:sz w:val="28"/>
          <w:szCs w:val="28"/>
        </w:rPr>
        <w:t>Petitioners</w:t>
      </w:r>
      <w:r w:rsidR="00F75214">
        <w:rPr>
          <w:rFonts w:ascii="Times New Roman" w:hAnsi="Times New Roman"/>
          <w:sz w:val="28"/>
          <w:szCs w:val="28"/>
        </w:rPr>
        <w:t xml:space="preserve"> also express concern that parties are using</w:t>
      </w:r>
      <w:r w:rsidR="00D711F9">
        <w:rPr>
          <w:rFonts w:ascii="Times New Roman" w:hAnsi="Times New Roman"/>
          <w:sz w:val="28"/>
          <w:szCs w:val="28"/>
        </w:rPr>
        <w:t xml:space="preserve"> supplemental briefs and</w:t>
      </w:r>
      <w:r w:rsidR="00F75214">
        <w:rPr>
          <w:rFonts w:ascii="Times New Roman" w:hAnsi="Times New Roman"/>
          <w:sz w:val="28"/>
          <w:szCs w:val="28"/>
        </w:rPr>
        <w:t xml:space="preserve"> responses to amicus briefs to raise new issues. While problems may exist,</w:t>
      </w:r>
      <w:r w:rsidR="00F97763">
        <w:rPr>
          <w:rFonts w:ascii="Times New Roman" w:hAnsi="Times New Roman"/>
          <w:sz w:val="28"/>
          <w:szCs w:val="28"/>
        </w:rPr>
        <w:t xml:space="preserve"> Petitioners</w:t>
      </w:r>
      <w:r w:rsidR="00F75214">
        <w:rPr>
          <w:rFonts w:ascii="Times New Roman" w:hAnsi="Times New Roman"/>
          <w:sz w:val="28"/>
          <w:szCs w:val="28"/>
        </w:rPr>
        <w:t>’</w:t>
      </w:r>
      <w:r w:rsidR="00F97763">
        <w:rPr>
          <w:rFonts w:ascii="Times New Roman" w:hAnsi="Times New Roman"/>
          <w:sz w:val="28"/>
          <w:szCs w:val="28"/>
        </w:rPr>
        <w:t xml:space="preserve"> </w:t>
      </w:r>
      <w:r w:rsidR="00F75214">
        <w:rPr>
          <w:rFonts w:ascii="Times New Roman" w:hAnsi="Times New Roman"/>
          <w:sz w:val="28"/>
          <w:szCs w:val="28"/>
        </w:rPr>
        <w:t>proposed solution would not address them</w:t>
      </w:r>
      <w:r w:rsidR="00F97763">
        <w:rPr>
          <w:rFonts w:ascii="Times New Roman" w:hAnsi="Times New Roman"/>
          <w:sz w:val="28"/>
          <w:szCs w:val="28"/>
        </w:rPr>
        <w:t>.</w:t>
      </w:r>
    </w:p>
    <w:p w14:paraId="76645841" w14:textId="1B8BAC94" w:rsidR="00F97763" w:rsidRDefault="006B6B9E" w:rsidP="001F54B7">
      <w:pPr>
        <w:spacing w:line="480" w:lineRule="auto"/>
        <w:ind w:firstLine="720"/>
        <w:jc w:val="both"/>
        <w:rPr>
          <w:rFonts w:ascii="Times New Roman" w:hAnsi="Times New Roman"/>
          <w:sz w:val="28"/>
          <w:szCs w:val="28"/>
        </w:rPr>
      </w:pPr>
      <w:r>
        <w:rPr>
          <w:rFonts w:ascii="Times New Roman" w:hAnsi="Times New Roman"/>
          <w:sz w:val="28"/>
          <w:szCs w:val="28"/>
        </w:rPr>
        <w:t xml:space="preserve">By the time this Court grants review, the parties have already had an opportunity to file briefs in the court of appeals and a petition or response in this Court. </w:t>
      </w:r>
      <w:r w:rsidR="00F97763">
        <w:rPr>
          <w:rFonts w:ascii="Times New Roman" w:hAnsi="Times New Roman"/>
          <w:sz w:val="28"/>
          <w:szCs w:val="28"/>
        </w:rPr>
        <w:t xml:space="preserve">The parties should </w:t>
      </w:r>
      <w:r>
        <w:rPr>
          <w:rFonts w:ascii="Times New Roman" w:hAnsi="Times New Roman"/>
          <w:sz w:val="28"/>
          <w:szCs w:val="28"/>
        </w:rPr>
        <w:t xml:space="preserve">not </w:t>
      </w:r>
      <w:r w:rsidR="00F97763">
        <w:rPr>
          <w:rFonts w:ascii="Times New Roman" w:hAnsi="Times New Roman"/>
          <w:sz w:val="28"/>
          <w:szCs w:val="28"/>
        </w:rPr>
        <w:t>be raising new issues in their supplemental briefs</w:t>
      </w:r>
      <w:r>
        <w:rPr>
          <w:rFonts w:ascii="Times New Roman" w:hAnsi="Times New Roman"/>
          <w:sz w:val="28"/>
          <w:szCs w:val="28"/>
        </w:rPr>
        <w:t xml:space="preserve"> or in responses to amicus briefs</w:t>
      </w:r>
      <w:r w:rsidR="00F97763">
        <w:rPr>
          <w:rFonts w:ascii="Times New Roman" w:hAnsi="Times New Roman"/>
          <w:sz w:val="28"/>
          <w:szCs w:val="28"/>
        </w:rPr>
        <w:t>. For years the policy of this Court has been</w:t>
      </w:r>
      <w:r w:rsidR="00F500BC">
        <w:rPr>
          <w:rFonts w:ascii="Times New Roman" w:hAnsi="Times New Roman"/>
          <w:sz w:val="28"/>
          <w:szCs w:val="28"/>
        </w:rPr>
        <w:t xml:space="preserve"> that “[a]rguments raised initially in a supplemental brief are generally deemed waived</w:t>
      </w:r>
      <w:r w:rsidR="00F97763">
        <w:rPr>
          <w:rFonts w:ascii="Times New Roman" w:hAnsi="Times New Roman"/>
          <w:sz w:val="28"/>
          <w:szCs w:val="28"/>
        </w:rPr>
        <w:t>.</w:t>
      </w:r>
      <w:r w:rsidR="00F500BC">
        <w:rPr>
          <w:rFonts w:ascii="Times New Roman" w:hAnsi="Times New Roman"/>
          <w:sz w:val="28"/>
          <w:szCs w:val="28"/>
        </w:rPr>
        <w:t>”</w:t>
      </w:r>
      <w:r w:rsidR="00F97763">
        <w:rPr>
          <w:rFonts w:ascii="Times New Roman" w:hAnsi="Times New Roman"/>
          <w:sz w:val="28"/>
          <w:szCs w:val="28"/>
        </w:rPr>
        <w:t xml:space="preserve"> </w:t>
      </w:r>
      <w:r w:rsidR="00F500BC">
        <w:rPr>
          <w:rFonts w:ascii="Times New Roman" w:hAnsi="Times New Roman"/>
          <w:i/>
          <w:iCs/>
          <w:sz w:val="28"/>
          <w:szCs w:val="28"/>
        </w:rPr>
        <w:t>Estate of DeSela</w:t>
      </w:r>
      <w:r w:rsidR="00F97763" w:rsidRPr="00F97763">
        <w:rPr>
          <w:rFonts w:ascii="Times New Roman" w:hAnsi="Times New Roman"/>
          <w:i/>
          <w:iCs/>
          <w:sz w:val="28"/>
          <w:szCs w:val="28"/>
        </w:rPr>
        <w:t xml:space="preserve"> v. </w:t>
      </w:r>
      <w:r w:rsidR="00F500BC">
        <w:rPr>
          <w:rFonts w:ascii="Times New Roman" w:hAnsi="Times New Roman"/>
          <w:i/>
          <w:iCs/>
          <w:sz w:val="28"/>
          <w:szCs w:val="28"/>
        </w:rPr>
        <w:t>Prescott Unified School Dist. No. 1</w:t>
      </w:r>
      <w:r w:rsidR="00F97763">
        <w:rPr>
          <w:rFonts w:ascii="Times New Roman" w:hAnsi="Times New Roman"/>
          <w:sz w:val="28"/>
          <w:szCs w:val="28"/>
        </w:rPr>
        <w:t>, 2</w:t>
      </w:r>
      <w:r w:rsidR="00F500BC">
        <w:rPr>
          <w:rFonts w:ascii="Times New Roman" w:hAnsi="Times New Roman"/>
          <w:sz w:val="28"/>
          <w:szCs w:val="28"/>
        </w:rPr>
        <w:t>26</w:t>
      </w:r>
      <w:r w:rsidR="00F97763">
        <w:rPr>
          <w:rFonts w:ascii="Times New Roman" w:hAnsi="Times New Roman"/>
          <w:sz w:val="28"/>
          <w:szCs w:val="28"/>
        </w:rPr>
        <w:t xml:space="preserve"> Ariz. </w:t>
      </w:r>
      <w:r w:rsidR="00F500BC">
        <w:rPr>
          <w:rFonts w:ascii="Times New Roman" w:hAnsi="Times New Roman"/>
          <w:sz w:val="28"/>
          <w:szCs w:val="28"/>
        </w:rPr>
        <w:t>387, 389 ¶ 8</w:t>
      </w:r>
      <w:r w:rsidR="00F97763">
        <w:rPr>
          <w:rFonts w:ascii="Times New Roman" w:hAnsi="Times New Roman"/>
          <w:sz w:val="28"/>
          <w:szCs w:val="28"/>
        </w:rPr>
        <w:t xml:space="preserve"> (201</w:t>
      </w:r>
      <w:r w:rsidR="00F500BC">
        <w:rPr>
          <w:rFonts w:ascii="Times New Roman" w:hAnsi="Times New Roman"/>
          <w:sz w:val="28"/>
          <w:szCs w:val="28"/>
        </w:rPr>
        <w:t>1</w:t>
      </w:r>
      <w:r w:rsidR="00F97763">
        <w:rPr>
          <w:rFonts w:ascii="Times New Roman" w:hAnsi="Times New Roman"/>
          <w:sz w:val="28"/>
          <w:szCs w:val="28"/>
        </w:rPr>
        <w:t>)</w:t>
      </w:r>
      <w:r w:rsidR="00F500BC">
        <w:rPr>
          <w:rFonts w:ascii="Times New Roman" w:hAnsi="Times New Roman"/>
          <w:sz w:val="28"/>
          <w:szCs w:val="28"/>
        </w:rPr>
        <w:t xml:space="preserve"> (citing </w:t>
      </w:r>
      <w:r w:rsidR="00F500BC" w:rsidRPr="00F500BC">
        <w:rPr>
          <w:rFonts w:ascii="Times New Roman" w:hAnsi="Times New Roman"/>
          <w:i/>
          <w:iCs/>
          <w:sz w:val="28"/>
          <w:szCs w:val="28"/>
        </w:rPr>
        <w:t>Grand v. Nacchio</w:t>
      </w:r>
      <w:r w:rsidR="00F500BC">
        <w:rPr>
          <w:rFonts w:ascii="Times New Roman" w:hAnsi="Times New Roman"/>
          <w:sz w:val="28"/>
          <w:szCs w:val="28"/>
        </w:rPr>
        <w:t xml:space="preserve">, 225 Ariz. 171, 177 ¶ 33 (2010)). Since waiver is a prudential doctrine, this Court may consider an issue raised for the first time in a supplemental brief, but it should do so only when it gives the opposing party an opportunity to respond to the new argument, as occurred in </w:t>
      </w:r>
      <w:r w:rsidR="00F500BC" w:rsidRPr="00F500BC">
        <w:rPr>
          <w:rFonts w:ascii="Times New Roman" w:hAnsi="Times New Roman"/>
          <w:i/>
          <w:iCs/>
          <w:sz w:val="28"/>
          <w:szCs w:val="28"/>
        </w:rPr>
        <w:t>Willis v. Bernini</w:t>
      </w:r>
      <w:r w:rsidR="00F500BC">
        <w:rPr>
          <w:rFonts w:ascii="Times New Roman" w:hAnsi="Times New Roman"/>
          <w:sz w:val="28"/>
          <w:szCs w:val="28"/>
        </w:rPr>
        <w:t>, 253 Ariz. 453, 458 ¶¶ 12-13 (2022)</w:t>
      </w:r>
      <w:r w:rsidR="00F75214">
        <w:rPr>
          <w:rFonts w:ascii="Times New Roman" w:hAnsi="Times New Roman"/>
          <w:sz w:val="28"/>
          <w:szCs w:val="28"/>
        </w:rPr>
        <w:t>.</w:t>
      </w:r>
      <w:r w:rsidR="00F75214">
        <w:rPr>
          <w:rStyle w:val="FootnoteReference"/>
          <w:rFonts w:ascii="Times New Roman" w:hAnsi="Times New Roman"/>
          <w:sz w:val="28"/>
          <w:szCs w:val="28"/>
        </w:rPr>
        <w:footnoteReference w:id="3"/>
      </w:r>
    </w:p>
    <w:p w14:paraId="113EEEC9" w14:textId="0B8BB245" w:rsidR="00F75214" w:rsidRDefault="00F75214" w:rsidP="001F54B7">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The “new arguments” </w:t>
      </w:r>
      <w:r w:rsidR="00C37BB3">
        <w:rPr>
          <w:rFonts w:ascii="Times New Roman" w:hAnsi="Times New Roman"/>
          <w:sz w:val="28"/>
          <w:szCs w:val="28"/>
        </w:rPr>
        <w:t xml:space="preserve">problem </w:t>
      </w:r>
      <w:r>
        <w:rPr>
          <w:rFonts w:ascii="Times New Roman" w:hAnsi="Times New Roman"/>
          <w:sz w:val="28"/>
          <w:szCs w:val="28"/>
        </w:rPr>
        <w:t xml:space="preserve">only exists if this Court fails to police its own rules. Unfortunately, this has occurred twice in the last two years. First, in </w:t>
      </w:r>
      <w:r w:rsidRPr="00F1345A">
        <w:rPr>
          <w:rFonts w:ascii="Times New Roman" w:hAnsi="Times New Roman"/>
          <w:i/>
          <w:iCs/>
          <w:sz w:val="28"/>
          <w:szCs w:val="28"/>
        </w:rPr>
        <w:t>State v. Greene</w:t>
      </w:r>
      <w:r>
        <w:rPr>
          <w:rFonts w:ascii="Times New Roman" w:hAnsi="Times New Roman"/>
          <w:sz w:val="28"/>
          <w:szCs w:val="28"/>
        </w:rPr>
        <w:t>, 25</w:t>
      </w:r>
      <w:r w:rsidR="00F1345A">
        <w:rPr>
          <w:rFonts w:ascii="Times New Roman" w:hAnsi="Times New Roman"/>
          <w:sz w:val="28"/>
          <w:szCs w:val="28"/>
        </w:rPr>
        <w:t xml:space="preserve">5 Ariz. 37 (2023), where the Petitioner’s winning argument was first raised in a response to an amicus brief. Second, in </w:t>
      </w:r>
      <w:r w:rsidR="00F1345A" w:rsidRPr="00F1345A">
        <w:rPr>
          <w:rFonts w:ascii="Times New Roman" w:hAnsi="Times New Roman"/>
          <w:i/>
          <w:iCs/>
          <w:sz w:val="28"/>
          <w:szCs w:val="28"/>
        </w:rPr>
        <w:t>Gilpin v. Harris</w:t>
      </w:r>
      <w:r w:rsidR="00F1345A">
        <w:rPr>
          <w:rFonts w:ascii="Times New Roman" w:hAnsi="Times New Roman"/>
          <w:sz w:val="28"/>
          <w:szCs w:val="28"/>
        </w:rPr>
        <w:t>, 553 P.3d 169</w:t>
      </w:r>
      <w:r w:rsidR="00E92CFE">
        <w:rPr>
          <w:rFonts w:ascii="Times New Roman" w:hAnsi="Times New Roman"/>
          <w:sz w:val="28"/>
          <w:szCs w:val="28"/>
        </w:rPr>
        <w:t>, 176 ¶ 33</w:t>
      </w:r>
      <w:r w:rsidR="00F1345A">
        <w:rPr>
          <w:rFonts w:ascii="Times New Roman" w:hAnsi="Times New Roman"/>
          <w:sz w:val="28"/>
          <w:szCs w:val="28"/>
        </w:rPr>
        <w:t xml:space="preserve"> (2024), this Court criticized the respond</w:t>
      </w:r>
      <w:r w:rsidR="006933C3">
        <w:rPr>
          <w:rFonts w:ascii="Times New Roman" w:hAnsi="Times New Roman"/>
          <w:sz w:val="28"/>
          <w:szCs w:val="28"/>
        </w:rPr>
        <w:t>ent</w:t>
      </w:r>
      <w:r w:rsidR="00F1345A">
        <w:rPr>
          <w:rFonts w:ascii="Times New Roman" w:hAnsi="Times New Roman"/>
          <w:sz w:val="28"/>
          <w:szCs w:val="28"/>
        </w:rPr>
        <w:t xml:space="preserve"> for not making an argument in his response to the petition for review</w:t>
      </w:r>
      <w:r w:rsidR="00E92CFE">
        <w:rPr>
          <w:rFonts w:ascii="Times New Roman" w:hAnsi="Times New Roman"/>
          <w:sz w:val="28"/>
          <w:szCs w:val="28"/>
        </w:rPr>
        <w:t xml:space="preserve"> or the court of appeals</w:t>
      </w:r>
      <w:r w:rsidR="00F1345A">
        <w:rPr>
          <w:rFonts w:ascii="Times New Roman" w:hAnsi="Times New Roman"/>
          <w:sz w:val="28"/>
          <w:szCs w:val="28"/>
        </w:rPr>
        <w:t>, yet the winning argument for the petitioner was first raised in the supplemental brief, as is reflected from the oral argument.</w:t>
      </w:r>
      <w:r w:rsidR="00E92CFE">
        <w:rPr>
          <w:rFonts w:ascii="Times New Roman" w:hAnsi="Times New Roman"/>
          <w:sz w:val="28"/>
          <w:szCs w:val="28"/>
        </w:rPr>
        <w:t xml:space="preserve"> In fact, when respondent’s counsel said that the Gilpin’s failure to raise this issue until her supplemental brief made the case a poor vehicle for the issue, one justice stated, “I would agree with that.”</w:t>
      </w:r>
      <w:r w:rsidR="00F1345A">
        <w:rPr>
          <w:rStyle w:val="FootnoteReference"/>
          <w:rFonts w:ascii="Times New Roman" w:hAnsi="Times New Roman"/>
          <w:sz w:val="28"/>
          <w:szCs w:val="28"/>
        </w:rPr>
        <w:footnoteReference w:id="4"/>
      </w:r>
      <w:r w:rsidR="00E92CFE">
        <w:rPr>
          <w:rFonts w:ascii="Times New Roman" w:hAnsi="Times New Roman"/>
          <w:sz w:val="28"/>
          <w:szCs w:val="28"/>
        </w:rPr>
        <w:t xml:space="preserve"> Rather than dismiss the case as improvidently granted, however, this Court reached the petitioner’s untimely-raised issue and refused to consider the respondent’s counter-argument.</w:t>
      </w:r>
    </w:p>
    <w:p w14:paraId="083E521C" w14:textId="35CB67BE" w:rsidR="00E92CFE" w:rsidRDefault="00E92CFE" w:rsidP="001F54B7">
      <w:pPr>
        <w:spacing w:line="480" w:lineRule="auto"/>
        <w:ind w:firstLine="720"/>
        <w:jc w:val="both"/>
        <w:rPr>
          <w:rFonts w:ascii="Times New Roman" w:hAnsi="Times New Roman"/>
          <w:sz w:val="28"/>
          <w:szCs w:val="28"/>
        </w:rPr>
      </w:pPr>
      <w:r>
        <w:rPr>
          <w:rFonts w:ascii="Times New Roman" w:hAnsi="Times New Roman"/>
          <w:sz w:val="28"/>
          <w:szCs w:val="28"/>
        </w:rPr>
        <w:t>Petitioners suggest that if their rule change was adopted</w:t>
      </w:r>
      <w:r w:rsidR="00D377B7">
        <w:rPr>
          <w:rFonts w:ascii="Times New Roman" w:hAnsi="Times New Roman"/>
          <w:sz w:val="28"/>
          <w:szCs w:val="28"/>
        </w:rPr>
        <w:t>, which would permit for an opening-answering-reply schedule</w:t>
      </w:r>
      <w:r>
        <w:rPr>
          <w:rFonts w:ascii="Times New Roman" w:hAnsi="Times New Roman"/>
          <w:sz w:val="28"/>
          <w:szCs w:val="28"/>
        </w:rPr>
        <w:t>, then this would not happen, because the respondent would have an opportunity to file an answering brief to whatever issues are raised in the initial brief. The fallacy is easily exposed: how would the respondent get a chance to answer any claims raised for the first time in a petitioner’s reply brie</w:t>
      </w:r>
      <w:r w:rsidR="00D377B7">
        <w:rPr>
          <w:rFonts w:ascii="Times New Roman" w:hAnsi="Times New Roman"/>
          <w:sz w:val="28"/>
          <w:szCs w:val="28"/>
        </w:rPr>
        <w:t>f</w:t>
      </w:r>
      <w:r>
        <w:rPr>
          <w:rFonts w:ascii="Times New Roman" w:hAnsi="Times New Roman"/>
          <w:sz w:val="28"/>
          <w:szCs w:val="28"/>
        </w:rPr>
        <w:t>?</w:t>
      </w:r>
      <w:r w:rsidR="00D377B7">
        <w:rPr>
          <w:rFonts w:ascii="Times New Roman" w:hAnsi="Times New Roman"/>
          <w:sz w:val="28"/>
          <w:szCs w:val="28"/>
        </w:rPr>
        <w:t xml:space="preserve"> </w:t>
      </w:r>
      <w:r w:rsidR="00AF12EC">
        <w:rPr>
          <w:rFonts w:ascii="Times New Roman" w:hAnsi="Times New Roman"/>
          <w:sz w:val="28"/>
          <w:szCs w:val="28"/>
        </w:rPr>
        <w:t>I</w:t>
      </w:r>
      <w:r w:rsidR="00D377B7">
        <w:rPr>
          <w:rFonts w:ascii="Times New Roman" w:hAnsi="Times New Roman"/>
          <w:sz w:val="28"/>
          <w:szCs w:val="28"/>
        </w:rPr>
        <w:t xml:space="preserve">t </w:t>
      </w:r>
      <w:r w:rsidR="00AF12EC">
        <w:rPr>
          <w:rFonts w:ascii="Times New Roman" w:hAnsi="Times New Roman"/>
          <w:sz w:val="28"/>
          <w:szCs w:val="28"/>
        </w:rPr>
        <w:t>would be</w:t>
      </w:r>
      <w:r w:rsidR="00D377B7">
        <w:rPr>
          <w:rFonts w:ascii="Times New Roman" w:hAnsi="Times New Roman"/>
          <w:sz w:val="28"/>
          <w:szCs w:val="28"/>
        </w:rPr>
        <w:t xml:space="preserve"> up to this Court to police its practices</w:t>
      </w:r>
      <w:r w:rsidR="00AF12EC">
        <w:rPr>
          <w:rFonts w:ascii="Times New Roman" w:hAnsi="Times New Roman"/>
          <w:sz w:val="28"/>
          <w:szCs w:val="28"/>
        </w:rPr>
        <w:t>, just as it is today</w:t>
      </w:r>
      <w:r w:rsidR="00D377B7">
        <w:rPr>
          <w:rFonts w:ascii="Times New Roman" w:hAnsi="Times New Roman"/>
          <w:sz w:val="28"/>
          <w:szCs w:val="28"/>
        </w:rPr>
        <w:t>.</w:t>
      </w:r>
    </w:p>
    <w:p w14:paraId="1D08B785" w14:textId="5A91D68D" w:rsidR="002D3F50" w:rsidRDefault="00E14AEF" w:rsidP="002D3F50">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It is important </w:t>
      </w:r>
      <w:r w:rsidR="002D3F50">
        <w:rPr>
          <w:rFonts w:ascii="Times New Roman" w:hAnsi="Times New Roman"/>
          <w:sz w:val="28"/>
          <w:szCs w:val="28"/>
        </w:rPr>
        <w:t>t</w:t>
      </w:r>
      <w:r>
        <w:rPr>
          <w:rFonts w:ascii="Times New Roman" w:hAnsi="Times New Roman"/>
          <w:sz w:val="28"/>
          <w:szCs w:val="28"/>
        </w:rPr>
        <w:t>o</w:t>
      </w:r>
      <w:r w:rsidR="002D3F50">
        <w:rPr>
          <w:rFonts w:ascii="Times New Roman" w:hAnsi="Times New Roman"/>
          <w:sz w:val="28"/>
          <w:szCs w:val="28"/>
        </w:rPr>
        <w:t xml:space="preserve"> remember that this Court is not required to hold oral argument or order supplemental briefing; it may decide the case on the petition for review and any response that is filed. In </w:t>
      </w:r>
      <w:r w:rsidR="002D3F50" w:rsidRPr="002D3F50">
        <w:rPr>
          <w:rFonts w:ascii="Times New Roman" w:hAnsi="Times New Roman"/>
          <w:i/>
          <w:iCs/>
          <w:sz w:val="28"/>
          <w:szCs w:val="28"/>
        </w:rPr>
        <w:t>State v. Rogers</w:t>
      </w:r>
      <w:r w:rsidR="002D3F50">
        <w:rPr>
          <w:rFonts w:ascii="Times New Roman" w:hAnsi="Times New Roman"/>
          <w:sz w:val="28"/>
          <w:szCs w:val="28"/>
        </w:rPr>
        <w:t xml:space="preserve">, 186 Ariz. </w:t>
      </w:r>
      <w:r w:rsidR="006B2F75">
        <w:rPr>
          <w:rFonts w:ascii="Times New Roman" w:hAnsi="Times New Roman"/>
          <w:sz w:val="28"/>
          <w:szCs w:val="28"/>
        </w:rPr>
        <w:t xml:space="preserve">508 </w:t>
      </w:r>
      <w:r w:rsidR="002D3F50">
        <w:rPr>
          <w:rFonts w:ascii="Times New Roman" w:hAnsi="Times New Roman"/>
          <w:sz w:val="28"/>
          <w:szCs w:val="28"/>
        </w:rPr>
        <w:t>(1996),</w:t>
      </w:r>
      <w:r w:rsidR="006B2F75">
        <w:rPr>
          <w:rFonts w:ascii="Times New Roman" w:hAnsi="Times New Roman"/>
          <w:sz w:val="28"/>
          <w:szCs w:val="28"/>
        </w:rPr>
        <w:t xml:space="preserve"> this Court granted review and granted relief without a response to the petition for review because the State’s position was adequately developed in its briefing in the court of appeals.</w:t>
      </w:r>
      <w:r w:rsidR="002D3F50">
        <w:rPr>
          <w:rFonts w:ascii="Times New Roman" w:hAnsi="Times New Roman"/>
          <w:sz w:val="28"/>
          <w:szCs w:val="28"/>
        </w:rPr>
        <w:t xml:space="preserve"> </w:t>
      </w:r>
      <w:r w:rsidR="006B2F75">
        <w:rPr>
          <w:rFonts w:ascii="Times New Roman" w:hAnsi="Times New Roman"/>
          <w:sz w:val="28"/>
          <w:szCs w:val="28"/>
        </w:rPr>
        <w:t>“</w:t>
      </w:r>
      <w:r w:rsidR="006B2F75" w:rsidRPr="006B2F75">
        <w:rPr>
          <w:rFonts w:ascii="Times New Roman" w:hAnsi="Times New Roman"/>
          <w:sz w:val="28"/>
          <w:szCs w:val="28"/>
        </w:rPr>
        <w:t>We reject the dissent’s conclusion that a party may improve its position in this court by failing to respond to a petition for review</w:t>
      </w:r>
      <w:r w:rsidR="006B2F75">
        <w:rPr>
          <w:rFonts w:ascii="Times New Roman" w:hAnsi="Times New Roman"/>
          <w:sz w:val="28"/>
          <w:szCs w:val="28"/>
        </w:rPr>
        <w:t xml:space="preserve">.” </w:t>
      </w:r>
      <w:r w:rsidR="006B2F75" w:rsidRPr="006B2F75">
        <w:rPr>
          <w:rFonts w:ascii="Times New Roman" w:hAnsi="Times New Roman"/>
          <w:i/>
          <w:iCs/>
          <w:sz w:val="28"/>
          <w:szCs w:val="28"/>
        </w:rPr>
        <w:t>Id</w:t>
      </w:r>
      <w:r w:rsidR="006B2F75">
        <w:rPr>
          <w:rFonts w:ascii="Times New Roman" w:hAnsi="Times New Roman"/>
          <w:sz w:val="28"/>
          <w:szCs w:val="28"/>
        </w:rPr>
        <w:t xml:space="preserve">. at 512. </w:t>
      </w:r>
      <w:r w:rsidR="002B3E95">
        <w:rPr>
          <w:rFonts w:ascii="Times New Roman" w:hAnsi="Times New Roman"/>
          <w:sz w:val="28"/>
          <w:szCs w:val="28"/>
        </w:rPr>
        <w:t xml:space="preserve">Of course, as recognized in </w:t>
      </w:r>
      <w:r w:rsidR="002B3E95" w:rsidRPr="002B3E95">
        <w:rPr>
          <w:rFonts w:ascii="Times New Roman" w:hAnsi="Times New Roman"/>
          <w:i/>
          <w:iCs/>
          <w:sz w:val="28"/>
          <w:szCs w:val="28"/>
        </w:rPr>
        <w:t>Rogers</w:t>
      </w:r>
      <w:r w:rsidR="002B3E95">
        <w:rPr>
          <w:rFonts w:ascii="Times New Roman" w:hAnsi="Times New Roman"/>
          <w:sz w:val="28"/>
          <w:szCs w:val="28"/>
        </w:rPr>
        <w:t xml:space="preserve">, it is preferable to have supplemental briefing and oral argument </w:t>
      </w:r>
      <w:r w:rsidR="00772AEE">
        <w:rPr>
          <w:rFonts w:ascii="Times New Roman" w:hAnsi="Times New Roman"/>
          <w:sz w:val="28"/>
          <w:szCs w:val="28"/>
        </w:rPr>
        <w:t>to</w:t>
      </w:r>
      <w:r w:rsidR="002B3E95">
        <w:rPr>
          <w:rFonts w:ascii="Times New Roman" w:hAnsi="Times New Roman"/>
          <w:sz w:val="28"/>
          <w:szCs w:val="28"/>
        </w:rPr>
        <w:t xml:space="preserve"> provide as much information as possible to the Court. But ultimately, it is this Court’s prerogative, and the Petition would build into the rule requirements that this Court does not need to follow in every case.</w:t>
      </w:r>
      <w:r w:rsidR="00772AEE">
        <w:rPr>
          <w:rFonts w:ascii="Times New Roman" w:hAnsi="Times New Roman"/>
          <w:sz w:val="28"/>
          <w:szCs w:val="28"/>
        </w:rPr>
        <w:t xml:space="preserve"> Where the petition and response adequately set forth the issue, this Court has recently made use of decision orders to quickly resolve cases that were wrongly decided below.</w:t>
      </w:r>
    </w:p>
    <w:p w14:paraId="08835191" w14:textId="558DD21B" w:rsidR="00204B28" w:rsidRPr="001B3667" w:rsidRDefault="00204B28" w:rsidP="00204B28">
      <w:pPr>
        <w:spacing w:line="480" w:lineRule="auto"/>
        <w:jc w:val="both"/>
        <w:rPr>
          <w:rFonts w:ascii="Times New Roman" w:hAnsi="Times New Roman"/>
          <w:b/>
          <w:bCs/>
          <w:sz w:val="28"/>
          <w:szCs w:val="28"/>
          <w:u w:val="single"/>
        </w:rPr>
      </w:pPr>
      <w:r>
        <w:rPr>
          <w:rFonts w:ascii="Times New Roman" w:hAnsi="Times New Roman"/>
          <w:b/>
          <w:bCs/>
          <w:sz w:val="28"/>
          <w:szCs w:val="28"/>
          <w:u w:val="single"/>
        </w:rPr>
        <w:t>The costs of the</w:t>
      </w:r>
      <w:r w:rsidR="000A3680">
        <w:rPr>
          <w:rFonts w:ascii="Times New Roman" w:hAnsi="Times New Roman"/>
          <w:b/>
          <w:bCs/>
          <w:sz w:val="28"/>
          <w:szCs w:val="28"/>
          <w:u w:val="single"/>
        </w:rPr>
        <w:t xml:space="preserve"> sequential-briefing</w:t>
      </w:r>
      <w:r>
        <w:rPr>
          <w:rFonts w:ascii="Times New Roman" w:hAnsi="Times New Roman"/>
          <w:b/>
          <w:bCs/>
          <w:sz w:val="28"/>
          <w:szCs w:val="28"/>
          <w:u w:val="single"/>
        </w:rPr>
        <w:t xml:space="preserve"> proposal far outweigh any benefits</w:t>
      </w:r>
    </w:p>
    <w:p w14:paraId="30DCDBC1" w14:textId="210D57DE" w:rsidR="00204B28" w:rsidRDefault="00065B6D" w:rsidP="00204B28">
      <w:pPr>
        <w:spacing w:line="480" w:lineRule="auto"/>
        <w:ind w:firstLine="720"/>
        <w:jc w:val="both"/>
        <w:rPr>
          <w:rFonts w:ascii="Times New Roman" w:hAnsi="Times New Roman"/>
          <w:sz w:val="28"/>
          <w:szCs w:val="28"/>
        </w:rPr>
      </w:pPr>
      <w:r>
        <w:rPr>
          <w:rFonts w:ascii="Times New Roman" w:hAnsi="Times New Roman"/>
          <w:sz w:val="28"/>
          <w:szCs w:val="28"/>
        </w:rPr>
        <w:t xml:space="preserve">Petitioners </w:t>
      </w:r>
      <w:r w:rsidR="00C37BB3">
        <w:rPr>
          <w:rFonts w:ascii="Times New Roman" w:hAnsi="Times New Roman"/>
          <w:sz w:val="28"/>
          <w:szCs w:val="28"/>
        </w:rPr>
        <w:t>acknowledge</w:t>
      </w:r>
      <w:r>
        <w:rPr>
          <w:rFonts w:ascii="Times New Roman" w:hAnsi="Times New Roman"/>
          <w:sz w:val="28"/>
          <w:szCs w:val="28"/>
        </w:rPr>
        <w:t xml:space="preserve"> that additional briefing will require additional time and thus delay the Court’s decision</w:t>
      </w:r>
      <w:r w:rsidR="00204B28">
        <w:rPr>
          <w:rFonts w:ascii="Times New Roman" w:hAnsi="Times New Roman"/>
          <w:sz w:val="28"/>
          <w:szCs w:val="28"/>
        </w:rPr>
        <w:t>.</w:t>
      </w:r>
      <w:r>
        <w:rPr>
          <w:rFonts w:ascii="Times New Roman" w:hAnsi="Times New Roman"/>
          <w:sz w:val="28"/>
          <w:szCs w:val="28"/>
        </w:rPr>
        <w:t xml:space="preserve"> They suggest shortening other windows such as the time between the completion of briefing and the oral argument. Ultimately, it is unavoidable that an expanded briefing schedule means at least one additional month must pass before oral argument may be held. This is particularly important to </w:t>
      </w:r>
      <w:r>
        <w:rPr>
          <w:rFonts w:ascii="Times New Roman" w:hAnsi="Times New Roman"/>
          <w:sz w:val="28"/>
          <w:szCs w:val="28"/>
        </w:rPr>
        <w:lastRenderedPageBreak/>
        <w:t>criminal defendants whose liberty is restrained while the case is pending, or in juvenile cases where children are entitled to finality.</w:t>
      </w:r>
    </w:p>
    <w:p w14:paraId="4B11B4BE" w14:textId="3ED232F1" w:rsidR="00065B6D" w:rsidRDefault="00065B6D" w:rsidP="00204B28">
      <w:pPr>
        <w:spacing w:line="480" w:lineRule="auto"/>
        <w:ind w:firstLine="720"/>
        <w:jc w:val="both"/>
        <w:rPr>
          <w:rFonts w:ascii="Times New Roman" w:hAnsi="Times New Roman"/>
          <w:sz w:val="28"/>
          <w:szCs w:val="28"/>
        </w:rPr>
      </w:pPr>
      <w:r>
        <w:rPr>
          <w:rFonts w:ascii="Times New Roman" w:hAnsi="Times New Roman"/>
          <w:sz w:val="28"/>
          <w:szCs w:val="28"/>
        </w:rPr>
        <w:t xml:space="preserve">Appellate practitioners (I am certainly not alone in this) have noticed a recent trend in that this Court takes significantly longer to issue opinions after oral argument. In the 2010s, it was common to get an opinion within 1-2 months. </w:t>
      </w:r>
      <w:r w:rsidR="002A1CB3">
        <w:rPr>
          <w:rFonts w:ascii="Times New Roman" w:hAnsi="Times New Roman"/>
          <w:sz w:val="28"/>
          <w:szCs w:val="28"/>
        </w:rPr>
        <w:t>In the 2020s, on the other hand</w:t>
      </w:r>
      <w:r>
        <w:rPr>
          <w:rFonts w:ascii="Times New Roman" w:hAnsi="Times New Roman"/>
          <w:sz w:val="28"/>
          <w:szCs w:val="28"/>
        </w:rPr>
        <w:t>, opinions frequently take more than a year to issue</w:t>
      </w:r>
      <w:r w:rsidR="002A1CB3">
        <w:rPr>
          <w:rFonts w:ascii="Times New Roman" w:hAnsi="Times New Roman"/>
          <w:sz w:val="28"/>
          <w:szCs w:val="28"/>
        </w:rPr>
        <w:t>—even in 7-0 cases with no concurrences or dissents</w:t>
      </w:r>
      <w:r>
        <w:rPr>
          <w:rFonts w:ascii="Times New Roman" w:hAnsi="Times New Roman"/>
          <w:sz w:val="28"/>
          <w:szCs w:val="28"/>
        </w:rPr>
        <w:t>. Extending the briefing schedule might give the Court more time on the front end to research the issues so that it will take less time on the back end to write the opinion; but that is not assured</w:t>
      </w:r>
      <w:r w:rsidR="002B3E95">
        <w:rPr>
          <w:rFonts w:ascii="Times New Roman" w:hAnsi="Times New Roman"/>
          <w:sz w:val="28"/>
          <w:szCs w:val="28"/>
        </w:rPr>
        <w:t xml:space="preserve"> to occur</w:t>
      </w:r>
      <w:r>
        <w:rPr>
          <w:rFonts w:ascii="Times New Roman" w:hAnsi="Times New Roman"/>
          <w:sz w:val="28"/>
          <w:szCs w:val="28"/>
        </w:rPr>
        <w:t>.</w:t>
      </w:r>
    </w:p>
    <w:p w14:paraId="68F52D21" w14:textId="77777777" w:rsidR="00BF498B" w:rsidRDefault="00061697" w:rsidP="00204B28">
      <w:pPr>
        <w:spacing w:line="480" w:lineRule="auto"/>
        <w:ind w:firstLine="720"/>
        <w:jc w:val="both"/>
        <w:rPr>
          <w:rFonts w:ascii="Times New Roman" w:hAnsi="Times New Roman"/>
          <w:sz w:val="28"/>
          <w:szCs w:val="28"/>
        </w:rPr>
      </w:pPr>
      <w:r>
        <w:rPr>
          <w:rFonts w:ascii="Times New Roman" w:hAnsi="Times New Roman"/>
          <w:sz w:val="28"/>
          <w:szCs w:val="28"/>
        </w:rPr>
        <w:t xml:space="preserve">The cost of the Petitioners’ proposal is not merely the extended time to decide the case. There are tangible costs as well. Private litigants will have to pay considerable sums </w:t>
      </w:r>
      <w:r w:rsidR="00B227B2">
        <w:rPr>
          <w:rFonts w:ascii="Times New Roman" w:hAnsi="Times New Roman"/>
          <w:sz w:val="28"/>
          <w:szCs w:val="28"/>
        </w:rPr>
        <w:t xml:space="preserve">of money </w:t>
      </w:r>
      <w:r w:rsidR="00975BE7">
        <w:rPr>
          <w:rFonts w:ascii="Times New Roman" w:hAnsi="Times New Roman"/>
          <w:sz w:val="28"/>
          <w:szCs w:val="28"/>
        </w:rPr>
        <w:t>for additional briefs. In criminal cases, prosecutors and public defenders, who already carry oppressive caseloads, will have to file an additional brief if the petitioning party; the time it takes to file that brief will necessarily come at the expense of other cases.</w:t>
      </w:r>
      <w:r w:rsidR="00BF498B">
        <w:rPr>
          <w:rFonts w:ascii="Times New Roman" w:hAnsi="Times New Roman"/>
          <w:sz w:val="28"/>
          <w:szCs w:val="28"/>
        </w:rPr>
        <w:t xml:space="preserve"> </w:t>
      </w:r>
    </w:p>
    <w:p w14:paraId="54880988" w14:textId="10587160" w:rsidR="00061697" w:rsidRDefault="00BF498B" w:rsidP="00204B28">
      <w:pPr>
        <w:spacing w:line="480" w:lineRule="auto"/>
        <w:ind w:firstLine="720"/>
        <w:jc w:val="both"/>
        <w:rPr>
          <w:rFonts w:ascii="Times New Roman" w:hAnsi="Times New Roman"/>
          <w:sz w:val="28"/>
          <w:szCs w:val="28"/>
        </w:rPr>
      </w:pPr>
      <w:r>
        <w:rPr>
          <w:rFonts w:ascii="Times New Roman" w:hAnsi="Times New Roman"/>
          <w:sz w:val="28"/>
          <w:szCs w:val="28"/>
        </w:rPr>
        <w:t xml:space="preserve">Most importantly, because an appeal does not stay the execution of sentence for criminal defendants convicted of felony offenses, </w:t>
      </w:r>
      <w:r w:rsidRPr="00BF498B">
        <w:rPr>
          <w:rFonts w:ascii="Times New Roman" w:hAnsi="Times New Roman"/>
          <w:i/>
          <w:iCs/>
          <w:sz w:val="28"/>
          <w:szCs w:val="28"/>
        </w:rPr>
        <w:t>see</w:t>
      </w:r>
      <w:r>
        <w:rPr>
          <w:rFonts w:ascii="Times New Roman" w:hAnsi="Times New Roman"/>
          <w:sz w:val="28"/>
          <w:szCs w:val="28"/>
        </w:rPr>
        <w:t xml:space="preserve"> Ariz. R. Crim. P. 7.2(c)(1), additional delay may mean additional time served in prison for a person whose trial was unfair. On February 26, 2025, in </w:t>
      </w:r>
      <w:r w:rsidRPr="00BF498B">
        <w:rPr>
          <w:rFonts w:ascii="Times New Roman" w:hAnsi="Times New Roman"/>
          <w:i/>
          <w:iCs/>
          <w:sz w:val="28"/>
          <w:szCs w:val="28"/>
        </w:rPr>
        <w:t>State v. Brown</w:t>
      </w:r>
      <w:r>
        <w:rPr>
          <w:rFonts w:ascii="Times New Roman" w:hAnsi="Times New Roman"/>
          <w:sz w:val="28"/>
          <w:szCs w:val="28"/>
        </w:rPr>
        <w:t xml:space="preserve">, CR-24-0143, this Court issued a decision order one day after oral argument reversing the convictions and ordering </w:t>
      </w:r>
      <w:r>
        <w:rPr>
          <w:rFonts w:ascii="Times New Roman" w:hAnsi="Times New Roman"/>
          <w:sz w:val="28"/>
          <w:szCs w:val="28"/>
        </w:rPr>
        <w:lastRenderedPageBreak/>
        <w:t xml:space="preserve">a new trial with an opinion to issue in due course. The mandate issued on February 28, 2025, and shortly after, the State dismissed the prosecution against Mr. Brown. </w:t>
      </w:r>
      <w:r w:rsidRPr="00BF498B">
        <w:rPr>
          <w:rFonts w:ascii="Times New Roman" w:hAnsi="Times New Roman"/>
          <w:i/>
          <w:iCs/>
          <w:sz w:val="28"/>
          <w:szCs w:val="28"/>
        </w:rPr>
        <w:t>See State v. Brown</w:t>
      </w:r>
      <w:r>
        <w:rPr>
          <w:rFonts w:ascii="Times New Roman" w:hAnsi="Times New Roman"/>
          <w:sz w:val="28"/>
          <w:szCs w:val="28"/>
        </w:rPr>
        <w:t xml:space="preserve">, Pima County Superior Court No. 20220381-001 (motion filed </w:t>
      </w:r>
      <w:r w:rsidR="00545D3B">
        <w:rPr>
          <w:rFonts w:ascii="Times New Roman" w:hAnsi="Times New Roman"/>
          <w:sz w:val="28"/>
          <w:szCs w:val="28"/>
        </w:rPr>
        <w:t>March 31, 2025; order filed April 1, 2025</w:t>
      </w:r>
      <w:r>
        <w:rPr>
          <w:rFonts w:ascii="Times New Roman" w:hAnsi="Times New Roman"/>
          <w:sz w:val="28"/>
          <w:szCs w:val="28"/>
        </w:rPr>
        <w:t>). Had the Petitioners’ process of sequential briefing been in place, Mr. Brown would have served at least another month in prison for a crime that the State no longer believes it can prove.</w:t>
      </w:r>
    </w:p>
    <w:p w14:paraId="228FB9BA" w14:textId="1E026C6B" w:rsidR="00A64FDB" w:rsidRDefault="00A64FDB" w:rsidP="00204B28">
      <w:pPr>
        <w:spacing w:line="480" w:lineRule="auto"/>
        <w:ind w:firstLine="720"/>
        <w:jc w:val="both"/>
        <w:rPr>
          <w:rFonts w:ascii="Times New Roman" w:hAnsi="Times New Roman"/>
          <w:sz w:val="28"/>
          <w:szCs w:val="28"/>
        </w:rPr>
      </w:pPr>
      <w:r>
        <w:rPr>
          <w:rFonts w:ascii="Times New Roman" w:hAnsi="Times New Roman"/>
          <w:sz w:val="28"/>
          <w:szCs w:val="28"/>
        </w:rPr>
        <w:t>The Petitioners suggest that sequential briefing will ultimately reduce the number of briefs filed because the responses to amicus briefs will be incorporated in the answering and reply briefs. One of the assumptions behind this conclusion is that every amicus brief receives a response. I know from personal experience that this is not true. In criminal cases where Arizona Attorneys for Criminal Justice files an amicus brief supporting one side, the other party usually does not file a response, since it is not required.</w:t>
      </w:r>
    </w:p>
    <w:p w14:paraId="6A7CB954" w14:textId="6637FB29" w:rsidR="00F75214" w:rsidRDefault="00AF517B" w:rsidP="001F54B7">
      <w:pPr>
        <w:spacing w:line="480" w:lineRule="auto"/>
        <w:ind w:firstLine="720"/>
        <w:jc w:val="both"/>
        <w:rPr>
          <w:rFonts w:ascii="Times New Roman" w:hAnsi="Times New Roman"/>
          <w:sz w:val="28"/>
          <w:szCs w:val="28"/>
        </w:rPr>
      </w:pPr>
      <w:r>
        <w:rPr>
          <w:rFonts w:ascii="Times New Roman" w:hAnsi="Times New Roman"/>
          <w:sz w:val="28"/>
          <w:szCs w:val="28"/>
        </w:rPr>
        <w:t xml:space="preserve">The Petition misreads the language of ARCAP 23(k)(3) to mean that “in cases in which at least one amicus participates, oral argument will typically not occur for at least 84 days after this Court grants review.” </w:t>
      </w:r>
      <w:r w:rsidR="00A64FDB">
        <w:rPr>
          <w:rFonts w:ascii="Times New Roman" w:hAnsi="Times New Roman"/>
          <w:sz w:val="28"/>
          <w:szCs w:val="28"/>
        </w:rPr>
        <w:t xml:space="preserve">Petition at 6, 8. </w:t>
      </w:r>
      <w:r>
        <w:rPr>
          <w:rFonts w:ascii="Times New Roman" w:hAnsi="Times New Roman"/>
          <w:sz w:val="28"/>
          <w:szCs w:val="28"/>
        </w:rPr>
        <w:t xml:space="preserve">That rule, and parallel Criminal Rule 31.21(l)(3), state that oral argument will not occur less than 30 days after the due date for supplemental briefs, “[u]nless otherwise ordered.” </w:t>
      </w:r>
      <w:r w:rsidR="004422C5">
        <w:rPr>
          <w:rFonts w:ascii="Times New Roman" w:hAnsi="Times New Roman"/>
          <w:sz w:val="28"/>
          <w:szCs w:val="28"/>
        </w:rPr>
        <w:t>Since supplemental briefs are typically due 20 days after the order granting review, this means oral argument occurs 50 days after the order, not 84 days.</w:t>
      </w:r>
      <w:r w:rsidR="002B3E95">
        <w:rPr>
          <w:rFonts w:ascii="Times New Roman" w:hAnsi="Times New Roman"/>
          <w:sz w:val="28"/>
          <w:szCs w:val="28"/>
        </w:rPr>
        <w:t xml:space="preserve"> Recently, oral </w:t>
      </w:r>
      <w:r w:rsidR="002B3E95">
        <w:rPr>
          <w:rFonts w:ascii="Times New Roman" w:hAnsi="Times New Roman"/>
          <w:sz w:val="28"/>
          <w:szCs w:val="28"/>
        </w:rPr>
        <w:lastRenderedPageBreak/>
        <w:t>argument typically occurs at around the 50-day mark; in the 2010s, it was not uncommon for argument to occur less than 30 days after the order.</w:t>
      </w:r>
    </w:p>
    <w:p w14:paraId="4C58C5BA" w14:textId="24F3F629" w:rsidR="00E40BA0" w:rsidRPr="00BC2358" w:rsidRDefault="00E40BA0" w:rsidP="00E40BA0">
      <w:pPr>
        <w:spacing w:line="480" w:lineRule="auto"/>
        <w:jc w:val="both"/>
        <w:rPr>
          <w:rFonts w:ascii="Times New Roman" w:hAnsi="Times New Roman"/>
          <w:b/>
          <w:sz w:val="28"/>
          <w:szCs w:val="28"/>
          <w:u w:val="single"/>
        </w:rPr>
      </w:pPr>
      <w:r>
        <w:rPr>
          <w:rFonts w:ascii="Times New Roman" w:hAnsi="Times New Roman"/>
          <w:b/>
          <w:sz w:val="28"/>
          <w:szCs w:val="28"/>
          <w:u w:val="single"/>
        </w:rPr>
        <w:t>Miscellaneous provisions</w:t>
      </w:r>
    </w:p>
    <w:p w14:paraId="68F426C2" w14:textId="6A5EECE9" w:rsidR="00155E48" w:rsidRDefault="00E40BA0" w:rsidP="00E40BA0">
      <w:pPr>
        <w:pStyle w:val="ListParagraph"/>
        <w:numPr>
          <w:ilvl w:val="0"/>
          <w:numId w:val="12"/>
        </w:numPr>
        <w:spacing w:line="480" w:lineRule="auto"/>
        <w:ind w:left="0" w:firstLine="720"/>
        <w:jc w:val="both"/>
        <w:rPr>
          <w:rFonts w:ascii="Times New Roman" w:hAnsi="Times New Roman"/>
          <w:sz w:val="28"/>
          <w:szCs w:val="28"/>
        </w:rPr>
      </w:pPr>
      <w:r w:rsidRPr="00E40BA0">
        <w:rPr>
          <w:rFonts w:ascii="Times New Roman" w:hAnsi="Times New Roman"/>
          <w:sz w:val="28"/>
          <w:szCs w:val="28"/>
          <w:u w:val="single"/>
        </w:rPr>
        <w:t>Word limits instead of page limits</w:t>
      </w:r>
      <w:r>
        <w:rPr>
          <w:rFonts w:ascii="Times New Roman" w:hAnsi="Times New Roman"/>
          <w:sz w:val="28"/>
          <w:szCs w:val="28"/>
        </w:rPr>
        <w:t>. I agree that word limits are preferable, but I disagree with many of the reasons offered for the change. I agree with the citation to the ABA Council of Appellate Lawyers that “[w]ord limits are superior from a readability standpoint” (cited at Petition at 12). But I disagree that “gamesmanship” is a problem. First, litigants should not be burying legal argument in footnotes</w:t>
      </w:r>
      <w:r w:rsidR="006F7F88">
        <w:rPr>
          <w:rFonts w:ascii="Times New Roman" w:hAnsi="Times New Roman"/>
          <w:sz w:val="28"/>
          <w:szCs w:val="28"/>
        </w:rPr>
        <w:t xml:space="preserve">. </w:t>
      </w:r>
      <w:r w:rsidR="006F7F88" w:rsidRPr="006F7F88">
        <w:rPr>
          <w:rFonts w:ascii="Times New Roman" w:hAnsi="Times New Roman"/>
          <w:i/>
          <w:iCs/>
          <w:sz w:val="28"/>
          <w:szCs w:val="28"/>
        </w:rPr>
        <w:t>See</w:t>
      </w:r>
      <w:r w:rsidR="006F7F88">
        <w:rPr>
          <w:rFonts w:ascii="Times New Roman" w:hAnsi="Times New Roman"/>
          <w:i/>
          <w:iCs/>
          <w:sz w:val="28"/>
          <w:szCs w:val="28"/>
        </w:rPr>
        <w:t xml:space="preserve"> State v. Johnson</w:t>
      </w:r>
      <w:r w:rsidR="006F7F88">
        <w:rPr>
          <w:rFonts w:ascii="Times New Roman" w:hAnsi="Times New Roman"/>
          <w:sz w:val="28"/>
          <w:szCs w:val="28"/>
        </w:rPr>
        <w:t>, 247 Ariz. 166, 211 ¶ 201 (2019)</w:t>
      </w:r>
      <w:r w:rsidR="006F7F88" w:rsidRPr="006F7F88">
        <w:rPr>
          <w:rFonts w:ascii="Times New Roman" w:hAnsi="Times New Roman"/>
          <w:i/>
          <w:iCs/>
          <w:sz w:val="28"/>
          <w:szCs w:val="28"/>
        </w:rPr>
        <w:t xml:space="preserve"> </w:t>
      </w:r>
      <w:r w:rsidR="006F7F88">
        <w:rPr>
          <w:rFonts w:ascii="Times New Roman" w:hAnsi="Times New Roman"/>
          <w:sz w:val="28"/>
          <w:szCs w:val="28"/>
        </w:rPr>
        <w:t xml:space="preserve">(quoting </w:t>
      </w:r>
      <w:r w:rsidR="006F7F88" w:rsidRPr="006F7F88">
        <w:rPr>
          <w:rFonts w:ascii="Times New Roman" w:hAnsi="Times New Roman"/>
          <w:i/>
          <w:iCs/>
          <w:sz w:val="28"/>
          <w:szCs w:val="28"/>
        </w:rPr>
        <w:t>State v. Bolton</w:t>
      </w:r>
      <w:r w:rsidR="006F7F88">
        <w:rPr>
          <w:rFonts w:ascii="Times New Roman" w:hAnsi="Times New Roman"/>
          <w:sz w:val="28"/>
          <w:szCs w:val="28"/>
        </w:rPr>
        <w:t>, 182 Ariz. 290, 298 (1995)</w:t>
      </w:r>
      <w:r w:rsidR="006F7F88" w:rsidRPr="006F7F88">
        <w:rPr>
          <w:rFonts w:ascii="Times New Roman" w:hAnsi="Times New Roman"/>
          <w:sz w:val="28"/>
          <w:szCs w:val="28"/>
        </w:rPr>
        <w:t>).</w:t>
      </w:r>
      <w:r w:rsidR="006F7F88">
        <w:rPr>
          <w:rFonts w:ascii="Times New Roman" w:hAnsi="Times New Roman"/>
          <w:sz w:val="28"/>
          <w:szCs w:val="28"/>
        </w:rPr>
        <w:t xml:space="preserve"> Second, </w:t>
      </w:r>
      <w:r w:rsidR="00420894">
        <w:rPr>
          <w:rFonts w:ascii="Times New Roman" w:hAnsi="Times New Roman"/>
          <w:sz w:val="28"/>
          <w:szCs w:val="28"/>
        </w:rPr>
        <w:t xml:space="preserve">in part because they are a sign of poor advocacy, </w:t>
      </w:r>
      <w:r w:rsidR="00155E48">
        <w:rPr>
          <w:rFonts w:ascii="Times New Roman" w:hAnsi="Times New Roman"/>
          <w:sz w:val="28"/>
          <w:szCs w:val="28"/>
        </w:rPr>
        <w:t>excessive block quotes are especially disfavored in appellate writing:</w:t>
      </w:r>
    </w:p>
    <w:p w14:paraId="2447A8C1" w14:textId="77777777" w:rsidR="00ED4689" w:rsidRDefault="00ED4689" w:rsidP="0037523F">
      <w:pPr>
        <w:pStyle w:val="ListParagraph"/>
        <w:spacing w:line="240" w:lineRule="auto"/>
        <w:ind w:right="720"/>
        <w:jc w:val="both"/>
        <w:rPr>
          <w:rFonts w:ascii="Times New Roman" w:hAnsi="Times New Roman"/>
          <w:sz w:val="28"/>
          <w:szCs w:val="28"/>
        </w:rPr>
      </w:pPr>
      <w:r w:rsidRPr="00155E48">
        <w:rPr>
          <w:rFonts w:ascii="Times New Roman" w:hAnsi="Times New Roman"/>
          <w:sz w:val="28"/>
          <w:szCs w:val="28"/>
        </w:rPr>
        <w:t>Some lawyers over-quote.  If your brief contains one or more block quotes on every page, you are over-quoting. And if your case discussion consists of 15 lines of a block quote, followed by the sentence “The court went on to hold,” followed by 20 more lines of block quote, you are unquestionably abusing your quoting privileges.</w:t>
      </w:r>
    </w:p>
    <w:p w14:paraId="5DC80BD0" w14:textId="77777777" w:rsidR="00ED4689" w:rsidRDefault="00ED4689" w:rsidP="00ED4689">
      <w:pPr>
        <w:pStyle w:val="ListParagraph"/>
        <w:spacing w:line="240" w:lineRule="auto"/>
        <w:jc w:val="both"/>
        <w:rPr>
          <w:rFonts w:ascii="Times New Roman" w:hAnsi="Times New Roman"/>
          <w:sz w:val="28"/>
          <w:szCs w:val="28"/>
        </w:rPr>
      </w:pPr>
    </w:p>
    <w:p w14:paraId="458471B3" w14:textId="680302D3" w:rsidR="00E40BA0" w:rsidRDefault="00155E48" w:rsidP="00ED4689">
      <w:pPr>
        <w:spacing w:line="480" w:lineRule="auto"/>
        <w:jc w:val="both"/>
        <w:rPr>
          <w:rFonts w:ascii="Times New Roman" w:hAnsi="Times New Roman"/>
          <w:sz w:val="28"/>
          <w:szCs w:val="28"/>
        </w:rPr>
      </w:pPr>
      <w:r w:rsidRPr="00ED4689">
        <w:rPr>
          <w:rFonts w:ascii="Times New Roman" w:hAnsi="Times New Roman"/>
          <w:sz w:val="28"/>
          <w:szCs w:val="28"/>
        </w:rPr>
        <w:t>Randall H. Warner, “Cites for Sore Eyes: Case Law Analysis That Works,”</w:t>
      </w:r>
      <w:r w:rsidR="00ED4689">
        <w:rPr>
          <w:rFonts w:ascii="Times New Roman" w:hAnsi="Times New Roman"/>
          <w:sz w:val="28"/>
          <w:szCs w:val="28"/>
        </w:rPr>
        <w:t xml:space="preserve"> 41</w:t>
      </w:r>
      <w:r w:rsidRPr="00ED4689">
        <w:rPr>
          <w:rFonts w:ascii="Times New Roman" w:hAnsi="Times New Roman"/>
          <w:sz w:val="28"/>
          <w:szCs w:val="28"/>
        </w:rPr>
        <w:t xml:space="preserve"> </w:t>
      </w:r>
      <w:r w:rsidRPr="00ED4689">
        <w:rPr>
          <w:rFonts w:ascii="Times New Roman" w:hAnsi="Times New Roman"/>
          <w:i/>
          <w:iCs/>
          <w:sz w:val="28"/>
          <w:szCs w:val="28"/>
        </w:rPr>
        <w:t>Ariz. Att’y</w:t>
      </w:r>
      <w:r w:rsidRPr="00ED4689">
        <w:rPr>
          <w:rFonts w:ascii="Times New Roman" w:hAnsi="Times New Roman"/>
          <w:sz w:val="28"/>
          <w:szCs w:val="28"/>
        </w:rPr>
        <w:t xml:space="preserve"> </w:t>
      </w:r>
      <w:r w:rsidR="00ED4689">
        <w:rPr>
          <w:rFonts w:ascii="Times New Roman" w:hAnsi="Times New Roman"/>
          <w:sz w:val="28"/>
          <w:szCs w:val="28"/>
        </w:rPr>
        <w:t xml:space="preserve">18, 23 </w:t>
      </w:r>
      <w:r w:rsidRPr="00ED4689">
        <w:rPr>
          <w:rFonts w:ascii="Times New Roman" w:hAnsi="Times New Roman"/>
          <w:sz w:val="28"/>
          <w:szCs w:val="28"/>
        </w:rPr>
        <w:t>(December 2004)</w:t>
      </w:r>
      <w:r w:rsidR="00ED4689">
        <w:rPr>
          <w:rFonts w:ascii="Times New Roman" w:hAnsi="Times New Roman"/>
          <w:sz w:val="28"/>
          <w:szCs w:val="28"/>
        </w:rPr>
        <w:t>.</w:t>
      </w:r>
      <w:r w:rsidR="00ED4689">
        <w:rPr>
          <w:rStyle w:val="FootnoteReference"/>
          <w:rFonts w:ascii="Times New Roman" w:hAnsi="Times New Roman"/>
          <w:sz w:val="28"/>
          <w:szCs w:val="28"/>
        </w:rPr>
        <w:footnoteReference w:id="5"/>
      </w:r>
      <w:r w:rsidRPr="00ED4689">
        <w:rPr>
          <w:rFonts w:ascii="Times New Roman" w:hAnsi="Times New Roman"/>
          <w:sz w:val="28"/>
          <w:szCs w:val="28"/>
        </w:rPr>
        <w:t xml:space="preserve"> </w:t>
      </w:r>
      <w:r w:rsidR="00420894">
        <w:rPr>
          <w:rFonts w:ascii="Times New Roman" w:hAnsi="Times New Roman"/>
          <w:sz w:val="28"/>
          <w:szCs w:val="28"/>
        </w:rPr>
        <w:t xml:space="preserve">Third, a litigant who is deterred from using images in a brief by the page limit could </w:t>
      </w:r>
      <w:r w:rsidR="002B3E95">
        <w:rPr>
          <w:rFonts w:ascii="Times New Roman" w:hAnsi="Times New Roman"/>
          <w:sz w:val="28"/>
          <w:szCs w:val="28"/>
        </w:rPr>
        <w:t>have included</w:t>
      </w:r>
      <w:r w:rsidR="00420894">
        <w:rPr>
          <w:rFonts w:ascii="Times New Roman" w:hAnsi="Times New Roman"/>
          <w:sz w:val="28"/>
          <w:szCs w:val="28"/>
        </w:rPr>
        <w:t xml:space="preserve"> those images in the court of appeals briefing or in the petition for review</w:t>
      </w:r>
      <w:r w:rsidR="002B3E95">
        <w:rPr>
          <w:rFonts w:ascii="Times New Roman" w:hAnsi="Times New Roman"/>
          <w:sz w:val="28"/>
          <w:szCs w:val="28"/>
        </w:rPr>
        <w:t>.</w:t>
      </w:r>
    </w:p>
    <w:p w14:paraId="4022F4AE" w14:textId="061758D3" w:rsidR="00420894" w:rsidRPr="00ED4689" w:rsidRDefault="00420894" w:rsidP="00ED4689">
      <w:pPr>
        <w:spacing w:line="480" w:lineRule="auto"/>
        <w:jc w:val="both"/>
        <w:rPr>
          <w:rFonts w:ascii="Times New Roman" w:hAnsi="Times New Roman"/>
          <w:sz w:val="28"/>
          <w:szCs w:val="28"/>
        </w:rPr>
      </w:pPr>
      <w:r>
        <w:rPr>
          <w:rFonts w:ascii="Times New Roman" w:hAnsi="Times New Roman"/>
          <w:sz w:val="28"/>
          <w:szCs w:val="28"/>
        </w:rPr>
        <w:lastRenderedPageBreak/>
        <w:tab/>
        <w:t>I also agree with Petitioners on the selection of 7,000 as the word limit for supplemental briefs and 5,000 for amicus briefs.</w:t>
      </w:r>
      <w:r w:rsidR="0037523F">
        <w:rPr>
          <w:rFonts w:ascii="Times New Roman" w:hAnsi="Times New Roman"/>
          <w:sz w:val="28"/>
          <w:szCs w:val="28"/>
        </w:rPr>
        <w:t xml:space="preserve"> This would be slightly longer than 20 pages, a 20-page brief and a 3,500-word petition for review is insufficient to develop important constitutional issues in criminal cases.</w:t>
      </w:r>
    </w:p>
    <w:p w14:paraId="14423E32" w14:textId="3E69D49D" w:rsidR="00E40BA0" w:rsidRDefault="00E40BA0" w:rsidP="00E40BA0">
      <w:pPr>
        <w:pStyle w:val="ListParagraph"/>
        <w:numPr>
          <w:ilvl w:val="0"/>
          <w:numId w:val="12"/>
        </w:numPr>
        <w:spacing w:line="480" w:lineRule="auto"/>
        <w:ind w:left="0" w:firstLine="720"/>
        <w:jc w:val="both"/>
        <w:rPr>
          <w:rFonts w:ascii="Times New Roman" w:hAnsi="Times New Roman"/>
          <w:sz w:val="28"/>
          <w:szCs w:val="28"/>
        </w:rPr>
      </w:pPr>
      <w:r w:rsidRPr="00E40BA0">
        <w:rPr>
          <w:rFonts w:ascii="Times New Roman" w:hAnsi="Times New Roman"/>
          <w:sz w:val="28"/>
          <w:szCs w:val="28"/>
          <w:u w:val="single"/>
        </w:rPr>
        <w:t>Codifying the page/word limits for supplemental briefs</w:t>
      </w:r>
      <w:r>
        <w:rPr>
          <w:rFonts w:ascii="Times New Roman" w:hAnsi="Times New Roman"/>
          <w:sz w:val="28"/>
          <w:szCs w:val="28"/>
        </w:rPr>
        <w:t>. I understand the Petitioners’ position and I do not disagree, but neither do I see it as a big problem. As it would be easy to include this information in the rules without consuming too much space, I think it is a good idea.</w:t>
      </w:r>
    </w:p>
    <w:p w14:paraId="253A47E1" w14:textId="2B4FD630" w:rsidR="002B3E95" w:rsidRPr="00E40BA0" w:rsidRDefault="002B3E95" w:rsidP="00E40BA0">
      <w:pPr>
        <w:pStyle w:val="ListParagraph"/>
        <w:numPr>
          <w:ilvl w:val="0"/>
          <w:numId w:val="12"/>
        </w:numPr>
        <w:spacing w:line="480" w:lineRule="auto"/>
        <w:ind w:left="0" w:firstLine="720"/>
        <w:jc w:val="both"/>
        <w:rPr>
          <w:rFonts w:ascii="Times New Roman" w:hAnsi="Times New Roman"/>
          <w:sz w:val="28"/>
          <w:szCs w:val="28"/>
        </w:rPr>
      </w:pPr>
      <w:r w:rsidRPr="00E40BA0">
        <w:rPr>
          <w:rFonts w:ascii="Times New Roman" w:hAnsi="Times New Roman"/>
          <w:sz w:val="28"/>
          <w:szCs w:val="28"/>
          <w:u w:val="single"/>
        </w:rPr>
        <w:t xml:space="preserve">Codifying the </w:t>
      </w:r>
      <w:r>
        <w:rPr>
          <w:rFonts w:ascii="Times New Roman" w:hAnsi="Times New Roman"/>
          <w:sz w:val="28"/>
          <w:szCs w:val="28"/>
          <w:u w:val="single"/>
        </w:rPr>
        <w:t>deadline</w:t>
      </w:r>
      <w:r w:rsidRPr="00E40BA0">
        <w:rPr>
          <w:rFonts w:ascii="Times New Roman" w:hAnsi="Times New Roman"/>
          <w:sz w:val="28"/>
          <w:szCs w:val="28"/>
          <w:u w:val="single"/>
        </w:rPr>
        <w:t xml:space="preserve"> for supplemental briefs</w:t>
      </w:r>
      <w:r>
        <w:rPr>
          <w:rFonts w:ascii="Times New Roman" w:hAnsi="Times New Roman"/>
          <w:sz w:val="28"/>
          <w:szCs w:val="28"/>
        </w:rPr>
        <w:t xml:space="preserve">. I </w:t>
      </w:r>
      <w:r w:rsidR="00D224F5">
        <w:rPr>
          <w:rFonts w:ascii="Times New Roman" w:hAnsi="Times New Roman"/>
          <w:sz w:val="28"/>
          <w:szCs w:val="28"/>
        </w:rPr>
        <w:t xml:space="preserve">also </w:t>
      </w:r>
      <w:r>
        <w:rPr>
          <w:rFonts w:ascii="Times New Roman" w:hAnsi="Times New Roman"/>
          <w:sz w:val="28"/>
          <w:szCs w:val="28"/>
        </w:rPr>
        <w:t xml:space="preserve">agree that it would be good to </w:t>
      </w:r>
      <w:r w:rsidR="00D224F5">
        <w:rPr>
          <w:rFonts w:ascii="Times New Roman" w:hAnsi="Times New Roman"/>
          <w:sz w:val="28"/>
          <w:szCs w:val="28"/>
        </w:rPr>
        <w:t>include</w:t>
      </w:r>
      <w:r>
        <w:rPr>
          <w:rFonts w:ascii="Times New Roman" w:hAnsi="Times New Roman"/>
          <w:sz w:val="28"/>
          <w:szCs w:val="28"/>
        </w:rPr>
        <w:t xml:space="preserve"> this</w:t>
      </w:r>
      <w:r w:rsidR="00D224F5">
        <w:rPr>
          <w:rFonts w:ascii="Times New Roman" w:hAnsi="Times New Roman"/>
          <w:sz w:val="28"/>
          <w:szCs w:val="28"/>
        </w:rPr>
        <w:t xml:space="preserve"> in the rules</w:t>
      </w:r>
      <w:r>
        <w:rPr>
          <w:rFonts w:ascii="Times New Roman" w:hAnsi="Times New Roman"/>
          <w:sz w:val="28"/>
          <w:szCs w:val="28"/>
        </w:rPr>
        <w:t>, thoug</w:t>
      </w:r>
      <w:r w:rsidR="00D224F5">
        <w:rPr>
          <w:rFonts w:ascii="Times New Roman" w:hAnsi="Times New Roman"/>
          <w:sz w:val="28"/>
          <w:szCs w:val="28"/>
        </w:rPr>
        <w:t>h I am skeptical of the claim that inexperienced litigators are denied equal access to justice since they receive the same order upon review being granted as any other litigant. I would suggest that this Court consider extending the standard deadline from 20 days to 28 days to relieve some of the immense pressure on the litigants.</w:t>
      </w:r>
    </w:p>
    <w:p w14:paraId="6F78F8D8" w14:textId="062E8E64" w:rsidR="00BC2358" w:rsidRPr="00BC2358" w:rsidRDefault="00BC2358" w:rsidP="00BC2358">
      <w:pPr>
        <w:spacing w:line="480" w:lineRule="auto"/>
        <w:jc w:val="both"/>
        <w:rPr>
          <w:rFonts w:ascii="Times New Roman" w:hAnsi="Times New Roman"/>
          <w:b/>
          <w:sz w:val="28"/>
          <w:szCs w:val="28"/>
          <w:u w:val="single"/>
        </w:rPr>
      </w:pPr>
      <w:r w:rsidRPr="00BC2358">
        <w:rPr>
          <w:rFonts w:ascii="Times New Roman" w:hAnsi="Times New Roman"/>
          <w:b/>
          <w:sz w:val="28"/>
          <w:szCs w:val="28"/>
          <w:u w:val="single"/>
        </w:rPr>
        <w:t>Conclusion</w:t>
      </w:r>
    </w:p>
    <w:p w14:paraId="455E3301" w14:textId="77777777" w:rsidR="00C37BB3" w:rsidRDefault="00C66BDF"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I agree that the Petition offers appropriate minor tweaks to the rules by calling for word limits and incorporating standard practice into the text of the rules. But I believe this Court’s system of ordering simultaneous supplemental briefing is working fine, and </w:t>
      </w:r>
      <w:r w:rsidR="00EA012E">
        <w:rPr>
          <w:rFonts w:ascii="Times New Roman" w:hAnsi="Times New Roman"/>
          <w:sz w:val="28"/>
          <w:szCs w:val="28"/>
        </w:rPr>
        <w:t xml:space="preserve">I think the proposed solution is worse than the perceived problem. </w:t>
      </w:r>
    </w:p>
    <w:p w14:paraId="1A9BA697" w14:textId="3F3A9475" w:rsidR="002C660A" w:rsidRPr="0014499B" w:rsidRDefault="00EA012E" w:rsidP="001D0E6C">
      <w:pPr>
        <w:spacing w:line="480" w:lineRule="auto"/>
        <w:ind w:firstLine="720"/>
        <w:jc w:val="both"/>
        <w:rPr>
          <w:rFonts w:ascii="Times New Roman" w:hAnsi="Times New Roman"/>
          <w:sz w:val="28"/>
          <w:szCs w:val="28"/>
        </w:rPr>
      </w:pPr>
      <w:r>
        <w:rPr>
          <w:rFonts w:ascii="Times New Roman" w:hAnsi="Times New Roman"/>
          <w:sz w:val="28"/>
          <w:szCs w:val="28"/>
        </w:rPr>
        <w:lastRenderedPageBreak/>
        <w:t>F</w:t>
      </w:r>
      <w:r w:rsidR="00C66BDF">
        <w:rPr>
          <w:rFonts w:ascii="Times New Roman" w:hAnsi="Times New Roman"/>
          <w:sz w:val="28"/>
          <w:szCs w:val="28"/>
        </w:rPr>
        <w:t>or th</w:t>
      </w:r>
      <w:r>
        <w:rPr>
          <w:rFonts w:ascii="Times New Roman" w:hAnsi="Times New Roman"/>
          <w:sz w:val="28"/>
          <w:szCs w:val="28"/>
        </w:rPr>
        <w:t>ese</w:t>
      </w:r>
      <w:r w:rsidR="00C66BDF">
        <w:rPr>
          <w:rFonts w:ascii="Times New Roman" w:hAnsi="Times New Roman"/>
          <w:sz w:val="28"/>
          <w:szCs w:val="28"/>
        </w:rPr>
        <w:t xml:space="preserve"> reason</w:t>
      </w:r>
      <w:r>
        <w:rPr>
          <w:rFonts w:ascii="Times New Roman" w:hAnsi="Times New Roman"/>
          <w:sz w:val="28"/>
          <w:szCs w:val="28"/>
        </w:rPr>
        <w:t>s,</w:t>
      </w:r>
      <w:r w:rsidR="00C66BDF">
        <w:rPr>
          <w:rFonts w:ascii="Times New Roman" w:hAnsi="Times New Roman"/>
          <w:sz w:val="28"/>
          <w:szCs w:val="28"/>
        </w:rPr>
        <w:t xml:space="preserve"> I ask this Court to deny the request to change to a sequential-briefing process.</w:t>
      </w:r>
    </w:p>
    <w:p w14:paraId="268AB80E" w14:textId="2A865F0E" w:rsidR="00DC38DE" w:rsidRPr="0014499B"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37686D">
        <w:rPr>
          <w:rFonts w:ascii="Times New Roman" w:hAnsi="Times New Roman"/>
          <w:sz w:val="28"/>
          <w:szCs w:val="28"/>
        </w:rPr>
        <w:t>April</w:t>
      </w:r>
      <w:r w:rsidR="002C660A">
        <w:rPr>
          <w:rFonts w:ascii="Times New Roman" w:hAnsi="Times New Roman"/>
          <w:sz w:val="28"/>
          <w:szCs w:val="28"/>
        </w:rPr>
        <w:t xml:space="preserve"> </w:t>
      </w:r>
      <w:r w:rsidR="0029485A">
        <w:rPr>
          <w:rFonts w:ascii="Times New Roman" w:hAnsi="Times New Roman"/>
          <w:sz w:val="28"/>
          <w:szCs w:val="28"/>
        </w:rPr>
        <w:t>23</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A33A33">
        <w:rPr>
          <w:rFonts w:ascii="Times New Roman" w:hAnsi="Times New Roman"/>
          <w:sz w:val="28"/>
          <w:szCs w:val="28"/>
        </w:rPr>
        <w:t>5</w:t>
      </w:r>
      <w:r w:rsidR="00DC38DE" w:rsidRPr="0014499B">
        <w:rPr>
          <w:rFonts w:ascii="Times New Roman" w:hAnsi="Times New Roman"/>
          <w:sz w:val="28"/>
          <w:szCs w:val="28"/>
        </w:rPr>
        <w:t>.</w:t>
      </w:r>
    </w:p>
    <w:p w14:paraId="268AB811" w14:textId="77777777" w:rsidR="00DC38DE" w:rsidRPr="0014499B" w:rsidRDefault="00DC38DE" w:rsidP="00DC38DE">
      <w:pPr>
        <w:spacing w:line="240" w:lineRule="auto"/>
        <w:rPr>
          <w:rFonts w:ascii="Times New Roman" w:hAnsi="Times New Roman"/>
          <w:sz w:val="28"/>
          <w:szCs w:val="28"/>
        </w:rPr>
      </w:pPr>
    </w:p>
    <w:p w14:paraId="268AB812" w14:textId="2BA11A87"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Pr="00D9658B">
        <w:rPr>
          <w:rFonts w:ascii="Times New Roman" w:hAnsi="Times New Roman"/>
          <w:sz w:val="28"/>
          <w:szCs w:val="28"/>
          <w:u w:val="single"/>
        </w:rPr>
        <w:tab/>
      </w:r>
      <w:r>
        <w:rPr>
          <w:rFonts w:ascii="Times New Roman" w:hAnsi="Times New Roman"/>
          <w:sz w:val="28"/>
          <w:szCs w:val="28"/>
        </w:rPr>
        <w:tab/>
      </w:r>
    </w:p>
    <w:p w14:paraId="268AB813" w14:textId="13108448" w:rsidR="006235B5" w:rsidRDefault="001C2BDE"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450CBE42" w14:textId="77777777" w:rsidR="00B16F3E" w:rsidRDefault="00B16F3E" w:rsidP="00DC38DE">
      <w:pPr>
        <w:spacing w:line="240" w:lineRule="auto"/>
        <w:rPr>
          <w:rFonts w:ascii="Times New Roman" w:hAnsi="Times New Roman"/>
          <w:sz w:val="28"/>
          <w:szCs w:val="28"/>
        </w:rPr>
      </w:pPr>
    </w:p>
    <w:p w14:paraId="500E5C64" w14:textId="177A5CB3" w:rsidR="00854B4F" w:rsidRDefault="00854B4F" w:rsidP="00DC38DE">
      <w:pPr>
        <w:spacing w:line="240" w:lineRule="auto"/>
        <w:rPr>
          <w:rFonts w:ascii="Times New Roman" w:hAnsi="Times New Roman"/>
          <w:sz w:val="28"/>
          <w:szCs w:val="28"/>
        </w:rPr>
      </w:pPr>
    </w:p>
    <w:p w14:paraId="4C430503" w14:textId="7E935518" w:rsidR="004B74D0" w:rsidRDefault="004B74D0" w:rsidP="00DC38DE">
      <w:pPr>
        <w:spacing w:line="240" w:lineRule="auto"/>
        <w:rPr>
          <w:rFonts w:ascii="Times New Roman" w:hAnsi="Times New Roman"/>
          <w:sz w:val="28"/>
          <w:szCs w:val="28"/>
        </w:rPr>
      </w:pPr>
      <w:r>
        <w:rPr>
          <w:rFonts w:ascii="Times New Roman" w:hAnsi="Times New Roman"/>
          <w:sz w:val="28"/>
          <w:szCs w:val="28"/>
        </w:rPr>
        <w:t>Comment electronically mailed to:</w:t>
      </w:r>
    </w:p>
    <w:p w14:paraId="4BAF844C" w14:textId="616553E1" w:rsidR="004B74D0" w:rsidRDefault="004B74D0" w:rsidP="00DC38DE">
      <w:pPr>
        <w:spacing w:line="240" w:lineRule="auto"/>
        <w:rPr>
          <w:rFonts w:ascii="Times New Roman" w:hAnsi="Times New Roman"/>
          <w:sz w:val="28"/>
          <w:szCs w:val="28"/>
        </w:rPr>
      </w:pPr>
    </w:p>
    <w:p w14:paraId="27D12D94" w14:textId="080C5CDB" w:rsidR="00C60CF3" w:rsidRDefault="00A33A33" w:rsidP="00DC38DE">
      <w:pPr>
        <w:spacing w:line="240" w:lineRule="auto"/>
        <w:rPr>
          <w:rFonts w:ascii="Times New Roman" w:hAnsi="Times New Roman"/>
          <w:sz w:val="28"/>
          <w:szCs w:val="28"/>
        </w:rPr>
      </w:pPr>
      <w:r>
        <w:rPr>
          <w:rFonts w:ascii="Times New Roman" w:hAnsi="Times New Roman"/>
          <w:sz w:val="28"/>
          <w:szCs w:val="28"/>
        </w:rPr>
        <w:t>Eric M. Fraser</w:t>
      </w:r>
      <w:r w:rsidR="008163D1">
        <w:rPr>
          <w:rFonts w:ascii="Times New Roman" w:hAnsi="Times New Roman"/>
          <w:sz w:val="28"/>
          <w:szCs w:val="28"/>
        </w:rPr>
        <w:t xml:space="preserve"> &amp; </w:t>
      </w:r>
      <w:r>
        <w:rPr>
          <w:rFonts w:ascii="Times New Roman" w:hAnsi="Times New Roman"/>
          <w:sz w:val="28"/>
          <w:szCs w:val="28"/>
        </w:rPr>
        <w:t>Joshua Bendor</w:t>
      </w:r>
    </w:p>
    <w:p w14:paraId="54235EDA" w14:textId="584D1DAC" w:rsidR="00A33A33" w:rsidRDefault="00A33A33" w:rsidP="00DC38DE">
      <w:pPr>
        <w:spacing w:line="240" w:lineRule="auto"/>
        <w:rPr>
          <w:rFonts w:ascii="Times New Roman" w:hAnsi="Times New Roman"/>
          <w:sz w:val="28"/>
          <w:szCs w:val="28"/>
        </w:rPr>
      </w:pPr>
      <w:hyperlink r:id="rId12" w:history="1">
        <w:r w:rsidRPr="00E52FCC">
          <w:rPr>
            <w:rStyle w:val="Hyperlink"/>
            <w:rFonts w:ascii="Times New Roman" w:hAnsi="Times New Roman"/>
            <w:sz w:val="28"/>
            <w:szCs w:val="28"/>
          </w:rPr>
          <w:t>efraser@omlaw.com</w:t>
        </w:r>
      </w:hyperlink>
    </w:p>
    <w:p w14:paraId="0AC96105" w14:textId="20BB368E" w:rsidR="008163D1" w:rsidRDefault="00A33A33" w:rsidP="00DC38DE">
      <w:pPr>
        <w:spacing w:line="240" w:lineRule="auto"/>
        <w:rPr>
          <w:rFonts w:ascii="Times New Roman" w:hAnsi="Times New Roman"/>
          <w:sz w:val="28"/>
          <w:szCs w:val="28"/>
        </w:rPr>
      </w:pPr>
      <w:hyperlink r:id="rId13" w:history="1">
        <w:r w:rsidRPr="00E52FCC">
          <w:rPr>
            <w:rStyle w:val="Hyperlink"/>
            <w:rFonts w:ascii="Times New Roman" w:hAnsi="Times New Roman"/>
            <w:sz w:val="28"/>
            <w:szCs w:val="28"/>
          </w:rPr>
          <w:t>Joshua.Bendor@azag.gov</w:t>
        </w:r>
      </w:hyperlink>
      <w:r>
        <w:rPr>
          <w:rFonts w:ascii="Times New Roman" w:hAnsi="Times New Roman"/>
          <w:sz w:val="28"/>
          <w:szCs w:val="28"/>
        </w:rPr>
        <w:t xml:space="preserve"> </w:t>
      </w:r>
    </w:p>
    <w:sectPr w:rsidR="008163D1" w:rsidSect="00F54AA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AE3D6" w14:textId="77777777" w:rsidR="00FA1691" w:rsidRDefault="00FA1691">
      <w:r>
        <w:separator/>
      </w:r>
    </w:p>
  </w:endnote>
  <w:endnote w:type="continuationSeparator" w:id="0">
    <w:p w14:paraId="0B18701A" w14:textId="77777777" w:rsidR="00FA1691" w:rsidRDefault="00FA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B82B" w14:textId="17CBCBCC"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3743">
      <w:rPr>
        <w:rStyle w:val="PageNumber"/>
        <w:noProof/>
      </w:rPr>
      <w:t>2</w: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11053"/>
      <w:docPartObj>
        <w:docPartGallery w:val="Page Numbers (Bottom of Page)"/>
        <w:docPartUnique/>
      </w:docPartObj>
    </w:sdtPr>
    <w:sdtEndPr>
      <w:rPr>
        <w:rFonts w:ascii="Times New Roman" w:hAnsi="Times New Roman"/>
        <w:noProof/>
        <w:sz w:val="28"/>
        <w:szCs w:val="32"/>
      </w:rPr>
    </w:sdtEndPr>
    <w:sdtContent>
      <w:p w14:paraId="5DDBCF84" w14:textId="7E7E7749" w:rsidR="000A3743" w:rsidRPr="000A3743" w:rsidRDefault="000A3743">
        <w:pPr>
          <w:pStyle w:val="Footer"/>
          <w:jc w:val="center"/>
          <w:rPr>
            <w:rFonts w:ascii="Times New Roman" w:hAnsi="Times New Roman"/>
            <w:sz w:val="28"/>
            <w:szCs w:val="32"/>
          </w:rPr>
        </w:pPr>
        <w:r w:rsidRPr="000A3743">
          <w:rPr>
            <w:rFonts w:ascii="Times New Roman" w:hAnsi="Times New Roman"/>
            <w:sz w:val="28"/>
            <w:szCs w:val="32"/>
          </w:rPr>
          <w:fldChar w:fldCharType="begin"/>
        </w:r>
        <w:r w:rsidRPr="000A3743">
          <w:rPr>
            <w:rFonts w:ascii="Times New Roman" w:hAnsi="Times New Roman"/>
            <w:sz w:val="28"/>
            <w:szCs w:val="32"/>
          </w:rPr>
          <w:instrText xml:space="preserve"> PAGE   \* MERGEFORMAT </w:instrText>
        </w:r>
        <w:r w:rsidRPr="000A3743">
          <w:rPr>
            <w:rFonts w:ascii="Times New Roman" w:hAnsi="Times New Roman"/>
            <w:sz w:val="28"/>
            <w:szCs w:val="32"/>
          </w:rPr>
          <w:fldChar w:fldCharType="separate"/>
        </w:r>
        <w:r w:rsidRPr="000A3743">
          <w:rPr>
            <w:rFonts w:ascii="Times New Roman" w:hAnsi="Times New Roman"/>
            <w:noProof/>
            <w:sz w:val="28"/>
            <w:szCs w:val="32"/>
          </w:rPr>
          <w:t>2</w:t>
        </w:r>
        <w:r w:rsidRPr="000A3743">
          <w:rPr>
            <w:rFonts w:ascii="Times New Roman" w:hAnsi="Times New Roman"/>
            <w:noProof/>
            <w:sz w:val="28"/>
            <w:szCs w:val="32"/>
          </w:rPr>
          <w:fldChar w:fldCharType="end"/>
        </w:r>
      </w:p>
    </w:sdtContent>
  </w:sdt>
  <w:p w14:paraId="60441CDF" w14:textId="77777777" w:rsidR="000A3743" w:rsidRDefault="000A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71BE1" w14:textId="77777777" w:rsidR="00FA1691" w:rsidRDefault="00FA1691">
      <w:r>
        <w:separator/>
      </w:r>
    </w:p>
  </w:footnote>
  <w:footnote w:type="continuationSeparator" w:id="0">
    <w:p w14:paraId="2FCDF336" w14:textId="77777777" w:rsidR="00FA1691" w:rsidRDefault="00FA1691">
      <w:r>
        <w:continuationSeparator/>
      </w:r>
    </w:p>
  </w:footnote>
  <w:footnote w:id="1">
    <w:p w14:paraId="7B4BDE53" w14:textId="2FC124EA" w:rsidR="00653B3E" w:rsidRPr="00653B3E" w:rsidRDefault="00653B3E" w:rsidP="00653B3E">
      <w:pPr>
        <w:pStyle w:val="FootnoteText"/>
        <w:spacing w:line="240" w:lineRule="auto"/>
        <w:jc w:val="both"/>
        <w:rPr>
          <w:rFonts w:ascii="Times New Roman" w:hAnsi="Times New Roman"/>
          <w:sz w:val="28"/>
          <w:szCs w:val="28"/>
        </w:rPr>
      </w:pPr>
      <w:r w:rsidRPr="00653B3E">
        <w:rPr>
          <w:rStyle w:val="FootnoteReference"/>
          <w:rFonts w:ascii="Times New Roman" w:hAnsi="Times New Roman"/>
          <w:sz w:val="28"/>
          <w:szCs w:val="28"/>
        </w:rPr>
        <w:footnoteRef/>
      </w:r>
      <w:r w:rsidRPr="00653B3E">
        <w:rPr>
          <w:rFonts w:ascii="Times New Roman" w:hAnsi="Times New Roman"/>
          <w:sz w:val="28"/>
          <w:szCs w:val="28"/>
        </w:rPr>
        <w:t xml:space="preserve"> </w:t>
      </w:r>
      <w:r>
        <w:rPr>
          <w:rFonts w:ascii="Times New Roman" w:hAnsi="Times New Roman"/>
          <w:sz w:val="28"/>
          <w:szCs w:val="28"/>
        </w:rPr>
        <w:t>On two occasions (February 25, 2014, and May 10, 2016), I argued back-to-back cases and moved from the Respondent’s table to the Petitioner’s table.</w:t>
      </w:r>
    </w:p>
  </w:footnote>
  <w:footnote w:id="2">
    <w:p w14:paraId="5C1C8BB3" w14:textId="62D3908A" w:rsidR="0023387C" w:rsidRPr="00653B3E" w:rsidRDefault="0023387C" w:rsidP="0023387C">
      <w:pPr>
        <w:pStyle w:val="FootnoteText"/>
        <w:spacing w:line="240" w:lineRule="auto"/>
        <w:jc w:val="both"/>
        <w:rPr>
          <w:rFonts w:ascii="Times New Roman" w:hAnsi="Times New Roman"/>
          <w:sz w:val="28"/>
          <w:szCs w:val="28"/>
        </w:rPr>
      </w:pPr>
      <w:r w:rsidRPr="00653B3E">
        <w:rPr>
          <w:rStyle w:val="FootnoteReference"/>
          <w:rFonts w:ascii="Times New Roman" w:hAnsi="Times New Roman"/>
          <w:sz w:val="28"/>
          <w:szCs w:val="28"/>
        </w:rPr>
        <w:footnoteRef/>
      </w:r>
      <w:r w:rsidRPr="00653B3E">
        <w:rPr>
          <w:rFonts w:ascii="Times New Roman" w:hAnsi="Times New Roman"/>
          <w:sz w:val="28"/>
          <w:szCs w:val="28"/>
        </w:rPr>
        <w:t xml:space="preserve"> </w:t>
      </w:r>
      <w:r>
        <w:rPr>
          <w:rFonts w:ascii="Times New Roman" w:hAnsi="Times New Roman"/>
          <w:sz w:val="28"/>
          <w:szCs w:val="28"/>
        </w:rPr>
        <w:t xml:space="preserve">This is true regardless of </w:t>
      </w:r>
      <w:r w:rsidR="00265DE9">
        <w:rPr>
          <w:rFonts w:ascii="Times New Roman" w:hAnsi="Times New Roman"/>
          <w:sz w:val="28"/>
          <w:szCs w:val="28"/>
        </w:rPr>
        <w:t>“liberal versus conservative” viewpoints of the justices</w:t>
      </w:r>
      <w:r>
        <w:rPr>
          <w:rFonts w:ascii="Times New Roman" w:hAnsi="Times New Roman"/>
          <w:sz w:val="28"/>
          <w:szCs w:val="28"/>
        </w:rPr>
        <w:t>.</w:t>
      </w:r>
      <w:r w:rsidR="00265DE9">
        <w:rPr>
          <w:rFonts w:ascii="Times New Roman" w:hAnsi="Times New Roman"/>
          <w:sz w:val="28"/>
          <w:szCs w:val="28"/>
        </w:rPr>
        <w:t xml:space="preserve"> </w:t>
      </w:r>
      <w:r w:rsidR="00265DE9" w:rsidRPr="0023387C">
        <w:rPr>
          <w:rFonts w:ascii="Times New Roman" w:hAnsi="Times New Roman"/>
          <w:i/>
          <w:iCs/>
          <w:sz w:val="28"/>
          <w:szCs w:val="28"/>
        </w:rPr>
        <w:t>E.g.</w:t>
      </w:r>
      <w:r w:rsidR="00265DE9">
        <w:rPr>
          <w:rFonts w:ascii="Times New Roman" w:hAnsi="Times New Roman"/>
          <w:sz w:val="28"/>
          <w:szCs w:val="28"/>
        </w:rPr>
        <w:t xml:space="preserve">, </w:t>
      </w:r>
      <w:r w:rsidR="00D711F9" w:rsidRPr="004D2D3E">
        <w:rPr>
          <w:rFonts w:ascii="Times New Roman" w:hAnsi="Times New Roman"/>
          <w:i/>
          <w:iCs/>
          <w:sz w:val="28"/>
          <w:szCs w:val="28"/>
        </w:rPr>
        <w:t>California v. Carney</w:t>
      </w:r>
      <w:r w:rsidR="00D711F9">
        <w:rPr>
          <w:rFonts w:ascii="Times New Roman" w:hAnsi="Times New Roman"/>
          <w:sz w:val="28"/>
          <w:szCs w:val="28"/>
        </w:rPr>
        <w:t>, 471 U.S. 386, 399 (1985) (Stevens, J., dissenting) (“</w:t>
      </w:r>
      <w:r w:rsidR="00D711F9" w:rsidRPr="004D2D3E">
        <w:rPr>
          <w:rFonts w:ascii="Times New Roman" w:hAnsi="Times New Roman"/>
          <w:sz w:val="28"/>
          <w:szCs w:val="28"/>
        </w:rPr>
        <w:t>Premature resolution of the novel question presented has stunted the natural growth and refinement of alternative principles.</w:t>
      </w:r>
      <w:r w:rsidR="00D711F9">
        <w:rPr>
          <w:rFonts w:ascii="Times New Roman" w:hAnsi="Times New Roman"/>
          <w:sz w:val="28"/>
          <w:szCs w:val="28"/>
        </w:rPr>
        <w:t xml:space="preserve">”); </w:t>
      </w:r>
      <w:r w:rsidR="00D711F9" w:rsidRPr="0023387C">
        <w:rPr>
          <w:rFonts w:ascii="Times New Roman" w:hAnsi="Times New Roman"/>
          <w:i/>
          <w:iCs/>
          <w:sz w:val="28"/>
          <w:szCs w:val="28"/>
        </w:rPr>
        <w:t>Kyles v. Whitley</w:t>
      </w:r>
      <w:r w:rsidR="00D711F9">
        <w:rPr>
          <w:rFonts w:ascii="Times New Roman" w:hAnsi="Times New Roman"/>
          <w:sz w:val="28"/>
          <w:szCs w:val="28"/>
        </w:rPr>
        <w:t xml:space="preserve">, 514 U.S. 419, 456-57 (1995) (Scalia, J., dissenting) </w:t>
      </w:r>
      <w:r w:rsidR="004D2D3E">
        <w:rPr>
          <w:rFonts w:ascii="Times New Roman" w:hAnsi="Times New Roman"/>
          <w:sz w:val="28"/>
          <w:szCs w:val="28"/>
        </w:rPr>
        <w:t>(citing the “two-court rule”</w:t>
      </w:r>
      <w:r w:rsidR="000C51C3">
        <w:rPr>
          <w:rFonts w:ascii="Times New Roman" w:hAnsi="Times New Roman"/>
          <w:sz w:val="28"/>
          <w:szCs w:val="28"/>
        </w:rPr>
        <w:t xml:space="preserve"> in habeas cases</w:t>
      </w:r>
      <w:r w:rsidR="00A75BF6">
        <w:rPr>
          <w:rFonts w:ascii="Times New Roman" w:hAnsi="Times New Roman"/>
          <w:sz w:val="28"/>
          <w:szCs w:val="28"/>
        </w:rPr>
        <w:t xml:space="preserve"> as a reason to deny certiorari</w:t>
      </w:r>
      <w:r w:rsidR="004D2D3E">
        <w:rPr>
          <w:rFonts w:ascii="Times New Roman" w:hAnsi="Times New Roman"/>
          <w:sz w:val="28"/>
          <w:szCs w:val="28"/>
        </w:rPr>
        <w:t>).</w:t>
      </w:r>
    </w:p>
  </w:footnote>
  <w:footnote w:id="3">
    <w:p w14:paraId="5B097BD2" w14:textId="55150B95" w:rsidR="00F75214" w:rsidRPr="00653B3E" w:rsidRDefault="00F75214" w:rsidP="00F75214">
      <w:pPr>
        <w:pStyle w:val="FootnoteText"/>
        <w:spacing w:line="240" w:lineRule="auto"/>
        <w:jc w:val="both"/>
        <w:rPr>
          <w:rFonts w:ascii="Times New Roman" w:hAnsi="Times New Roman"/>
          <w:sz w:val="28"/>
          <w:szCs w:val="28"/>
        </w:rPr>
      </w:pPr>
      <w:r w:rsidRPr="00653B3E">
        <w:rPr>
          <w:rStyle w:val="FootnoteReference"/>
          <w:rFonts w:ascii="Times New Roman" w:hAnsi="Times New Roman"/>
          <w:sz w:val="28"/>
          <w:szCs w:val="28"/>
        </w:rPr>
        <w:footnoteRef/>
      </w:r>
      <w:r w:rsidRPr="00653B3E">
        <w:rPr>
          <w:rFonts w:ascii="Times New Roman" w:hAnsi="Times New Roman"/>
          <w:sz w:val="28"/>
          <w:szCs w:val="28"/>
        </w:rPr>
        <w:t xml:space="preserve"> </w:t>
      </w:r>
      <w:r w:rsidRPr="00F75214">
        <w:rPr>
          <w:rFonts w:ascii="Times New Roman" w:hAnsi="Times New Roman"/>
          <w:i/>
          <w:iCs/>
          <w:sz w:val="28"/>
          <w:szCs w:val="28"/>
        </w:rPr>
        <w:t>See</w:t>
      </w:r>
      <w:r w:rsidRPr="0023387C">
        <w:rPr>
          <w:rFonts w:ascii="Times New Roman" w:hAnsi="Times New Roman"/>
          <w:i/>
          <w:iCs/>
          <w:sz w:val="28"/>
          <w:szCs w:val="28"/>
        </w:rPr>
        <w:t xml:space="preserve"> Wil</w:t>
      </w:r>
      <w:r>
        <w:rPr>
          <w:rFonts w:ascii="Times New Roman" w:hAnsi="Times New Roman"/>
          <w:i/>
          <w:iCs/>
          <w:sz w:val="28"/>
          <w:szCs w:val="28"/>
        </w:rPr>
        <w:t>lis v. Bernini</w:t>
      </w:r>
      <w:r>
        <w:rPr>
          <w:rFonts w:ascii="Times New Roman" w:hAnsi="Times New Roman"/>
          <w:sz w:val="28"/>
          <w:szCs w:val="28"/>
        </w:rPr>
        <w:t>, CR-21-0258-PR (order Jan. 5, 2022) (“</w:t>
      </w:r>
      <w:r w:rsidRPr="00F75214">
        <w:rPr>
          <w:rFonts w:ascii="Times New Roman" w:hAnsi="Times New Roman"/>
          <w:sz w:val="28"/>
          <w:szCs w:val="28"/>
        </w:rPr>
        <w:t>As the State’s argument may meet the exceptions to the general waiver rule, and the Petitioner has not yet received an opportunity to address it,</w:t>
      </w:r>
      <w:r>
        <w:rPr>
          <w:rFonts w:ascii="Times New Roman" w:hAnsi="Times New Roman"/>
          <w:sz w:val="28"/>
          <w:szCs w:val="28"/>
        </w:rPr>
        <w:t xml:space="preserve"> </w:t>
      </w:r>
      <w:r w:rsidRPr="00F75214">
        <w:rPr>
          <w:rFonts w:ascii="Times New Roman" w:hAnsi="Times New Roman"/>
          <w:sz w:val="28"/>
          <w:szCs w:val="28"/>
        </w:rPr>
        <w:t>IT IS ORDERED that the Petitioner may file a sur-reply, not to exceed 20 pages in length, no later than 14 days from the date of this order addressing the arguments raised in the State’s simultaneous supplemental brief filed December 14, 2021</w:t>
      </w:r>
      <w:r>
        <w:rPr>
          <w:rFonts w:ascii="Times New Roman" w:hAnsi="Times New Roman"/>
          <w:sz w:val="28"/>
          <w:szCs w:val="28"/>
        </w:rPr>
        <w:t>.”).</w:t>
      </w:r>
    </w:p>
  </w:footnote>
  <w:footnote w:id="4">
    <w:p w14:paraId="245F842A" w14:textId="0BFFA276" w:rsidR="00F1345A" w:rsidRPr="00653B3E" w:rsidRDefault="00F1345A" w:rsidP="00F1345A">
      <w:pPr>
        <w:pStyle w:val="FootnoteText"/>
        <w:spacing w:line="240" w:lineRule="auto"/>
        <w:jc w:val="both"/>
        <w:rPr>
          <w:rFonts w:ascii="Times New Roman" w:hAnsi="Times New Roman"/>
          <w:sz w:val="28"/>
          <w:szCs w:val="28"/>
        </w:rPr>
      </w:pPr>
      <w:r w:rsidRPr="00653B3E">
        <w:rPr>
          <w:rStyle w:val="FootnoteReference"/>
          <w:rFonts w:ascii="Times New Roman" w:hAnsi="Times New Roman"/>
          <w:sz w:val="28"/>
          <w:szCs w:val="28"/>
        </w:rPr>
        <w:footnoteRef/>
      </w:r>
      <w:r w:rsidRPr="00653B3E">
        <w:rPr>
          <w:rFonts w:ascii="Times New Roman" w:hAnsi="Times New Roman"/>
          <w:sz w:val="28"/>
          <w:szCs w:val="28"/>
        </w:rPr>
        <w:t xml:space="preserve"> </w:t>
      </w:r>
      <w:hyperlink r:id="rId1" w:history="1">
        <w:r w:rsidRPr="00E52FCC">
          <w:rPr>
            <w:rStyle w:val="Hyperlink"/>
            <w:rFonts w:ascii="Times New Roman" w:hAnsi="Times New Roman"/>
            <w:sz w:val="28"/>
            <w:szCs w:val="28"/>
          </w:rPr>
          <w:t>https://supremestateaz.granicus.com/player/clip/3527?view_id=11&amp;redirect=true</w:t>
        </w:r>
      </w:hyperlink>
      <w:r w:rsidR="00E92CFE">
        <w:rPr>
          <w:rFonts w:ascii="Times New Roman" w:hAnsi="Times New Roman"/>
          <w:sz w:val="28"/>
          <w:szCs w:val="28"/>
        </w:rPr>
        <w:t>, 34:40-35:19.</w:t>
      </w:r>
    </w:p>
  </w:footnote>
  <w:footnote w:id="5">
    <w:p w14:paraId="1071E280" w14:textId="71A2A4CD" w:rsidR="00ED4689" w:rsidRPr="00653B3E" w:rsidRDefault="00ED4689" w:rsidP="00ED4689">
      <w:pPr>
        <w:pStyle w:val="FootnoteText"/>
        <w:spacing w:line="240" w:lineRule="auto"/>
        <w:jc w:val="both"/>
        <w:rPr>
          <w:rFonts w:ascii="Times New Roman" w:hAnsi="Times New Roman"/>
          <w:sz w:val="28"/>
          <w:szCs w:val="28"/>
        </w:rPr>
      </w:pPr>
      <w:r w:rsidRPr="00653B3E">
        <w:rPr>
          <w:rStyle w:val="FootnoteReference"/>
          <w:rFonts w:ascii="Times New Roman" w:hAnsi="Times New Roman"/>
          <w:sz w:val="28"/>
          <w:szCs w:val="28"/>
        </w:rPr>
        <w:footnoteRef/>
      </w:r>
      <w:r w:rsidRPr="00653B3E">
        <w:rPr>
          <w:rFonts w:ascii="Times New Roman" w:hAnsi="Times New Roman"/>
          <w:sz w:val="28"/>
          <w:szCs w:val="28"/>
        </w:rPr>
        <w:t xml:space="preserve"> </w:t>
      </w:r>
      <w:r>
        <w:rPr>
          <w:rFonts w:ascii="Times New Roman" w:hAnsi="Times New Roman"/>
          <w:sz w:val="28"/>
          <w:szCs w:val="28"/>
        </w:rPr>
        <w:t>I appreciate the irony of using a block quote to show why block quotes are disfavored.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5A7" w14:textId="77777777" w:rsidR="002D75A7" w:rsidRDefault="002D75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74B0" w14:textId="76F8C093" w:rsidR="002D75A7" w:rsidRDefault="002D75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9464" w14:textId="77777777" w:rsidR="002D75A7" w:rsidRDefault="002D7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A70A3D"/>
    <w:multiLevelType w:val="hybridMultilevel"/>
    <w:tmpl w:val="FE3837D0"/>
    <w:lvl w:ilvl="0" w:tplc="CEE47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DD5700E"/>
    <w:multiLevelType w:val="hybridMultilevel"/>
    <w:tmpl w:val="16B684F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3A210EA"/>
    <w:multiLevelType w:val="hybridMultilevel"/>
    <w:tmpl w:val="1E9EE400"/>
    <w:lvl w:ilvl="0" w:tplc="CF766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5F5EE6"/>
    <w:multiLevelType w:val="hybridMultilevel"/>
    <w:tmpl w:val="A6C43686"/>
    <w:lvl w:ilvl="0" w:tplc="08BED8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32903555">
    <w:abstractNumId w:val="1"/>
  </w:num>
  <w:num w:numId="2" w16cid:durableId="469400166">
    <w:abstractNumId w:val="0"/>
  </w:num>
  <w:num w:numId="3" w16cid:durableId="626275486">
    <w:abstractNumId w:val="4"/>
  </w:num>
  <w:num w:numId="4" w16cid:durableId="1237518553">
    <w:abstractNumId w:val="3"/>
  </w:num>
  <w:num w:numId="5" w16cid:durableId="1732536459">
    <w:abstractNumId w:val="8"/>
  </w:num>
  <w:num w:numId="6" w16cid:durableId="1378436400">
    <w:abstractNumId w:val="11"/>
  </w:num>
  <w:num w:numId="7" w16cid:durableId="991374513">
    <w:abstractNumId w:val="5"/>
  </w:num>
  <w:num w:numId="8" w16cid:durableId="1700660638">
    <w:abstractNumId w:val="6"/>
  </w:num>
  <w:num w:numId="9" w16cid:durableId="372001553">
    <w:abstractNumId w:val="10"/>
  </w:num>
  <w:num w:numId="10" w16cid:durableId="398214401">
    <w:abstractNumId w:val="7"/>
  </w:num>
  <w:num w:numId="11" w16cid:durableId="1932085538">
    <w:abstractNumId w:val="9"/>
  </w:num>
  <w:num w:numId="12" w16cid:durableId="683627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3D7C"/>
    <w:rsid w:val="00015A49"/>
    <w:rsid w:val="000170EA"/>
    <w:rsid w:val="00030DFC"/>
    <w:rsid w:val="00033485"/>
    <w:rsid w:val="000347CF"/>
    <w:rsid w:val="00036CF2"/>
    <w:rsid w:val="000506CE"/>
    <w:rsid w:val="00050775"/>
    <w:rsid w:val="000539C9"/>
    <w:rsid w:val="00054624"/>
    <w:rsid w:val="000574A7"/>
    <w:rsid w:val="00057960"/>
    <w:rsid w:val="00061697"/>
    <w:rsid w:val="00065B6D"/>
    <w:rsid w:val="000759BB"/>
    <w:rsid w:val="000763D7"/>
    <w:rsid w:val="00076CBE"/>
    <w:rsid w:val="00083D10"/>
    <w:rsid w:val="00092D1D"/>
    <w:rsid w:val="00094BC9"/>
    <w:rsid w:val="00095786"/>
    <w:rsid w:val="000966E2"/>
    <w:rsid w:val="000A3680"/>
    <w:rsid w:val="000A3743"/>
    <w:rsid w:val="000B1D0D"/>
    <w:rsid w:val="000B3D5C"/>
    <w:rsid w:val="000B58EF"/>
    <w:rsid w:val="000B6489"/>
    <w:rsid w:val="000C1257"/>
    <w:rsid w:val="000C51C3"/>
    <w:rsid w:val="000D50D4"/>
    <w:rsid w:val="000E2821"/>
    <w:rsid w:val="000E477A"/>
    <w:rsid w:val="000E6C47"/>
    <w:rsid w:val="000E7FAC"/>
    <w:rsid w:val="000F6163"/>
    <w:rsid w:val="00111A1A"/>
    <w:rsid w:val="001176A6"/>
    <w:rsid w:val="00117CB3"/>
    <w:rsid w:val="0012054D"/>
    <w:rsid w:val="00125A1E"/>
    <w:rsid w:val="00125CA9"/>
    <w:rsid w:val="001269D9"/>
    <w:rsid w:val="001279AC"/>
    <w:rsid w:val="00141C61"/>
    <w:rsid w:val="00142D09"/>
    <w:rsid w:val="00147D21"/>
    <w:rsid w:val="00147D30"/>
    <w:rsid w:val="001516C5"/>
    <w:rsid w:val="00155E48"/>
    <w:rsid w:val="0016125C"/>
    <w:rsid w:val="00170A1F"/>
    <w:rsid w:val="00175B0A"/>
    <w:rsid w:val="00176A8B"/>
    <w:rsid w:val="0017761F"/>
    <w:rsid w:val="00186903"/>
    <w:rsid w:val="001942E5"/>
    <w:rsid w:val="001B24C6"/>
    <w:rsid w:val="001B3667"/>
    <w:rsid w:val="001B408E"/>
    <w:rsid w:val="001C015F"/>
    <w:rsid w:val="001C02C6"/>
    <w:rsid w:val="001C2BDE"/>
    <w:rsid w:val="001C30CE"/>
    <w:rsid w:val="001C60A4"/>
    <w:rsid w:val="001D0E6C"/>
    <w:rsid w:val="001D4A80"/>
    <w:rsid w:val="001F54B7"/>
    <w:rsid w:val="001F6288"/>
    <w:rsid w:val="00204B28"/>
    <w:rsid w:val="00205E43"/>
    <w:rsid w:val="002076F9"/>
    <w:rsid w:val="002138B5"/>
    <w:rsid w:val="00214645"/>
    <w:rsid w:val="00221A90"/>
    <w:rsid w:val="00221BCC"/>
    <w:rsid w:val="00230545"/>
    <w:rsid w:val="0023387C"/>
    <w:rsid w:val="00235C89"/>
    <w:rsid w:val="0023620C"/>
    <w:rsid w:val="002549CE"/>
    <w:rsid w:val="00255E07"/>
    <w:rsid w:val="00265DE9"/>
    <w:rsid w:val="00272514"/>
    <w:rsid w:val="0027258D"/>
    <w:rsid w:val="002763F8"/>
    <w:rsid w:val="00281563"/>
    <w:rsid w:val="00284E5B"/>
    <w:rsid w:val="00285283"/>
    <w:rsid w:val="002901A9"/>
    <w:rsid w:val="0029485A"/>
    <w:rsid w:val="002A1CB3"/>
    <w:rsid w:val="002A24BA"/>
    <w:rsid w:val="002A3420"/>
    <w:rsid w:val="002A4DD3"/>
    <w:rsid w:val="002B3E95"/>
    <w:rsid w:val="002B5B1B"/>
    <w:rsid w:val="002B62C2"/>
    <w:rsid w:val="002C0EDD"/>
    <w:rsid w:val="002C54D2"/>
    <w:rsid w:val="002C660A"/>
    <w:rsid w:val="002D17D1"/>
    <w:rsid w:val="002D3F50"/>
    <w:rsid w:val="002D75A7"/>
    <w:rsid w:val="002E545E"/>
    <w:rsid w:val="002F1FBD"/>
    <w:rsid w:val="002F2876"/>
    <w:rsid w:val="002F33EF"/>
    <w:rsid w:val="00301411"/>
    <w:rsid w:val="00304745"/>
    <w:rsid w:val="00304EAE"/>
    <w:rsid w:val="003055A7"/>
    <w:rsid w:val="00305778"/>
    <w:rsid w:val="00305CB1"/>
    <w:rsid w:val="00311552"/>
    <w:rsid w:val="00313AAF"/>
    <w:rsid w:val="00320C7A"/>
    <w:rsid w:val="003231B0"/>
    <w:rsid w:val="00325AFE"/>
    <w:rsid w:val="00351280"/>
    <w:rsid w:val="00356079"/>
    <w:rsid w:val="00357C78"/>
    <w:rsid w:val="003732CB"/>
    <w:rsid w:val="0037523F"/>
    <w:rsid w:val="0037686D"/>
    <w:rsid w:val="00380B0B"/>
    <w:rsid w:val="00381DE3"/>
    <w:rsid w:val="003A2343"/>
    <w:rsid w:val="003A346F"/>
    <w:rsid w:val="003A63AE"/>
    <w:rsid w:val="003B62E4"/>
    <w:rsid w:val="003C15EA"/>
    <w:rsid w:val="003C4E9C"/>
    <w:rsid w:val="003C6246"/>
    <w:rsid w:val="003E3701"/>
    <w:rsid w:val="003E5547"/>
    <w:rsid w:val="003E5927"/>
    <w:rsid w:val="003E770B"/>
    <w:rsid w:val="00404BB5"/>
    <w:rsid w:val="0041282A"/>
    <w:rsid w:val="0041704C"/>
    <w:rsid w:val="00420894"/>
    <w:rsid w:val="00420CBC"/>
    <w:rsid w:val="00421A04"/>
    <w:rsid w:val="00421E9E"/>
    <w:rsid w:val="00434005"/>
    <w:rsid w:val="004422C5"/>
    <w:rsid w:val="004434F1"/>
    <w:rsid w:val="00444BE7"/>
    <w:rsid w:val="004503FC"/>
    <w:rsid w:val="00451F00"/>
    <w:rsid w:val="00454AE0"/>
    <w:rsid w:val="0047497F"/>
    <w:rsid w:val="00485FAA"/>
    <w:rsid w:val="00492362"/>
    <w:rsid w:val="00493A61"/>
    <w:rsid w:val="004963BA"/>
    <w:rsid w:val="004A2829"/>
    <w:rsid w:val="004B3410"/>
    <w:rsid w:val="004B6D4E"/>
    <w:rsid w:val="004B74D0"/>
    <w:rsid w:val="004B7790"/>
    <w:rsid w:val="004C7133"/>
    <w:rsid w:val="004D2D3E"/>
    <w:rsid w:val="004D72A3"/>
    <w:rsid w:val="004E66AE"/>
    <w:rsid w:val="004E6839"/>
    <w:rsid w:val="004F3B51"/>
    <w:rsid w:val="004F5419"/>
    <w:rsid w:val="00502211"/>
    <w:rsid w:val="00512EB9"/>
    <w:rsid w:val="00515CB2"/>
    <w:rsid w:val="00515E8D"/>
    <w:rsid w:val="005252FB"/>
    <w:rsid w:val="00542196"/>
    <w:rsid w:val="0054468B"/>
    <w:rsid w:val="005453BE"/>
    <w:rsid w:val="00545D3B"/>
    <w:rsid w:val="00553515"/>
    <w:rsid w:val="005552C9"/>
    <w:rsid w:val="00556A2D"/>
    <w:rsid w:val="00565858"/>
    <w:rsid w:val="005865B2"/>
    <w:rsid w:val="005924A7"/>
    <w:rsid w:val="005B0C4F"/>
    <w:rsid w:val="005B2350"/>
    <w:rsid w:val="005B53BE"/>
    <w:rsid w:val="005B7899"/>
    <w:rsid w:val="005C109B"/>
    <w:rsid w:val="005C3BDC"/>
    <w:rsid w:val="005C6E61"/>
    <w:rsid w:val="005C6FB2"/>
    <w:rsid w:val="005D06D5"/>
    <w:rsid w:val="005D21EF"/>
    <w:rsid w:val="005D441D"/>
    <w:rsid w:val="005D7DCC"/>
    <w:rsid w:val="005E11F3"/>
    <w:rsid w:val="005E40C0"/>
    <w:rsid w:val="005F0195"/>
    <w:rsid w:val="005F145E"/>
    <w:rsid w:val="005F4669"/>
    <w:rsid w:val="0060208D"/>
    <w:rsid w:val="006068F4"/>
    <w:rsid w:val="0061055B"/>
    <w:rsid w:val="006114B6"/>
    <w:rsid w:val="00621C77"/>
    <w:rsid w:val="006235B5"/>
    <w:rsid w:val="0062703F"/>
    <w:rsid w:val="00627605"/>
    <w:rsid w:val="00627DBE"/>
    <w:rsid w:val="00635786"/>
    <w:rsid w:val="00636918"/>
    <w:rsid w:val="006378F2"/>
    <w:rsid w:val="006463AE"/>
    <w:rsid w:val="00646589"/>
    <w:rsid w:val="00653B3E"/>
    <w:rsid w:val="00656061"/>
    <w:rsid w:val="006650FE"/>
    <w:rsid w:val="00666490"/>
    <w:rsid w:val="00671A36"/>
    <w:rsid w:val="00674178"/>
    <w:rsid w:val="006876D6"/>
    <w:rsid w:val="00692962"/>
    <w:rsid w:val="006933C3"/>
    <w:rsid w:val="006A230F"/>
    <w:rsid w:val="006A3EB6"/>
    <w:rsid w:val="006A78C5"/>
    <w:rsid w:val="006B2F75"/>
    <w:rsid w:val="006B6B9E"/>
    <w:rsid w:val="006C0F08"/>
    <w:rsid w:val="006C2808"/>
    <w:rsid w:val="006C5B68"/>
    <w:rsid w:val="006C648E"/>
    <w:rsid w:val="006D1C00"/>
    <w:rsid w:val="006D4397"/>
    <w:rsid w:val="006D4E43"/>
    <w:rsid w:val="006E34AB"/>
    <w:rsid w:val="006F5562"/>
    <w:rsid w:val="006F594D"/>
    <w:rsid w:val="006F6CD5"/>
    <w:rsid w:val="006F7F88"/>
    <w:rsid w:val="00701CE7"/>
    <w:rsid w:val="00701DAA"/>
    <w:rsid w:val="0070604A"/>
    <w:rsid w:val="007109BB"/>
    <w:rsid w:val="00714CCA"/>
    <w:rsid w:val="00716D4F"/>
    <w:rsid w:val="00720596"/>
    <w:rsid w:val="00734F6C"/>
    <w:rsid w:val="00741690"/>
    <w:rsid w:val="00744748"/>
    <w:rsid w:val="00753D22"/>
    <w:rsid w:val="00757D2B"/>
    <w:rsid w:val="00760549"/>
    <w:rsid w:val="00760555"/>
    <w:rsid w:val="007626EF"/>
    <w:rsid w:val="00764591"/>
    <w:rsid w:val="00765DAF"/>
    <w:rsid w:val="007660C5"/>
    <w:rsid w:val="007669E7"/>
    <w:rsid w:val="00772AEE"/>
    <w:rsid w:val="00781317"/>
    <w:rsid w:val="00783BC1"/>
    <w:rsid w:val="00785725"/>
    <w:rsid w:val="007862DA"/>
    <w:rsid w:val="00787905"/>
    <w:rsid w:val="00794743"/>
    <w:rsid w:val="00796B36"/>
    <w:rsid w:val="007973A8"/>
    <w:rsid w:val="007A2304"/>
    <w:rsid w:val="007A3B11"/>
    <w:rsid w:val="007A5AD8"/>
    <w:rsid w:val="007A6AC6"/>
    <w:rsid w:val="007B4B94"/>
    <w:rsid w:val="007C17AC"/>
    <w:rsid w:val="007D2D04"/>
    <w:rsid w:val="007E229C"/>
    <w:rsid w:val="007F091F"/>
    <w:rsid w:val="007F35A8"/>
    <w:rsid w:val="00802B79"/>
    <w:rsid w:val="00806D9C"/>
    <w:rsid w:val="0081372C"/>
    <w:rsid w:val="00814F81"/>
    <w:rsid w:val="0081534B"/>
    <w:rsid w:val="008163D1"/>
    <w:rsid w:val="008272AA"/>
    <w:rsid w:val="00830B14"/>
    <w:rsid w:val="00831FE6"/>
    <w:rsid w:val="0083406F"/>
    <w:rsid w:val="00836008"/>
    <w:rsid w:val="008367DA"/>
    <w:rsid w:val="00837A5A"/>
    <w:rsid w:val="008409ED"/>
    <w:rsid w:val="00840EFC"/>
    <w:rsid w:val="00841AB1"/>
    <w:rsid w:val="008425DB"/>
    <w:rsid w:val="0085222A"/>
    <w:rsid w:val="00854B4F"/>
    <w:rsid w:val="008579E3"/>
    <w:rsid w:val="0086599B"/>
    <w:rsid w:val="00876503"/>
    <w:rsid w:val="008828FB"/>
    <w:rsid w:val="008940B3"/>
    <w:rsid w:val="008A079D"/>
    <w:rsid w:val="008B363E"/>
    <w:rsid w:val="008B54C8"/>
    <w:rsid w:val="008B7D55"/>
    <w:rsid w:val="008C682F"/>
    <w:rsid w:val="008D1F4D"/>
    <w:rsid w:val="008D1F65"/>
    <w:rsid w:val="008D575C"/>
    <w:rsid w:val="008D6170"/>
    <w:rsid w:val="008D75BF"/>
    <w:rsid w:val="008E04BA"/>
    <w:rsid w:val="008F2BD6"/>
    <w:rsid w:val="009040C7"/>
    <w:rsid w:val="009049C6"/>
    <w:rsid w:val="00923420"/>
    <w:rsid w:val="00936450"/>
    <w:rsid w:val="00943146"/>
    <w:rsid w:val="00952A62"/>
    <w:rsid w:val="00956F98"/>
    <w:rsid w:val="00963B50"/>
    <w:rsid w:val="00973C53"/>
    <w:rsid w:val="00975B5C"/>
    <w:rsid w:val="00975BE7"/>
    <w:rsid w:val="009815B4"/>
    <w:rsid w:val="009823DE"/>
    <w:rsid w:val="00984935"/>
    <w:rsid w:val="009923CC"/>
    <w:rsid w:val="009B206F"/>
    <w:rsid w:val="009B5BAF"/>
    <w:rsid w:val="009C525E"/>
    <w:rsid w:val="009C79C4"/>
    <w:rsid w:val="009D6065"/>
    <w:rsid w:val="009D7B9A"/>
    <w:rsid w:val="009F0094"/>
    <w:rsid w:val="009F0CE6"/>
    <w:rsid w:val="009F189B"/>
    <w:rsid w:val="009F697C"/>
    <w:rsid w:val="00A00B20"/>
    <w:rsid w:val="00A03454"/>
    <w:rsid w:val="00A0443C"/>
    <w:rsid w:val="00A066BB"/>
    <w:rsid w:val="00A25E18"/>
    <w:rsid w:val="00A33A33"/>
    <w:rsid w:val="00A3745F"/>
    <w:rsid w:val="00A41AA3"/>
    <w:rsid w:val="00A42EAA"/>
    <w:rsid w:val="00A51530"/>
    <w:rsid w:val="00A629F8"/>
    <w:rsid w:val="00A64FDB"/>
    <w:rsid w:val="00A729B8"/>
    <w:rsid w:val="00A74317"/>
    <w:rsid w:val="00A75BF6"/>
    <w:rsid w:val="00A86C90"/>
    <w:rsid w:val="00AB1A5A"/>
    <w:rsid w:val="00AB2212"/>
    <w:rsid w:val="00AB4F91"/>
    <w:rsid w:val="00AB5BD4"/>
    <w:rsid w:val="00AC1F4E"/>
    <w:rsid w:val="00AC21D5"/>
    <w:rsid w:val="00AC3538"/>
    <w:rsid w:val="00AD6744"/>
    <w:rsid w:val="00AF12EC"/>
    <w:rsid w:val="00AF517B"/>
    <w:rsid w:val="00AF6D8A"/>
    <w:rsid w:val="00B01511"/>
    <w:rsid w:val="00B16F3E"/>
    <w:rsid w:val="00B227B2"/>
    <w:rsid w:val="00B40EF1"/>
    <w:rsid w:val="00B4395E"/>
    <w:rsid w:val="00B43E0F"/>
    <w:rsid w:val="00B515D5"/>
    <w:rsid w:val="00B521D5"/>
    <w:rsid w:val="00B67D5C"/>
    <w:rsid w:val="00B81136"/>
    <w:rsid w:val="00B86E8D"/>
    <w:rsid w:val="00B8700C"/>
    <w:rsid w:val="00B90C53"/>
    <w:rsid w:val="00B90D16"/>
    <w:rsid w:val="00B96A65"/>
    <w:rsid w:val="00BA4B2B"/>
    <w:rsid w:val="00BA59FD"/>
    <w:rsid w:val="00BA7D16"/>
    <w:rsid w:val="00BB1D01"/>
    <w:rsid w:val="00BB2A3A"/>
    <w:rsid w:val="00BB39E6"/>
    <w:rsid w:val="00BB652F"/>
    <w:rsid w:val="00BC2358"/>
    <w:rsid w:val="00BC64C3"/>
    <w:rsid w:val="00BD20AB"/>
    <w:rsid w:val="00BE4C96"/>
    <w:rsid w:val="00BE622B"/>
    <w:rsid w:val="00BF265F"/>
    <w:rsid w:val="00BF346E"/>
    <w:rsid w:val="00BF498B"/>
    <w:rsid w:val="00BF6973"/>
    <w:rsid w:val="00C0694F"/>
    <w:rsid w:val="00C10845"/>
    <w:rsid w:val="00C12F09"/>
    <w:rsid w:val="00C205F1"/>
    <w:rsid w:val="00C30A6D"/>
    <w:rsid w:val="00C3108B"/>
    <w:rsid w:val="00C32C87"/>
    <w:rsid w:val="00C347AE"/>
    <w:rsid w:val="00C37271"/>
    <w:rsid w:val="00C37BB3"/>
    <w:rsid w:val="00C40941"/>
    <w:rsid w:val="00C44CA0"/>
    <w:rsid w:val="00C516BC"/>
    <w:rsid w:val="00C55A45"/>
    <w:rsid w:val="00C60CF3"/>
    <w:rsid w:val="00C61585"/>
    <w:rsid w:val="00C654DC"/>
    <w:rsid w:val="00C667CE"/>
    <w:rsid w:val="00C66BDF"/>
    <w:rsid w:val="00C70ABF"/>
    <w:rsid w:val="00C71726"/>
    <w:rsid w:val="00C76BAA"/>
    <w:rsid w:val="00C838EB"/>
    <w:rsid w:val="00C8556E"/>
    <w:rsid w:val="00C859FD"/>
    <w:rsid w:val="00C919C7"/>
    <w:rsid w:val="00C940C1"/>
    <w:rsid w:val="00C97315"/>
    <w:rsid w:val="00C9771B"/>
    <w:rsid w:val="00CA18B8"/>
    <w:rsid w:val="00CA5449"/>
    <w:rsid w:val="00CA5689"/>
    <w:rsid w:val="00CB3D52"/>
    <w:rsid w:val="00CB4F3A"/>
    <w:rsid w:val="00CC3610"/>
    <w:rsid w:val="00CD45E7"/>
    <w:rsid w:val="00CE08E0"/>
    <w:rsid w:val="00D0294B"/>
    <w:rsid w:val="00D145C4"/>
    <w:rsid w:val="00D16827"/>
    <w:rsid w:val="00D224F5"/>
    <w:rsid w:val="00D26ED2"/>
    <w:rsid w:val="00D3557D"/>
    <w:rsid w:val="00D377B7"/>
    <w:rsid w:val="00D37836"/>
    <w:rsid w:val="00D407F7"/>
    <w:rsid w:val="00D43EF2"/>
    <w:rsid w:val="00D53865"/>
    <w:rsid w:val="00D60861"/>
    <w:rsid w:val="00D629C5"/>
    <w:rsid w:val="00D711F9"/>
    <w:rsid w:val="00D774DA"/>
    <w:rsid w:val="00D77E36"/>
    <w:rsid w:val="00D83F58"/>
    <w:rsid w:val="00D877B2"/>
    <w:rsid w:val="00D94D24"/>
    <w:rsid w:val="00DA0D25"/>
    <w:rsid w:val="00DA2BE7"/>
    <w:rsid w:val="00DB048B"/>
    <w:rsid w:val="00DB187C"/>
    <w:rsid w:val="00DB2614"/>
    <w:rsid w:val="00DB3C6C"/>
    <w:rsid w:val="00DB4EDE"/>
    <w:rsid w:val="00DC13B0"/>
    <w:rsid w:val="00DC2E85"/>
    <w:rsid w:val="00DC38DE"/>
    <w:rsid w:val="00DC6C0A"/>
    <w:rsid w:val="00DD121E"/>
    <w:rsid w:val="00DD519E"/>
    <w:rsid w:val="00DF2F5D"/>
    <w:rsid w:val="00E126BB"/>
    <w:rsid w:val="00E14AEF"/>
    <w:rsid w:val="00E16A0A"/>
    <w:rsid w:val="00E16B5B"/>
    <w:rsid w:val="00E2055B"/>
    <w:rsid w:val="00E23568"/>
    <w:rsid w:val="00E251E2"/>
    <w:rsid w:val="00E31A1A"/>
    <w:rsid w:val="00E33388"/>
    <w:rsid w:val="00E34337"/>
    <w:rsid w:val="00E379BB"/>
    <w:rsid w:val="00E40BA0"/>
    <w:rsid w:val="00E45F50"/>
    <w:rsid w:val="00E6637E"/>
    <w:rsid w:val="00E72B8D"/>
    <w:rsid w:val="00E7666E"/>
    <w:rsid w:val="00E82BBA"/>
    <w:rsid w:val="00E833FA"/>
    <w:rsid w:val="00E84532"/>
    <w:rsid w:val="00E866CC"/>
    <w:rsid w:val="00E92880"/>
    <w:rsid w:val="00E92CFE"/>
    <w:rsid w:val="00E9409C"/>
    <w:rsid w:val="00E959B3"/>
    <w:rsid w:val="00EA012E"/>
    <w:rsid w:val="00EB36F1"/>
    <w:rsid w:val="00ED2D12"/>
    <w:rsid w:val="00ED4689"/>
    <w:rsid w:val="00EF5061"/>
    <w:rsid w:val="00F01BD2"/>
    <w:rsid w:val="00F03F5F"/>
    <w:rsid w:val="00F05072"/>
    <w:rsid w:val="00F12038"/>
    <w:rsid w:val="00F1345A"/>
    <w:rsid w:val="00F16ADA"/>
    <w:rsid w:val="00F306C9"/>
    <w:rsid w:val="00F33774"/>
    <w:rsid w:val="00F33A8F"/>
    <w:rsid w:val="00F36004"/>
    <w:rsid w:val="00F365F8"/>
    <w:rsid w:val="00F4743E"/>
    <w:rsid w:val="00F500BC"/>
    <w:rsid w:val="00F50B0F"/>
    <w:rsid w:val="00F54AAE"/>
    <w:rsid w:val="00F648B7"/>
    <w:rsid w:val="00F67F2E"/>
    <w:rsid w:val="00F72E82"/>
    <w:rsid w:val="00F75214"/>
    <w:rsid w:val="00F770BC"/>
    <w:rsid w:val="00F81718"/>
    <w:rsid w:val="00F82A1D"/>
    <w:rsid w:val="00F83BF1"/>
    <w:rsid w:val="00F83D96"/>
    <w:rsid w:val="00F97763"/>
    <w:rsid w:val="00FA1691"/>
    <w:rsid w:val="00FA3DAA"/>
    <w:rsid w:val="00FA44BB"/>
    <w:rsid w:val="00FA7136"/>
    <w:rsid w:val="00FB1EC9"/>
    <w:rsid w:val="00FB6218"/>
    <w:rsid w:val="00FB756E"/>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link w:val="FooterChar"/>
    <w:uiPriority w:val="99"/>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 w:type="character" w:customStyle="1" w:styleId="FooterChar">
    <w:name w:val="Footer Char"/>
    <w:basedOn w:val="DefaultParagraphFont"/>
    <w:link w:val="Footer"/>
    <w:uiPriority w:val="99"/>
    <w:rsid w:val="000A3743"/>
    <w:rPr>
      <w:rFonts w:ascii="Courier New" w:hAnsi="Courier New"/>
      <w:sz w:val="18"/>
    </w:rPr>
  </w:style>
  <w:style w:type="paragraph" w:customStyle="1" w:styleId="Caseinfo">
    <w:name w:val="Case_info"/>
    <w:basedOn w:val="Normal"/>
    <w:rsid w:val="00434005"/>
    <w:pPr>
      <w:tabs>
        <w:tab w:val="left" w:pos="2179"/>
      </w:tabs>
      <w:spacing w:line="360" w:lineRule="auto"/>
    </w:pPr>
    <w:rPr>
      <w:rFonts w:ascii="Times New Roman" w:hAnsi="Times New Roman"/>
      <w:bCs/>
      <w:smallCaps/>
      <w:kern w:val="2"/>
      <w:sz w:val="28"/>
      <w:szCs w:val="28"/>
    </w:rPr>
  </w:style>
  <w:style w:type="paragraph" w:customStyle="1" w:styleId="StyleCaseinfoLeft03After12ptLinespacingsingle">
    <w:name w:val="Style Case_info + Left:  0.3&quot; After:  12 pt Line spacing:  single"/>
    <w:basedOn w:val="Caseinfo"/>
    <w:rsid w:val="00434005"/>
    <w:pPr>
      <w:spacing w:after="240" w:line="240" w:lineRule="auto"/>
      <w:ind w:left="432"/>
    </w:pPr>
    <w:rPr>
      <w:bCs w:val="0"/>
      <w:small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shua.Bendor@azag.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fraser@omlaw.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upremestateaz.granicus.com/player/clip/3527?view_id=11&amp;redirec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3.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customXml/itemProps4.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1942</TotalTime>
  <Pages>13</Pages>
  <Words>2908</Words>
  <Characters>14636</Characters>
  <Application>Microsoft Office Word</Application>
  <DocSecurity>0</DocSecurity>
  <Lines>121</Lines>
  <Paragraphs>35</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17509</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19</cp:revision>
  <cp:lastPrinted>2012-05-18T16:39:00Z</cp:lastPrinted>
  <dcterms:created xsi:type="dcterms:W3CDTF">2025-04-15T21:34:00Z</dcterms:created>
  <dcterms:modified xsi:type="dcterms:W3CDTF">2025-04-23T22:43:00Z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