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5709D" w14:textId="77777777" w:rsidR="005471CD" w:rsidRPr="00D678E4" w:rsidRDefault="005471CD">
      <w:pPr>
        <w:rPr>
          <w:sz w:val="24"/>
          <w:szCs w:val="24"/>
        </w:rPr>
      </w:pPr>
      <w:r w:rsidRPr="00D678E4">
        <w:rPr>
          <w:sz w:val="24"/>
          <w:szCs w:val="24"/>
        </w:rPr>
        <w:t>Gerald A. Williams</w:t>
      </w:r>
    </w:p>
    <w:p w14:paraId="146E228F" w14:textId="77777777" w:rsidR="005471CD" w:rsidRPr="00D678E4" w:rsidRDefault="005471CD">
      <w:pPr>
        <w:rPr>
          <w:sz w:val="24"/>
          <w:szCs w:val="24"/>
        </w:rPr>
      </w:pPr>
      <w:r w:rsidRPr="00D678E4">
        <w:rPr>
          <w:sz w:val="24"/>
          <w:szCs w:val="24"/>
        </w:rPr>
        <w:t>Arizona Bar No. 018947</w:t>
      </w:r>
    </w:p>
    <w:p w14:paraId="60309486" w14:textId="77777777" w:rsidR="005471CD" w:rsidRPr="00D678E4" w:rsidRDefault="005471CD">
      <w:pPr>
        <w:rPr>
          <w:sz w:val="24"/>
          <w:szCs w:val="24"/>
        </w:rPr>
      </w:pPr>
      <w:r w:rsidRPr="00D678E4">
        <w:rPr>
          <w:sz w:val="24"/>
          <w:szCs w:val="24"/>
        </w:rPr>
        <w:t>North Valley Justice Court</w:t>
      </w:r>
    </w:p>
    <w:p w14:paraId="42BECAF2" w14:textId="77777777" w:rsidR="005471CD" w:rsidRPr="00D678E4" w:rsidRDefault="00602601">
      <w:pPr>
        <w:rPr>
          <w:sz w:val="24"/>
          <w:szCs w:val="24"/>
        </w:rPr>
      </w:pPr>
      <w:r w:rsidRPr="00D678E4">
        <w:rPr>
          <w:sz w:val="24"/>
          <w:szCs w:val="24"/>
        </w:rPr>
        <w:t>14264 West Tierra Buena Lane</w:t>
      </w:r>
    </w:p>
    <w:p w14:paraId="2C7C7FD4" w14:textId="77777777" w:rsidR="005471CD" w:rsidRPr="00D678E4" w:rsidRDefault="00602601">
      <w:pPr>
        <w:rPr>
          <w:sz w:val="24"/>
          <w:szCs w:val="24"/>
        </w:rPr>
      </w:pPr>
      <w:r w:rsidRPr="00D678E4">
        <w:rPr>
          <w:sz w:val="24"/>
          <w:szCs w:val="24"/>
        </w:rPr>
        <w:t>Surprise</w:t>
      </w:r>
      <w:r w:rsidR="005471CD" w:rsidRPr="00D678E4">
        <w:rPr>
          <w:sz w:val="24"/>
          <w:szCs w:val="24"/>
        </w:rPr>
        <w:t>, AZ 85</w:t>
      </w:r>
      <w:r w:rsidR="00F3258F" w:rsidRPr="00D678E4">
        <w:rPr>
          <w:sz w:val="24"/>
          <w:szCs w:val="24"/>
        </w:rPr>
        <w:t>274</w:t>
      </w:r>
    </w:p>
    <w:p w14:paraId="3F40C0A8" w14:textId="77777777" w:rsidR="005471CD" w:rsidRPr="00D678E4" w:rsidRDefault="005471CD"/>
    <w:p w14:paraId="322BC24D" w14:textId="77777777" w:rsidR="005471CD" w:rsidRPr="00D678E4" w:rsidRDefault="005471CD">
      <w:pPr>
        <w:pStyle w:val="Heading1"/>
        <w:rPr>
          <w:sz w:val="28"/>
          <w:szCs w:val="28"/>
        </w:rPr>
      </w:pPr>
      <w:r w:rsidRPr="00D678E4">
        <w:rPr>
          <w:sz w:val="28"/>
          <w:szCs w:val="28"/>
        </w:rPr>
        <w:t>IN THE SUPREME COURT OF THE STATE OF ARIZONA</w:t>
      </w:r>
    </w:p>
    <w:p w14:paraId="53C9D292" w14:textId="77777777" w:rsidR="005471CD" w:rsidRPr="00D678E4" w:rsidRDefault="005471CD">
      <w:pPr>
        <w:jc w:val="center"/>
        <w:rPr>
          <w:b/>
          <w:sz w:val="28"/>
          <w:szCs w:val="28"/>
        </w:rPr>
      </w:pPr>
    </w:p>
    <w:p w14:paraId="00A019A3" w14:textId="77777777" w:rsidR="005471CD" w:rsidRPr="00D678E4" w:rsidRDefault="005471CD">
      <w:pPr>
        <w:rPr>
          <w:sz w:val="28"/>
          <w:szCs w:val="28"/>
        </w:rPr>
      </w:pPr>
      <w:r w:rsidRPr="00D678E4">
        <w:rPr>
          <w:sz w:val="28"/>
          <w:szCs w:val="28"/>
        </w:rPr>
        <w:t xml:space="preserve">In the Matter of: </w:t>
      </w:r>
      <w:r w:rsidR="00EA5ACC" w:rsidRPr="00D678E4">
        <w:rPr>
          <w:sz w:val="28"/>
          <w:szCs w:val="28"/>
        </w:rPr>
        <w:tab/>
      </w:r>
      <w:r w:rsidR="00EA5ACC" w:rsidRPr="00D678E4">
        <w:rPr>
          <w:sz w:val="28"/>
          <w:szCs w:val="28"/>
        </w:rPr>
        <w:tab/>
      </w:r>
      <w:r w:rsidR="00EA5ACC" w:rsidRPr="00D678E4">
        <w:rPr>
          <w:sz w:val="28"/>
          <w:szCs w:val="28"/>
        </w:rPr>
        <w:tab/>
      </w:r>
      <w:r w:rsidR="00EA5ACC" w:rsidRPr="00D678E4">
        <w:rPr>
          <w:sz w:val="28"/>
          <w:szCs w:val="28"/>
        </w:rPr>
        <w:tab/>
      </w:r>
      <w:r w:rsidRPr="00D678E4">
        <w:rPr>
          <w:sz w:val="28"/>
          <w:szCs w:val="28"/>
        </w:rPr>
        <w:t xml:space="preserve">              </w:t>
      </w:r>
      <w:r w:rsidR="002117B8" w:rsidRPr="00D678E4">
        <w:rPr>
          <w:sz w:val="28"/>
          <w:szCs w:val="28"/>
        </w:rPr>
        <w:tab/>
      </w:r>
      <w:r w:rsidRPr="00D678E4">
        <w:rPr>
          <w:sz w:val="28"/>
          <w:szCs w:val="28"/>
        </w:rPr>
        <w:t xml:space="preserve"> </w:t>
      </w:r>
      <w:proofErr w:type="gramStart"/>
      <w:r w:rsidRPr="00D678E4">
        <w:rPr>
          <w:sz w:val="28"/>
          <w:szCs w:val="28"/>
        </w:rPr>
        <w:tab/>
        <w:t>)</w:t>
      </w:r>
      <w:r w:rsidR="00947D4A" w:rsidRPr="00D678E4">
        <w:rPr>
          <w:sz w:val="28"/>
          <w:szCs w:val="28"/>
        </w:rPr>
        <w:t xml:space="preserve">   </w:t>
      </w:r>
      <w:proofErr w:type="gramEnd"/>
      <w:r w:rsidR="00947D4A" w:rsidRPr="00D678E4">
        <w:rPr>
          <w:sz w:val="28"/>
          <w:szCs w:val="28"/>
        </w:rPr>
        <w:t xml:space="preserve">  </w:t>
      </w:r>
      <w:r w:rsidR="00C91AEE" w:rsidRPr="00D678E4">
        <w:rPr>
          <w:sz w:val="28"/>
          <w:szCs w:val="28"/>
        </w:rPr>
        <w:t xml:space="preserve">Supreme Court  </w:t>
      </w:r>
    </w:p>
    <w:p w14:paraId="19043997" w14:textId="77777777" w:rsidR="005471CD" w:rsidRPr="00D678E4" w:rsidRDefault="005471CD">
      <w:pPr>
        <w:rPr>
          <w:sz w:val="28"/>
          <w:szCs w:val="28"/>
        </w:rPr>
      </w:pPr>
      <w:r w:rsidRPr="00D678E4">
        <w:rPr>
          <w:sz w:val="28"/>
          <w:szCs w:val="28"/>
        </w:rPr>
        <w:tab/>
      </w:r>
      <w:r w:rsidRPr="00D678E4">
        <w:rPr>
          <w:sz w:val="28"/>
          <w:szCs w:val="28"/>
        </w:rPr>
        <w:tab/>
      </w:r>
      <w:r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Pr="00D678E4">
        <w:rPr>
          <w:sz w:val="28"/>
          <w:szCs w:val="28"/>
        </w:rPr>
        <w:tab/>
      </w:r>
      <w:r w:rsidRPr="00D678E4">
        <w:rPr>
          <w:sz w:val="28"/>
          <w:szCs w:val="28"/>
        </w:rPr>
        <w:tab/>
      </w:r>
      <w:r w:rsidR="002117B8" w:rsidRPr="00D678E4">
        <w:rPr>
          <w:sz w:val="28"/>
          <w:szCs w:val="28"/>
        </w:rPr>
        <w:tab/>
      </w:r>
      <w:r w:rsidR="007D65E2" w:rsidRPr="00D678E4">
        <w:rPr>
          <w:sz w:val="28"/>
          <w:szCs w:val="28"/>
        </w:rPr>
        <w:tab/>
      </w:r>
      <w:proofErr w:type="gramStart"/>
      <w:r w:rsidRPr="00D678E4">
        <w:rPr>
          <w:sz w:val="28"/>
          <w:szCs w:val="28"/>
        </w:rPr>
        <w:t>)</w:t>
      </w:r>
      <w:r w:rsidR="00947D4A" w:rsidRPr="00D678E4">
        <w:rPr>
          <w:sz w:val="28"/>
          <w:szCs w:val="28"/>
        </w:rPr>
        <w:t xml:space="preserve">   </w:t>
      </w:r>
      <w:proofErr w:type="gramEnd"/>
      <w:r w:rsidR="00947D4A" w:rsidRPr="00D678E4">
        <w:rPr>
          <w:sz w:val="28"/>
          <w:szCs w:val="28"/>
        </w:rPr>
        <w:t xml:space="preserve">  </w:t>
      </w:r>
      <w:r w:rsidR="00C91AEE" w:rsidRPr="00D678E4">
        <w:rPr>
          <w:sz w:val="28"/>
          <w:szCs w:val="28"/>
        </w:rPr>
        <w:t>No. R</w:t>
      </w:r>
      <w:r w:rsidR="004B5662" w:rsidRPr="00D678E4">
        <w:rPr>
          <w:sz w:val="28"/>
          <w:szCs w:val="28"/>
        </w:rPr>
        <w:t>-2</w:t>
      </w:r>
      <w:r w:rsidR="00031FE5">
        <w:rPr>
          <w:sz w:val="28"/>
          <w:szCs w:val="28"/>
        </w:rPr>
        <w:t>5-0020</w:t>
      </w:r>
      <w:r w:rsidRPr="00D678E4">
        <w:rPr>
          <w:sz w:val="28"/>
          <w:szCs w:val="28"/>
        </w:rPr>
        <w:tab/>
      </w:r>
      <w:r w:rsidRPr="00D678E4">
        <w:rPr>
          <w:sz w:val="28"/>
          <w:szCs w:val="28"/>
        </w:rPr>
        <w:tab/>
      </w:r>
    </w:p>
    <w:p w14:paraId="52221240" w14:textId="77777777" w:rsidR="00DE3C07" w:rsidRPr="00D678E4" w:rsidRDefault="005471CD">
      <w:pPr>
        <w:rPr>
          <w:sz w:val="28"/>
          <w:szCs w:val="28"/>
        </w:rPr>
      </w:pPr>
      <w:r w:rsidRPr="00D678E4">
        <w:rPr>
          <w:sz w:val="28"/>
          <w:szCs w:val="28"/>
        </w:rPr>
        <w:t xml:space="preserve">PETITION TO </w:t>
      </w:r>
      <w:r w:rsidR="002A3E31" w:rsidRPr="00D678E4">
        <w:rPr>
          <w:sz w:val="28"/>
          <w:szCs w:val="28"/>
        </w:rPr>
        <w:t>AMEND</w:t>
      </w:r>
      <w:r w:rsidR="00DE3C07" w:rsidRPr="00D678E4">
        <w:rPr>
          <w:sz w:val="28"/>
          <w:szCs w:val="28"/>
        </w:rPr>
        <w:t xml:space="preserve"> </w:t>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t>)</w:t>
      </w:r>
      <w:r w:rsidR="00EA5ACC" w:rsidRPr="00D678E4">
        <w:rPr>
          <w:sz w:val="28"/>
          <w:szCs w:val="28"/>
        </w:rPr>
        <w:t xml:space="preserve"> </w:t>
      </w:r>
    </w:p>
    <w:p w14:paraId="0022EFAB" w14:textId="77777777" w:rsidR="005471CD" w:rsidRPr="00D678E4" w:rsidRDefault="00EA5ACC">
      <w:pPr>
        <w:rPr>
          <w:sz w:val="28"/>
          <w:szCs w:val="28"/>
        </w:rPr>
      </w:pPr>
      <w:r w:rsidRPr="00D678E4">
        <w:rPr>
          <w:sz w:val="28"/>
          <w:szCs w:val="28"/>
        </w:rPr>
        <w:t>RULE</w:t>
      </w:r>
      <w:r w:rsidR="008464D1" w:rsidRPr="00D678E4">
        <w:rPr>
          <w:sz w:val="28"/>
          <w:szCs w:val="28"/>
        </w:rPr>
        <w:t xml:space="preserve"> </w:t>
      </w:r>
      <w:r w:rsidR="00DE3C07" w:rsidRPr="00D678E4">
        <w:rPr>
          <w:sz w:val="28"/>
          <w:szCs w:val="28"/>
        </w:rPr>
        <w:t xml:space="preserve">11(b)(1) </w:t>
      </w:r>
      <w:r w:rsidR="005471CD"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5471CD" w:rsidRPr="00D678E4">
        <w:rPr>
          <w:sz w:val="28"/>
          <w:szCs w:val="28"/>
        </w:rPr>
        <w:t>)</w:t>
      </w:r>
      <w:proofErr w:type="gramStart"/>
      <w:r w:rsidR="005471CD" w:rsidRPr="00D678E4">
        <w:rPr>
          <w:sz w:val="28"/>
          <w:szCs w:val="28"/>
        </w:rPr>
        <w:tab/>
      </w:r>
      <w:r w:rsidR="002E16EA">
        <w:rPr>
          <w:sz w:val="28"/>
          <w:szCs w:val="28"/>
        </w:rPr>
        <w:t xml:space="preserve">  Public</w:t>
      </w:r>
      <w:proofErr w:type="gramEnd"/>
      <w:r w:rsidR="002E16EA">
        <w:rPr>
          <w:sz w:val="28"/>
          <w:szCs w:val="28"/>
        </w:rPr>
        <w:t xml:space="preserve"> Comment in Opposition</w:t>
      </w:r>
    </w:p>
    <w:p w14:paraId="575116C9" w14:textId="77777777" w:rsidR="005471CD" w:rsidRPr="00D678E4" w:rsidRDefault="00DE3C07">
      <w:pPr>
        <w:rPr>
          <w:sz w:val="28"/>
          <w:szCs w:val="28"/>
        </w:rPr>
      </w:pPr>
      <w:r w:rsidRPr="00D678E4">
        <w:rPr>
          <w:sz w:val="28"/>
          <w:szCs w:val="28"/>
        </w:rPr>
        <w:t xml:space="preserve">of the </w:t>
      </w:r>
      <w:r w:rsidR="008464D1" w:rsidRPr="00D678E4">
        <w:rPr>
          <w:sz w:val="28"/>
          <w:szCs w:val="28"/>
        </w:rPr>
        <w:t xml:space="preserve">RULES OF </w:t>
      </w:r>
      <w:r w:rsidRPr="00D678E4">
        <w:rPr>
          <w:sz w:val="28"/>
          <w:szCs w:val="28"/>
        </w:rPr>
        <w:t>PROCEDURE</w:t>
      </w:r>
      <w:r w:rsidR="008464D1" w:rsidRPr="00D678E4">
        <w:rPr>
          <w:sz w:val="28"/>
          <w:szCs w:val="28"/>
        </w:rPr>
        <w:t xml:space="preserve">     </w:t>
      </w:r>
      <w:r w:rsidR="00EA5ACC" w:rsidRPr="00D678E4">
        <w:rPr>
          <w:sz w:val="28"/>
          <w:szCs w:val="28"/>
        </w:rPr>
        <w:tab/>
      </w:r>
      <w:r w:rsidR="005471CD" w:rsidRPr="00D678E4">
        <w:rPr>
          <w:sz w:val="28"/>
          <w:szCs w:val="28"/>
        </w:rPr>
        <w:t>)</w:t>
      </w:r>
      <w:r w:rsidR="00947D4A" w:rsidRPr="00D678E4">
        <w:rPr>
          <w:sz w:val="28"/>
          <w:szCs w:val="28"/>
        </w:rPr>
        <w:t xml:space="preserve">     </w:t>
      </w:r>
      <w:r w:rsidR="0073193C" w:rsidRPr="00D678E4">
        <w:rPr>
          <w:sz w:val="28"/>
          <w:szCs w:val="28"/>
        </w:rPr>
        <w:t xml:space="preserve"> </w:t>
      </w:r>
    </w:p>
    <w:p w14:paraId="5CE4088B" w14:textId="77777777" w:rsidR="00E5785E" w:rsidRPr="00D678E4" w:rsidRDefault="00DE3C07">
      <w:pPr>
        <w:rPr>
          <w:sz w:val="28"/>
          <w:szCs w:val="28"/>
        </w:rPr>
      </w:pPr>
      <w:r w:rsidRPr="00D678E4">
        <w:rPr>
          <w:sz w:val="28"/>
          <w:szCs w:val="28"/>
        </w:rPr>
        <w:t>FOR EVICTION ACTIONS</w:t>
      </w:r>
      <w:r w:rsidR="002117B8" w:rsidRPr="00D678E4">
        <w:rPr>
          <w:sz w:val="28"/>
          <w:szCs w:val="28"/>
        </w:rPr>
        <w:tab/>
      </w:r>
      <w:r w:rsidR="002117B8" w:rsidRPr="00D678E4">
        <w:rPr>
          <w:sz w:val="28"/>
          <w:szCs w:val="28"/>
        </w:rPr>
        <w:tab/>
      </w:r>
      <w:r w:rsidR="008464D1" w:rsidRPr="00D678E4">
        <w:rPr>
          <w:sz w:val="28"/>
          <w:szCs w:val="28"/>
        </w:rPr>
        <w:t xml:space="preserve">      </w:t>
      </w:r>
      <w:proofErr w:type="gramStart"/>
      <w:r w:rsidR="008464D1" w:rsidRPr="00D678E4">
        <w:rPr>
          <w:sz w:val="28"/>
          <w:szCs w:val="28"/>
        </w:rPr>
        <w:t xml:space="preserve">  </w:t>
      </w:r>
      <w:r w:rsidR="007D65E2" w:rsidRPr="00D678E4">
        <w:rPr>
          <w:sz w:val="28"/>
          <w:szCs w:val="28"/>
        </w:rPr>
        <w:t>)</w:t>
      </w:r>
      <w:proofErr w:type="gramEnd"/>
      <w:r w:rsidR="00947D4A" w:rsidRPr="00D678E4">
        <w:rPr>
          <w:sz w:val="28"/>
          <w:szCs w:val="28"/>
        </w:rPr>
        <w:t xml:space="preserve">  </w:t>
      </w:r>
    </w:p>
    <w:p w14:paraId="33289776" w14:textId="77777777" w:rsidR="00E5785E" w:rsidRPr="00D678E4" w:rsidRDefault="00E5785E">
      <w:pPr>
        <w:rPr>
          <w:sz w:val="28"/>
          <w:szCs w:val="28"/>
        </w:rPr>
      </w:pPr>
    </w:p>
    <w:p w14:paraId="374750FA" w14:textId="77777777" w:rsidR="00E5785E" w:rsidRPr="00D678E4" w:rsidRDefault="00E5785E" w:rsidP="00E5785E">
      <w:pPr>
        <w:jc w:val="center"/>
        <w:rPr>
          <w:b/>
          <w:sz w:val="28"/>
          <w:szCs w:val="28"/>
          <w:u w:val="single"/>
        </w:rPr>
      </w:pPr>
      <w:r w:rsidRPr="00D678E4">
        <w:rPr>
          <w:b/>
          <w:sz w:val="28"/>
          <w:szCs w:val="28"/>
          <w:u w:val="single"/>
        </w:rPr>
        <w:t>B</w:t>
      </w:r>
      <w:r w:rsidR="00711520" w:rsidRPr="00D678E4">
        <w:rPr>
          <w:b/>
          <w:sz w:val="28"/>
          <w:szCs w:val="28"/>
          <w:u w:val="single"/>
        </w:rPr>
        <w:t>ACKGROUND</w:t>
      </w:r>
    </w:p>
    <w:p w14:paraId="45FA48C2" w14:textId="77777777" w:rsidR="00E5785E" w:rsidRPr="00D678E4" w:rsidRDefault="00E5785E" w:rsidP="00E5785E">
      <w:pPr>
        <w:jc w:val="both"/>
        <w:rPr>
          <w:sz w:val="28"/>
          <w:szCs w:val="28"/>
        </w:rPr>
      </w:pPr>
    </w:p>
    <w:p w14:paraId="2DC60E53" w14:textId="77777777" w:rsidR="004F111D" w:rsidRPr="00D678E4" w:rsidRDefault="00E4028C" w:rsidP="008273D0">
      <w:pPr>
        <w:spacing w:line="480" w:lineRule="auto"/>
        <w:ind w:firstLine="288"/>
        <w:jc w:val="both"/>
        <w:rPr>
          <w:sz w:val="28"/>
          <w:szCs w:val="28"/>
        </w:rPr>
      </w:pPr>
      <w:r w:rsidRPr="00D678E4">
        <w:rPr>
          <w:sz w:val="28"/>
          <w:szCs w:val="28"/>
        </w:rPr>
        <w:t xml:space="preserve">This comment </w:t>
      </w:r>
      <w:r w:rsidR="00711520" w:rsidRPr="00D678E4">
        <w:rPr>
          <w:sz w:val="28"/>
          <w:szCs w:val="28"/>
        </w:rPr>
        <w:t>is filed on behalf of the Justice of the Peace Bench in Maricopa County</w:t>
      </w:r>
      <w:r w:rsidRPr="00D678E4">
        <w:rPr>
          <w:sz w:val="28"/>
          <w:szCs w:val="28"/>
        </w:rPr>
        <w:t xml:space="preserve">.  </w:t>
      </w:r>
      <w:r w:rsidR="006845EE" w:rsidRPr="00D678E4">
        <w:rPr>
          <w:sz w:val="28"/>
          <w:szCs w:val="28"/>
        </w:rPr>
        <w:t xml:space="preserve">These comments were </w:t>
      </w:r>
      <w:r w:rsidR="004B5662" w:rsidRPr="00D678E4">
        <w:rPr>
          <w:sz w:val="28"/>
          <w:szCs w:val="28"/>
        </w:rPr>
        <w:t xml:space="preserve">presented at </w:t>
      </w:r>
      <w:r w:rsidRPr="00D678E4">
        <w:rPr>
          <w:sz w:val="28"/>
          <w:szCs w:val="28"/>
        </w:rPr>
        <w:t xml:space="preserve">a bench meeting on </w:t>
      </w:r>
      <w:r w:rsidR="00031FE5">
        <w:rPr>
          <w:sz w:val="28"/>
          <w:szCs w:val="28"/>
        </w:rPr>
        <w:t xml:space="preserve">for comment </w:t>
      </w:r>
      <w:r w:rsidR="006845EE" w:rsidRPr="00D678E4">
        <w:rPr>
          <w:sz w:val="28"/>
          <w:szCs w:val="28"/>
        </w:rPr>
        <w:t xml:space="preserve">and were </w:t>
      </w:r>
      <w:r w:rsidR="004B5662" w:rsidRPr="00D678E4">
        <w:rPr>
          <w:sz w:val="28"/>
          <w:szCs w:val="28"/>
        </w:rPr>
        <w:t xml:space="preserve">then </w:t>
      </w:r>
      <w:r w:rsidRPr="00D678E4">
        <w:rPr>
          <w:sz w:val="28"/>
          <w:szCs w:val="28"/>
        </w:rPr>
        <w:t>endorsed by a unanimous vote of our bench</w:t>
      </w:r>
      <w:r w:rsidR="00031FE5">
        <w:rPr>
          <w:sz w:val="28"/>
          <w:szCs w:val="28"/>
        </w:rPr>
        <w:t xml:space="preserve"> on </w:t>
      </w:r>
      <w:r w:rsidR="006855D4">
        <w:rPr>
          <w:sz w:val="28"/>
          <w:szCs w:val="28"/>
        </w:rPr>
        <w:t>February 12</w:t>
      </w:r>
      <w:r w:rsidR="00031FE5">
        <w:rPr>
          <w:sz w:val="28"/>
          <w:szCs w:val="28"/>
        </w:rPr>
        <w:t>, 2025</w:t>
      </w:r>
      <w:r w:rsidR="006845EE" w:rsidRPr="00D678E4">
        <w:rPr>
          <w:sz w:val="28"/>
          <w:szCs w:val="28"/>
        </w:rPr>
        <w:t xml:space="preserve">.  </w:t>
      </w:r>
    </w:p>
    <w:p w14:paraId="22204372" w14:textId="77777777" w:rsidR="006845EE" w:rsidRPr="00D678E4" w:rsidRDefault="00031FE5" w:rsidP="008273D0">
      <w:pPr>
        <w:spacing w:line="480" w:lineRule="auto"/>
        <w:ind w:firstLine="288"/>
        <w:jc w:val="both"/>
        <w:rPr>
          <w:sz w:val="28"/>
          <w:szCs w:val="28"/>
        </w:rPr>
      </w:pPr>
      <w:r>
        <w:rPr>
          <w:sz w:val="28"/>
          <w:szCs w:val="28"/>
        </w:rPr>
        <w:t xml:space="preserve">The proposed rule change would create a mandatory system where </w:t>
      </w:r>
      <w:r w:rsidR="00B97D16">
        <w:rPr>
          <w:sz w:val="28"/>
          <w:szCs w:val="28"/>
        </w:rPr>
        <w:t xml:space="preserve">both Superior Court </w:t>
      </w:r>
      <w:r>
        <w:rPr>
          <w:sz w:val="28"/>
          <w:szCs w:val="28"/>
        </w:rPr>
        <w:t>judges</w:t>
      </w:r>
      <w:r w:rsidR="00B97D16">
        <w:rPr>
          <w:sz w:val="28"/>
          <w:szCs w:val="28"/>
        </w:rPr>
        <w:t xml:space="preserve"> and Justices of the Peace</w:t>
      </w:r>
      <w:r>
        <w:rPr>
          <w:sz w:val="28"/>
          <w:szCs w:val="28"/>
        </w:rPr>
        <w:t xml:space="preserve"> are required to grant </w:t>
      </w:r>
      <w:r w:rsidR="00B4328E">
        <w:rPr>
          <w:sz w:val="28"/>
          <w:szCs w:val="28"/>
        </w:rPr>
        <w:t>trial</w:t>
      </w:r>
      <w:r>
        <w:rPr>
          <w:sz w:val="28"/>
          <w:szCs w:val="28"/>
        </w:rPr>
        <w:t xml:space="preserve"> </w:t>
      </w:r>
      <w:r w:rsidR="00B4328E">
        <w:rPr>
          <w:sz w:val="28"/>
          <w:szCs w:val="28"/>
        </w:rPr>
        <w:t xml:space="preserve">continuances </w:t>
      </w:r>
      <w:r w:rsidR="00CE5DB6">
        <w:rPr>
          <w:sz w:val="28"/>
          <w:szCs w:val="28"/>
        </w:rPr>
        <w:t>in residential eviction actions</w:t>
      </w:r>
      <w:r>
        <w:rPr>
          <w:sz w:val="28"/>
          <w:szCs w:val="28"/>
        </w:rPr>
        <w:t xml:space="preserve"> for a wide variety of justifications.  </w:t>
      </w:r>
      <w:r w:rsidR="00D53E81" w:rsidRPr="00D678E4">
        <w:rPr>
          <w:sz w:val="28"/>
          <w:szCs w:val="28"/>
        </w:rPr>
        <w:t xml:space="preserve">It </w:t>
      </w:r>
      <w:r w:rsidR="00E365EA" w:rsidRPr="00D678E4">
        <w:rPr>
          <w:sz w:val="28"/>
          <w:szCs w:val="28"/>
        </w:rPr>
        <w:t>i</w:t>
      </w:r>
      <w:r w:rsidR="00D53E81" w:rsidRPr="00D678E4">
        <w:rPr>
          <w:sz w:val="28"/>
          <w:szCs w:val="28"/>
        </w:rPr>
        <w:t>s</w:t>
      </w:r>
      <w:r w:rsidR="00E365EA" w:rsidRPr="00D678E4">
        <w:rPr>
          <w:sz w:val="28"/>
          <w:szCs w:val="28"/>
        </w:rPr>
        <w:t xml:space="preserve"> an attempt to </w:t>
      </w:r>
      <w:r w:rsidR="004F111D" w:rsidRPr="00D678E4">
        <w:rPr>
          <w:sz w:val="28"/>
          <w:szCs w:val="28"/>
        </w:rPr>
        <w:t xml:space="preserve">address </w:t>
      </w:r>
      <w:r w:rsidR="005C6A7E">
        <w:rPr>
          <w:sz w:val="28"/>
          <w:szCs w:val="28"/>
        </w:rPr>
        <w:t xml:space="preserve">a </w:t>
      </w:r>
      <w:r w:rsidR="004F111D" w:rsidRPr="00D678E4">
        <w:rPr>
          <w:sz w:val="28"/>
          <w:szCs w:val="28"/>
        </w:rPr>
        <w:t>problem</w:t>
      </w:r>
      <w:r w:rsidR="00767B4B">
        <w:rPr>
          <w:sz w:val="28"/>
          <w:szCs w:val="28"/>
        </w:rPr>
        <w:t xml:space="preserve"> that does not exist.  In addition, two of the proposed justifications are already required by federal law.  One of the other proposed </w:t>
      </w:r>
      <w:r w:rsidR="00C25096">
        <w:rPr>
          <w:sz w:val="28"/>
          <w:szCs w:val="28"/>
        </w:rPr>
        <w:t xml:space="preserve">excuses </w:t>
      </w:r>
      <w:r w:rsidR="00767B4B">
        <w:rPr>
          <w:sz w:val="28"/>
          <w:szCs w:val="28"/>
        </w:rPr>
        <w:t xml:space="preserve">for mandatory continuances is inconsistent with </w:t>
      </w:r>
      <w:r w:rsidR="0047189F">
        <w:rPr>
          <w:sz w:val="28"/>
          <w:szCs w:val="28"/>
        </w:rPr>
        <w:t xml:space="preserve">current </w:t>
      </w:r>
      <w:r w:rsidR="00922F5E">
        <w:rPr>
          <w:sz w:val="28"/>
          <w:szCs w:val="28"/>
        </w:rPr>
        <w:t xml:space="preserve">Arizona law and would result in a significant public policy change.  </w:t>
      </w:r>
      <w:r w:rsidR="00767B4B">
        <w:rPr>
          <w:sz w:val="28"/>
          <w:szCs w:val="28"/>
        </w:rPr>
        <w:t xml:space="preserve">     </w:t>
      </w:r>
      <w:r w:rsidR="004F111D" w:rsidRPr="00D678E4">
        <w:rPr>
          <w:sz w:val="28"/>
          <w:szCs w:val="28"/>
        </w:rPr>
        <w:t xml:space="preserve"> </w:t>
      </w:r>
    </w:p>
    <w:p w14:paraId="4AC83638" w14:textId="77777777" w:rsidR="00817489" w:rsidRDefault="005B0A52" w:rsidP="006845EE">
      <w:pPr>
        <w:spacing w:line="480" w:lineRule="auto"/>
        <w:ind w:firstLine="288"/>
        <w:jc w:val="both"/>
        <w:rPr>
          <w:sz w:val="28"/>
          <w:szCs w:val="28"/>
        </w:rPr>
      </w:pPr>
      <w:r w:rsidRPr="00D678E4">
        <w:rPr>
          <w:sz w:val="28"/>
          <w:szCs w:val="28"/>
        </w:rPr>
        <w:lastRenderedPageBreak/>
        <w:t xml:space="preserve"> </w:t>
      </w:r>
      <w:r w:rsidR="006845EE" w:rsidRPr="00D678E4">
        <w:rPr>
          <w:sz w:val="28"/>
          <w:szCs w:val="28"/>
        </w:rPr>
        <w:t xml:space="preserve">We </w:t>
      </w:r>
      <w:r w:rsidR="00684713">
        <w:rPr>
          <w:sz w:val="28"/>
          <w:szCs w:val="28"/>
        </w:rPr>
        <w:t>recommend r</w:t>
      </w:r>
      <w:r w:rsidR="006845EE" w:rsidRPr="00D678E4">
        <w:rPr>
          <w:sz w:val="28"/>
          <w:szCs w:val="28"/>
        </w:rPr>
        <w:t>ejection of the proposed amendment</w:t>
      </w:r>
      <w:r w:rsidR="009C3DDA">
        <w:rPr>
          <w:sz w:val="28"/>
          <w:szCs w:val="28"/>
        </w:rPr>
        <w:t>s</w:t>
      </w:r>
      <w:r w:rsidR="006845EE" w:rsidRPr="00D678E4">
        <w:rPr>
          <w:sz w:val="28"/>
          <w:szCs w:val="28"/>
        </w:rPr>
        <w:t>.</w:t>
      </w:r>
      <w:r w:rsidR="00AA26ED">
        <w:rPr>
          <w:sz w:val="28"/>
          <w:szCs w:val="28"/>
        </w:rPr>
        <w:t xml:space="preserve">  The </w:t>
      </w:r>
      <w:r w:rsidR="002814B3">
        <w:rPr>
          <w:sz w:val="28"/>
          <w:szCs w:val="28"/>
        </w:rPr>
        <w:t>multiple-choice</w:t>
      </w:r>
      <w:r w:rsidR="00AA26ED">
        <w:rPr>
          <w:sz w:val="28"/>
          <w:szCs w:val="28"/>
        </w:rPr>
        <w:t xml:space="preserve"> list of eight reasons a party can request a delay </w:t>
      </w:r>
      <w:r w:rsidR="0097342C">
        <w:rPr>
          <w:sz w:val="28"/>
          <w:szCs w:val="28"/>
        </w:rPr>
        <w:t xml:space="preserve">contain items that </w:t>
      </w:r>
      <w:r w:rsidR="00AA26ED">
        <w:rPr>
          <w:sz w:val="28"/>
          <w:szCs w:val="28"/>
        </w:rPr>
        <w:t>are either unnecessary or unworkable.  Somewhat amazingly, the Petitioners acknowledge they are proposing these rules to “encourage parties to request and [for] courts to grant more continuances.”</w:t>
      </w:r>
      <w:r w:rsidR="00AA26ED">
        <w:rPr>
          <w:rStyle w:val="FootnoteReference"/>
          <w:sz w:val="28"/>
          <w:szCs w:val="28"/>
        </w:rPr>
        <w:footnoteReference w:id="1"/>
      </w:r>
      <w:r w:rsidR="006845EE" w:rsidRPr="00D678E4">
        <w:rPr>
          <w:sz w:val="28"/>
          <w:szCs w:val="28"/>
        </w:rPr>
        <w:t xml:space="preserve"> </w:t>
      </w:r>
    </w:p>
    <w:p w14:paraId="7DD4D8F5" w14:textId="77777777" w:rsidR="006845EE" w:rsidRDefault="006845EE" w:rsidP="006845EE">
      <w:pPr>
        <w:spacing w:line="480" w:lineRule="auto"/>
        <w:ind w:firstLine="288"/>
        <w:jc w:val="both"/>
        <w:rPr>
          <w:sz w:val="28"/>
          <w:szCs w:val="28"/>
        </w:rPr>
      </w:pPr>
      <w:r w:rsidRPr="00D678E4">
        <w:rPr>
          <w:sz w:val="28"/>
          <w:szCs w:val="28"/>
        </w:rPr>
        <w:t xml:space="preserve"> In addition, Petitioners have referenced materials that unfairly and inaccurately criticize Justice Courts as being indifferent to the due process rights of tenants</w:t>
      </w:r>
      <w:r w:rsidR="00CE5DB6">
        <w:rPr>
          <w:sz w:val="28"/>
          <w:szCs w:val="28"/>
        </w:rPr>
        <w:t xml:space="preserve"> </w:t>
      </w:r>
      <w:r w:rsidR="00817489">
        <w:rPr>
          <w:sz w:val="28"/>
          <w:szCs w:val="28"/>
        </w:rPr>
        <w:t xml:space="preserve">and </w:t>
      </w:r>
      <w:r w:rsidR="00CE5DB6">
        <w:rPr>
          <w:sz w:val="28"/>
          <w:szCs w:val="28"/>
        </w:rPr>
        <w:t>as allegedly order</w:t>
      </w:r>
      <w:r w:rsidR="00817489">
        <w:rPr>
          <w:sz w:val="28"/>
          <w:szCs w:val="28"/>
        </w:rPr>
        <w:t>ing</w:t>
      </w:r>
      <w:r w:rsidR="00CE5DB6">
        <w:rPr>
          <w:sz w:val="28"/>
          <w:szCs w:val="28"/>
        </w:rPr>
        <w:t xml:space="preserve"> whatever landlords request.</w:t>
      </w:r>
      <w:r w:rsidRPr="00D678E4">
        <w:rPr>
          <w:sz w:val="28"/>
          <w:szCs w:val="28"/>
          <w:vertAlign w:val="superscript"/>
        </w:rPr>
        <w:footnoteReference w:id="2"/>
      </w:r>
      <w:r w:rsidR="00C25096">
        <w:rPr>
          <w:sz w:val="28"/>
          <w:szCs w:val="28"/>
        </w:rPr>
        <w:t xml:space="preserve">  Unfortunately, Petitioners have been using these same discredited materials as their primary reason for attempts to change </w:t>
      </w:r>
      <w:r w:rsidR="00CE5DB6">
        <w:rPr>
          <w:sz w:val="28"/>
          <w:szCs w:val="28"/>
        </w:rPr>
        <w:t xml:space="preserve">eviction </w:t>
      </w:r>
      <w:r w:rsidR="00C25096">
        <w:rPr>
          <w:sz w:val="28"/>
          <w:szCs w:val="28"/>
        </w:rPr>
        <w:t xml:space="preserve">court rules every year for the last few years.   </w:t>
      </w:r>
      <w:r w:rsidRPr="00D678E4">
        <w:rPr>
          <w:sz w:val="28"/>
          <w:szCs w:val="28"/>
        </w:rPr>
        <w:t xml:space="preserve"> </w:t>
      </w:r>
    </w:p>
    <w:p w14:paraId="69942E4E" w14:textId="77777777" w:rsidR="000F2C1D" w:rsidRPr="00D678E4" w:rsidRDefault="000F2C1D" w:rsidP="00F1351F">
      <w:pPr>
        <w:ind w:firstLine="288"/>
        <w:jc w:val="center"/>
        <w:rPr>
          <w:b/>
          <w:sz w:val="28"/>
          <w:szCs w:val="28"/>
        </w:rPr>
      </w:pPr>
      <w:r w:rsidRPr="00D678E4">
        <w:rPr>
          <w:b/>
          <w:sz w:val="28"/>
          <w:szCs w:val="28"/>
        </w:rPr>
        <w:t>I.</w:t>
      </w:r>
    </w:p>
    <w:p w14:paraId="74C1578D" w14:textId="77777777" w:rsidR="000F2C1D" w:rsidRPr="00D678E4" w:rsidRDefault="000F2C1D" w:rsidP="00E5785E">
      <w:pPr>
        <w:jc w:val="both"/>
        <w:rPr>
          <w:b/>
          <w:sz w:val="28"/>
          <w:szCs w:val="28"/>
        </w:rPr>
      </w:pPr>
    </w:p>
    <w:p w14:paraId="3848A7AC" w14:textId="77777777" w:rsidR="00663F5C" w:rsidRPr="00D678E4" w:rsidRDefault="00FC2ED7" w:rsidP="00E5785E">
      <w:pPr>
        <w:jc w:val="both"/>
        <w:rPr>
          <w:b/>
          <w:sz w:val="28"/>
          <w:szCs w:val="28"/>
        </w:rPr>
      </w:pPr>
      <w:r>
        <w:rPr>
          <w:b/>
          <w:sz w:val="28"/>
          <w:szCs w:val="28"/>
        </w:rPr>
        <w:t xml:space="preserve">NO </w:t>
      </w:r>
      <w:r w:rsidR="003548E7">
        <w:rPr>
          <w:b/>
          <w:sz w:val="28"/>
          <w:szCs w:val="28"/>
        </w:rPr>
        <w:tab/>
        <w:t>EFFECTIVE</w:t>
      </w:r>
      <w:r>
        <w:rPr>
          <w:b/>
          <w:sz w:val="28"/>
          <w:szCs w:val="28"/>
        </w:rPr>
        <w:t xml:space="preserve"> COURT CASE</w:t>
      </w:r>
      <w:r w:rsidR="00153E22">
        <w:rPr>
          <w:b/>
          <w:sz w:val="28"/>
          <w:szCs w:val="28"/>
        </w:rPr>
        <w:t xml:space="preserve"> </w:t>
      </w:r>
      <w:r w:rsidR="003548E7">
        <w:rPr>
          <w:b/>
          <w:sz w:val="28"/>
          <w:szCs w:val="28"/>
        </w:rPr>
        <w:t>FLOW</w:t>
      </w:r>
      <w:r>
        <w:rPr>
          <w:b/>
          <w:sz w:val="28"/>
          <w:szCs w:val="28"/>
        </w:rPr>
        <w:t xml:space="preserve"> MANAGEMENT </w:t>
      </w:r>
      <w:r w:rsidR="003548E7">
        <w:rPr>
          <w:b/>
          <w:sz w:val="28"/>
          <w:szCs w:val="28"/>
        </w:rPr>
        <w:t xml:space="preserve">PLAN WOULD ADOPT A PROCESS WHERE </w:t>
      </w:r>
      <w:r w:rsidR="009C3DDA">
        <w:rPr>
          <w:b/>
          <w:sz w:val="28"/>
          <w:szCs w:val="28"/>
        </w:rPr>
        <w:t xml:space="preserve">JUDGES ARE AUTOMATICALLY REQUIRED </w:t>
      </w:r>
      <w:r w:rsidR="003548E7">
        <w:rPr>
          <w:b/>
          <w:sz w:val="28"/>
          <w:szCs w:val="28"/>
        </w:rPr>
        <w:t>TO DELAY COURT DATES</w:t>
      </w:r>
      <w:r w:rsidR="009C3DDA">
        <w:rPr>
          <w:b/>
          <w:sz w:val="28"/>
          <w:szCs w:val="28"/>
        </w:rPr>
        <w:t>.</w:t>
      </w:r>
      <w:r w:rsidR="003548E7">
        <w:rPr>
          <w:b/>
          <w:sz w:val="28"/>
          <w:szCs w:val="28"/>
        </w:rPr>
        <w:t xml:space="preserve"> </w:t>
      </w:r>
    </w:p>
    <w:p w14:paraId="56553717" w14:textId="77777777" w:rsidR="00C67B54" w:rsidRPr="00D678E4" w:rsidRDefault="00663F5C" w:rsidP="00E5785E">
      <w:pPr>
        <w:jc w:val="both"/>
        <w:rPr>
          <w:sz w:val="28"/>
          <w:szCs w:val="28"/>
        </w:rPr>
      </w:pPr>
      <w:r w:rsidRPr="00D678E4">
        <w:rPr>
          <w:b/>
          <w:sz w:val="28"/>
          <w:szCs w:val="28"/>
        </w:rPr>
        <w:t xml:space="preserve">  </w:t>
      </w:r>
      <w:r w:rsidR="00A10222" w:rsidRPr="00D678E4">
        <w:rPr>
          <w:b/>
          <w:sz w:val="28"/>
          <w:szCs w:val="28"/>
        </w:rPr>
        <w:t xml:space="preserve"> </w:t>
      </w:r>
    </w:p>
    <w:p w14:paraId="1E2F63BF" w14:textId="77777777" w:rsidR="006A78C5" w:rsidRDefault="00385448" w:rsidP="00C25096">
      <w:pPr>
        <w:spacing w:line="480" w:lineRule="auto"/>
        <w:ind w:firstLine="288"/>
        <w:jc w:val="both"/>
        <w:rPr>
          <w:sz w:val="28"/>
          <w:szCs w:val="28"/>
        </w:rPr>
      </w:pPr>
      <w:r w:rsidRPr="00D678E4">
        <w:rPr>
          <w:sz w:val="28"/>
          <w:szCs w:val="28"/>
        </w:rPr>
        <w:lastRenderedPageBreak/>
        <w:t xml:space="preserve">The proposed amendment </w:t>
      </w:r>
      <w:r w:rsidR="005C6A7E">
        <w:rPr>
          <w:sz w:val="28"/>
          <w:szCs w:val="28"/>
        </w:rPr>
        <w:t xml:space="preserve">would make it substantially more difficult for judicial officers hearing eviction actions to manage their calendars.  It </w:t>
      </w:r>
      <w:r w:rsidRPr="00D678E4">
        <w:rPr>
          <w:sz w:val="28"/>
          <w:szCs w:val="28"/>
        </w:rPr>
        <w:t>w</w:t>
      </w:r>
      <w:r w:rsidR="00D13F70" w:rsidRPr="00D678E4">
        <w:rPr>
          <w:sz w:val="28"/>
          <w:szCs w:val="28"/>
        </w:rPr>
        <w:t>ould</w:t>
      </w:r>
      <w:r w:rsidRPr="00D678E4">
        <w:rPr>
          <w:sz w:val="28"/>
          <w:szCs w:val="28"/>
        </w:rPr>
        <w:t xml:space="preserve"> </w:t>
      </w:r>
      <w:r w:rsidR="00B97D16">
        <w:rPr>
          <w:sz w:val="28"/>
          <w:szCs w:val="28"/>
        </w:rPr>
        <w:t>remove judicial discretion</w:t>
      </w:r>
      <w:r w:rsidR="00B97D16">
        <w:rPr>
          <w:rStyle w:val="FootnoteReference"/>
          <w:sz w:val="28"/>
          <w:szCs w:val="28"/>
        </w:rPr>
        <w:footnoteReference w:id="3"/>
      </w:r>
      <w:r w:rsidR="00B97D16">
        <w:rPr>
          <w:sz w:val="28"/>
          <w:szCs w:val="28"/>
        </w:rPr>
        <w:t xml:space="preserve"> and </w:t>
      </w:r>
      <w:r w:rsidR="002A6C95" w:rsidRPr="00D678E4">
        <w:rPr>
          <w:sz w:val="28"/>
          <w:szCs w:val="28"/>
        </w:rPr>
        <w:t xml:space="preserve">command </w:t>
      </w:r>
      <w:r w:rsidR="00B97D16">
        <w:rPr>
          <w:sz w:val="28"/>
          <w:szCs w:val="28"/>
        </w:rPr>
        <w:t>judges</w:t>
      </w:r>
      <w:r w:rsidR="00B15C99">
        <w:rPr>
          <w:sz w:val="28"/>
          <w:szCs w:val="28"/>
        </w:rPr>
        <w:t xml:space="preserve"> to grant </w:t>
      </w:r>
      <w:r w:rsidR="00B4328E">
        <w:rPr>
          <w:sz w:val="28"/>
          <w:szCs w:val="28"/>
        </w:rPr>
        <w:t>trial continuances</w:t>
      </w:r>
      <w:r w:rsidR="00B15C99">
        <w:rPr>
          <w:sz w:val="28"/>
          <w:szCs w:val="28"/>
        </w:rPr>
        <w:t xml:space="preserve"> if either party could successfully claim a</w:t>
      </w:r>
      <w:r w:rsidR="00922F5E">
        <w:rPr>
          <w:sz w:val="28"/>
          <w:szCs w:val="28"/>
        </w:rPr>
        <w:t xml:space="preserve">ny </w:t>
      </w:r>
      <w:r w:rsidR="00B15C99">
        <w:rPr>
          <w:sz w:val="28"/>
          <w:szCs w:val="28"/>
        </w:rPr>
        <w:t xml:space="preserve">health or medical emergency, </w:t>
      </w:r>
      <w:r w:rsidR="00922F5E">
        <w:rPr>
          <w:sz w:val="28"/>
          <w:szCs w:val="28"/>
        </w:rPr>
        <w:t>employment scheduling conflict, or child care issue.</w:t>
      </w:r>
      <w:r w:rsidR="00922F5E">
        <w:rPr>
          <w:rStyle w:val="FootnoteReference"/>
          <w:sz w:val="28"/>
          <w:szCs w:val="28"/>
        </w:rPr>
        <w:footnoteReference w:id="4"/>
      </w:r>
      <w:r w:rsidR="00922F5E">
        <w:rPr>
          <w:sz w:val="28"/>
          <w:szCs w:val="28"/>
        </w:rPr>
        <w:t xml:space="preserve">  In addition, if the proposed amendment is adopted, Superior Court judges and Justices of the Peace would be required to continue a trial date any time either party had “a need to gather evidence relevant to the eviction action.”</w:t>
      </w:r>
      <w:r w:rsidR="00922F5E">
        <w:rPr>
          <w:rStyle w:val="FootnoteReference"/>
          <w:sz w:val="28"/>
          <w:szCs w:val="28"/>
        </w:rPr>
        <w:footnoteReference w:id="5"/>
      </w:r>
      <w:r w:rsidR="006A78C5">
        <w:rPr>
          <w:sz w:val="28"/>
          <w:szCs w:val="28"/>
        </w:rPr>
        <w:t xml:space="preserve">  </w:t>
      </w:r>
      <w:r w:rsidR="005C6A7E">
        <w:rPr>
          <w:sz w:val="28"/>
          <w:szCs w:val="28"/>
        </w:rPr>
        <w:t>This need is potentially present in every case</w:t>
      </w:r>
      <w:r w:rsidR="003325E7">
        <w:rPr>
          <w:sz w:val="28"/>
          <w:szCs w:val="28"/>
        </w:rPr>
        <w:t xml:space="preserve"> and therefore could be claimed in nearly every case</w:t>
      </w:r>
      <w:r w:rsidR="005C6A7E">
        <w:rPr>
          <w:sz w:val="28"/>
          <w:szCs w:val="28"/>
        </w:rPr>
        <w:t xml:space="preserve">.  </w:t>
      </w:r>
      <w:r w:rsidR="003548E7">
        <w:rPr>
          <w:sz w:val="28"/>
          <w:szCs w:val="28"/>
        </w:rPr>
        <w:t>Effective case</w:t>
      </w:r>
      <w:r w:rsidR="00153E22">
        <w:rPr>
          <w:sz w:val="28"/>
          <w:szCs w:val="28"/>
        </w:rPr>
        <w:t xml:space="preserve"> </w:t>
      </w:r>
      <w:r w:rsidR="003548E7">
        <w:rPr>
          <w:sz w:val="28"/>
          <w:szCs w:val="28"/>
        </w:rPr>
        <w:t>flow management requires judges, to the extent possible, to provide certainty that events will occur as scheduled and that deadlines will be enforced.</w:t>
      </w:r>
      <w:r w:rsidR="003548E7">
        <w:rPr>
          <w:rStyle w:val="FootnoteReference"/>
          <w:sz w:val="28"/>
          <w:szCs w:val="28"/>
        </w:rPr>
        <w:footnoteReference w:id="6"/>
      </w:r>
      <w:r w:rsidR="006A78C5">
        <w:rPr>
          <w:sz w:val="28"/>
          <w:szCs w:val="28"/>
        </w:rPr>
        <w:t xml:space="preserve">  </w:t>
      </w:r>
    </w:p>
    <w:p w14:paraId="1B124991" w14:textId="77777777" w:rsidR="00B4328E" w:rsidRDefault="009203AD" w:rsidP="00C25096">
      <w:pPr>
        <w:spacing w:line="480" w:lineRule="auto"/>
        <w:ind w:firstLine="288"/>
        <w:jc w:val="both"/>
        <w:rPr>
          <w:sz w:val="28"/>
          <w:szCs w:val="28"/>
        </w:rPr>
      </w:pPr>
      <w:r>
        <w:rPr>
          <w:sz w:val="28"/>
          <w:szCs w:val="28"/>
        </w:rPr>
        <w:t xml:space="preserve">More alarmingly, by slyly changing the “may” to “shall” in Rule 11(d), the Petitioners have created a permanent delay, because a party can continually claim a work conflict or an inability to obtain child care to </w:t>
      </w:r>
      <w:r>
        <w:rPr>
          <w:sz w:val="28"/>
          <w:szCs w:val="28"/>
        </w:rPr>
        <w:lastRenderedPageBreak/>
        <w:t xml:space="preserve">repeatedly demand a trial continuance, which the court would be required to </w:t>
      </w:r>
      <w:r w:rsidR="006E4981">
        <w:rPr>
          <w:sz w:val="28"/>
          <w:szCs w:val="28"/>
        </w:rPr>
        <w:t xml:space="preserve">repeatedly </w:t>
      </w:r>
      <w:r>
        <w:rPr>
          <w:sz w:val="28"/>
          <w:szCs w:val="28"/>
        </w:rPr>
        <w:t xml:space="preserve">grant, as the trial continuance is mandatory and the rule contains no limit to the number of requests.  </w:t>
      </w:r>
    </w:p>
    <w:p w14:paraId="279CF57A" w14:textId="77777777" w:rsidR="006A78C5" w:rsidRDefault="006A78C5" w:rsidP="006A78C5">
      <w:pPr>
        <w:spacing w:line="480" w:lineRule="auto"/>
        <w:ind w:firstLine="288"/>
        <w:jc w:val="both"/>
        <w:rPr>
          <w:sz w:val="28"/>
          <w:szCs w:val="28"/>
        </w:rPr>
      </w:pPr>
      <w:r>
        <w:rPr>
          <w:sz w:val="28"/>
          <w:szCs w:val="28"/>
        </w:rPr>
        <w:t xml:space="preserve">Petitioners </w:t>
      </w:r>
      <w:r w:rsidR="003325E7">
        <w:rPr>
          <w:sz w:val="28"/>
          <w:szCs w:val="28"/>
        </w:rPr>
        <w:t xml:space="preserve">also </w:t>
      </w:r>
      <w:r>
        <w:rPr>
          <w:sz w:val="28"/>
          <w:szCs w:val="28"/>
        </w:rPr>
        <w:t xml:space="preserve">incorrectly claim that their proposed changes are necessary to provide clarity so that “parties in eviction matters [can] utilize what should be a common litigation mechanism to seek necessary continuances of eviction proceedings.”  A major problem with this </w:t>
      </w:r>
      <w:r w:rsidR="003325E7">
        <w:rPr>
          <w:sz w:val="28"/>
          <w:szCs w:val="28"/>
        </w:rPr>
        <w:t xml:space="preserve">declaration </w:t>
      </w:r>
      <w:r>
        <w:rPr>
          <w:sz w:val="28"/>
          <w:szCs w:val="28"/>
        </w:rPr>
        <w:t>in support of their delay on demand proposal is that residential eviction actions are not common litigation.</w:t>
      </w:r>
    </w:p>
    <w:p w14:paraId="4B820CD5" w14:textId="77777777" w:rsidR="00153E22" w:rsidRDefault="006A78C5" w:rsidP="006A78C5">
      <w:pPr>
        <w:spacing w:line="480" w:lineRule="auto"/>
        <w:ind w:firstLine="288"/>
        <w:jc w:val="both"/>
        <w:rPr>
          <w:sz w:val="28"/>
          <w:szCs w:val="28"/>
        </w:rPr>
      </w:pPr>
      <w:r>
        <w:rPr>
          <w:sz w:val="28"/>
          <w:szCs w:val="28"/>
        </w:rPr>
        <w:t>Residential eviction actions are summary proceedings</w:t>
      </w:r>
      <w:r w:rsidR="004C2725">
        <w:rPr>
          <w:rStyle w:val="FootnoteReference"/>
          <w:sz w:val="28"/>
          <w:szCs w:val="28"/>
        </w:rPr>
        <w:footnoteReference w:id="7"/>
      </w:r>
      <w:r>
        <w:rPr>
          <w:sz w:val="28"/>
          <w:szCs w:val="28"/>
        </w:rPr>
        <w:t xml:space="preserve"> that are narrowly focused</w:t>
      </w:r>
      <w:r w:rsidR="00E018E0">
        <w:rPr>
          <w:sz w:val="28"/>
          <w:szCs w:val="28"/>
        </w:rPr>
        <w:t>,</w:t>
      </w:r>
      <w:r w:rsidR="00495A52">
        <w:rPr>
          <w:rStyle w:val="FootnoteReference"/>
          <w:sz w:val="28"/>
          <w:szCs w:val="28"/>
        </w:rPr>
        <w:footnoteReference w:id="8"/>
      </w:r>
      <w:r>
        <w:rPr>
          <w:sz w:val="28"/>
          <w:szCs w:val="28"/>
        </w:rPr>
        <w:t xml:space="preserve"> </w:t>
      </w:r>
      <w:r w:rsidR="00817489">
        <w:rPr>
          <w:sz w:val="28"/>
          <w:szCs w:val="28"/>
        </w:rPr>
        <w:t xml:space="preserve">that </w:t>
      </w:r>
      <w:r>
        <w:rPr>
          <w:sz w:val="28"/>
          <w:szCs w:val="28"/>
        </w:rPr>
        <w:t>have limited discovery</w:t>
      </w:r>
      <w:r w:rsidR="00E018E0">
        <w:rPr>
          <w:sz w:val="28"/>
          <w:szCs w:val="28"/>
        </w:rPr>
        <w:t>,</w:t>
      </w:r>
      <w:r w:rsidR="00F70FA4">
        <w:rPr>
          <w:rStyle w:val="FootnoteReference"/>
          <w:sz w:val="28"/>
          <w:szCs w:val="28"/>
        </w:rPr>
        <w:footnoteReference w:id="9"/>
      </w:r>
      <w:r>
        <w:rPr>
          <w:sz w:val="28"/>
          <w:szCs w:val="28"/>
        </w:rPr>
        <w:t xml:space="preserve"> </w:t>
      </w:r>
      <w:r w:rsidR="00817489">
        <w:rPr>
          <w:sz w:val="28"/>
          <w:szCs w:val="28"/>
        </w:rPr>
        <w:t xml:space="preserve">that </w:t>
      </w:r>
      <w:r w:rsidR="003325E7">
        <w:rPr>
          <w:sz w:val="28"/>
          <w:szCs w:val="28"/>
        </w:rPr>
        <w:t xml:space="preserve">have </w:t>
      </w:r>
      <w:r w:rsidR="004C2725">
        <w:rPr>
          <w:sz w:val="28"/>
          <w:szCs w:val="28"/>
        </w:rPr>
        <w:t xml:space="preserve">limited </w:t>
      </w:r>
      <w:r w:rsidR="003325E7">
        <w:rPr>
          <w:sz w:val="28"/>
          <w:szCs w:val="28"/>
        </w:rPr>
        <w:t>categories</w:t>
      </w:r>
      <w:r>
        <w:rPr>
          <w:sz w:val="28"/>
          <w:szCs w:val="28"/>
        </w:rPr>
        <w:t xml:space="preserve"> of authorized counterclaims</w:t>
      </w:r>
      <w:r w:rsidR="00E018E0">
        <w:rPr>
          <w:sz w:val="28"/>
          <w:szCs w:val="28"/>
        </w:rPr>
        <w:t>,</w:t>
      </w:r>
      <w:r w:rsidR="00F70FA4">
        <w:rPr>
          <w:rStyle w:val="FootnoteReference"/>
          <w:sz w:val="28"/>
          <w:szCs w:val="28"/>
        </w:rPr>
        <w:footnoteReference w:id="10"/>
      </w:r>
      <w:r>
        <w:rPr>
          <w:sz w:val="28"/>
          <w:szCs w:val="28"/>
        </w:rPr>
        <w:t xml:space="preserve"> and </w:t>
      </w:r>
      <w:r w:rsidR="00817489">
        <w:rPr>
          <w:sz w:val="28"/>
          <w:szCs w:val="28"/>
        </w:rPr>
        <w:t xml:space="preserve">that </w:t>
      </w:r>
      <w:r>
        <w:rPr>
          <w:sz w:val="28"/>
          <w:szCs w:val="28"/>
        </w:rPr>
        <w:t>are designed to move promptly.</w:t>
      </w:r>
      <w:r w:rsidR="00380E35">
        <w:rPr>
          <w:rStyle w:val="FootnoteReference"/>
          <w:sz w:val="28"/>
          <w:szCs w:val="28"/>
        </w:rPr>
        <w:footnoteReference w:id="11"/>
      </w:r>
      <w:r w:rsidR="00DD690F">
        <w:rPr>
          <w:sz w:val="28"/>
          <w:szCs w:val="28"/>
        </w:rPr>
        <w:t xml:space="preserve">  They </w:t>
      </w:r>
      <w:r w:rsidR="00DD690F">
        <w:rPr>
          <w:sz w:val="28"/>
          <w:szCs w:val="28"/>
        </w:rPr>
        <w:lastRenderedPageBreak/>
        <w:t>are designed primarily to resolve issues concerning possession (but never ownership) of a residence, with the understanding that claims concerning property damage</w:t>
      </w:r>
      <w:r w:rsidR="003325E7">
        <w:rPr>
          <w:sz w:val="28"/>
          <w:szCs w:val="28"/>
        </w:rPr>
        <w:t xml:space="preserve"> (and any other outstanding issues)</w:t>
      </w:r>
      <w:r w:rsidR="00DD690F">
        <w:rPr>
          <w:sz w:val="28"/>
          <w:szCs w:val="28"/>
        </w:rPr>
        <w:t xml:space="preserve"> will potentially be resolved subsequently either in a small claims case or </w:t>
      </w:r>
      <w:r w:rsidR="00007AEF">
        <w:rPr>
          <w:sz w:val="28"/>
          <w:szCs w:val="28"/>
        </w:rPr>
        <w:t xml:space="preserve">in a </w:t>
      </w:r>
      <w:r w:rsidR="00DD690F">
        <w:rPr>
          <w:sz w:val="28"/>
          <w:szCs w:val="28"/>
        </w:rPr>
        <w:t xml:space="preserve">civil lawsuit, after </w:t>
      </w:r>
      <w:r w:rsidR="003325E7">
        <w:rPr>
          <w:sz w:val="28"/>
          <w:szCs w:val="28"/>
        </w:rPr>
        <w:t>the</w:t>
      </w:r>
      <w:r w:rsidR="00153E22">
        <w:rPr>
          <w:sz w:val="28"/>
          <w:szCs w:val="28"/>
        </w:rPr>
        <w:t xml:space="preserve"> </w:t>
      </w:r>
      <w:r w:rsidR="00606891">
        <w:rPr>
          <w:sz w:val="28"/>
          <w:szCs w:val="28"/>
        </w:rPr>
        <w:t xml:space="preserve">landlord has made </w:t>
      </w:r>
      <w:r w:rsidR="00153E22">
        <w:rPr>
          <w:sz w:val="28"/>
          <w:szCs w:val="28"/>
        </w:rPr>
        <w:t xml:space="preserve">any lawful </w:t>
      </w:r>
      <w:r w:rsidR="00DD690F">
        <w:rPr>
          <w:sz w:val="28"/>
          <w:szCs w:val="28"/>
        </w:rPr>
        <w:t>deductions from the</w:t>
      </w:r>
      <w:r w:rsidR="00606891">
        <w:rPr>
          <w:sz w:val="28"/>
          <w:szCs w:val="28"/>
        </w:rPr>
        <w:t xml:space="preserve"> tenant’s </w:t>
      </w:r>
      <w:r w:rsidR="00DD690F">
        <w:rPr>
          <w:sz w:val="28"/>
          <w:szCs w:val="28"/>
        </w:rPr>
        <w:t>security deposit</w:t>
      </w:r>
      <w:r w:rsidR="00606891">
        <w:rPr>
          <w:sz w:val="28"/>
          <w:szCs w:val="28"/>
        </w:rPr>
        <w:t>.</w:t>
      </w:r>
    </w:p>
    <w:p w14:paraId="5733141B" w14:textId="77777777" w:rsidR="0068572A" w:rsidRPr="00D678E4" w:rsidRDefault="00153E22" w:rsidP="003325E7">
      <w:pPr>
        <w:spacing w:line="480" w:lineRule="auto"/>
        <w:ind w:firstLine="288"/>
        <w:jc w:val="both"/>
        <w:rPr>
          <w:b/>
          <w:sz w:val="28"/>
          <w:szCs w:val="28"/>
          <w:shd w:val="clear" w:color="auto" w:fill="FFFFFF"/>
        </w:rPr>
      </w:pPr>
      <w:r>
        <w:rPr>
          <w:sz w:val="28"/>
          <w:szCs w:val="28"/>
        </w:rPr>
        <w:t xml:space="preserve">Encouraging </w:t>
      </w:r>
      <w:r w:rsidR="006E4981">
        <w:rPr>
          <w:sz w:val="28"/>
          <w:szCs w:val="28"/>
        </w:rPr>
        <w:t>trial continuances</w:t>
      </w:r>
      <w:r>
        <w:rPr>
          <w:sz w:val="28"/>
          <w:szCs w:val="28"/>
        </w:rPr>
        <w:t xml:space="preserve">, especially </w:t>
      </w:r>
      <w:r w:rsidR="00B44094">
        <w:rPr>
          <w:sz w:val="28"/>
          <w:szCs w:val="28"/>
        </w:rPr>
        <w:t xml:space="preserve">as </w:t>
      </w:r>
      <w:r>
        <w:rPr>
          <w:sz w:val="28"/>
          <w:szCs w:val="28"/>
        </w:rPr>
        <w:t xml:space="preserve">a litigation tactic, is bad public policy.  In addition to disrupting </w:t>
      </w:r>
      <w:r w:rsidR="003325E7">
        <w:rPr>
          <w:sz w:val="28"/>
          <w:szCs w:val="28"/>
        </w:rPr>
        <w:t xml:space="preserve">the case processing </w:t>
      </w:r>
      <w:r>
        <w:rPr>
          <w:sz w:val="28"/>
          <w:szCs w:val="28"/>
        </w:rPr>
        <w:t xml:space="preserve">time standards set by the Administrative Office of the Courts, </w:t>
      </w:r>
      <w:r w:rsidR="00980938">
        <w:rPr>
          <w:sz w:val="28"/>
          <w:szCs w:val="28"/>
        </w:rPr>
        <w:t xml:space="preserve">delay for the sake of delay is counterproductive. </w:t>
      </w:r>
      <w:r w:rsidR="00E10879">
        <w:rPr>
          <w:sz w:val="28"/>
          <w:szCs w:val="28"/>
        </w:rPr>
        <w:t xml:space="preserve">In </w:t>
      </w:r>
      <w:proofErr w:type="gramStart"/>
      <w:r w:rsidR="00E10879">
        <w:rPr>
          <w:sz w:val="28"/>
          <w:szCs w:val="28"/>
        </w:rPr>
        <w:t xml:space="preserve">the </w:t>
      </w:r>
      <w:r w:rsidR="00980938" w:rsidRPr="00980938">
        <w:rPr>
          <w:sz w:val="28"/>
          <w:szCs w:val="28"/>
        </w:rPr>
        <w:t>vast majority of</w:t>
      </w:r>
      <w:proofErr w:type="gramEnd"/>
      <w:r w:rsidR="00980938" w:rsidRPr="00980938">
        <w:rPr>
          <w:sz w:val="28"/>
          <w:szCs w:val="28"/>
        </w:rPr>
        <w:t xml:space="preserve"> residential eviction cases</w:t>
      </w:r>
      <w:r w:rsidR="00E10879">
        <w:rPr>
          <w:sz w:val="28"/>
          <w:szCs w:val="28"/>
        </w:rPr>
        <w:t>, landlords</w:t>
      </w:r>
      <w:r w:rsidR="00980938" w:rsidRPr="00980938">
        <w:rPr>
          <w:sz w:val="28"/>
          <w:szCs w:val="28"/>
        </w:rPr>
        <w:t xml:space="preserve"> allege non-payment </w:t>
      </w:r>
      <w:r w:rsidR="003325E7">
        <w:rPr>
          <w:sz w:val="28"/>
          <w:szCs w:val="28"/>
        </w:rPr>
        <w:t xml:space="preserve">as the factual basis for the case.  </w:t>
      </w:r>
      <w:r w:rsidR="00980938">
        <w:rPr>
          <w:sz w:val="28"/>
          <w:szCs w:val="28"/>
        </w:rPr>
        <w:t xml:space="preserve">If the procedural requirements have been met, there are not many defenses to nonpayment of rent.  Delaying the case, simply because it </w:t>
      </w:r>
      <w:r w:rsidR="0097342C">
        <w:rPr>
          <w:sz w:val="28"/>
          <w:szCs w:val="28"/>
        </w:rPr>
        <w:t xml:space="preserve">can </w:t>
      </w:r>
      <w:r w:rsidR="00980938">
        <w:rPr>
          <w:sz w:val="28"/>
          <w:szCs w:val="28"/>
        </w:rPr>
        <w:t xml:space="preserve">be delayed, is not likely to change the ultimate outcome.  It is, however, likely to result in </w:t>
      </w:r>
      <w:r w:rsidR="006E4981">
        <w:rPr>
          <w:sz w:val="28"/>
          <w:szCs w:val="28"/>
        </w:rPr>
        <w:t xml:space="preserve">harm to tenants, </w:t>
      </w:r>
      <w:r w:rsidR="00453F68">
        <w:rPr>
          <w:sz w:val="28"/>
          <w:szCs w:val="28"/>
        </w:rPr>
        <w:t xml:space="preserve">as </w:t>
      </w:r>
      <w:r w:rsidR="00980938">
        <w:rPr>
          <w:sz w:val="28"/>
          <w:szCs w:val="28"/>
        </w:rPr>
        <w:t>landlord</w:t>
      </w:r>
      <w:r w:rsidR="00453F68">
        <w:rPr>
          <w:sz w:val="28"/>
          <w:szCs w:val="28"/>
        </w:rPr>
        <w:t>s</w:t>
      </w:r>
      <w:r w:rsidR="00980938">
        <w:rPr>
          <w:sz w:val="28"/>
          <w:szCs w:val="28"/>
        </w:rPr>
        <w:t xml:space="preserve"> request</w:t>
      </w:r>
      <w:r w:rsidR="00453F68">
        <w:rPr>
          <w:sz w:val="28"/>
          <w:szCs w:val="28"/>
        </w:rPr>
        <w:t xml:space="preserve"> </w:t>
      </w:r>
      <w:r w:rsidR="00980938">
        <w:rPr>
          <w:sz w:val="28"/>
          <w:szCs w:val="28"/>
        </w:rPr>
        <w:t xml:space="preserve">additional </w:t>
      </w:r>
      <w:r w:rsidR="00453F68">
        <w:rPr>
          <w:sz w:val="28"/>
          <w:szCs w:val="28"/>
        </w:rPr>
        <w:t xml:space="preserve">attorney </w:t>
      </w:r>
      <w:r w:rsidR="00980938">
        <w:rPr>
          <w:sz w:val="28"/>
          <w:szCs w:val="28"/>
        </w:rPr>
        <w:t>fees for additional court appearances</w:t>
      </w:r>
      <w:r w:rsidR="00453F68">
        <w:rPr>
          <w:sz w:val="28"/>
          <w:szCs w:val="28"/>
        </w:rPr>
        <w:t>, and if a trial is continued into the next month, an evicted tenant will be responsible for the full amount of the rent for the new month.</w:t>
      </w:r>
      <w:r w:rsidR="00453F68">
        <w:rPr>
          <w:rStyle w:val="FootnoteReference"/>
          <w:sz w:val="28"/>
          <w:szCs w:val="28"/>
        </w:rPr>
        <w:footnoteReference w:id="12"/>
      </w:r>
      <w:r w:rsidR="00980938">
        <w:rPr>
          <w:sz w:val="28"/>
          <w:szCs w:val="28"/>
        </w:rPr>
        <w:t xml:space="preserve">  </w:t>
      </w:r>
      <w:r w:rsidR="006A78C5">
        <w:rPr>
          <w:sz w:val="28"/>
          <w:szCs w:val="28"/>
        </w:rPr>
        <w:t xml:space="preserve">  </w:t>
      </w:r>
    </w:p>
    <w:p w14:paraId="5D9729A5" w14:textId="77777777" w:rsidR="005B0A52" w:rsidRPr="00D678E4" w:rsidRDefault="005B0A52" w:rsidP="005B0A52">
      <w:pPr>
        <w:jc w:val="center"/>
        <w:rPr>
          <w:b/>
          <w:sz w:val="28"/>
          <w:szCs w:val="28"/>
          <w:shd w:val="clear" w:color="auto" w:fill="FFFFFF"/>
        </w:rPr>
      </w:pPr>
      <w:r w:rsidRPr="00D678E4">
        <w:rPr>
          <w:b/>
          <w:sz w:val="28"/>
          <w:szCs w:val="28"/>
          <w:shd w:val="clear" w:color="auto" w:fill="FFFFFF"/>
        </w:rPr>
        <w:lastRenderedPageBreak/>
        <w:t>II.</w:t>
      </w:r>
    </w:p>
    <w:p w14:paraId="0B2596FB" w14:textId="77777777" w:rsidR="005B0A52" w:rsidRPr="00D678E4" w:rsidRDefault="005B0A52" w:rsidP="005B0A52">
      <w:pPr>
        <w:jc w:val="center"/>
        <w:rPr>
          <w:b/>
          <w:sz w:val="28"/>
          <w:szCs w:val="28"/>
          <w:shd w:val="clear" w:color="auto" w:fill="FFFFFF"/>
        </w:rPr>
      </w:pPr>
    </w:p>
    <w:p w14:paraId="3C1DCE36" w14:textId="77777777" w:rsidR="00884A32" w:rsidRPr="00D678E4" w:rsidRDefault="00046562" w:rsidP="00E5785E">
      <w:pPr>
        <w:jc w:val="both"/>
        <w:rPr>
          <w:b/>
          <w:sz w:val="28"/>
          <w:szCs w:val="28"/>
          <w:shd w:val="clear" w:color="auto" w:fill="FFFFFF"/>
        </w:rPr>
      </w:pPr>
      <w:r>
        <w:rPr>
          <w:b/>
          <w:sz w:val="28"/>
          <w:szCs w:val="28"/>
          <w:shd w:val="clear" w:color="auto" w:fill="FFFFFF"/>
        </w:rPr>
        <w:t xml:space="preserve">ONE OF THE PROPOSED JUSTIFICATIONS FOR DELAY REQUESTS IS INCONSISTENT WITH </w:t>
      </w:r>
      <w:r w:rsidR="000F2B07">
        <w:rPr>
          <w:b/>
          <w:sz w:val="28"/>
          <w:szCs w:val="28"/>
          <w:shd w:val="clear" w:color="auto" w:fill="FFFFFF"/>
        </w:rPr>
        <w:t xml:space="preserve">CURRENT </w:t>
      </w:r>
      <w:r>
        <w:rPr>
          <w:b/>
          <w:sz w:val="28"/>
          <w:szCs w:val="28"/>
          <w:shd w:val="clear" w:color="auto" w:fill="FFFFFF"/>
        </w:rPr>
        <w:t xml:space="preserve">ARIZONA LAW AND WOULD RESULT IN A SIGNIFICANT PUBLIC POLICY CHANGE </w:t>
      </w:r>
    </w:p>
    <w:p w14:paraId="5E7CBBD7" w14:textId="77777777" w:rsidR="00E10879" w:rsidRDefault="00E10879" w:rsidP="00684713">
      <w:pPr>
        <w:spacing w:line="480" w:lineRule="auto"/>
        <w:ind w:firstLine="288"/>
        <w:jc w:val="both"/>
        <w:rPr>
          <w:sz w:val="28"/>
          <w:szCs w:val="28"/>
          <w:shd w:val="clear" w:color="auto" w:fill="FFFFFF"/>
        </w:rPr>
      </w:pPr>
    </w:p>
    <w:p w14:paraId="723F1938" w14:textId="77777777" w:rsidR="000F2B07" w:rsidRDefault="00684713" w:rsidP="00684713">
      <w:pPr>
        <w:spacing w:line="480" w:lineRule="auto"/>
        <w:ind w:firstLine="288"/>
        <w:jc w:val="both"/>
        <w:rPr>
          <w:sz w:val="28"/>
          <w:szCs w:val="28"/>
          <w:shd w:val="clear" w:color="auto" w:fill="FFFFFF"/>
        </w:rPr>
      </w:pPr>
      <w:r w:rsidRPr="002C64C6">
        <w:rPr>
          <w:sz w:val="28"/>
          <w:szCs w:val="28"/>
          <w:shd w:val="clear" w:color="auto" w:fill="FFFFFF"/>
        </w:rPr>
        <w:t>W</w:t>
      </w:r>
      <w:r>
        <w:rPr>
          <w:sz w:val="28"/>
          <w:szCs w:val="28"/>
          <w:shd w:val="clear" w:color="auto" w:fill="FFFFFF"/>
        </w:rPr>
        <w:t>hether additional procedural safeguards are needed for residential tenants facing eviction is a discussion that is worth having.</w:t>
      </w:r>
      <w:r>
        <w:rPr>
          <w:rStyle w:val="FootnoteReference"/>
          <w:sz w:val="28"/>
          <w:szCs w:val="28"/>
          <w:shd w:val="clear" w:color="auto" w:fill="FFFFFF"/>
        </w:rPr>
        <w:footnoteReference w:id="13"/>
      </w:r>
      <w:r>
        <w:rPr>
          <w:sz w:val="28"/>
          <w:szCs w:val="28"/>
          <w:shd w:val="clear" w:color="auto" w:fill="FFFFFF"/>
        </w:rPr>
        <w:t xml:space="preserve">  As judicial officers, we generally take no position on what the law should be.  Those discussions are often better reserved for the other branches of government.</w:t>
      </w:r>
      <w:r w:rsidR="005D325A">
        <w:rPr>
          <w:sz w:val="28"/>
          <w:szCs w:val="28"/>
          <w:shd w:val="clear" w:color="auto" w:fill="FFFFFF"/>
        </w:rPr>
        <w:t xml:space="preserve">  Currently, judges have no legal authority to delay an eviction action to give a tenant additional time to pay a </w:t>
      </w:r>
      <w:r w:rsidR="00E10879">
        <w:rPr>
          <w:sz w:val="28"/>
          <w:szCs w:val="28"/>
          <w:shd w:val="clear" w:color="auto" w:fill="FFFFFF"/>
        </w:rPr>
        <w:t xml:space="preserve">past </w:t>
      </w:r>
      <w:r w:rsidR="005D325A">
        <w:rPr>
          <w:sz w:val="28"/>
          <w:szCs w:val="28"/>
          <w:shd w:val="clear" w:color="auto" w:fill="FFFFFF"/>
        </w:rPr>
        <w:t>due balance.  Proposed RPEA 18(d)(viii) would invent one.</w:t>
      </w:r>
      <w:r w:rsidR="005D325A">
        <w:rPr>
          <w:rStyle w:val="FootnoteReference"/>
          <w:sz w:val="28"/>
          <w:szCs w:val="28"/>
          <w:shd w:val="clear" w:color="auto" w:fill="FFFFFF"/>
        </w:rPr>
        <w:footnoteReference w:id="14"/>
      </w:r>
      <w:r w:rsidR="005D325A">
        <w:rPr>
          <w:sz w:val="28"/>
          <w:szCs w:val="28"/>
          <w:shd w:val="clear" w:color="auto" w:fill="FFFFFF"/>
        </w:rPr>
        <w:t xml:space="preserve">  Given the </w:t>
      </w:r>
      <w:r w:rsidR="00086727">
        <w:rPr>
          <w:sz w:val="28"/>
          <w:szCs w:val="28"/>
          <w:shd w:val="clear" w:color="auto" w:fill="FFFFFF"/>
        </w:rPr>
        <w:t>recommended</w:t>
      </w:r>
      <w:r w:rsidR="005D325A">
        <w:rPr>
          <w:sz w:val="28"/>
          <w:szCs w:val="28"/>
          <w:shd w:val="clear" w:color="auto" w:fill="FFFFFF"/>
        </w:rPr>
        <w:t xml:space="preserve"> requirements of the rest of the petition, judges would be required to delay eviction actions to allow tenants additional time</w:t>
      </w:r>
      <w:r w:rsidR="00086727">
        <w:rPr>
          <w:sz w:val="28"/>
          <w:szCs w:val="28"/>
          <w:shd w:val="clear" w:color="auto" w:fill="FFFFFF"/>
        </w:rPr>
        <w:t xml:space="preserve"> to pay</w:t>
      </w:r>
      <w:r w:rsidR="005D325A">
        <w:rPr>
          <w:sz w:val="28"/>
          <w:szCs w:val="28"/>
          <w:shd w:val="clear" w:color="auto" w:fill="FFFFFF"/>
        </w:rPr>
        <w:t>.</w:t>
      </w:r>
    </w:p>
    <w:p w14:paraId="79B76BAE" w14:textId="77777777" w:rsidR="000934DD" w:rsidRDefault="005D325A" w:rsidP="00684713">
      <w:pPr>
        <w:spacing w:line="480" w:lineRule="auto"/>
        <w:ind w:firstLine="288"/>
        <w:jc w:val="both"/>
        <w:rPr>
          <w:sz w:val="28"/>
          <w:szCs w:val="28"/>
          <w:shd w:val="clear" w:color="auto" w:fill="FFFFFF"/>
        </w:rPr>
      </w:pPr>
      <w:r>
        <w:rPr>
          <w:sz w:val="28"/>
          <w:szCs w:val="28"/>
          <w:shd w:val="clear" w:color="auto" w:fill="FFFFFF"/>
        </w:rPr>
        <w:lastRenderedPageBreak/>
        <w:t xml:space="preserve">  </w:t>
      </w:r>
      <w:r w:rsidR="007F4226">
        <w:rPr>
          <w:sz w:val="28"/>
          <w:szCs w:val="28"/>
          <w:shd w:val="clear" w:color="auto" w:fill="FFFFFF"/>
        </w:rPr>
        <w:t xml:space="preserve">Legislation designed to help struggling tenants has been introduced in the most recent </w:t>
      </w:r>
      <w:r w:rsidR="003943BB">
        <w:rPr>
          <w:sz w:val="28"/>
          <w:szCs w:val="28"/>
          <w:shd w:val="clear" w:color="auto" w:fill="FFFFFF"/>
        </w:rPr>
        <w:t xml:space="preserve">Arizona </w:t>
      </w:r>
      <w:r w:rsidR="007F4226">
        <w:rPr>
          <w:sz w:val="28"/>
          <w:szCs w:val="28"/>
          <w:shd w:val="clear" w:color="auto" w:fill="FFFFFF"/>
        </w:rPr>
        <w:t>legislative secession</w:t>
      </w:r>
      <w:r w:rsidR="007F4226">
        <w:rPr>
          <w:rStyle w:val="FootnoteReference"/>
          <w:sz w:val="28"/>
          <w:szCs w:val="28"/>
          <w:shd w:val="clear" w:color="auto" w:fill="FFFFFF"/>
        </w:rPr>
        <w:footnoteReference w:id="15"/>
      </w:r>
      <w:r w:rsidR="007F4226">
        <w:rPr>
          <w:sz w:val="28"/>
          <w:szCs w:val="28"/>
          <w:shd w:val="clear" w:color="auto" w:fill="FFFFFF"/>
        </w:rPr>
        <w:t xml:space="preserve"> and that is where that type of public policy decision should occur.</w:t>
      </w:r>
      <w:r>
        <w:rPr>
          <w:sz w:val="28"/>
          <w:szCs w:val="28"/>
          <w:shd w:val="clear" w:color="auto" w:fill="FFFFFF"/>
        </w:rPr>
        <w:t xml:space="preserve">  Substantive policy changes, even if they are a genuinely good idea, should not be made through the court rule petition process.  </w:t>
      </w:r>
      <w:r w:rsidR="003943BB">
        <w:rPr>
          <w:sz w:val="28"/>
          <w:szCs w:val="28"/>
          <w:shd w:val="clear" w:color="auto" w:fill="FFFFFF"/>
        </w:rPr>
        <w:t xml:space="preserve">  </w:t>
      </w:r>
    </w:p>
    <w:p w14:paraId="0CAAF976" w14:textId="77777777" w:rsidR="00E365EA" w:rsidRPr="00D678E4" w:rsidRDefault="00E365EA" w:rsidP="00E365EA">
      <w:pPr>
        <w:spacing w:line="480" w:lineRule="auto"/>
        <w:ind w:firstLine="288"/>
        <w:jc w:val="both"/>
        <w:rPr>
          <w:b/>
          <w:sz w:val="28"/>
          <w:szCs w:val="28"/>
          <w:shd w:val="clear" w:color="auto" w:fill="FFFFFF"/>
        </w:rPr>
      </w:pPr>
      <w:r w:rsidRPr="00D678E4">
        <w:rPr>
          <w:sz w:val="28"/>
          <w:szCs w:val="28"/>
          <w:shd w:val="clear" w:color="auto" w:fill="FFFFFF"/>
        </w:rPr>
        <w:t xml:space="preserve">                                                         </w:t>
      </w:r>
      <w:r w:rsidRPr="00D678E4">
        <w:rPr>
          <w:b/>
          <w:sz w:val="28"/>
          <w:szCs w:val="28"/>
          <w:shd w:val="clear" w:color="auto" w:fill="FFFFFF"/>
        </w:rPr>
        <w:t>IV.</w:t>
      </w:r>
    </w:p>
    <w:p w14:paraId="1630D21A" w14:textId="77777777" w:rsidR="00E365EA" w:rsidRPr="00D678E4" w:rsidRDefault="00007AEF" w:rsidP="00E039A7">
      <w:pPr>
        <w:jc w:val="both"/>
        <w:rPr>
          <w:b/>
          <w:sz w:val="28"/>
          <w:szCs w:val="28"/>
          <w:shd w:val="clear" w:color="auto" w:fill="FFFFFF"/>
        </w:rPr>
      </w:pPr>
      <w:r>
        <w:rPr>
          <w:b/>
          <w:sz w:val="28"/>
          <w:szCs w:val="28"/>
          <w:shd w:val="clear" w:color="auto" w:fill="FFFFFF"/>
        </w:rPr>
        <w:t xml:space="preserve">TWO OF THE REQUESTED REASONS FOR JUDGES TO GRANT MANDATORY DELAYS ARE UNNECESSARY BECAUSE THEY MERELY REQUIRE JUDGES TO COMPLY WITH EXISTING FEDERAL LAW. </w:t>
      </w:r>
    </w:p>
    <w:p w14:paraId="69F8E5B1" w14:textId="77777777" w:rsidR="00E039A7" w:rsidRPr="00D678E4" w:rsidRDefault="00E039A7" w:rsidP="00E039A7">
      <w:pPr>
        <w:jc w:val="both"/>
        <w:rPr>
          <w:b/>
          <w:sz w:val="28"/>
          <w:szCs w:val="28"/>
          <w:shd w:val="clear" w:color="auto" w:fill="FFFFFF"/>
        </w:rPr>
      </w:pPr>
    </w:p>
    <w:p w14:paraId="0C90A4A0" w14:textId="77777777" w:rsidR="00E3107F" w:rsidRDefault="00007AEF" w:rsidP="005A5EB6">
      <w:pPr>
        <w:spacing w:line="480" w:lineRule="auto"/>
        <w:ind w:firstLine="288"/>
        <w:jc w:val="both"/>
        <w:rPr>
          <w:sz w:val="28"/>
          <w:szCs w:val="28"/>
          <w:shd w:val="clear" w:color="auto" w:fill="FFFFFF"/>
        </w:rPr>
      </w:pPr>
      <w:r>
        <w:rPr>
          <w:sz w:val="28"/>
          <w:szCs w:val="28"/>
          <w:shd w:val="clear" w:color="auto" w:fill="FFFFFF"/>
        </w:rPr>
        <w:t xml:space="preserve">Two of the reasons on the Petitioners list </w:t>
      </w:r>
      <w:r w:rsidR="00E3107F">
        <w:rPr>
          <w:sz w:val="28"/>
          <w:szCs w:val="28"/>
          <w:shd w:val="clear" w:color="auto" w:fill="FFFFFF"/>
        </w:rPr>
        <w:t xml:space="preserve">of reasons for delay are </w:t>
      </w:r>
      <w:r w:rsidR="002814B3">
        <w:rPr>
          <w:sz w:val="28"/>
          <w:szCs w:val="28"/>
          <w:shd w:val="clear" w:color="auto" w:fill="FFFFFF"/>
        </w:rPr>
        <w:t>a</w:t>
      </w:r>
      <w:r w:rsidR="00E3107F">
        <w:rPr>
          <w:sz w:val="28"/>
          <w:szCs w:val="28"/>
          <w:shd w:val="clear" w:color="auto" w:fill="FFFFFF"/>
        </w:rPr>
        <w:t xml:space="preserve"> reference to existing federal law.  Therefore, both are unnecessary; but as worded, both are also unworkable.</w:t>
      </w:r>
    </w:p>
    <w:p w14:paraId="24084221" w14:textId="77777777" w:rsidR="00730F35" w:rsidRDefault="00E3107F" w:rsidP="005A5EB6">
      <w:pPr>
        <w:spacing w:line="480" w:lineRule="auto"/>
        <w:ind w:firstLine="288"/>
        <w:jc w:val="both"/>
        <w:rPr>
          <w:sz w:val="28"/>
          <w:szCs w:val="28"/>
          <w:shd w:val="clear" w:color="auto" w:fill="FFFFFF"/>
        </w:rPr>
      </w:pPr>
      <w:r>
        <w:rPr>
          <w:sz w:val="28"/>
          <w:szCs w:val="28"/>
          <w:shd w:val="clear" w:color="auto" w:fill="FFFFFF"/>
        </w:rPr>
        <w:t>Proposed RPEA 18(d)(ii) would require judges to comply with the Americans with Disabilities Act</w:t>
      </w:r>
      <w:r w:rsidR="00E10879">
        <w:rPr>
          <w:sz w:val="28"/>
          <w:szCs w:val="28"/>
          <w:shd w:val="clear" w:color="auto" w:fill="FFFFFF"/>
        </w:rPr>
        <w:t>.</w:t>
      </w:r>
      <w:r>
        <w:rPr>
          <w:sz w:val="28"/>
          <w:szCs w:val="28"/>
          <w:shd w:val="clear" w:color="auto" w:fill="FFFFFF"/>
        </w:rPr>
        <w:t xml:space="preserve"> </w:t>
      </w:r>
      <w:r w:rsidR="00E10879">
        <w:rPr>
          <w:sz w:val="28"/>
          <w:szCs w:val="28"/>
          <w:shd w:val="clear" w:color="auto" w:fill="FFFFFF"/>
        </w:rPr>
        <w:t>T</w:t>
      </w:r>
      <w:r>
        <w:rPr>
          <w:sz w:val="28"/>
          <w:szCs w:val="28"/>
          <w:shd w:val="clear" w:color="auto" w:fill="FFFFFF"/>
        </w:rPr>
        <w:t xml:space="preserve">his is already a requirement and consequently does not need to be restated in a court rule.  But as stated it is unworkable because it allows a party to request a mandatory delay for an unspecified individual.  This unknown person could be a party, a witness, or even a spectator.  </w:t>
      </w:r>
      <w:r w:rsidR="00730F35">
        <w:rPr>
          <w:sz w:val="28"/>
          <w:szCs w:val="28"/>
          <w:shd w:val="clear" w:color="auto" w:fill="FFFFFF"/>
        </w:rPr>
        <w:t>The Petition states courts should grant delays</w:t>
      </w:r>
      <w:r w:rsidR="00E10879">
        <w:rPr>
          <w:sz w:val="28"/>
          <w:szCs w:val="28"/>
          <w:shd w:val="clear" w:color="auto" w:fill="FFFFFF"/>
        </w:rPr>
        <w:t xml:space="preserve"> on this basis</w:t>
      </w:r>
      <w:r w:rsidR="00730F35">
        <w:rPr>
          <w:sz w:val="28"/>
          <w:szCs w:val="28"/>
          <w:shd w:val="clear" w:color="auto" w:fill="FFFFFF"/>
        </w:rPr>
        <w:t xml:space="preserve"> </w:t>
      </w:r>
      <w:r w:rsidR="00E10879">
        <w:rPr>
          <w:sz w:val="28"/>
          <w:szCs w:val="28"/>
          <w:shd w:val="clear" w:color="auto" w:fill="FFFFFF"/>
        </w:rPr>
        <w:lastRenderedPageBreak/>
        <w:t xml:space="preserve">because a </w:t>
      </w:r>
      <w:r w:rsidR="00730F35">
        <w:rPr>
          <w:sz w:val="28"/>
          <w:szCs w:val="28"/>
          <w:shd w:val="clear" w:color="auto" w:fill="FFFFFF"/>
        </w:rPr>
        <w:t xml:space="preserve">live-in-caregiver </w:t>
      </w:r>
      <w:r w:rsidR="00E10879">
        <w:rPr>
          <w:sz w:val="28"/>
          <w:szCs w:val="28"/>
          <w:shd w:val="clear" w:color="auto" w:fill="FFFFFF"/>
        </w:rPr>
        <w:t>was not</w:t>
      </w:r>
      <w:r w:rsidR="00730F35">
        <w:rPr>
          <w:sz w:val="28"/>
          <w:szCs w:val="28"/>
          <w:shd w:val="clear" w:color="auto" w:fill="FFFFFF"/>
        </w:rPr>
        <w:t xml:space="preserve"> </w:t>
      </w:r>
      <w:r w:rsidR="00817489">
        <w:rPr>
          <w:sz w:val="28"/>
          <w:szCs w:val="28"/>
          <w:shd w:val="clear" w:color="auto" w:fill="FFFFFF"/>
        </w:rPr>
        <w:t xml:space="preserve">able to </w:t>
      </w:r>
      <w:r w:rsidR="00730F35">
        <w:rPr>
          <w:sz w:val="28"/>
          <w:szCs w:val="28"/>
          <w:shd w:val="clear" w:color="auto" w:fill="FFFFFF"/>
        </w:rPr>
        <w:t>attend proceedings.</w:t>
      </w:r>
      <w:r w:rsidR="00730F35">
        <w:rPr>
          <w:rStyle w:val="FootnoteReference"/>
          <w:sz w:val="28"/>
          <w:szCs w:val="28"/>
          <w:shd w:val="clear" w:color="auto" w:fill="FFFFFF"/>
        </w:rPr>
        <w:footnoteReference w:id="16"/>
      </w:r>
      <w:r w:rsidR="00730F35">
        <w:rPr>
          <w:sz w:val="28"/>
          <w:szCs w:val="28"/>
          <w:shd w:val="clear" w:color="auto" w:fill="FFFFFF"/>
        </w:rPr>
        <w:t xml:space="preserve">  It is not clear from the Petition why this caregiver could not attend remotely.</w:t>
      </w:r>
    </w:p>
    <w:p w14:paraId="6BDDA1B6" w14:textId="77777777" w:rsidR="00360BD0" w:rsidRDefault="00730F35" w:rsidP="005A5EB6">
      <w:pPr>
        <w:spacing w:line="480" w:lineRule="auto"/>
        <w:ind w:firstLine="288"/>
        <w:jc w:val="both"/>
        <w:rPr>
          <w:sz w:val="28"/>
          <w:szCs w:val="28"/>
          <w:shd w:val="clear" w:color="auto" w:fill="FFFFFF"/>
        </w:rPr>
      </w:pPr>
      <w:r>
        <w:rPr>
          <w:sz w:val="28"/>
          <w:szCs w:val="28"/>
          <w:shd w:val="clear" w:color="auto" w:fill="FFFFFF"/>
        </w:rPr>
        <w:t xml:space="preserve">Proposed RPEA 18(d)(iv) would require </w:t>
      </w:r>
      <w:r w:rsidR="0012031C">
        <w:rPr>
          <w:sz w:val="28"/>
          <w:szCs w:val="28"/>
          <w:shd w:val="clear" w:color="auto" w:fill="FFFFFF"/>
        </w:rPr>
        <w:t xml:space="preserve">judges to grant delay requests for an “obligation related to past or present military service.”  This may be an attempt to reference the Servicemembers Civil Relief Act (SCRA), which applies not only to military members, but also to their family members.   </w:t>
      </w:r>
      <w:r w:rsidR="0012031C" w:rsidRPr="0012031C">
        <w:rPr>
          <w:sz w:val="28"/>
          <w:szCs w:val="28"/>
        </w:rPr>
        <w:t>Evictions can be blocked by either a military member or their dependent filling a request to stay an eviction action</w:t>
      </w:r>
      <w:r w:rsidR="0012031C">
        <w:rPr>
          <w:sz w:val="28"/>
          <w:szCs w:val="28"/>
        </w:rPr>
        <w:t>.</w:t>
      </w:r>
      <w:r w:rsidR="0012031C">
        <w:rPr>
          <w:rStyle w:val="FootnoteReference"/>
          <w:sz w:val="28"/>
          <w:szCs w:val="28"/>
        </w:rPr>
        <w:footnoteReference w:id="17"/>
      </w:r>
      <w:r w:rsidR="00595831">
        <w:rPr>
          <w:sz w:val="28"/>
          <w:szCs w:val="28"/>
        </w:rPr>
        <w:t xml:space="preserve">  However, rather than reference the well-established eviction protections under the SCRA, the proposed </w:t>
      </w:r>
      <w:r w:rsidR="002356E1">
        <w:rPr>
          <w:sz w:val="28"/>
          <w:szCs w:val="28"/>
        </w:rPr>
        <w:t xml:space="preserve">rule </w:t>
      </w:r>
      <w:r w:rsidR="00595831">
        <w:rPr>
          <w:sz w:val="28"/>
          <w:szCs w:val="28"/>
        </w:rPr>
        <w:t>would require a delay for any “obligation related to past … military service,” perhaps</w:t>
      </w:r>
      <w:r w:rsidR="002814B3">
        <w:rPr>
          <w:sz w:val="28"/>
          <w:szCs w:val="28"/>
        </w:rPr>
        <w:t>,</w:t>
      </w:r>
      <w:r w:rsidR="00595831">
        <w:rPr>
          <w:sz w:val="28"/>
          <w:szCs w:val="28"/>
        </w:rPr>
        <w:t xml:space="preserve"> up to and including</w:t>
      </w:r>
      <w:r w:rsidR="002814B3">
        <w:rPr>
          <w:sz w:val="28"/>
          <w:szCs w:val="28"/>
        </w:rPr>
        <w:t>,</w:t>
      </w:r>
      <w:r w:rsidR="00595831">
        <w:rPr>
          <w:sz w:val="28"/>
          <w:szCs w:val="28"/>
        </w:rPr>
        <w:t xml:space="preserve"> </w:t>
      </w:r>
      <w:proofErr w:type="gramStart"/>
      <w:r w:rsidR="00595831">
        <w:rPr>
          <w:sz w:val="28"/>
          <w:szCs w:val="28"/>
        </w:rPr>
        <w:t>being in charge of</w:t>
      </w:r>
      <w:proofErr w:type="gramEnd"/>
      <w:r w:rsidR="00595831">
        <w:rPr>
          <w:sz w:val="28"/>
          <w:szCs w:val="28"/>
        </w:rPr>
        <w:t xml:space="preserve"> </w:t>
      </w:r>
      <w:r w:rsidR="009A1943">
        <w:rPr>
          <w:sz w:val="28"/>
          <w:szCs w:val="28"/>
        </w:rPr>
        <w:t xml:space="preserve">Taco Tuesday at a local American Legion Post.  Again, this proposed rule change is both unnecessary and unworkable.    </w:t>
      </w:r>
      <w:r w:rsidR="00595831">
        <w:rPr>
          <w:sz w:val="28"/>
          <w:szCs w:val="28"/>
        </w:rPr>
        <w:t xml:space="preserve">     </w:t>
      </w:r>
      <w:r w:rsidR="0012031C" w:rsidRPr="0012031C">
        <w:rPr>
          <w:sz w:val="28"/>
          <w:szCs w:val="28"/>
          <w:shd w:val="clear" w:color="auto" w:fill="FFFFFF"/>
        </w:rPr>
        <w:t xml:space="preserve"> </w:t>
      </w:r>
      <w:r>
        <w:rPr>
          <w:sz w:val="28"/>
          <w:szCs w:val="28"/>
          <w:shd w:val="clear" w:color="auto" w:fill="FFFFFF"/>
        </w:rPr>
        <w:t xml:space="preserve">   </w:t>
      </w:r>
      <w:r w:rsidR="00E3107F">
        <w:rPr>
          <w:sz w:val="28"/>
          <w:szCs w:val="28"/>
          <w:shd w:val="clear" w:color="auto" w:fill="FFFFFF"/>
        </w:rPr>
        <w:t xml:space="preserve">       </w:t>
      </w:r>
      <w:r w:rsidR="0080484A" w:rsidRPr="00D678E4">
        <w:rPr>
          <w:sz w:val="28"/>
          <w:szCs w:val="28"/>
          <w:shd w:val="clear" w:color="auto" w:fill="FFFFFF"/>
        </w:rPr>
        <w:t xml:space="preserve">  </w:t>
      </w:r>
    </w:p>
    <w:p w14:paraId="3091A606" w14:textId="77777777" w:rsidR="003325E7" w:rsidRPr="00D678E4" w:rsidRDefault="0012031C" w:rsidP="0012031C">
      <w:pPr>
        <w:spacing w:line="480" w:lineRule="auto"/>
        <w:ind w:left="3744" w:firstLine="288"/>
        <w:jc w:val="both"/>
        <w:rPr>
          <w:b/>
          <w:sz w:val="28"/>
          <w:szCs w:val="28"/>
        </w:rPr>
      </w:pPr>
      <w:r>
        <w:rPr>
          <w:b/>
          <w:sz w:val="28"/>
          <w:szCs w:val="28"/>
        </w:rPr>
        <w:t xml:space="preserve">  V</w:t>
      </w:r>
      <w:r w:rsidR="003325E7" w:rsidRPr="00D678E4">
        <w:rPr>
          <w:b/>
          <w:sz w:val="28"/>
          <w:szCs w:val="28"/>
        </w:rPr>
        <w:t>.</w:t>
      </w:r>
    </w:p>
    <w:p w14:paraId="5E9B0507" w14:textId="77777777" w:rsidR="003325E7" w:rsidRPr="00D678E4" w:rsidRDefault="003325E7" w:rsidP="003325E7">
      <w:pPr>
        <w:jc w:val="both"/>
        <w:rPr>
          <w:b/>
          <w:sz w:val="28"/>
          <w:szCs w:val="28"/>
        </w:rPr>
      </w:pPr>
      <w:r w:rsidRPr="00D678E4">
        <w:rPr>
          <w:b/>
          <w:sz w:val="28"/>
          <w:szCs w:val="28"/>
        </w:rPr>
        <w:t>REMOTE APPEARANCES FOR EVICTION ACTIONS HAVE SIGNIFICANTLY HELPED TENANTS</w:t>
      </w:r>
      <w:r w:rsidR="002356E1">
        <w:rPr>
          <w:b/>
          <w:sz w:val="28"/>
          <w:szCs w:val="28"/>
        </w:rPr>
        <w:t xml:space="preserve"> LIMIT THEIR TIME AWAY FROM WORK</w:t>
      </w:r>
      <w:r w:rsidRPr="00D678E4">
        <w:rPr>
          <w:b/>
          <w:sz w:val="28"/>
          <w:szCs w:val="28"/>
        </w:rPr>
        <w:t xml:space="preserve"> </w:t>
      </w:r>
    </w:p>
    <w:p w14:paraId="7C1CB701" w14:textId="77777777" w:rsidR="003325E7" w:rsidRPr="00D678E4" w:rsidRDefault="003325E7" w:rsidP="003325E7">
      <w:pPr>
        <w:jc w:val="both"/>
        <w:rPr>
          <w:sz w:val="28"/>
          <w:szCs w:val="28"/>
        </w:rPr>
      </w:pPr>
    </w:p>
    <w:p w14:paraId="74A59CEB" w14:textId="77777777" w:rsidR="003325E7" w:rsidRPr="00D678E4" w:rsidRDefault="003325E7" w:rsidP="003325E7">
      <w:pPr>
        <w:spacing w:line="480" w:lineRule="auto"/>
        <w:ind w:firstLine="288"/>
        <w:jc w:val="both"/>
        <w:rPr>
          <w:sz w:val="28"/>
          <w:szCs w:val="28"/>
        </w:rPr>
      </w:pPr>
      <w:r w:rsidRPr="00D678E4">
        <w:rPr>
          <w:sz w:val="28"/>
          <w:szCs w:val="28"/>
        </w:rPr>
        <w:lastRenderedPageBreak/>
        <w:t>Courts in Arizona conduct remote hearings in eviction actions in large part because doing so is required by statute,</w:t>
      </w:r>
      <w:r w:rsidRPr="00D678E4">
        <w:rPr>
          <w:rStyle w:val="FootnoteReference"/>
          <w:sz w:val="28"/>
          <w:szCs w:val="28"/>
        </w:rPr>
        <w:footnoteReference w:id="18"/>
      </w:r>
      <w:r w:rsidRPr="00D678E4">
        <w:rPr>
          <w:sz w:val="28"/>
          <w:szCs w:val="28"/>
        </w:rPr>
        <w:t xml:space="preserve"> by court rule,</w:t>
      </w:r>
      <w:r w:rsidRPr="00D678E4">
        <w:rPr>
          <w:rStyle w:val="FootnoteReference"/>
          <w:sz w:val="28"/>
          <w:szCs w:val="28"/>
        </w:rPr>
        <w:footnoteReference w:id="19"/>
      </w:r>
      <w:r w:rsidRPr="00D678E4">
        <w:rPr>
          <w:sz w:val="28"/>
          <w:szCs w:val="28"/>
        </w:rPr>
        <w:t xml:space="preserve"> and by administrative order.</w:t>
      </w:r>
      <w:r w:rsidRPr="00D678E4">
        <w:rPr>
          <w:rStyle w:val="FootnoteReference"/>
          <w:sz w:val="28"/>
          <w:szCs w:val="28"/>
        </w:rPr>
        <w:footnoteReference w:id="20"/>
      </w:r>
      <w:r w:rsidRPr="00D678E4">
        <w:rPr>
          <w:sz w:val="28"/>
          <w:szCs w:val="28"/>
        </w:rPr>
        <w:t xml:space="preserve">  While many self-represented litigants undoubtedly have either limited or no access to technology, internet access is not a prerequisite for a tenant to appear remotely for their residential eviction case.  Only access to a telephone is required.  More importantly, our remote appearance programs have been a remarkable success story. </w:t>
      </w:r>
    </w:p>
    <w:p w14:paraId="1081D172" w14:textId="77777777" w:rsidR="003325E7" w:rsidRPr="00D678E4" w:rsidRDefault="003325E7" w:rsidP="003325E7">
      <w:pPr>
        <w:ind w:left="720" w:right="720"/>
        <w:jc w:val="both"/>
        <w:rPr>
          <w:sz w:val="28"/>
          <w:szCs w:val="28"/>
          <w:shd w:val="clear" w:color="auto" w:fill="FFFFFF"/>
        </w:rPr>
      </w:pPr>
      <w:r w:rsidRPr="00D678E4">
        <w:rPr>
          <w:sz w:val="28"/>
          <w:szCs w:val="28"/>
          <w:shd w:val="clear" w:color="auto" w:fill="FFFFFF"/>
        </w:rPr>
        <w:t>One data-based example is the appearance rates in </w:t>
      </w:r>
      <w:r w:rsidRPr="00D678E4">
        <w:rPr>
          <w:bCs/>
          <w:sz w:val="28"/>
          <w:szCs w:val="28"/>
          <w:bdr w:val="none" w:sz="0" w:space="0" w:color="auto" w:frame="1"/>
        </w:rPr>
        <w:t>eviction</w:t>
      </w:r>
      <w:r w:rsidRPr="00D678E4">
        <w:rPr>
          <w:sz w:val="28"/>
          <w:szCs w:val="28"/>
          <w:shd w:val="clear" w:color="auto" w:fill="FFFFFF"/>
        </w:rPr>
        <w:t> actions filed in the Maricopa County Justice Courts. Before the pandemic, in more than one-third of </w:t>
      </w:r>
      <w:r w:rsidRPr="00D678E4">
        <w:rPr>
          <w:bCs/>
          <w:sz w:val="28"/>
          <w:szCs w:val="28"/>
          <w:bdr w:val="none" w:sz="0" w:space="0" w:color="auto" w:frame="1"/>
        </w:rPr>
        <w:t>evictions</w:t>
      </w:r>
      <w:r w:rsidRPr="00D678E4">
        <w:rPr>
          <w:sz w:val="28"/>
          <w:szCs w:val="28"/>
          <w:shd w:val="clear" w:color="auto" w:fill="FFFFFF"/>
        </w:rPr>
        <w:t> actions, the defendant failed to appear. In 2019, for example, the </w:t>
      </w:r>
      <w:r w:rsidRPr="00D678E4">
        <w:rPr>
          <w:bCs/>
          <w:sz w:val="28"/>
          <w:szCs w:val="28"/>
          <w:bdr w:val="none" w:sz="0" w:space="0" w:color="auto" w:frame="1"/>
        </w:rPr>
        <w:t>failure</w:t>
      </w:r>
      <w:r w:rsidRPr="00D678E4">
        <w:rPr>
          <w:sz w:val="28"/>
          <w:szCs w:val="28"/>
          <w:shd w:val="clear" w:color="auto" w:fill="FFFFFF"/>
        </w:rPr>
        <w:t>-</w:t>
      </w:r>
      <w:r w:rsidRPr="00D678E4">
        <w:rPr>
          <w:bCs/>
          <w:sz w:val="28"/>
          <w:szCs w:val="28"/>
          <w:bdr w:val="none" w:sz="0" w:space="0" w:color="auto" w:frame="1"/>
        </w:rPr>
        <w:t>to</w:t>
      </w:r>
      <w:r w:rsidRPr="00D678E4">
        <w:rPr>
          <w:sz w:val="28"/>
          <w:szCs w:val="28"/>
          <w:shd w:val="clear" w:color="auto" w:fill="FFFFFF"/>
        </w:rPr>
        <w:t>-</w:t>
      </w:r>
      <w:r w:rsidRPr="00D678E4">
        <w:rPr>
          <w:bCs/>
          <w:sz w:val="28"/>
          <w:szCs w:val="28"/>
          <w:bdr w:val="none" w:sz="0" w:space="0" w:color="auto" w:frame="1"/>
        </w:rPr>
        <w:t>appear</w:t>
      </w:r>
      <w:r w:rsidRPr="00D678E4">
        <w:rPr>
          <w:sz w:val="28"/>
          <w:szCs w:val="28"/>
          <w:shd w:val="clear" w:color="auto" w:fill="FFFFFF"/>
        </w:rPr>
        <w:t> rate in such cases ranged from one-third to approaching 40%. After implementing remote appearance options, </w:t>
      </w:r>
      <w:r w:rsidRPr="00D678E4">
        <w:rPr>
          <w:bCs/>
          <w:sz w:val="28"/>
          <w:szCs w:val="28"/>
          <w:bdr w:val="none" w:sz="0" w:space="0" w:color="auto" w:frame="1"/>
        </w:rPr>
        <w:t>failure</w:t>
      </w:r>
      <w:r w:rsidRPr="00D678E4">
        <w:rPr>
          <w:sz w:val="28"/>
          <w:szCs w:val="28"/>
          <w:shd w:val="clear" w:color="auto" w:fill="FFFFFF"/>
        </w:rPr>
        <w:t>-</w:t>
      </w:r>
      <w:r w:rsidRPr="00D678E4">
        <w:rPr>
          <w:bCs/>
          <w:sz w:val="28"/>
          <w:szCs w:val="28"/>
          <w:bdr w:val="none" w:sz="0" w:space="0" w:color="auto" w:frame="1"/>
        </w:rPr>
        <w:t>to</w:t>
      </w:r>
      <w:r w:rsidRPr="00D678E4">
        <w:rPr>
          <w:sz w:val="28"/>
          <w:szCs w:val="28"/>
          <w:shd w:val="clear" w:color="auto" w:fill="FFFFFF"/>
        </w:rPr>
        <w:t>-</w:t>
      </w:r>
      <w:r w:rsidRPr="00D678E4">
        <w:rPr>
          <w:bCs/>
          <w:sz w:val="28"/>
          <w:szCs w:val="28"/>
          <w:bdr w:val="none" w:sz="0" w:space="0" w:color="auto" w:frame="1"/>
        </w:rPr>
        <w:t>appear</w:t>
      </w:r>
      <w:r w:rsidRPr="00D678E4">
        <w:rPr>
          <w:sz w:val="28"/>
          <w:szCs w:val="28"/>
          <w:shd w:val="clear" w:color="auto" w:fill="FFFFFF"/>
        </w:rPr>
        <w:t> rates decreased significantly, to as low as approximately 13% in February 2021.</w:t>
      </w:r>
      <w:r w:rsidRPr="00D678E4">
        <w:rPr>
          <w:rStyle w:val="FootnoteReference"/>
          <w:sz w:val="28"/>
          <w:szCs w:val="28"/>
          <w:shd w:val="clear" w:color="auto" w:fill="FFFFFF"/>
        </w:rPr>
        <w:footnoteReference w:id="21"/>
      </w:r>
    </w:p>
    <w:p w14:paraId="5F4CAF72" w14:textId="77777777" w:rsidR="003325E7" w:rsidRPr="00D678E4" w:rsidRDefault="003325E7" w:rsidP="003325E7">
      <w:pPr>
        <w:ind w:left="720" w:right="720"/>
        <w:jc w:val="both"/>
        <w:rPr>
          <w:sz w:val="28"/>
          <w:szCs w:val="28"/>
          <w:shd w:val="clear" w:color="auto" w:fill="FFFFFF"/>
        </w:rPr>
      </w:pPr>
    </w:p>
    <w:p w14:paraId="1BF388A0" w14:textId="77777777" w:rsidR="003325E7" w:rsidRPr="00D678E4" w:rsidRDefault="009A1943" w:rsidP="009A1943">
      <w:pPr>
        <w:spacing w:line="480" w:lineRule="auto"/>
        <w:ind w:firstLine="288"/>
        <w:jc w:val="both"/>
        <w:rPr>
          <w:b/>
          <w:sz w:val="28"/>
          <w:szCs w:val="28"/>
          <w:shd w:val="clear" w:color="auto" w:fill="FFFFFF"/>
        </w:rPr>
      </w:pPr>
      <w:r>
        <w:rPr>
          <w:sz w:val="28"/>
          <w:szCs w:val="28"/>
          <w:shd w:val="clear" w:color="auto" w:fill="FFFFFF"/>
        </w:rPr>
        <w:lastRenderedPageBreak/>
        <w:t xml:space="preserve">While remote appearances do not solve every issue that would otherwise require a delay, they do help significantly.  By way of example, many tenants are hourly employees who </w:t>
      </w:r>
      <w:r w:rsidR="002814B3">
        <w:rPr>
          <w:sz w:val="28"/>
          <w:szCs w:val="28"/>
          <w:shd w:val="clear" w:color="auto" w:fill="FFFFFF"/>
        </w:rPr>
        <w:t xml:space="preserve">therefore </w:t>
      </w:r>
      <w:r>
        <w:rPr>
          <w:sz w:val="28"/>
          <w:szCs w:val="28"/>
          <w:shd w:val="clear" w:color="auto" w:fill="FFFFFF"/>
        </w:rPr>
        <w:t xml:space="preserve">do not get paid if they are not at work.  They </w:t>
      </w:r>
      <w:r w:rsidR="002356E1">
        <w:rPr>
          <w:sz w:val="28"/>
          <w:szCs w:val="28"/>
          <w:shd w:val="clear" w:color="auto" w:fill="FFFFFF"/>
        </w:rPr>
        <w:t xml:space="preserve">now </w:t>
      </w:r>
      <w:r>
        <w:rPr>
          <w:sz w:val="28"/>
          <w:szCs w:val="28"/>
          <w:shd w:val="clear" w:color="auto" w:fill="FFFFFF"/>
        </w:rPr>
        <w:t xml:space="preserve">no longer need request half a day off work so they can drive to the courthouse, find parking, go through security, and appear in person.  </w:t>
      </w:r>
      <w:r w:rsidR="002356E1">
        <w:rPr>
          <w:sz w:val="28"/>
          <w:szCs w:val="28"/>
          <w:shd w:val="clear" w:color="auto" w:fill="FFFFFF"/>
        </w:rPr>
        <w:t xml:space="preserve">Because it is a place where they can secure privacy, many tenants in eviction actions appear remotely from their car during a break from work.  Thus some, but obviously not all, reasons for a tenant to request a delay because he or she cannot get off work are eliminated.   </w:t>
      </w:r>
    </w:p>
    <w:p w14:paraId="68CD1E4A" w14:textId="77777777" w:rsidR="008F59CB" w:rsidRPr="00D678E4" w:rsidRDefault="008F59CB" w:rsidP="008F59CB">
      <w:pPr>
        <w:spacing w:line="480" w:lineRule="auto"/>
        <w:ind w:firstLine="288"/>
        <w:jc w:val="both"/>
        <w:rPr>
          <w:b/>
          <w:sz w:val="28"/>
          <w:szCs w:val="28"/>
          <w:shd w:val="clear" w:color="auto" w:fill="FFFFFF"/>
        </w:rPr>
      </w:pPr>
      <w:r w:rsidRPr="00D678E4">
        <w:rPr>
          <w:b/>
          <w:sz w:val="28"/>
          <w:szCs w:val="28"/>
          <w:shd w:val="clear" w:color="auto" w:fill="FFFFFF"/>
        </w:rPr>
        <w:t xml:space="preserve">                                                     V.</w:t>
      </w:r>
    </w:p>
    <w:p w14:paraId="200FF79E" w14:textId="77777777" w:rsidR="008F59CB" w:rsidRPr="00D678E4" w:rsidRDefault="000934DD" w:rsidP="00A7450C">
      <w:pPr>
        <w:jc w:val="center"/>
        <w:rPr>
          <w:b/>
          <w:sz w:val="28"/>
          <w:szCs w:val="28"/>
          <w:shd w:val="clear" w:color="auto" w:fill="FFFFFF"/>
        </w:rPr>
      </w:pPr>
      <w:r>
        <w:rPr>
          <w:b/>
          <w:sz w:val="28"/>
          <w:szCs w:val="28"/>
          <w:shd w:val="clear" w:color="auto" w:fill="FFFFFF"/>
        </w:rPr>
        <w:t xml:space="preserve">THE AMENDMENTS </w:t>
      </w:r>
      <w:proofErr w:type="gramStart"/>
      <w:r>
        <w:rPr>
          <w:b/>
          <w:sz w:val="28"/>
          <w:szCs w:val="28"/>
          <w:shd w:val="clear" w:color="auto" w:fill="FFFFFF"/>
        </w:rPr>
        <w:t xml:space="preserve">ARE  </w:t>
      </w:r>
      <w:r w:rsidR="00A7450C">
        <w:rPr>
          <w:b/>
          <w:sz w:val="28"/>
          <w:szCs w:val="28"/>
          <w:shd w:val="clear" w:color="auto" w:fill="FFFFFF"/>
        </w:rPr>
        <w:t>REMEDIES</w:t>
      </w:r>
      <w:proofErr w:type="gramEnd"/>
      <w:r w:rsidR="00A7450C">
        <w:rPr>
          <w:b/>
          <w:sz w:val="28"/>
          <w:szCs w:val="28"/>
          <w:shd w:val="clear" w:color="auto" w:fill="FFFFFF"/>
        </w:rPr>
        <w:t xml:space="preserve"> </w:t>
      </w:r>
      <w:r w:rsidR="008F59CB" w:rsidRPr="00D678E4">
        <w:rPr>
          <w:b/>
          <w:sz w:val="28"/>
          <w:szCs w:val="28"/>
          <w:shd w:val="clear" w:color="auto" w:fill="FFFFFF"/>
        </w:rPr>
        <w:t>IN SEARCH OF A PROBLEM</w:t>
      </w:r>
    </w:p>
    <w:p w14:paraId="1F9B301B" w14:textId="77777777" w:rsidR="008F59CB" w:rsidRPr="00D678E4" w:rsidRDefault="008F59CB" w:rsidP="008F59CB">
      <w:pPr>
        <w:jc w:val="both"/>
        <w:rPr>
          <w:b/>
          <w:sz w:val="28"/>
          <w:szCs w:val="28"/>
          <w:shd w:val="clear" w:color="auto" w:fill="FFFFFF"/>
        </w:rPr>
      </w:pPr>
    </w:p>
    <w:p w14:paraId="1F914F22" w14:textId="77777777" w:rsidR="00002B50" w:rsidRDefault="00E72414" w:rsidP="00817D75">
      <w:pPr>
        <w:spacing w:line="480" w:lineRule="auto"/>
        <w:ind w:firstLine="288"/>
        <w:jc w:val="both"/>
        <w:rPr>
          <w:bCs/>
          <w:sz w:val="28"/>
          <w:szCs w:val="28"/>
        </w:rPr>
      </w:pPr>
      <w:r w:rsidRPr="00D678E4">
        <w:rPr>
          <w:sz w:val="28"/>
          <w:szCs w:val="28"/>
          <w:shd w:val="clear" w:color="auto" w:fill="FFFFFF"/>
        </w:rPr>
        <w:t>Th</w:t>
      </w:r>
      <w:r w:rsidR="000934DD">
        <w:rPr>
          <w:sz w:val="28"/>
          <w:szCs w:val="28"/>
          <w:shd w:val="clear" w:color="auto" w:fill="FFFFFF"/>
        </w:rPr>
        <w:t xml:space="preserve">ese </w:t>
      </w:r>
      <w:r w:rsidRPr="00D678E4">
        <w:rPr>
          <w:sz w:val="28"/>
          <w:szCs w:val="28"/>
          <w:shd w:val="clear" w:color="auto" w:fill="FFFFFF"/>
        </w:rPr>
        <w:t>proposed rule c</w:t>
      </w:r>
      <w:r w:rsidR="00957A80">
        <w:rPr>
          <w:sz w:val="28"/>
          <w:szCs w:val="28"/>
          <w:shd w:val="clear" w:color="auto" w:fill="FFFFFF"/>
        </w:rPr>
        <w:t xml:space="preserve">hanges are </w:t>
      </w:r>
      <w:r w:rsidRPr="00D678E4">
        <w:rPr>
          <w:sz w:val="28"/>
          <w:szCs w:val="28"/>
          <w:shd w:val="clear" w:color="auto" w:fill="FFFFFF"/>
        </w:rPr>
        <w:t>based on the</w:t>
      </w:r>
      <w:r w:rsidR="00957A80">
        <w:rPr>
          <w:sz w:val="28"/>
          <w:szCs w:val="28"/>
          <w:shd w:val="clear" w:color="auto" w:fill="FFFFFF"/>
        </w:rPr>
        <w:t xml:space="preserve"> false belief</w:t>
      </w:r>
      <w:r w:rsidRPr="00D678E4">
        <w:rPr>
          <w:sz w:val="28"/>
          <w:szCs w:val="28"/>
          <w:shd w:val="clear" w:color="auto" w:fill="FFFFFF"/>
        </w:rPr>
        <w:t xml:space="preserve"> </w:t>
      </w:r>
      <w:r>
        <w:rPr>
          <w:sz w:val="28"/>
          <w:szCs w:val="28"/>
          <w:shd w:val="clear" w:color="auto" w:fill="FFFFFF"/>
        </w:rPr>
        <w:t xml:space="preserve">that judges are </w:t>
      </w:r>
      <w:r w:rsidR="000934DD">
        <w:rPr>
          <w:sz w:val="28"/>
          <w:szCs w:val="28"/>
          <w:shd w:val="clear" w:color="auto" w:fill="FFFFFF"/>
        </w:rPr>
        <w:t xml:space="preserve">continually </w:t>
      </w:r>
      <w:r>
        <w:rPr>
          <w:sz w:val="28"/>
          <w:szCs w:val="28"/>
          <w:shd w:val="clear" w:color="auto" w:fill="FFFFFF"/>
        </w:rPr>
        <w:t xml:space="preserve">denying </w:t>
      </w:r>
      <w:r w:rsidRPr="00D678E4">
        <w:rPr>
          <w:sz w:val="28"/>
          <w:szCs w:val="28"/>
          <w:shd w:val="clear" w:color="auto" w:fill="FFFFFF"/>
        </w:rPr>
        <w:t>tenants</w:t>
      </w:r>
      <w:r>
        <w:rPr>
          <w:sz w:val="28"/>
          <w:szCs w:val="28"/>
          <w:shd w:val="clear" w:color="auto" w:fill="FFFFFF"/>
        </w:rPr>
        <w:t xml:space="preserve"> due process by ruling against t</w:t>
      </w:r>
      <w:r w:rsidR="00957A80">
        <w:rPr>
          <w:sz w:val="28"/>
          <w:szCs w:val="28"/>
          <w:shd w:val="clear" w:color="auto" w:fill="FFFFFF"/>
        </w:rPr>
        <w:t>hem</w:t>
      </w:r>
      <w:r>
        <w:rPr>
          <w:sz w:val="28"/>
          <w:szCs w:val="28"/>
          <w:shd w:val="clear" w:color="auto" w:fill="FFFFFF"/>
        </w:rPr>
        <w:t xml:space="preserve"> when they request delays.  </w:t>
      </w:r>
      <w:r w:rsidR="00957A80">
        <w:rPr>
          <w:sz w:val="28"/>
          <w:szCs w:val="28"/>
          <w:shd w:val="clear" w:color="auto" w:fill="FFFFFF"/>
        </w:rPr>
        <w:t>As evidence in support of this alleged crisis, t</w:t>
      </w:r>
      <w:r>
        <w:rPr>
          <w:sz w:val="28"/>
          <w:szCs w:val="28"/>
          <w:shd w:val="clear" w:color="auto" w:fill="FFFFFF"/>
        </w:rPr>
        <w:t xml:space="preserve">he Petitioners </w:t>
      </w:r>
      <w:r w:rsidR="00957A80">
        <w:rPr>
          <w:sz w:val="28"/>
          <w:szCs w:val="28"/>
          <w:shd w:val="clear" w:color="auto" w:fill="FFFFFF"/>
        </w:rPr>
        <w:t xml:space="preserve">provide only </w:t>
      </w:r>
      <w:r>
        <w:rPr>
          <w:sz w:val="28"/>
          <w:szCs w:val="28"/>
          <w:shd w:val="clear" w:color="auto" w:fill="FFFFFF"/>
        </w:rPr>
        <w:t xml:space="preserve">their observation of a </w:t>
      </w:r>
      <w:r w:rsidR="00957A80">
        <w:rPr>
          <w:sz w:val="28"/>
          <w:szCs w:val="28"/>
          <w:shd w:val="clear" w:color="auto" w:fill="FFFFFF"/>
        </w:rPr>
        <w:t xml:space="preserve">snapshot sample </w:t>
      </w:r>
      <w:r>
        <w:rPr>
          <w:sz w:val="28"/>
          <w:szCs w:val="28"/>
          <w:shd w:val="clear" w:color="auto" w:fill="FFFFFF"/>
        </w:rPr>
        <w:t xml:space="preserve">cases </w:t>
      </w:r>
      <w:r w:rsidR="00002B50">
        <w:rPr>
          <w:sz w:val="28"/>
          <w:szCs w:val="28"/>
          <w:shd w:val="clear" w:color="auto" w:fill="FFFFFF"/>
        </w:rPr>
        <w:t xml:space="preserve">from </w:t>
      </w:r>
      <w:r>
        <w:rPr>
          <w:sz w:val="28"/>
          <w:szCs w:val="28"/>
          <w:shd w:val="clear" w:color="auto" w:fill="FFFFFF"/>
        </w:rPr>
        <w:t>five years ago.  According to the Petition, in 2020, they examined 1,097 cases and found p</w:t>
      </w:r>
      <w:r>
        <w:rPr>
          <w:bCs/>
          <w:sz w:val="28"/>
          <w:szCs w:val="28"/>
        </w:rPr>
        <w:t xml:space="preserve">laintiffs requested continuances 17 times, 16 of which were </w:t>
      </w:r>
      <w:r>
        <w:rPr>
          <w:bCs/>
          <w:sz w:val="28"/>
          <w:szCs w:val="28"/>
        </w:rPr>
        <w:lastRenderedPageBreak/>
        <w:t>approved.</w:t>
      </w:r>
      <w:r w:rsidR="00957A80">
        <w:rPr>
          <w:rStyle w:val="FootnoteReference"/>
          <w:bCs/>
          <w:sz w:val="28"/>
          <w:szCs w:val="28"/>
        </w:rPr>
        <w:footnoteReference w:id="22"/>
      </w:r>
      <w:r>
        <w:rPr>
          <w:bCs/>
          <w:sz w:val="28"/>
          <w:szCs w:val="28"/>
        </w:rPr>
        <w:t xml:space="preserve">  In contrast, 11 defendants requested continuances, 8 of which were approved.</w:t>
      </w:r>
      <w:r w:rsidR="00957A80">
        <w:rPr>
          <w:rStyle w:val="FootnoteReference"/>
          <w:bCs/>
          <w:sz w:val="28"/>
          <w:szCs w:val="28"/>
        </w:rPr>
        <w:footnoteReference w:id="23"/>
      </w:r>
      <w:r w:rsidR="000934DD">
        <w:rPr>
          <w:bCs/>
          <w:sz w:val="28"/>
          <w:szCs w:val="28"/>
        </w:rPr>
        <w:t xml:space="preserve">  </w:t>
      </w:r>
    </w:p>
    <w:p w14:paraId="24957E3B" w14:textId="77777777" w:rsidR="00453F68" w:rsidRDefault="000934DD" w:rsidP="00817D75">
      <w:pPr>
        <w:spacing w:line="480" w:lineRule="auto"/>
        <w:ind w:firstLine="288"/>
        <w:jc w:val="both"/>
        <w:rPr>
          <w:bCs/>
          <w:sz w:val="28"/>
          <w:szCs w:val="28"/>
        </w:rPr>
      </w:pPr>
      <w:r>
        <w:rPr>
          <w:bCs/>
          <w:sz w:val="28"/>
          <w:szCs w:val="28"/>
        </w:rPr>
        <w:t>To put those numbers in perspective, the Justice Courts in Maricopa County are currently hearing approximately 7,000 residential eviction actions each month.</w:t>
      </w:r>
      <w:r w:rsidR="0022300D">
        <w:rPr>
          <w:bCs/>
          <w:sz w:val="28"/>
          <w:szCs w:val="28"/>
        </w:rPr>
        <w:t xml:space="preserve">  More significantly, there is an obvious reason delay requests by landlords are often granted:  Landlords have no advance notice of whether a tenant will appear</w:t>
      </w:r>
      <w:r w:rsidR="00691D20">
        <w:rPr>
          <w:bCs/>
          <w:sz w:val="28"/>
          <w:szCs w:val="28"/>
        </w:rPr>
        <w:t>,</w:t>
      </w:r>
      <w:r w:rsidR="0022300D">
        <w:rPr>
          <w:bCs/>
          <w:sz w:val="28"/>
          <w:szCs w:val="28"/>
        </w:rPr>
        <w:t xml:space="preserve"> and if so, contest the allegations in the complaint.  Attorneys who represent landlords cannot reasonably be expected to witness standing by</w:t>
      </w:r>
      <w:r w:rsidR="00002B50">
        <w:rPr>
          <w:bCs/>
          <w:sz w:val="28"/>
          <w:szCs w:val="28"/>
        </w:rPr>
        <w:t xml:space="preserve"> on call</w:t>
      </w:r>
      <w:r w:rsidR="0022300D">
        <w:rPr>
          <w:bCs/>
          <w:sz w:val="28"/>
          <w:szCs w:val="28"/>
        </w:rPr>
        <w:t xml:space="preserve"> for 7,000 potential trials each month.</w:t>
      </w:r>
      <w:r w:rsidR="00691D20">
        <w:rPr>
          <w:bCs/>
          <w:sz w:val="28"/>
          <w:szCs w:val="28"/>
        </w:rPr>
        <w:t xml:space="preserve">  Unless the case is one where a landlord is requesting immediate possession,</w:t>
      </w:r>
      <w:r w:rsidR="002F58AE">
        <w:rPr>
          <w:rStyle w:val="FootnoteReference"/>
          <w:bCs/>
          <w:sz w:val="28"/>
          <w:szCs w:val="28"/>
        </w:rPr>
        <w:footnoteReference w:id="24"/>
      </w:r>
      <w:r w:rsidR="00691D20">
        <w:rPr>
          <w:bCs/>
          <w:sz w:val="28"/>
          <w:szCs w:val="28"/>
        </w:rPr>
        <w:t xml:space="preserve"> it is virtually impossible for a landlord to know whether a witness</w:t>
      </w:r>
      <w:r w:rsidR="002F57B7">
        <w:rPr>
          <w:bCs/>
          <w:sz w:val="28"/>
          <w:szCs w:val="28"/>
        </w:rPr>
        <w:t xml:space="preserve"> will be needed</w:t>
      </w:r>
      <w:r w:rsidR="00691D20">
        <w:rPr>
          <w:bCs/>
          <w:sz w:val="28"/>
          <w:szCs w:val="28"/>
        </w:rPr>
        <w:t xml:space="preserve"> on the day of the initial appearance.</w:t>
      </w:r>
      <w:r w:rsidR="00002B50">
        <w:rPr>
          <w:bCs/>
          <w:sz w:val="28"/>
          <w:szCs w:val="28"/>
        </w:rPr>
        <w:t xml:space="preserve">  If a tenant articulates a potentially valid defense, the judge is required to set the case for </w:t>
      </w:r>
      <w:r w:rsidR="00002B50">
        <w:rPr>
          <w:bCs/>
          <w:sz w:val="28"/>
          <w:szCs w:val="28"/>
        </w:rPr>
        <w:lastRenderedPageBreak/>
        <w:t>trial.</w:t>
      </w:r>
      <w:r w:rsidR="006A3A49">
        <w:rPr>
          <w:rStyle w:val="FootnoteReference"/>
          <w:bCs/>
          <w:sz w:val="28"/>
          <w:szCs w:val="28"/>
        </w:rPr>
        <w:footnoteReference w:id="25"/>
      </w:r>
      <w:r w:rsidR="00002B50">
        <w:rPr>
          <w:bCs/>
          <w:sz w:val="28"/>
          <w:szCs w:val="28"/>
        </w:rPr>
        <w:t xml:space="preserve">  Often that trial cannot occur the same day at the first court date.  Consequently,</w:t>
      </w:r>
      <w:r w:rsidR="006A3A49">
        <w:rPr>
          <w:bCs/>
          <w:sz w:val="28"/>
          <w:szCs w:val="28"/>
        </w:rPr>
        <w:t xml:space="preserve"> the Court must grant landlord’s continuance request; but additional time </w:t>
      </w:r>
      <w:r w:rsidR="00987604">
        <w:rPr>
          <w:bCs/>
          <w:sz w:val="28"/>
          <w:szCs w:val="28"/>
        </w:rPr>
        <w:t>usually</w:t>
      </w:r>
      <w:r w:rsidR="006A3A49">
        <w:rPr>
          <w:bCs/>
          <w:sz w:val="28"/>
          <w:szCs w:val="28"/>
        </w:rPr>
        <w:t xml:space="preserve"> helps the tenant as well.  </w:t>
      </w:r>
      <w:r w:rsidR="00002B50">
        <w:rPr>
          <w:bCs/>
          <w:sz w:val="28"/>
          <w:szCs w:val="28"/>
        </w:rPr>
        <w:t xml:space="preserve"> </w:t>
      </w:r>
    </w:p>
    <w:p w14:paraId="16185DBA" w14:textId="77777777" w:rsidR="00453F68" w:rsidRDefault="00453F68" w:rsidP="00817D75">
      <w:pPr>
        <w:spacing w:line="480" w:lineRule="auto"/>
        <w:ind w:firstLine="288"/>
        <w:jc w:val="both"/>
        <w:rPr>
          <w:bCs/>
          <w:sz w:val="28"/>
          <w:szCs w:val="28"/>
        </w:rPr>
      </w:pPr>
      <w:r>
        <w:rPr>
          <w:bCs/>
          <w:sz w:val="28"/>
          <w:szCs w:val="28"/>
        </w:rPr>
        <w:t xml:space="preserve">Finally, by the Petitioners’ own numbers, 24 of 28 (85.7%) of requested trial continuances were granted.  Judges do not need mandatory guidance on what “good cause” is, and this is another annual attempt by the Petitioners to remedy a problem that does not exist.  It is unfortunate and frequently heartbreaking that so many Arizonans </w:t>
      </w:r>
      <w:r w:rsidR="00BF537F">
        <w:rPr>
          <w:bCs/>
          <w:sz w:val="28"/>
          <w:szCs w:val="28"/>
        </w:rPr>
        <w:t xml:space="preserve">are </w:t>
      </w:r>
      <w:r>
        <w:rPr>
          <w:bCs/>
          <w:sz w:val="28"/>
          <w:szCs w:val="28"/>
        </w:rPr>
        <w:t xml:space="preserve">evicted, to the greatest extent because they can no longer make their monthly rental payments; but it is not the fault of hard-working Arizona judges diligently and timely following the eviction laws established by the Legislature.    </w:t>
      </w:r>
    </w:p>
    <w:p w14:paraId="3FD05634" w14:textId="77777777" w:rsidR="00453F68" w:rsidRDefault="00453F68" w:rsidP="00817D75">
      <w:pPr>
        <w:spacing w:line="480" w:lineRule="auto"/>
        <w:ind w:firstLine="288"/>
        <w:jc w:val="both"/>
        <w:rPr>
          <w:bCs/>
          <w:sz w:val="28"/>
          <w:szCs w:val="28"/>
        </w:rPr>
      </w:pPr>
      <w:r>
        <w:rPr>
          <w:bCs/>
          <w:sz w:val="28"/>
          <w:szCs w:val="28"/>
        </w:rPr>
        <w:t>\</w:t>
      </w:r>
    </w:p>
    <w:p w14:paraId="3687D41F" w14:textId="77777777" w:rsidR="00453F68" w:rsidRDefault="00453F68" w:rsidP="00817D75">
      <w:pPr>
        <w:spacing w:line="480" w:lineRule="auto"/>
        <w:ind w:firstLine="288"/>
        <w:jc w:val="both"/>
        <w:rPr>
          <w:bCs/>
          <w:sz w:val="28"/>
          <w:szCs w:val="28"/>
        </w:rPr>
      </w:pPr>
      <w:r>
        <w:rPr>
          <w:bCs/>
          <w:sz w:val="28"/>
          <w:szCs w:val="28"/>
        </w:rPr>
        <w:t>\</w:t>
      </w:r>
    </w:p>
    <w:p w14:paraId="13E16AD4" w14:textId="77777777" w:rsidR="00453F68" w:rsidRDefault="00453F68" w:rsidP="00817D75">
      <w:pPr>
        <w:spacing w:line="480" w:lineRule="auto"/>
        <w:ind w:firstLine="288"/>
        <w:jc w:val="both"/>
        <w:rPr>
          <w:bCs/>
          <w:sz w:val="28"/>
          <w:szCs w:val="28"/>
        </w:rPr>
      </w:pPr>
      <w:r>
        <w:rPr>
          <w:bCs/>
          <w:sz w:val="28"/>
          <w:szCs w:val="28"/>
        </w:rPr>
        <w:t>\</w:t>
      </w:r>
    </w:p>
    <w:p w14:paraId="49CBF805" w14:textId="77777777" w:rsidR="00453F68" w:rsidRDefault="00453F68" w:rsidP="00817D75">
      <w:pPr>
        <w:spacing w:line="480" w:lineRule="auto"/>
        <w:ind w:firstLine="288"/>
        <w:jc w:val="both"/>
        <w:rPr>
          <w:bCs/>
          <w:sz w:val="28"/>
          <w:szCs w:val="28"/>
        </w:rPr>
      </w:pPr>
      <w:r>
        <w:rPr>
          <w:bCs/>
          <w:sz w:val="28"/>
          <w:szCs w:val="28"/>
        </w:rPr>
        <w:t>\</w:t>
      </w:r>
    </w:p>
    <w:p w14:paraId="30F6A9B7" w14:textId="77777777" w:rsidR="00453F68" w:rsidRDefault="00453F68" w:rsidP="00817D75">
      <w:pPr>
        <w:spacing w:line="480" w:lineRule="auto"/>
        <w:ind w:firstLine="288"/>
        <w:jc w:val="both"/>
        <w:rPr>
          <w:bCs/>
          <w:sz w:val="28"/>
          <w:szCs w:val="28"/>
        </w:rPr>
      </w:pPr>
      <w:r>
        <w:rPr>
          <w:bCs/>
          <w:sz w:val="28"/>
          <w:szCs w:val="28"/>
        </w:rPr>
        <w:t>\</w:t>
      </w:r>
    </w:p>
    <w:p w14:paraId="01D9996A" w14:textId="77777777" w:rsidR="00453F68" w:rsidRDefault="00453F68" w:rsidP="00817D75">
      <w:pPr>
        <w:spacing w:line="480" w:lineRule="auto"/>
        <w:ind w:firstLine="288"/>
        <w:jc w:val="both"/>
        <w:rPr>
          <w:bCs/>
          <w:sz w:val="28"/>
          <w:szCs w:val="28"/>
        </w:rPr>
      </w:pPr>
      <w:r>
        <w:rPr>
          <w:bCs/>
          <w:sz w:val="28"/>
          <w:szCs w:val="28"/>
        </w:rPr>
        <w:t>\</w:t>
      </w:r>
    </w:p>
    <w:p w14:paraId="13DF395F" w14:textId="77777777" w:rsidR="0007151D" w:rsidRDefault="00453F68" w:rsidP="00453F68">
      <w:pPr>
        <w:spacing w:line="480" w:lineRule="auto"/>
        <w:ind w:firstLine="288"/>
        <w:jc w:val="both"/>
        <w:rPr>
          <w:bCs/>
          <w:sz w:val="28"/>
          <w:szCs w:val="28"/>
        </w:rPr>
      </w:pPr>
      <w:r>
        <w:rPr>
          <w:bCs/>
          <w:sz w:val="28"/>
          <w:szCs w:val="28"/>
        </w:rPr>
        <w:t xml:space="preserve"> </w:t>
      </w:r>
      <w:r w:rsidR="00002B50">
        <w:rPr>
          <w:bCs/>
          <w:sz w:val="28"/>
          <w:szCs w:val="28"/>
        </w:rPr>
        <w:t xml:space="preserve">  </w:t>
      </w:r>
      <w:r w:rsidR="00691D20">
        <w:rPr>
          <w:bCs/>
          <w:sz w:val="28"/>
          <w:szCs w:val="28"/>
        </w:rPr>
        <w:t xml:space="preserve">  </w:t>
      </w:r>
    </w:p>
    <w:p w14:paraId="75A8BE63" w14:textId="77777777" w:rsidR="005471CD" w:rsidRPr="00D678E4" w:rsidRDefault="0007151D" w:rsidP="0007151D">
      <w:pPr>
        <w:spacing w:line="480" w:lineRule="auto"/>
        <w:ind w:firstLine="288"/>
        <w:jc w:val="center"/>
        <w:rPr>
          <w:b/>
          <w:sz w:val="28"/>
          <w:szCs w:val="28"/>
          <w:u w:val="single"/>
        </w:rPr>
      </w:pPr>
      <w:r>
        <w:rPr>
          <w:bCs/>
          <w:sz w:val="28"/>
          <w:szCs w:val="28"/>
        </w:rPr>
        <w:br w:type="page"/>
      </w:r>
      <w:r w:rsidR="005471CD" w:rsidRPr="00D678E4">
        <w:rPr>
          <w:b/>
          <w:sz w:val="28"/>
          <w:szCs w:val="28"/>
          <w:u w:val="single"/>
        </w:rPr>
        <w:lastRenderedPageBreak/>
        <w:t>CONCLUSION</w:t>
      </w:r>
    </w:p>
    <w:p w14:paraId="659CDABE" w14:textId="77777777" w:rsidR="00032414" w:rsidRDefault="00ED5E78" w:rsidP="006855D4">
      <w:pPr>
        <w:pStyle w:val="BodyText2"/>
        <w:spacing w:line="480" w:lineRule="auto"/>
        <w:rPr>
          <w:b w:val="0"/>
          <w:sz w:val="28"/>
          <w:szCs w:val="28"/>
        </w:rPr>
      </w:pPr>
      <w:r w:rsidRPr="00D678E4">
        <w:rPr>
          <w:b w:val="0"/>
          <w:sz w:val="28"/>
          <w:szCs w:val="28"/>
        </w:rPr>
        <w:tab/>
        <w:t xml:space="preserve"> </w:t>
      </w:r>
      <w:r w:rsidR="008751B5" w:rsidRPr="00D678E4">
        <w:rPr>
          <w:b w:val="0"/>
          <w:sz w:val="28"/>
          <w:szCs w:val="28"/>
        </w:rPr>
        <w:tab/>
      </w:r>
      <w:r w:rsidR="007F38F3" w:rsidRPr="00D678E4">
        <w:rPr>
          <w:b w:val="0"/>
          <w:sz w:val="28"/>
          <w:szCs w:val="28"/>
        </w:rPr>
        <w:t xml:space="preserve"> </w:t>
      </w:r>
      <w:r w:rsidR="00987604">
        <w:rPr>
          <w:b w:val="0"/>
          <w:sz w:val="28"/>
          <w:szCs w:val="28"/>
        </w:rPr>
        <w:t>For the reasons stated, w</w:t>
      </w:r>
      <w:r w:rsidR="00BA7B18" w:rsidRPr="00D678E4">
        <w:rPr>
          <w:b w:val="0"/>
          <w:sz w:val="28"/>
          <w:szCs w:val="28"/>
        </w:rPr>
        <w:t xml:space="preserve">e respectfully request </w:t>
      </w:r>
      <w:r w:rsidR="00B44094">
        <w:rPr>
          <w:b w:val="0"/>
          <w:sz w:val="28"/>
          <w:szCs w:val="28"/>
        </w:rPr>
        <w:t xml:space="preserve">this Court </w:t>
      </w:r>
      <w:r w:rsidR="006855D4">
        <w:rPr>
          <w:b w:val="0"/>
          <w:sz w:val="28"/>
          <w:szCs w:val="28"/>
        </w:rPr>
        <w:t>reject</w:t>
      </w:r>
      <w:r w:rsidR="00BA7B18" w:rsidRPr="00D678E4">
        <w:rPr>
          <w:b w:val="0"/>
          <w:sz w:val="28"/>
          <w:szCs w:val="28"/>
        </w:rPr>
        <w:t xml:space="preserve"> the </w:t>
      </w:r>
      <w:r w:rsidR="00DE3C07" w:rsidRPr="00D678E4">
        <w:rPr>
          <w:b w:val="0"/>
          <w:sz w:val="28"/>
          <w:szCs w:val="28"/>
        </w:rPr>
        <w:t xml:space="preserve">proposed </w:t>
      </w:r>
      <w:r w:rsidR="00D95F9D" w:rsidRPr="00D678E4">
        <w:rPr>
          <w:b w:val="0"/>
          <w:sz w:val="28"/>
          <w:szCs w:val="28"/>
        </w:rPr>
        <w:t>amendment</w:t>
      </w:r>
      <w:r w:rsidR="00B44094">
        <w:rPr>
          <w:b w:val="0"/>
          <w:sz w:val="28"/>
          <w:szCs w:val="28"/>
        </w:rPr>
        <w:t>s</w:t>
      </w:r>
      <w:r w:rsidR="00C846A5" w:rsidRPr="00D678E4">
        <w:rPr>
          <w:b w:val="0"/>
          <w:sz w:val="28"/>
          <w:szCs w:val="28"/>
        </w:rPr>
        <w:t xml:space="preserve"> to Rule</w:t>
      </w:r>
      <w:r w:rsidR="00DE3C07" w:rsidRPr="00D678E4">
        <w:rPr>
          <w:b w:val="0"/>
          <w:sz w:val="28"/>
          <w:szCs w:val="28"/>
        </w:rPr>
        <w:t xml:space="preserve"> 11(</w:t>
      </w:r>
      <w:r w:rsidR="00B44094">
        <w:rPr>
          <w:b w:val="0"/>
          <w:sz w:val="28"/>
          <w:szCs w:val="28"/>
        </w:rPr>
        <w:t>d</w:t>
      </w:r>
      <w:r w:rsidR="00DE3C07" w:rsidRPr="00D678E4">
        <w:rPr>
          <w:b w:val="0"/>
          <w:sz w:val="28"/>
          <w:szCs w:val="28"/>
        </w:rPr>
        <w:t xml:space="preserve">)(1) </w:t>
      </w:r>
      <w:r w:rsidR="00B44094">
        <w:rPr>
          <w:b w:val="0"/>
          <w:sz w:val="28"/>
          <w:szCs w:val="28"/>
        </w:rPr>
        <w:t xml:space="preserve">and </w:t>
      </w:r>
      <w:r w:rsidR="00A96555">
        <w:rPr>
          <w:b w:val="0"/>
          <w:sz w:val="28"/>
          <w:szCs w:val="28"/>
        </w:rPr>
        <w:t xml:space="preserve">to </w:t>
      </w:r>
      <w:r w:rsidR="00B44094">
        <w:rPr>
          <w:b w:val="0"/>
          <w:sz w:val="28"/>
          <w:szCs w:val="28"/>
        </w:rPr>
        <w:t xml:space="preserve">18(d) </w:t>
      </w:r>
      <w:r w:rsidR="00DE3C07" w:rsidRPr="00D678E4">
        <w:rPr>
          <w:b w:val="0"/>
          <w:sz w:val="28"/>
          <w:szCs w:val="28"/>
        </w:rPr>
        <w:t>of the Rules of Procedure for Eviction Actions</w:t>
      </w:r>
      <w:r w:rsidR="006855D4">
        <w:rPr>
          <w:b w:val="0"/>
          <w:sz w:val="28"/>
          <w:szCs w:val="28"/>
        </w:rPr>
        <w:t xml:space="preserve">.  </w:t>
      </w:r>
    </w:p>
    <w:p w14:paraId="4D8091C0" w14:textId="77777777" w:rsidR="005471CD" w:rsidRPr="00D678E4" w:rsidRDefault="005471CD" w:rsidP="00B33DA0">
      <w:pPr>
        <w:pStyle w:val="BodyText2"/>
        <w:ind w:firstLine="720"/>
        <w:rPr>
          <w:b w:val="0"/>
          <w:sz w:val="28"/>
          <w:szCs w:val="28"/>
        </w:rPr>
      </w:pPr>
      <w:r w:rsidRPr="00D678E4">
        <w:rPr>
          <w:b w:val="0"/>
          <w:sz w:val="28"/>
          <w:szCs w:val="28"/>
        </w:rPr>
        <w:t>RESPECTFULLY SUBMITTED, this</w:t>
      </w:r>
      <w:r w:rsidR="0027066D" w:rsidRPr="00D678E4">
        <w:rPr>
          <w:b w:val="0"/>
          <w:sz w:val="28"/>
          <w:szCs w:val="28"/>
        </w:rPr>
        <w:t xml:space="preserve"> </w:t>
      </w:r>
      <w:r w:rsidR="006855D4">
        <w:rPr>
          <w:b w:val="0"/>
          <w:sz w:val="28"/>
          <w:szCs w:val="28"/>
        </w:rPr>
        <w:t>14th</w:t>
      </w:r>
      <w:r w:rsidRPr="00D678E4">
        <w:rPr>
          <w:b w:val="0"/>
          <w:sz w:val="28"/>
          <w:szCs w:val="28"/>
        </w:rPr>
        <w:t xml:space="preserve"> day of </w:t>
      </w:r>
      <w:r w:rsidR="006855D4">
        <w:rPr>
          <w:b w:val="0"/>
          <w:sz w:val="28"/>
          <w:szCs w:val="28"/>
        </w:rPr>
        <w:t>February</w:t>
      </w:r>
      <w:r w:rsidR="00C846A5" w:rsidRPr="00D678E4">
        <w:rPr>
          <w:b w:val="0"/>
          <w:sz w:val="28"/>
          <w:szCs w:val="28"/>
        </w:rPr>
        <w:t xml:space="preserve"> 20</w:t>
      </w:r>
      <w:r w:rsidR="001F6159" w:rsidRPr="00D678E4">
        <w:rPr>
          <w:b w:val="0"/>
          <w:sz w:val="28"/>
          <w:szCs w:val="28"/>
        </w:rPr>
        <w:t>2</w:t>
      </w:r>
      <w:r w:rsidR="002814B3">
        <w:rPr>
          <w:b w:val="0"/>
          <w:sz w:val="28"/>
          <w:szCs w:val="28"/>
        </w:rPr>
        <w:t>5</w:t>
      </w:r>
      <w:r w:rsidRPr="00D678E4">
        <w:rPr>
          <w:b w:val="0"/>
          <w:sz w:val="28"/>
          <w:szCs w:val="28"/>
        </w:rPr>
        <w:t>.</w:t>
      </w:r>
    </w:p>
    <w:p w14:paraId="58644DB6" w14:textId="77777777" w:rsidR="003659E1" w:rsidRPr="00D678E4" w:rsidRDefault="003659E1" w:rsidP="00B33DA0">
      <w:pPr>
        <w:pStyle w:val="BodyText2"/>
        <w:ind w:firstLine="720"/>
        <w:rPr>
          <w:b w:val="0"/>
          <w:sz w:val="28"/>
          <w:szCs w:val="28"/>
        </w:rPr>
      </w:pPr>
    </w:p>
    <w:p w14:paraId="1B062C97" w14:textId="77777777" w:rsidR="003659E1" w:rsidRPr="00D678E4" w:rsidRDefault="003659E1" w:rsidP="00B33DA0">
      <w:pPr>
        <w:pStyle w:val="BodyText2"/>
        <w:ind w:firstLine="720"/>
        <w:rPr>
          <w:b w:val="0"/>
          <w:sz w:val="28"/>
          <w:szCs w:val="28"/>
        </w:rPr>
      </w:pPr>
    </w:p>
    <w:p w14:paraId="56E95ECB" w14:textId="77777777" w:rsidR="003659E1" w:rsidRPr="00D678E4" w:rsidRDefault="003659E1" w:rsidP="00B33DA0">
      <w:pPr>
        <w:pStyle w:val="BodyText2"/>
        <w:ind w:firstLine="720"/>
        <w:rPr>
          <w:b w:val="0"/>
          <w:sz w:val="28"/>
          <w:szCs w:val="28"/>
        </w:rPr>
      </w:pPr>
    </w:p>
    <w:p w14:paraId="51E66597" w14:textId="77777777" w:rsidR="007F576E" w:rsidRPr="00D678E4" w:rsidRDefault="008464D1"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u w:val="single"/>
        </w:rPr>
        <w:t xml:space="preserve">/s/ </w:t>
      </w:r>
      <w:r w:rsidR="004B5662" w:rsidRPr="00D678E4">
        <w:rPr>
          <w:b w:val="0"/>
          <w:sz w:val="28"/>
          <w:szCs w:val="28"/>
          <w:u w:val="single"/>
        </w:rPr>
        <w:t>Anna Huberman</w:t>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p>
    <w:p w14:paraId="0ED43583"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4B5662" w:rsidRPr="00D678E4">
        <w:rPr>
          <w:b w:val="0"/>
          <w:sz w:val="28"/>
          <w:szCs w:val="28"/>
        </w:rPr>
        <w:t>ANNA HUBERMAN</w:t>
      </w:r>
    </w:p>
    <w:p w14:paraId="7E15AC64"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Pr="00D678E4">
        <w:rPr>
          <w:b w:val="0"/>
          <w:sz w:val="28"/>
          <w:szCs w:val="28"/>
        </w:rPr>
        <w:t>Presiding Justice of the Peace</w:t>
      </w:r>
    </w:p>
    <w:p w14:paraId="20837550"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Pr="00D678E4">
        <w:rPr>
          <w:b w:val="0"/>
          <w:sz w:val="28"/>
          <w:szCs w:val="28"/>
        </w:rPr>
        <w:t>Maricopa County</w:t>
      </w:r>
    </w:p>
    <w:p w14:paraId="6E3830A3"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t>J</w:t>
      </w:r>
      <w:r w:rsidRPr="00D678E4">
        <w:rPr>
          <w:b w:val="0"/>
          <w:sz w:val="28"/>
          <w:szCs w:val="28"/>
        </w:rPr>
        <w:t>ustice Court Administration</w:t>
      </w:r>
    </w:p>
    <w:p w14:paraId="7CAECE5A"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Pr="00D678E4">
        <w:rPr>
          <w:b w:val="0"/>
          <w:sz w:val="28"/>
          <w:szCs w:val="28"/>
        </w:rPr>
        <w:t>222 North Central Ave.,</w:t>
      </w:r>
      <w:r w:rsidR="008464D1" w:rsidRPr="00D678E4">
        <w:rPr>
          <w:b w:val="0"/>
          <w:sz w:val="28"/>
          <w:szCs w:val="28"/>
        </w:rPr>
        <w:t xml:space="preserve"> S</w:t>
      </w:r>
      <w:r w:rsidRPr="00D678E4">
        <w:rPr>
          <w:b w:val="0"/>
          <w:sz w:val="28"/>
          <w:szCs w:val="28"/>
        </w:rPr>
        <w:t>uite 210</w:t>
      </w:r>
    </w:p>
    <w:p w14:paraId="592F5D89" w14:textId="77777777" w:rsidR="00D95F9D" w:rsidRPr="00D678E4" w:rsidRDefault="007F576E" w:rsidP="007F576E">
      <w:pPr>
        <w:pStyle w:val="BodyText2"/>
        <w:rPr>
          <w:b w:val="0"/>
          <w:sz w:val="28"/>
          <w:szCs w:val="28"/>
        </w:rPr>
      </w:pPr>
      <w:r w:rsidRPr="00D678E4">
        <w:rPr>
          <w:b w:val="0"/>
          <w:sz w:val="28"/>
          <w:szCs w:val="28"/>
        </w:rPr>
        <w:t xml:space="preserve"> </w:t>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 xml:space="preserve">                     </w:t>
      </w:r>
      <w:r w:rsidRPr="00D678E4">
        <w:rPr>
          <w:b w:val="0"/>
          <w:sz w:val="28"/>
          <w:szCs w:val="28"/>
        </w:rPr>
        <w:t>Phoenix, AZ 85004</w:t>
      </w:r>
    </w:p>
    <w:p w14:paraId="092440F1" w14:textId="77777777" w:rsidR="00A10222" w:rsidRPr="00D678E4" w:rsidRDefault="00A10222" w:rsidP="007F576E">
      <w:pPr>
        <w:pStyle w:val="BodyText2"/>
        <w:rPr>
          <w:b w:val="0"/>
          <w:sz w:val="28"/>
          <w:szCs w:val="28"/>
        </w:rPr>
      </w:pPr>
    </w:p>
    <w:p w14:paraId="4EDC0DCE" w14:textId="77777777" w:rsidR="00202591" w:rsidRPr="00D678E4" w:rsidRDefault="00202591" w:rsidP="00202591">
      <w:pPr>
        <w:pStyle w:val="BodyText2"/>
        <w:rPr>
          <w:b w:val="0"/>
          <w:sz w:val="28"/>
          <w:szCs w:val="28"/>
        </w:rPr>
      </w:pPr>
    </w:p>
    <w:p w14:paraId="6B0A70C6" w14:textId="77777777" w:rsidR="00341EDC" w:rsidRPr="00D678E4" w:rsidRDefault="00341EDC">
      <w:pPr>
        <w:pStyle w:val="BodyText2"/>
        <w:rPr>
          <w:b w:val="0"/>
          <w:sz w:val="28"/>
          <w:szCs w:val="28"/>
        </w:rPr>
      </w:pPr>
    </w:p>
    <w:p w14:paraId="0A954D13" w14:textId="77777777" w:rsidR="003659E1" w:rsidRPr="00D678E4" w:rsidRDefault="003659E1">
      <w:pPr>
        <w:pStyle w:val="BodyText2"/>
        <w:rPr>
          <w:b w:val="0"/>
          <w:sz w:val="28"/>
          <w:szCs w:val="28"/>
        </w:rPr>
      </w:pPr>
    </w:p>
    <w:p w14:paraId="1CBA9005" w14:textId="77777777" w:rsidR="00B938C4" w:rsidRPr="00D678E4" w:rsidRDefault="00B938C4" w:rsidP="00A934F4">
      <w:pPr>
        <w:jc w:val="both"/>
        <w:rPr>
          <w:sz w:val="22"/>
          <w:szCs w:val="22"/>
        </w:rPr>
      </w:pPr>
    </w:p>
    <w:sectPr w:rsidR="00B938C4" w:rsidRPr="00D678E4">
      <w:footerReference w:type="even"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FC50" w14:textId="77777777" w:rsidR="00C10EA9" w:rsidRDefault="00C10EA9">
      <w:r>
        <w:separator/>
      </w:r>
    </w:p>
  </w:endnote>
  <w:endnote w:type="continuationSeparator" w:id="0">
    <w:p w14:paraId="527EC955" w14:textId="77777777" w:rsidR="00C10EA9" w:rsidRDefault="00C1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B467"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76D9894" w14:textId="77777777" w:rsidR="00E16DBB" w:rsidRDefault="00E16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25DE" w14:textId="77777777" w:rsidR="005C6A7E" w:rsidRDefault="005C6A7E">
    <w:pPr>
      <w:pStyle w:val="Footer"/>
      <w:jc w:val="center"/>
    </w:pPr>
    <w:r>
      <w:fldChar w:fldCharType="begin"/>
    </w:r>
    <w:r>
      <w:instrText xml:space="preserve"> PAGE   \* MERGEFORMAT </w:instrText>
    </w:r>
    <w:r>
      <w:fldChar w:fldCharType="separate"/>
    </w:r>
    <w:r>
      <w:rPr>
        <w:noProof/>
      </w:rPr>
      <w:t>2</w:t>
    </w:r>
    <w:r>
      <w:rPr>
        <w:noProof/>
      </w:rPr>
      <w:fldChar w:fldCharType="end"/>
    </w:r>
  </w:p>
  <w:p w14:paraId="71CCB5ED" w14:textId="77777777" w:rsidR="00E16DBB" w:rsidRDefault="00E16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496E" w14:textId="77777777" w:rsidR="00E16DBB" w:rsidRDefault="00E16DBB">
    <w:pPr>
      <w:pStyle w:val="Footer"/>
      <w:jc w:val="center"/>
    </w:pPr>
    <w:r>
      <w:fldChar w:fldCharType="begin"/>
    </w:r>
    <w:r>
      <w:instrText xml:space="preserve"> PAGE   \* MERGEFORMAT </w:instrText>
    </w:r>
    <w:r>
      <w:fldChar w:fldCharType="separate"/>
    </w:r>
    <w:r w:rsidR="00A10C9D">
      <w:rPr>
        <w:noProof/>
      </w:rPr>
      <w:t>1</w:t>
    </w:r>
    <w:r>
      <w:rPr>
        <w:noProof/>
      </w:rPr>
      <w:fldChar w:fldCharType="end"/>
    </w:r>
  </w:p>
  <w:p w14:paraId="6B66DB79" w14:textId="77777777" w:rsidR="00E16DBB" w:rsidRDefault="00E1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9E35" w14:textId="77777777" w:rsidR="00C10EA9" w:rsidRDefault="00C10EA9">
      <w:r>
        <w:separator/>
      </w:r>
    </w:p>
  </w:footnote>
  <w:footnote w:type="continuationSeparator" w:id="0">
    <w:p w14:paraId="5B77AD73" w14:textId="77777777" w:rsidR="00C10EA9" w:rsidRDefault="00C10EA9">
      <w:r>
        <w:continuationSeparator/>
      </w:r>
    </w:p>
  </w:footnote>
  <w:footnote w:id="1">
    <w:p w14:paraId="5AC85B4C" w14:textId="77777777" w:rsidR="00AA26ED" w:rsidRDefault="00AA26ED">
      <w:pPr>
        <w:pStyle w:val="FootnoteText"/>
      </w:pPr>
      <w:r>
        <w:rPr>
          <w:rStyle w:val="FootnoteReference"/>
        </w:rPr>
        <w:footnoteRef/>
      </w:r>
      <w:r>
        <w:t xml:space="preserve"> </w:t>
      </w:r>
      <w:r w:rsidRPr="00B15C99">
        <w:rPr>
          <w:sz w:val="24"/>
          <w:szCs w:val="24"/>
        </w:rPr>
        <w:t>Petition, R-25-0020</w:t>
      </w:r>
      <w:r>
        <w:rPr>
          <w:sz w:val="24"/>
          <w:szCs w:val="24"/>
        </w:rPr>
        <w:t>, page</w:t>
      </w:r>
      <w:r w:rsidR="00153E22">
        <w:rPr>
          <w:sz w:val="24"/>
          <w:szCs w:val="24"/>
        </w:rPr>
        <w:t xml:space="preserve"> 6</w:t>
      </w:r>
      <w:r>
        <w:rPr>
          <w:sz w:val="24"/>
          <w:szCs w:val="24"/>
        </w:rPr>
        <w:t>.</w:t>
      </w:r>
    </w:p>
    <w:p w14:paraId="53636746" w14:textId="77777777" w:rsidR="00AA26ED" w:rsidRDefault="00AA26ED">
      <w:pPr>
        <w:pStyle w:val="FootnoteText"/>
      </w:pPr>
    </w:p>
  </w:footnote>
  <w:footnote w:id="2">
    <w:p w14:paraId="277DBB27" w14:textId="77777777" w:rsidR="006845EE" w:rsidRPr="00646560" w:rsidRDefault="006845EE" w:rsidP="006845EE">
      <w:pPr>
        <w:pStyle w:val="FootnoteText"/>
        <w:jc w:val="both"/>
      </w:pPr>
      <w:r>
        <w:rPr>
          <w:rStyle w:val="FootnoteReference"/>
        </w:rPr>
        <w:footnoteRef/>
      </w:r>
      <w:r>
        <w:t xml:space="preserve"> </w:t>
      </w:r>
      <w:r>
        <w:rPr>
          <w:sz w:val="24"/>
          <w:szCs w:val="24"/>
        </w:rPr>
        <w:t xml:space="preserve">As has been done in previous rule change petitions, the </w:t>
      </w:r>
      <w:r w:rsidRPr="002205C7">
        <w:rPr>
          <w:sz w:val="24"/>
          <w:szCs w:val="24"/>
        </w:rPr>
        <w:t xml:space="preserve">Petitioners again reference narratives they prepared that are </w:t>
      </w:r>
      <w:r>
        <w:rPr>
          <w:sz w:val="24"/>
          <w:szCs w:val="24"/>
        </w:rPr>
        <w:t xml:space="preserve">very </w:t>
      </w:r>
      <w:r w:rsidRPr="002205C7">
        <w:rPr>
          <w:sz w:val="24"/>
          <w:szCs w:val="24"/>
        </w:rPr>
        <w:t xml:space="preserve">critical of our bench.  This year, they did so in </w:t>
      </w:r>
      <w:r w:rsidR="005A5EB6">
        <w:rPr>
          <w:sz w:val="24"/>
          <w:szCs w:val="24"/>
        </w:rPr>
        <w:t>both</w:t>
      </w:r>
      <w:r w:rsidRPr="002205C7">
        <w:rPr>
          <w:sz w:val="24"/>
          <w:szCs w:val="24"/>
        </w:rPr>
        <w:t xml:space="preserve"> of their petitions, R-2</w:t>
      </w:r>
      <w:r w:rsidR="005A5EB6">
        <w:rPr>
          <w:sz w:val="24"/>
          <w:szCs w:val="24"/>
        </w:rPr>
        <w:t>5-0019</w:t>
      </w:r>
      <w:r w:rsidRPr="002205C7">
        <w:rPr>
          <w:sz w:val="24"/>
          <w:szCs w:val="24"/>
        </w:rPr>
        <w:t xml:space="preserve"> and R-2</w:t>
      </w:r>
      <w:r w:rsidR="005A5EB6">
        <w:rPr>
          <w:sz w:val="24"/>
          <w:szCs w:val="24"/>
        </w:rPr>
        <w:t>5</w:t>
      </w:r>
      <w:r w:rsidRPr="002205C7">
        <w:rPr>
          <w:sz w:val="24"/>
          <w:szCs w:val="24"/>
        </w:rPr>
        <w:t>-00</w:t>
      </w:r>
      <w:r w:rsidR="005A5EB6">
        <w:rPr>
          <w:sz w:val="24"/>
          <w:szCs w:val="24"/>
        </w:rPr>
        <w:t>20</w:t>
      </w:r>
      <w:r w:rsidRPr="002205C7">
        <w:rPr>
          <w:sz w:val="24"/>
          <w:szCs w:val="24"/>
        </w:rPr>
        <w:t xml:space="preserve">.  The prior concerns, from 2005, had some validity and resulted in the adoption of the Arizona Rules of Procedure for Eviction Actions.  However, their May 2020 commentary, </w:t>
      </w:r>
      <w:r w:rsidRPr="002205C7">
        <w:rPr>
          <w:i/>
          <w:sz w:val="24"/>
          <w:szCs w:val="24"/>
        </w:rPr>
        <w:t>What’s Justice Got To Do With It?  The Experience of Tenants in the Maricopa Justice Courts</w:t>
      </w:r>
      <w:r w:rsidRPr="002205C7">
        <w:rPr>
          <w:sz w:val="24"/>
          <w:szCs w:val="24"/>
        </w:rPr>
        <w:t>,</w:t>
      </w:r>
      <w:r>
        <w:rPr>
          <w:sz w:val="24"/>
          <w:szCs w:val="24"/>
        </w:rPr>
        <w:t xml:space="preserve"> is, at best, misleading.  </w:t>
      </w:r>
      <w:r w:rsidRPr="002205C7">
        <w:rPr>
          <w:sz w:val="24"/>
          <w:szCs w:val="24"/>
        </w:rPr>
        <w:t>See generally, Concluding Report, Supreme Court of Arizona, Task Force on Countering Disinformation, (Mar. 1, 2022).</w:t>
      </w:r>
      <w:r w:rsidRPr="00646560">
        <w:t xml:space="preserve">   </w:t>
      </w:r>
    </w:p>
    <w:p w14:paraId="1D818F07" w14:textId="77777777" w:rsidR="006845EE" w:rsidRPr="00646560" w:rsidRDefault="006845EE" w:rsidP="006845EE">
      <w:pPr>
        <w:pStyle w:val="FootnoteText"/>
      </w:pPr>
    </w:p>
  </w:footnote>
  <w:footnote w:id="3">
    <w:p w14:paraId="0E58BA71" w14:textId="77777777" w:rsidR="00922F5E" w:rsidRDefault="00B97D16" w:rsidP="00B15C99">
      <w:pPr>
        <w:pStyle w:val="FootnoteText"/>
        <w:jc w:val="both"/>
      </w:pPr>
      <w:r>
        <w:rPr>
          <w:rStyle w:val="FootnoteReference"/>
        </w:rPr>
        <w:footnoteRef/>
      </w:r>
      <w:r>
        <w:t xml:space="preserve"> </w:t>
      </w:r>
      <w:r w:rsidRPr="00B15C99">
        <w:rPr>
          <w:sz w:val="24"/>
          <w:szCs w:val="24"/>
        </w:rPr>
        <w:t xml:space="preserve">The Petitioners proposed language changes “The court may order the continuance of a trial date” to “The court </w:t>
      </w:r>
      <w:r w:rsidRPr="00B15C99">
        <w:rPr>
          <w:b/>
          <w:bCs/>
          <w:i/>
          <w:iCs/>
          <w:sz w:val="24"/>
          <w:szCs w:val="24"/>
          <w:u w:val="single"/>
        </w:rPr>
        <w:t>shall</w:t>
      </w:r>
      <w:r w:rsidRPr="00B15C99">
        <w:rPr>
          <w:b/>
          <w:bCs/>
          <w:i/>
          <w:iCs/>
          <w:sz w:val="24"/>
          <w:szCs w:val="24"/>
        </w:rPr>
        <w:t xml:space="preserve"> </w:t>
      </w:r>
      <w:r w:rsidRPr="00B15C99">
        <w:rPr>
          <w:sz w:val="24"/>
          <w:szCs w:val="24"/>
        </w:rPr>
        <w:t>order the continuance of a trial date.”</w:t>
      </w:r>
      <w:r w:rsidR="00D376FF" w:rsidRPr="00B15C99">
        <w:rPr>
          <w:sz w:val="24"/>
          <w:szCs w:val="24"/>
        </w:rPr>
        <w:t xml:space="preserve">  Petition, R-25-0020, </w:t>
      </w:r>
      <w:r w:rsidR="00B15C99" w:rsidRPr="00B15C99">
        <w:rPr>
          <w:sz w:val="24"/>
          <w:szCs w:val="24"/>
        </w:rPr>
        <w:t>page 3.</w:t>
      </w:r>
      <w:r w:rsidR="00B15C99">
        <w:t xml:space="preserve">  </w:t>
      </w:r>
      <w:r>
        <w:t xml:space="preserve">    </w:t>
      </w:r>
    </w:p>
    <w:p w14:paraId="7CF52BAE" w14:textId="77777777" w:rsidR="00B97D16" w:rsidRDefault="00B97D16" w:rsidP="00B15C99">
      <w:pPr>
        <w:pStyle w:val="FootnoteText"/>
        <w:jc w:val="both"/>
      </w:pPr>
      <w:r>
        <w:t xml:space="preserve"> </w:t>
      </w:r>
    </w:p>
  </w:footnote>
  <w:footnote w:id="4">
    <w:p w14:paraId="6499BFF9" w14:textId="77777777" w:rsidR="003548E7" w:rsidRDefault="00922F5E">
      <w:pPr>
        <w:pStyle w:val="FootnoteText"/>
        <w:rPr>
          <w:sz w:val="24"/>
          <w:szCs w:val="24"/>
        </w:rPr>
      </w:pPr>
      <w:r>
        <w:rPr>
          <w:rStyle w:val="FootnoteReference"/>
        </w:rPr>
        <w:footnoteRef/>
      </w:r>
      <w:r>
        <w:t xml:space="preserve"> </w:t>
      </w:r>
      <w:bookmarkStart w:id="0" w:name="_Hlk188654417"/>
      <w:r w:rsidRPr="00B15C99">
        <w:rPr>
          <w:sz w:val="24"/>
          <w:szCs w:val="24"/>
        </w:rPr>
        <w:t>Petition, R-25-0020</w:t>
      </w:r>
      <w:bookmarkEnd w:id="0"/>
      <w:r>
        <w:rPr>
          <w:sz w:val="24"/>
          <w:szCs w:val="24"/>
        </w:rPr>
        <w:t xml:space="preserve">, page 4. </w:t>
      </w:r>
    </w:p>
    <w:p w14:paraId="7966A6C5" w14:textId="77777777" w:rsidR="00922F5E" w:rsidRDefault="00922F5E">
      <w:pPr>
        <w:pStyle w:val="FootnoteText"/>
      </w:pPr>
      <w:r>
        <w:rPr>
          <w:sz w:val="24"/>
          <w:szCs w:val="24"/>
        </w:rPr>
        <w:t xml:space="preserve"> </w:t>
      </w:r>
    </w:p>
  </w:footnote>
  <w:footnote w:id="5">
    <w:p w14:paraId="7218C24F" w14:textId="77777777" w:rsidR="00922F5E" w:rsidRDefault="00922F5E">
      <w:pPr>
        <w:pStyle w:val="FootnoteText"/>
      </w:pPr>
      <w:r>
        <w:rPr>
          <w:rStyle w:val="FootnoteReference"/>
        </w:rPr>
        <w:footnoteRef/>
      </w:r>
      <w:r>
        <w:t xml:space="preserve"> </w:t>
      </w:r>
      <w:r w:rsidRPr="0097342C">
        <w:rPr>
          <w:i/>
          <w:iCs/>
          <w:sz w:val="24"/>
          <w:szCs w:val="24"/>
        </w:rPr>
        <w:t>Id</w:t>
      </w:r>
      <w:r w:rsidRPr="00922F5E">
        <w:rPr>
          <w:sz w:val="24"/>
          <w:szCs w:val="24"/>
        </w:rPr>
        <w:t>.</w:t>
      </w:r>
      <w:r>
        <w:t xml:space="preserve">  </w:t>
      </w:r>
    </w:p>
    <w:p w14:paraId="3AE33C5F" w14:textId="77777777" w:rsidR="00922F5E" w:rsidRDefault="00922F5E">
      <w:pPr>
        <w:pStyle w:val="FootnoteText"/>
      </w:pPr>
    </w:p>
  </w:footnote>
  <w:footnote w:id="6">
    <w:p w14:paraId="3A8FE31A" w14:textId="77777777" w:rsidR="003548E7" w:rsidRPr="003548E7" w:rsidRDefault="003548E7" w:rsidP="003548E7">
      <w:pPr>
        <w:pStyle w:val="FootnoteText"/>
        <w:jc w:val="both"/>
        <w:rPr>
          <w:sz w:val="24"/>
          <w:szCs w:val="24"/>
        </w:rPr>
      </w:pPr>
      <w:r>
        <w:rPr>
          <w:rStyle w:val="FootnoteReference"/>
        </w:rPr>
        <w:footnoteRef/>
      </w:r>
      <w:r>
        <w:t xml:space="preserve"> </w:t>
      </w:r>
      <w:r w:rsidRPr="003548E7">
        <w:rPr>
          <w:sz w:val="24"/>
          <w:szCs w:val="24"/>
        </w:rPr>
        <w:t xml:space="preserve">Course Materials, </w:t>
      </w:r>
      <w:r w:rsidRPr="003548E7">
        <w:rPr>
          <w:i/>
          <w:iCs/>
          <w:sz w:val="24"/>
          <w:szCs w:val="24"/>
        </w:rPr>
        <w:t xml:space="preserve">Effective </w:t>
      </w:r>
      <w:r w:rsidR="002814B3" w:rsidRPr="003548E7">
        <w:rPr>
          <w:i/>
          <w:iCs/>
          <w:sz w:val="24"/>
          <w:szCs w:val="24"/>
        </w:rPr>
        <w:t>Case flow</w:t>
      </w:r>
      <w:r w:rsidRPr="003548E7">
        <w:rPr>
          <w:i/>
          <w:iCs/>
          <w:sz w:val="24"/>
          <w:szCs w:val="24"/>
        </w:rPr>
        <w:t xml:space="preserve"> Management</w:t>
      </w:r>
      <w:r w:rsidRPr="003548E7">
        <w:rPr>
          <w:sz w:val="24"/>
          <w:szCs w:val="24"/>
        </w:rPr>
        <w:t xml:space="preserve">, The National Judicial College (2006).   </w:t>
      </w:r>
    </w:p>
    <w:p w14:paraId="3D082713" w14:textId="77777777" w:rsidR="003548E7" w:rsidRPr="003548E7" w:rsidRDefault="003548E7">
      <w:pPr>
        <w:pStyle w:val="FootnoteText"/>
        <w:rPr>
          <w:sz w:val="24"/>
          <w:szCs w:val="24"/>
        </w:rPr>
      </w:pPr>
      <w:r w:rsidRPr="003548E7">
        <w:rPr>
          <w:sz w:val="24"/>
          <w:szCs w:val="24"/>
        </w:rPr>
        <w:t xml:space="preserve"> </w:t>
      </w:r>
    </w:p>
  </w:footnote>
  <w:footnote w:id="7">
    <w:p w14:paraId="7CCFDA71" w14:textId="77777777" w:rsidR="004C2725" w:rsidRDefault="004C2725" w:rsidP="002513CF">
      <w:pPr>
        <w:pStyle w:val="FootnoteText"/>
        <w:jc w:val="both"/>
      </w:pPr>
      <w:r>
        <w:rPr>
          <w:rStyle w:val="FootnoteReference"/>
        </w:rPr>
        <w:footnoteRef/>
      </w:r>
      <w:r>
        <w:t xml:space="preserve"> </w:t>
      </w:r>
      <w:r w:rsidR="00495A52" w:rsidRPr="00495A52">
        <w:rPr>
          <w:sz w:val="24"/>
          <w:szCs w:val="24"/>
        </w:rPr>
        <w:t>Gerald A. Williams</w:t>
      </w:r>
      <w:r w:rsidR="00495A52">
        <w:rPr>
          <w:sz w:val="24"/>
          <w:szCs w:val="24"/>
        </w:rPr>
        <w:t xml:space="preserve">, </w:t>
      </w:r>
      <w:r w:rsidR="00495A52" w:rsidRPr="002513CF">
        <w:rPr>
          <w:i/>
          <w:iCs/>
          <w:sz w:val="24"/>
          <w:szCs w:val="24"/>
        </w:rPr>
        <w:t>Representing Residential Tenants in Eviction Actions</w:t>
      </w:r>
      <w:r w:rsidR="00495A52">
        <w:rPr>
          <w:sz w:val="24"/>
          <w:szCs w:val="24"/>
        </w:rPr>
        <w:t xml:space="preserve">, </w:t>
      </w:r>
      <w:r w:rsidR="002513CF">
        <w:rPr>
          <w:sz w:val="24"/>
          <w:szCs w:val="24"/>
        </w:rPr>
        <w:t>48 Ariz. Attorney 12 (Nov. 2011)</w:t>
      </w:r>
      <w:r w:rsidR="00D75182">
        <w:rPr>
          <w:sz w:val="24"/>
          <w:szCs w:val="24"/>
        </w:rPr>
        <w:t xml:space="preserve">; </w:t>
      </w:r>
      <w:r w:rsidR="002513CF">
        <w:rPr>
          <w:sz w:val="24"/>
          <w:szCs w:val="24"/>
        </w:rPr>
        <w:t xml:space="preserve"> </w:t>
      </w:r>
      <w:r w:rsidR="00D75182">
        <w:rPr>
          <w:sz w:val="24"/>
          <w:szCs w:val="24"/>
        </w:rPr>
        <w:t>RPEA 11 (Tenant</w:t>
      </w:r>
      <w:r w:rsidR="00CE5DB6">
        <w:rPr>
          <w:sz w:val="24"/>
          <w:szCs w:val="24"/>
        </w:rPr>
        <w:t>s</w:t>
      </w:r>
      <w:r w:rsidR="00D75182">
        <w:rPr>
          <w:sz w:val="24"/>
          <w:szCs w:val="24"/>
        </w:rPr>
        <w:t xml:space="preserve"> </w:t>
      </w:r>
      <w:r w:rsidR="00CE5DB6">
        <w:rPr>
          <w:sz w:val="24"/>
          <w:szCs w:val="24"/>
        </w:rPr>
        <w:t xml:space="preserve">are not </w:t>
      </w:r>
      <w:r w:rsidR="00D75182">
        <w:rPr>
          <w:sz w:val="24"/>
          <w:szCs w:val="24"/>
        </w:rPr>
        <w:t>required to file</w:t>
      </w:r>
      <w:r w:rsidR="00CE5DB6">
        <w:rPr>
          <w:sz w:val="24"/>
          <w:szCs w:val="24"/>
        </w:rPr>
        <w:t xml:space="preserve"> an</w:t>
      </w:r>
      <w:r w:rsidR="00D75182">
        <w:rPr>
          <w:sz w:val="24"/>
          <w:szCs w:val="24"/>
        </w:rPr>
        <w:t xml:space="preserve"> Answer before first court date</w:t>
      </w:r>
      <w:r w:rsidR="00E018E0">
        <w:rPr>
          <w:sz w:val="24"/>
          <w:szCs w:val="24"/>
        </w:rPr>
        <w:t xml:space="preserve"> and are only required to file an Answer if ordered by judge to do so</w:t>
      </w:r>
      <w:r w:rsidR="00D75182">
        <w:rPr>
          <w:sz w:val="24"/>
          <w:szCs w:val="24"/>
        </w:rPr>
        <w:t>).</w:t>
      </w:r>
      <w:r w:rsidR="002513CF">
        <w:rPr>
          <w:sz w:val="24"/>
          <w:szCs w:val="24"/>
        </w:rPr>
        <w:t xml:space="preserve"> </w:t>
      </w:r>
      <w:r w:rsidR="00495A52">
        <w:t xml:space="preserve"> </w:t>
      </w:r>
    </w:p>
    <w:p w14:paraId="4CFC1963" w14:textId="77777777" w:rsidR="00495A52" w:rsidRDefault="00495A52">
      <w:pPr>
        <w:pStyle w:val="FootnoteText"/>
      </w:pPr>
    </w:p>
  </w:footnote>
  <w:footnote w:id="8">
    <w:p w14:paraId="7E66B9DC" w14:textId="77777777" w:rsidR="00495A52" w:rsidRDefault="00495A52" w:rsidP="00495A52">
      <w:pPr>
        <w:pStyle w:val="FootnoteText"/>
        <w:jc w:val="both"/>
        <w:rPr>
          <w:sz w:val="24"/>
          <w:szCs w:val="24"/>
        </w:rPr>
      </w:pPr>
      <w:r>
        <w:rPr>
          <w:rStyle w:val="FootnoteReference"/>
        </w:rPr>
        <w:footnoteRef/>
      </w:r>
      <w:r>
        <w:t xml:space="preserve"> </w:t>
      </w:r>
      <w:bookmarkStart w:id="1" w:name="_Hlk188643950"/>
      <w:r w:rsidRPr="00BD26D4">
        <w:rPr>
          <w:sz w:val="24"/>
          <w:szCs w:val="24"/>
        </w:rPr>
        <w:t>A.R.S. §</w:t>
      </w:r>
      <w:r>
        <w:rPr>
          <w:sz w:val="24"/>
          <w:szCs w:val="24"/>
        </w:rPr>
        <w:t xml:space="preserve"> </w:t>
      </w:r>
      <w:bookmarkEnd w:id="1"/>
      <w:r>
        <w:rPr>
          <w:sz w:val="24"/>
          <w:szCs w:val="24"/>
        </w:rPr>
        <w:t xml:space="preserve">33-1368 (Noncompliance with rental agreement by tenant); </w:t>
      </w:r>
      <w:r w:rsidR="002513CF" w:rsidRPr="00BD26D4">
        <w:rPr>
          <w:sz w:val="24"/>
          <w:szCs w:val="24"/>
        </w:rPr>
        <w:t>A.R.S. §</w:t>
      </w:r>
      <w:r w:rsidR="002513CF">
        <w:rPr>
          <w:sz w:val="24"/>
          <w:szCs w:val="24"/>
        </w:rPr>
        <w:t xml:space="preserve"> 33-1377(Special detainer actions are limited</w:t>
      </w:r>
      <w:r w:rsidR="00380E35">
        <w:rPr>
          <w:sz w:val="24"/>
          <w:szCs w:val="24"/>
        </w:rPr>
        <w:t xml:space="preserve">); </w:t>
      </w:r>
      <w:r w:rsidRPr="00495A52">
        <w:rPr>
          <w:i/>
          <w:iCs/>
          <w:sz w:val="24"/>
          <w:szCs w:val="24"/>
        </w:rPr>
        <w:t>Keenen v. Biles</w:t>
      </w:r>
      <w:r>
        <w:rPr>
          <w:sz w:val="24"/>
          <w:szCs w:val="24"/>
        </w:rPr>
        <w:t>, 17 P.3d 111 (Ariz. Ct. App. 2001)(Landlord can obtain judgment for rent, costs, and attorney’s fees)</w:t>
      </w:r>
      <w:r w:rsidR="00F70FA4">
        <w:rPr>
          <w:sz w:val="24"/>
          <w:szCs w:val="24"/>
        </w:rPr>
        <w:t>; RPEA 5 (Lists requirements for content of complaint)</w:t>
      </w:r>
      <w:r w:rsidR="00911A13">
        <w:rPr>
          <w:sz w:val="24"/>
          <w:szCs w:val="24"/>
        </w:rPr>
        <w:t>;</w:t>
      </w:r>
      <w:r w:rsidR="00D75182">
        <w:rPr>
          <w:sz w:val="24"/>
          <w:szCs w:val="24"/>
        </w:rPr>
        <w:t xml:space="preserve"> </w:t>
      </w:r>
      <w:r w:rsidR="00911A13">
        <w:rPr>
          <w:sz w:val="24"/>
          <w:szCs w:val="24"/>
        </w:rPr>
        <w:t>RPEA 13 (Monetary damages are generally limited to rent, utilities, and late fees)</w:t>
      </w:r>
      <w:r w:rsidR="00D75182">
        <w:rPr>
          <w:sz w:val="24"/>
          <w:szCs w:val="24"/>
        </w:rPr>
        <w:t xml:space="preserve">; </w:t>
      </w:r>
      <w:r w:rsidR="00911A13">
        <w:rPr>
          <w:sz w:val="24"/>
          <w:szCs w:val="24"/>
        </w:rPr>
        <w:t xml:space="preserve">.   </w:t>
      </w:r>
      <w:r>
        <w:rPr>
          <w:sz w:val="24"/>
          <w:szCs w:val="24"/>
        </w:rPr>
        <w:t xml:space="preserve">   </w:t>
      </w:r>
    </w:p>
    <w:p w14:paraId="45F53764" w14:textId="77777777" w:rsidR="00495A52" w:rsidRDefault="00495A52">
      <w:pPr>
        <w:pStyle w:val="FootnoteText"/>
      </w:pPr>
    </w:p>
  </w:footnote>
  <w:footnote w:id="9">
    <w:p w14:paraId="6B5AC494" w14:textId="77777777" w:rsidR="00F70FA4" w:rsidRDefault="00F70FA4">
      <w:pPr>
        <w:pStyle w:val="FootnoteText"/>
      </w:pPr>
      <w:r>
        <w:rPr>
          <w:rStyle w:val="FootnoteReference"/>
        </w:rPr>
        <w:footnoteRef/>
      </w:r>
      <w:r>
        <w:t xml:space="preserve"> </w:t>
      </w:r>
      <w:r w:rsidRPr="00911A13">
        <w:rPr>
          <w:sz w:val="24"/>
          <w:szCs w:val="24"/>
        </w:rPr>
        <w:t>RPEA 10</w:t>
      </w:r>
      <w:r w:rsidR="00911A13">
        <w:rPr>
          <w:sz w:val="24"/>
          <w:szCs w:val="24"/>
        </w:rPr>
        <w:t xml:space="preserve"> (Disclosure procedures).  </w:t>
      </w:r>
    </w:p>
    <w:p w14:paraId="14344606" w14:textId="77777777" w:rsidR="00F70FA4" w:rsidRDefault="00F70FA4">
      <w:pPr>
        <w:pStyle w:val="FootnoteText"/>
      </w:pPr>
    </w:p>
  </w:footnote>
  <w:footnote w:id="10">
    <w:p w14:paraId="346F0901" w14:textId="77777777" w:rsidR="00F70FA4" w:rsidRPr="00DD690F" w:rsidRDefault="00F70FA4" w:rsidP="00D75182">
      <w:pPr>
        <w:pStyle w:val="FootnoteText"/>
        <w:jc w:val="both"/>
        <w:rPr>
          <w:sz w:val="24"/>
          <w:szCs w:val="24"/>
        </w:rPr>
      </w:pPr>
      <w:r>
        <w:rPr>
          <w:rStyle w:val="FootnoteReference"/>
        </w:rPr>
        <w:footnoteRef/>
      </w:r>
      <w:r>
        <w:t xml:space="preserve"> </w:t>
      </w:r>
      <w:r w:rsidRPr="00DD690F">
        <w:rPr>
          <w:sz w:val="24"/>
          <w:szCs w:val="24"/>
        </w:rPr>
        <w:t xml:space="preserve">RPEA 8 (Provides requirements for counterclaims).  For example, a tenant </w:t>
      </w:r>
      <w:r w:rsidR="00D75182" w:rsidRPr="00DD690F">
        <w:rPr>
          <w:sz w:val="24"/>
          <w:szCs w:val="24"/>
        </w:rPr>
        <w:t>cannot lawfully</w:t>
      </w:r>
      <w:r w:rsidRPr="00DD690F">
        <w:rPr>
          <w:sz w:val="24"/>
          <w:szCs w:val="24"/>
        </w:rPr>
        <w:t xml:space="preserve"> file a tort claim as a counterclaim in a residential eviction action.</w:t>
      </w:r>
      <w:r w:rsidR="00D75182" w:rsidRPr="00DD690F">
        <w:rPr>
          <w:sz w:val="24"/>
          <w:szCs w:val="24"/>
        </w:rPr>
        <w:t xml:space="preserve">  In contrast, tenant</w:t>
      </w:r>
      <w:r w:rsidR="003325E7">
        <w:rPr>
          <w:sz w:val="24"/>
          <w:szCs w:val="24"/>
        </w:rPr>
        <w:t>s</w:t>
      </w:r>
      <w:r w:rsidR="00D75182" w:rsidRPr="00DD690F">
        <w:rPr>
          <w:sz w:val="24"/>
          <w:szCs w:val="24"/>
        </w:rPr>
        <w:t xml:space="preserve"> can file a counterclaim</w:t>
      </w:r>
      <w:r w:rsidR="003325E7">
        <w:rPr>
          <w:sz w:val="24"/>
          <w:szCs w:val="24"/>
        </w:rPr>
        <w:t>s</w:t>
      </w:r>
      <w:r w:rsidR="00D75182" w:rsidRPr="00DD690F">
        <w:rPr>
          <w:sz w:val="24"/>
          <w:szCs w:val="24"/>
        </w:rPr>
        <w:t xml:space="preserve"> for limited types of </w:t>
      </w:r>
      <w:r w:rsidR="0097342C">
        <w:rPr>
          <w:sz w:val="24"/>
          <w:szCs w:val="24"/>
        </w:rPr>
        <w:t xml:space="preserve">alleged </w:t>
      </w:r>
      <w:r w:rsidR="00D75182" w:rsidRPr="00DD690F">
        <w:rPr>
          <w:sz w:val="24"/>
          <w:szCs w:val="24"/>
        </w:rPr>
        <w:t xml:space="preserve">misconduct by </w:t>
      </w:r>
      <w:r w:rsidR="00007AEF">
        <w:rPr>
          <w:sz w:val="24"/>
          <w:szCs w:val="24"/>
        </w:rPr>
        <w:t>a</w:t>
      </w:r>
      <w:r w:rsidR="00D75182" w:rsidRPr="00DD690F">
        <w:rPr>
          <w:sz w:val="24"/>
          <w:szCs w:val="24"/>
        </w:rPr>
        <w:t xml:space="preserve"> landlord.  A.R.S. § </w:t>
      </w:r>
      <w:r w:rsidR="00DD690F" w:rsidRPr="00DD690F">
        <w:rPr>
          <w:sz w:val="24"/>
          <w:szCs w:val="24"/>
        </w:rPr>
        <w:t xml:space="preserve">33-1343(D)(Abuse of access); </w:t>
      </w:r>
      <w:r w:rsidR="00D75182" w:rsidRPr="00DD690F">
        <w:rPr>
          <w:sz w:val="24"/>
          <w:szCs w:val="24"/>
        </w:rPr>
        <w:t xml:space="preserve"> </w:t>
      </w:r>
      <w:r w:rsidR="00DD690F" w:rsidRPr="00DD690F">
        <w:rPr>
          <w:sz w:val="24"/>
          <w:szCs w:val="24"/>
        </w:rPr>
        <w:t>A.R.S. § 33-1367 (</w:t>
      </w:r>
      <w:r w:rsidR="0097342C">
        <w:rPr>
          <w:sz w:val="24"/>
          <w:szCs w:val="24"/>
        </w:rPr>
        <w:t>U</w:t>
      </w:r>
      <w:r w:rsidR="00DD690F" w:rsidRPr="00DD690F">
        <w:rPr>
          <w:sz w:val="24"/>
          <w:szCs w:val="24"/>
        </w:rPr>
        <w:t xml:space="preserve">nlawful ouster, exclusion of essential services); </w:t>
      </w:r>
      <w:r w:rsidRPr="00DD690F">
        <w:rPr>
          <w:sz w:val="24"/>
          <w:szCs w:val="24"/>
        </w:rPr>
        <w:t xml:space="preserve"> </w:t>
      </w:r>
      <w:r w:rsidR="00DD690F" w:rsidRPr="00DD690F">
        <w:rPr>
          <w:sz w:val="24"/>
          <w:szCs w:val="24"/>
        </w:rPr>
        <w:t>A.R.S. § 33-1381(</w:t>
      </w:r>
      <w:r w:rsidR="0097342C">
        <w:rPr>
          <w:sz w:val="24"/>
          <w:szCs w:val="24"/>
        </w:rPr>
        <w:t>R</w:t>
      </w:r>
      <w:r w:rsidR="00DD690F" w:rsidRPr="00DD690F">
        <w:rPr>
          <w:sz w:val="24"/>
          <w:szCs w:val="24"/>
        </w:rPr>
        <w:t xml:space="preserve">etaliation).  </w:t>
      </w:r>
    </w:p>
    <w:p w14:paraId="22B94761" w14:textId="77777777" w:rsidR="00F70FA4" w:rsidRPr="00DD690F" w:rsidRDefault="00F70FA4">
      <w:pPr>
        <w:pStyle w:val="FootnoteText"/>
        <w:rPr>
          <w:sz w:val="24"/>
          <w:szCs w:val="24"/>
        </w:rPr>
      </w:pPr>
    </w:p>
  </w:footnote>
  <w:footnote w:id="11">
    <w:p w14:paraId="38F409D0" w14:textId="77777777" w:rsidR="00380E35" w:rsidRDefault="00380E35" w:rsidP="00380E35">
      <w:pPr>
        <w:pStyle w:val="FootnoteText"/>
        <w:jc w:val="both"/>
      </w:pPr>
      <w:r>
        <w:rPr>
          <w:rStyle w:val="FootnoteReference"/>
        </w:rPr>
        <w:footnoteRef/>
      </w:r>
      <w:r>
        <w:t xml:space="preserve"> </w:t>
      </w:r>
      <w:r w:rsidRPr="00BD26D4">
        <w:rPr>
          <w:sz w:val="24"/>
          <w:szCs w:val="24"/>
        </w:rPr>
        <w:t>A.R.S. §</w:t>
      </w:r>
      <w:r>
        <w:rPr>
          <w:sz w:val="24"/>
          <w:szCs w:val="24"/>
        </w:rPr>
        <w:t xml:space="preserve"> 33-1377(C)(Limits delays to 3 days in Justice Court and to 5 days in Superior Court)</w:t>
      </w:r>
      <w:r w:rsidR="00730A95">
        <w:rPr>
          <w:sz w:val="24"/>
          <w:szCs w:val="24"/>
        </w:rPr>
        <w:t>;</w:t>
      </w:r>
      <w:r w:rsidR="00911A13">
        <w:rPr>
          <w:sz w:val="24"/>
          <w:szCs w:val="24"/>
        </w:rPr>
        <w:t xml:space="preserve"> RPEA 11 (Limits delays in Justice Court to 3 days).   </w:t>
      </w:r>
      <w:r w:rsidR="00730A95">
        <w:rPr>
          <w:sz w:val="24"/>
          <w:szCs w:val="24"/>
        </w:rPr>
        <w:t xml:space="preserve"> </w:t>
      </w:r>
    </w:p>
    <w:p w14:paraId="05294589" w14:textId="77777777" w:rsidR="00380E35" w:rsidRDefault="00380E35" w:rsidP="00380E35">
      <w:pPr>
        <w:pStyle w:val="FootnoteText"/>
        <w:jc w:val="both"/>
      </w:pPr>
    </w:p>
  </w:footnote>
  <w:footnote w:id="12">
    <w:p w14:paraId="1B5D4B80" w14:textId="77777777" w:rsidR="00453F68" w:rsidRDefault="00453F68">
      <w:pPr>
        <w:pStyle w:val="FootnoteText"/>
      </w:pPr>
      <w:r>
        <w:rPr>
          <w:rStyle w:val="FootnoteReference"/>
        </w:rPr>
        <w:footnoteRef/>
      </w:r>
      <w:r>
        <w:t xml:space="preserve"> </w:t>
      </w:r>
      <w:r w:rsidRPr="00BD26D4">
        <w:rPr>
          <w:sz w:val="24"/>
          <w:szCs w:val="24"/>
        </w:rPr>
        <w:t>A.R.S. §</w:t>
      </w:r>
      <w:r>
        <w:rPr>
          <w:sz w:val="24"/>
          <w:szCs w:val="24"/>
        </w:rPr>
        <w:t xml:space="preserve"> 12-1178(A); 33-1377(F).</w:t>
      </w:r>
    </w:p>
  </w:footnote>
  <w:footnote w:id="13">
    <w:p w14:paraId="65261FDA" w14:textId="77777777" w:rsidR="00684713" w:rsidRDefault="00684713" w:rsidP="00684713">
      <w:pPr>
        <w:pStyle w:val="FootnoteText"/>
        <w:jc w:val="both"/>
        <w:rPr>
          <w:sz w:val="24"/>
          <w:szCs w:val="24"/>
          <w:shd w:val="clear" w:color="auto" w:fill="FFFFFF"/>
        </w:rPr>
      </w:pPr>
      <w:r>
        <w:rPr>
          <w:rStyle w:val="FootnoteReference"/>
        </w:rPr>
        <w:footnoteRef/>
      </w:r>
      <w:r>
        <w:t xml:space="preserve"> </w:t>
      </w:r>
      <w:r w:rsidR="00086727" w:rsidRPr="00086727">
        <w:rPr>
          <w:sz w:val="24"/>
          <w:szCs w:val="24"/>
        </w:rPr>
        <w:t>Larisa G. Bowman,</w:t>
      </w:r>
      <w:r w:rsidR="00086727">
        <w:rPr>
          <w:sz w:val="24"/>
          <w:szCs w:val="24"/>
          <w:shd w:val="clear" w:color="auto" w:fill="FFFFFF"/>
        </w:rPr>
        <w:t xml:space="preserve"> </w:t>
      </w:r>
      <w:r w:rsidR="00086727" w:rsidRPr="00086727">
        <w:rPr>
          <w:i/>
          <w:iCs/>
          <w:sz w:val="24"/>
          <w:szCs w:val="24"/>
          <w:shd w:val="clear" w:color="auto" w:fill="FFFFFF"/>
        </w:rPr>
        <w:t>Eviction Abolition</w:t>
      </w:r>
      <w:r w:rsidR="00086727">
        <w:rPr>
          <w:sz w:val="24"/>
          <w:szCs w:val="24"/>
          <w:shd w:val="clear" w:color="auto" w:fill="FFFFFF"/>
        </w:rPr>
        <w:t xml:space="preserve">, 55 Loyola Univ. Chicago L.J. 541, (Spring 2024); Kathryn R. Mason, </w:t>
      </w:r>
      <w:r w:rsidR="00086727" w:rsidRPr="00086727">
        <w:rPr>
          <w:i/>
          <w:iCs/>
          <w:sz w:val="24"/>
          <w:szCs w:val="24"/>
          <w:shd w:val="clear" w:color="auto" w:fill="FFFFFF"/>
        </w:rPr>
        <w:t>Housing Injustice and the Summary Eviction Process:  Beyond Lindsey v. Normet</w:t>
      </w:r>
      <w:r w:rsidR="00086727">
        <w:rPr>
          <w:sz w:val="24"/>
          <w:szCs w:val="24"/>
          <w:shd w:val="clear" w:color="auto" w:fill="FFFFFF"/>
        </w:rPr>
        <w:t xml:space="preserve">, 74 Okla. L. Rev. 391 (Spring 2022);  </w:t>
      </w:r>
      <w:r w:rsidR="00086727" w:rsidRPr="00086727">
        <w:rPr>
          <w:i/>
          <w:iCs/>
          <w:sz w:val="24"/>
          <w:szCs w:val="24"/>
          <w:shd w:val="clear" w:color="auto" w:fill="FFFFFF"/>
        </w:rPr>
        <w:t>See also</w:t>
      </w:r>
      <w:r w:rsidR="00086727">
        <w:rPr>
          <w:sz w:val="24"/>
          <w:szCs w:val="24"/>
          <w:shd w:val="clear" w:color="auto" w:fill="FFFFFF"/>
        </w:rPr>
        <w:t xml:space="preserve">, </w:t>
      </w:r>
      <w:r w:rsidRPr="00F530BD">
        <w:rPr>
          <w:sz w:val="24"/>
          <w:szCs w:val="24"/>
          <w:shd w:val="clear" w:color="auto" w:fill="FFFFFF"/>
        </w:rPr>
        <w:t>Gerald A. Williams &amp; Charles J. Adornetto, </w:t>
      </w:r>
      <w:r w:rsidRPr="00F530BD">
        <w:rPr>
          <w:rStyle w:val="Emphasis"/>
          <w:sz w:val="24"/>
          <w:szCs w:val="24"/>
          <w:shd w:val="clear" w:color="auto" w:fill="FFFFFF"/>
        </w:rPr>
        <w:t>Pandemic Residential Eviction Moratoriums:  An Analysis of Judicial Implementation and Recommendations for the Future</w:t>
      </w:r>
      <w:r w:rsidRPr="00F530BD">
        <w:rPr>
          <w:sz w:val="24"/>
          <w:szCs w:val="24"/>
          <w:shd w:val="clear" w:color="auto" w:fill="FFFFFF"/>
        </w:rPr>
        <w:t>, 54 Texas Tech L. Rev. 603</w:t>
      </w:r>
      <w:r>
        <w:rPr>
          <w:sz w:val="24"/>
          <w:szCs w:val="24"/>
          <w:shd w:val="clear" w:color="auto" w:fill="FFFFFF"/>
        </w:rPr>
        <w:t>, 643</w:t>
      </w:r>
      <w:r w:rsidRPr="00F530BD">
        <w:rPr>
          <w:sz w:val="24"/>
          <w:szCs w:val="24"/>
          <w:shd w:val="clear" w:color="auto" w:fill="FFFFFF"/>
        </w:rPr>
        <w:t xml:space="preserve"> (Summer 2022)</w:t>
      </w:r>
      <w:r>
        <w:rPr>
          <w:sz w:val="24"/>
          <w:szCs w:val="24"/>
          <w:shd w:val="clear" w:color="auto" w:fill="FFFFFF"/>
        </w:rPr>
        <w:t>(</w:t>
      </w:r>
      <w:r w:rsidRPr="002545E3">
        <w:rPr>
          <w:sz w:val="24"/>
          <w:szCs w:val="24"/>
        </w:rPr>
        <w:t>Authors urge caution in adopting policies to add requirements designed to make it more difficult</w:t>
      </w:r>
      <w:r w:rsidRPr="00F530BD">
        <w:rPr>
          <w:sz w:val="24"/>
          <w:szCs w:val="24"/>
        </w:rPr>
        <w:t xml:space="preserve"> to evict tenants because they can harm the tenant community in general.  For example, landlords unable to collect rent from some may be forced to raise rent for all.</w:t>
      </w:r>
      <w:r>
        <w:rPr>
          <w:sz w:val="24"/>
          <w:szCs w:val="24"/>
        </w:rPr>
        <w:t>);</w:t>
      </w:r>
      <w:r w:rsidRPr="00F530BD">
        <w:rPr>
          <w:sz w:val="24"/>
          <w:szCs w:val="24"/>
        </w:rPr>
        <w:t xml:space="preserve"> </w:t>
      </w:r>
      <w:r>
        <w:rPr>
          <w:sz w:val="24"/>
          <w:szCs w:val="24"/>
          <w:shd w:val="clear" w:color="auto" w:fill="FFFFFF"/>
        </w:rPr>
        <w:t xml:space="preserve">Joshua Kamali, </w:t>
      </w:r>
      <w:r w:rsidRPr="00F530BD">
        <w:rPr>
          <w:i/>
          <w:sz w:val="24"/>
          <w:szCs w:val="24"/>
          <w:shd w:val="clear" w:color="auto" w:fill="FFFFFF"/>
        </w:rPr>
        <w:t>Opinion: I believe in tenants’ rights.  But L.A. is pushing out small landlords like me</w:t>
      </w:r>
      <w:r>
        <w:rPr>
          <w:sz w:val="24"/>
          <w:szCs w:val="24"/>
          <w:shd w:val="clear" w:color="auto" w:fill="FFFFFF"/>
        </w:rPr>
        <w:t>, Los Angeles Times, Jan. 16, 2024.</w:t>
      </w:r>
    </w:p>
    <w:p w14:paraId="02A0CA70" w14:textId="77777777" w:rsidR="00684713" w:rsidRPr="00F530BD" w:rsidRDefault="00684713" w:rsidP="00684713">
      <w:pPr>
        <w:pStyle w:val="FootnoteText"/>
        <w:jc w:val="both"/>
        <w:rPr>
          <w:sz w:val="24"/>
          <w:szCs w:val="24"/>
        </w:rPr>
      </w:pPr>
      <w:r>
        <w:rPr>
          <w:sz w:val="24"/>
          <w:szCs w:val="24"/>
          <w:shd w:val="clear" w:color="auto" w:fill="FFFFFF"/>
        </w:rPr>
        <w:t xml:space="preserve">  </w:t>
      </w:r>
      <w:r w:rsidRPr="00F530BD">
        <w:rPr>
          <w:sz w:val="24"/>
          <w:szCs w:val="24"/>
          <w:shd w:val="clear" w:color="auto" w:fill="FFFFFF"/>
        </w:rPr>
        <w:t> </w:t>
      </w:r>
    </w:p>
  </w:footnote>
  <w:footnote w:id="14">
    <w:p w14:paraId="6D82CECD" w14:textId="77777777" w:rsidR="005D325A" w:rsidRDefault="005D325A">
      <w:pPr>
        <w:pStyle w:val="FootnoteText"/>
      </w:pPr>
      <w:r>
        <w:rPr>
          <w:rStyle w:val="FootnoteReference"/>
        </w:rPr>
        <w:footnoteRef/>
      </w:r>
      <w:r>
        <w:t xml:space="preserve"> </w:t>
      </w:r>
      <w:bookmarkStart w:id="2" w:name="_Hlk188657630"/>
      <w:r w:rsidR="00086727" w:rsidRPr="00B15C99">
        <w:rPr>
          <w:sz w:val="24"/>
          <w:szCs w:val="24"/>
        </w:rPr>
        <w:t>Petition</w:t>
      </w:r>
      <w:r w:rsidR="00086727" w:rsidRPr="00086727">
        <w:rPr>
          <w:sz w:val="24"/>
          <w:szCs w:val="24"/>
        </w:rPr>
        <w:t xml:space="preserve">, R-25-0020, </w:t>
      </w:r>
      <w:bookmarkEnd w:id="2"/>
      <w:r w:rsidR="00730F35">
        <w:rPr>
          <w:sz w:val="24"/>
          <w:szCs w:val="24"/>
        </w:rPr>
        <w:t>p</w:t>
      </w:r>
      <w:r w:rsidRPr="00086727">
        <w:rPr>
          <w:sz w:val="24"/>
          <w:szCs w:val="24"/>
        </w:rPr>
        <w:t>age 5.</w:t>
      </w:r>
      <w:r>
        <w:t xml:space="preserve">  </w:t>
      </w:r>
    </w:p>
    <w:p w14:paraId="4E447D71" w14:textId="77777777" w:rsidR="005D325A" w:rsidRDefault="005D325A">
      <w:pPr>
        <w:pStyle w:val="FootnoteText"/>
      </w:pPr>
    </w:p>
  </w:footnote>
  <w:footnote w:id="15">
    <w:p w14:paraId="348D4945" w14:textId="77777777" w:rsidR="007F4226" w:rsidRPr="007F4226" w:rsidRDefault="007F4226" w:rsidP="003943BB">
      <w:pPr>
        <w:pStyle w:val="FootnoteText"/>
        <w:jc w:val="both"/>
        <w:rPr>
          <w:sz w:val="24"/>
          <w:szCs w:val="24"/>
        </w:rPr>
      </w:pPr>
      <w:r>
        <w:rPr>
          <w:rStyle w:val="FootnoteReference"/>
        </w:rPr>
        <w:footnoteRef/>
      </w:r>
      <w:r>
        <w:t xml:space="preserve"> </w:t>
      </w:r>
      <w:r w:rsidRPr="007F4226">
        <w:rPr>
          <w:sz w:val="24"/>
          <w:szCs w:val="24"/>
        </w:rPr>
        <w:t>Senate Bill 1173</w:t>
      </w:r>
      <w:r w:rsidR="00076F13">
        <w:rPr>
          <w:sz w:val="24"/>
          <w:szCs w:val="24"/>
        </w:rPr>
        <w:t xml:space="preserve">, </w:t>
      </w:r>
      <w:bookmarkStart w:id="3" w:name="_Hlk188719673"/>
      <w:r w:rsidR="00076F13">
        <w:rPr>
          <w:sz w:val="24"/>
          <w:szCs w:val="24"/>
        </w:rPr>
        <w:t>57th Legislature, 1st Reg. Sess. (Ariz. 2025)</w:t>
      </w:r>
      <w:bookmarkEnd w:id="3"/>
      <w:r w:rsidRPr="007F4226">
        <w:rPr>
          <w:sz w:val="24"/>
          <w:szCs w:val="24"/>
        </w:rPr>
        <w:t>(Amends A.R.S. § 33-1368 to change the requirement for a landlord to give a five</w:t>
      </w:r>
      <w:r>
        <w:rPr>
          <w:sz w:val="24"/>
          <w:szCs w:val="24"/>
        </w:rPr>
        <w:t>-</w:t>
      </w:r>
      <w:r w:rsidRPr="007F4226">
        <w:rPr>
          <w:sz w:val="24"/>
          <w:szCs w:val="24"/>
        </w:rPr>
        <w:t>day notice for nonpayment of rent to a 15</w:t>
      </w:r>
      <w:r w:rsidR="005D325A">
        <w:rPr>
          <w:sz w:val="24"/>
          <w:szCs w:val="24"/>
        </w:rPr>
        <w:t>-</w:t>
      </w:r>
      <w:r w:rsidRPr="007F4226">
        <w:rPr>
          <w:sz w:val="24"/>
          <w:szCs w:val="24"/>
        </w:rPr>
        <w:t>day notice)</w:t>
      </w:r>
      <w:r>
        <w:rPr>
          <w:sz w:val="24"/>
          <w:szCs w:val="24"/>
        </w:rPr>
        <w:t xml:space="preserve">; </w:t>
      </w:r>
      <w:r w:rsidR="003943BB">
        <w:rPr>
          <w:sz w:val="24"/>
          <w:szCs w:val="24"/>
        </w:rPr>
        <w:t>Senate Bill 1172</w:t>
      </w:r>
      <w:r w:rsidR="00076F13">
        <w:rPr>
          <w:sz w:val="24"/>
          <w:szCs w:val="24"/>
        </w:rPr>
        <w:t>, 57th Legislature, 1st Reg. Sess. (Ariz. 2025)</w:t>
      </w:r>
      <w:r w:rsidR="003943BB">
        <w:rPr>
          <w:sz w:val="24"/>
          <w:szCs w:val="24"/>
        </w:rPr>
        <w:t xml:space="preserve"> (</w:t>
      </w:r>
      <w:r w:rsidR="003943BB" w:rsidRPr="007F4226">
        <w:rPr>
          <w:sz w:val="24"/>
          <w:szCs w:val="24"/>
        </w:rPr>
        <w:t xml:space="preserve">Amends A.R.S. § </w:t>
      </w:r>
      <w:r w:rsidR="003943BB">
        <w:rPr>
          <w:sz w:val="24"/>
          <w:szCs w:val="24"/>
        </w:rPr>
        <w:t xml:space="preserve">33-1371 to require a landlord to accept partial payment of rent); </w:t>
      </w:r>
      <w:r>
        <w:rPr>
          <w:sz w:val="24"/>
          <w:szCs w:val="24"/>
        </w:rPr>
        <w:t>Senate Bill 1176</w:t>
      </w:r>
      <w:r w:rsidR="00076F13">
        <w:rPr>
          <w:sz w:val="24"/>
          <w:szCs w:val="24"/>
        </w:rPr>
        <w:t>, 57th Legislature, 1st Reg. Sess. (Ariz. 2025)</w:t>
      </w:r>
      <w:r>
        <w:rPr>
          <w:sz w:val="24"/>
          <w:szCs w:val="24"/>
        </w:rPr>
        <w:t>(</w:t>
      </w:r>
      <w:r w:rsidR="003943BB">
        <w:rPr>
          <w:sz w:val="24"/>
          <w:szCs w:val="24"/>
        </w:rPr>
        <w:t xml:space="preserve">Appropriates $25 million to the housing trust fund).   </w:t>
      </w:r>
    </w:p>
  </w:footnote>
  <w:footnote w:id="16">
    <w:p w14:paraId="2B40A127" w14:textId="77777777" w:rsidR="00730F35" w:rsidRDefault="00730F35">
      <w:pPr>
        <w:pStyle w:val="FootnoteText"/>
      </w:pPr>
      <w:r>
        <w:rPr>
          <w:rStyle w:val="FootnoteReference"/>
        </w:rPr>
        <w:footnoteRef/>
      </w:r>
      <w:r>
        <w:t xml:space="preserve"> </w:t>
      </w:r>
      <w:bookmarkStart w:id="4" w:name="_Hlk188715101"/>
      <w:r w:rsidRPr="00730F35">
        <w:rPr>
          <w:sz w:val="24"/>
          <w:szCs w:val="24"/>
        </w:rPr>
        <w:t>Petition, R-25-0020, page 8.</w:t>
      </w:r>
    </w:p>
    <w:bookmarkEnd w:id="4"/>
    <w:p w14:paraId="69731AC6" w14:textId="77777777" w:rsidR="00730F35" w:rsidRDefault="00730F35">
      <w:pPr>
        <w:pStyle w:val="FootnoteText"/>
      </w:pPr>
    </w:p>
  </w:footnote>
  <w:footnote w:id="17">
    <w:p w14:paraId="7FD71450" w14:textId="77777777" w:rsidR="0012031C" w:rsidRPr="00595831" w:rsidRDefault="0012031C" w:rsidP="00595831">
      <w:pPr>
        <w:pStyle w:val="FootnoteText"/>
        <w:jc w:val="both"/>
        <w:rPr>
          <w:i/>
          <w:iCs/>
        </w:rPr>
      </w:pPr>
      <w:r>
        <w:rPr>
          <w:rStyle w:val="FootnoteReference"/>
        </w:rPr>
        <w:footnoteRef/>
      </w:r>
      <w:r>
        <w:t xml:space="preserve">  </w:t>
      </w:r>
      <w:r w:rsidRPr="00395F70">
        <w:rPr>
          <w:sz w:val="24"/>
          <w:szCs w:val="24"/>
        </w:rPr>
        <w:t>50 U.S.C. § 3951</w:t>
      </w:r>
      <w:r>
        <w:rPr>
          <w:sz w:val="24"/>
          <w:szCs w:val="24"/>
        </w:rPr>
        <w:t>(b)</w:t>
      </w:r>
      <w:r w:rsidR="00595831">
        <w:rPr>
          <w:sz w:val="24"/>
          <w:szCs w:val="24"/>
        </w:rPr>
        <w:t xml:space="preserve">; </w:t>
      </w:r>
      <w:r w:rsidR="00595831" w:rsidRPr="00595831">
        <w:rPr>
          <w:i/>
          <w:iCs/>
          <w:sz w:val="24"/>
          <w:szCs w:val="24"/>
        </w:rPr>
        <w:t>See also</w:t>
      </w:r>
      <w:r w:rsidR="00595831">
        <w:rPr>
          <w:sz w:val="24"/>
          <w:szCs w:val="24"/>
        </w:rPr>
        <w:t xml:space="preserve">, William G. Montgomery and Gerald A. Williams, </w:t>
      </w:r>
      <w:r w:rsidR="00595831" w:rsidRPr="00595831">
        <w:rPr>
          <w:i/>
          <w:iCs/>
          <w:sz w:val="24"/>
          <w:szCs w:val="24"/>
        </w:rPr>
        <w:t>With Most Courts Allowing Remote Appearances, Does a Military Member’s Service Still Materially Effect Their Access to Courtrooms?</w:t>
      </w:r>
      <w:r w:rsidR="00595831">
        <w:rPr>
          <w:sz w:val="24"/>
          <w:szCs w:val="24"/>
        </w:rPr>
        <w:t xml:space="preserve"> – Tex. A&amp;M L. Rev. – (To be published Summer 2025)</w:t>
      </w:r>
      <w:r w:rsidR="002356E1">
        <w:rPr>
          <w:sz w:val="24"/>
          <w:szCs w:val="24"/>
        </w:rPr>
        <w:t xml:space="preserve">(One section discusses residential evictions).  </w:t>
      </w:r>
      <w:r w:rsidR="00595831">
        <w:rPr>
          <w:sz w:val="24"/>
          <w:szCs w:val="24"/>
        </w:rPr>
        <w:t xml:space="preserve">   </w:t>
      </w:r>
      <w:r w:rsidR="00595831" w:rsidRPr="00595831">
        <w:rPr>
          <w:i/>
          <w:iCs/>
          <w:sz w:val="24"/>
          <w:szCs w:val="24"/>
        </w:rPr>
        <w:t xml:space="preserve"> </w:t>
      </w:r>
      <w:r w:rsidRPr="00595831">
        <w:rPr>
          <w:i/>
          <w:iCs/>
          <w:sz w:val="24"/>
          <w:szCs w:val="24"/>
        </w:rPr>
        <w:t xml:space="preserve">  </w:t>
      </w:r>
    </w:p>
    <w:p w14:paraId="793340F6" w14:textId="77777777" w:rsidR="0012031C" w:rsidRDefault="0012031C" w:rsidP="00595831">
      <w:pPr>
        <w:pStyle w:val="FootnoteText"/>
        <w:jc w:val="both"/>
      </w:pPr>
    </w:p>
  </w:footnote>
  <w:footnote w:id="18">
    <w:p w14:paraId="3E501FF8" w14:textId="77777777" w:rsidR="003325E7" w:rsidRPr="00BD26D4" w:rsidRDefault="003325E7" w:rsidP="003325E7">
      <w:pPr>
        <w:pStyle w:val="FootnoteText"/>
        <w:rPr>
          <w:sz w:val="24"/>
          <w:szCs w:val="24"/>
        </w:rPr>
      </w:pPr>
      <w:r>
        <w:rPr>
          <w:rStyle w:val="FootnoteReference"/>
        </w:rPr>
        <w:footnoteRef/>
      </w:r>
      <w:r>
        <w:t xml:space="preserve"> </w:t>
      </w:r>
      <w:r w:rsidRPr="00BD26D4">
        <w:rPr>
          <w:sz w:val="24"/>
          <w:szCs w:val="24"/>
        </w:rPr>
        <w:t xml:space="preserve">A.R.S. § 22-206(A) </w:t>
      </w:r>
    </w:p>
    <w:p w14:paraId="22E737A6" w14:textId="77777777" w:rsidR="003325E7" w:rsidRPr="00BD26D4" w:rsidRDefault="003325E7" w:rsidP="003325E7">
      <w:pPr>
        <w:pStyle w:val="FootnoteText"/>
        <w:rPr>
          <w:sz w:val="24"/>
          <w:szCs w:val="24"/>
        </w:rPr>
      </w:pPr>
    </w:p>
  </w:footnote>
  <w:footnote w:id="19">
    <w:p w14:paraId="1B4EAAE2" w14:textId="77777777" w:rsidR="003325E7" w:rsidRDefault="003325E7" w:rsidP="003325E7">
      <w:pPr>
        <w:pStyle w:val="FootnoteText"/>
      </w:pPr>
      <w:r>
        <w:rPr>
          <w:rStyle w:val="FootnoteReference"/>
        </w:rPr>
        <w:footnoteRef/>
      </w:r>
      <w:r>
        <w:t xml:space="preserve"> </w:t>
      </w:r>
      <w:r w:rsidRPr="00BD26D4">
        <w:rPr>
          <w:sz w:val="24"/>
          <w:szCs w:val="24"/>
        </w:rPr>
        <w:t>RPEA 6(a)(4).</w:t>
      </w:r>
      <w:r>
        <w:t xml:space="preserve"> </w:t>
      </w:r>
    </w:p>
    <w:p w14:paraId="33FE4FD5" w14:textId="77777777" w:rsidR="003325E7" w:rsidRDefault="003325E7" w:rsidP="003325E7">
      <w:pPr>
        <w:pStyle w:val="FootnoteText"/>
      </w:pPr>
    </w:p>
  </w:footnote>
  <w:footnote w:id="20">
    <w:p w14:paraId="3E496CE7" w14:textId="77777777" w:rsidR="003325E7" w:rsidRPr="00BD26D4" w:rsidRDefault="003325E7" w:rsidP="003325E7">
      <w:pPr>
        <w:pStyle w:val="FootnoteText"/>
        <w:jc w:val="both"/>
        <w:rPr>
          <w:sz w:val="24"/>
          <w:szCs w:val="24"/>
        </w:rPr>
      </w:pPr>
      <w:r>
        <w:rPr>
          <w:rStyle w:val="FootnoteReference"/>
        </w:rPr>
        <w:footnoteRef/>
      </w:r>
      <w:r>
        <w:t xml:space="preserve"> </w:t>
      </w:r>
      <w:r w:rsidRPr="00BD26D4">
        <w:rPr>
          <w:sz w:val="24"/>
          <w:szCs w:val="24"/>
        </w:rPr>
        <w:t xml:space="preserve">In the Matter of: Adoption and Implementation of Plan B Workgroup Recommendations as Presumptive Standards for Remote and In-Person Hearings, Ariz. S.Ct. Admin. Order 2022-88 (Aug. 3, 2022); In The Matter of the Adoption and Implementation of Presumptive Standards for Remote and In-Person Hearings for Justice Courts in Maricopa County, Maricopa County Admin. Order 2022-119 (Sep. 20, 2022). </w:t>
      </w:r>
    </w:p>
    <w:p w14:paraId="21E3C18C" w14:textId="77777777" w:rsidR="003325E7" w:rsidRDefault="003325E7" w:rsidP="003325E7">
      <w:pPr>
        <w:pStyle w:val="FootnoteText"/>
      </w:pPr>
    </w:p>
  </w:footnote>
  <w:footnote w:id="21">
    <w:p w14:paraId="3984D35A" w14:textId="77777777" w:rsidR="003325E7" w:rsidRPr="00BD26D4" w:rsidRDefault="003325E7" w:rsidP="003325E7">
      <w:pPr>
        <w:pStyle w:val="FootnoteText"/>
        <w:jc w:val="both"/>
        <w:rPr>
          <w:sz w:val="24"/>
          <w:szCs w:val="24"/>
        </w:rPr>
      </w:pPr>
      <w:r>
        <w:rPr>
          <w:rStyle w:val="FootnoteReference"/>
        </w:rPr>
        <w:footnoteRef/>
      </w:r>
      <w:r>
        <w:t xml:space="preserve"> </w:t>
      </w:r>
      <w:r w:rsidRPr="00BD26D4">
        <w:rPr>
          <w:sz w:val="24"/>
          <w:szCs w:val="24"/>
        </w:rPr>
        <w:t xml:space="preserve">Hon. Samuel A. Thumma, et. al., </w:t>
      </w:r>
      <w:r w:rsidRPr="00BD26D4">
        <w:rPr>
          <w:i/>
          <w:sz w:val="24"/>
          <w:szCs w:val="24"/>
        </w:rPr>
        <w:t>Post-Pandemic Recommendations:  COVID-19 Continuity of Court Operations During a Public Health Emergency Workgroup</w:t>
      </w:r>
      <w:r w:rsidRPr="00BD26D4">
        <w:rPr>
          <w:sz w:val="24"/>
          <w:szCs w:val="24"/>
        </w:rPr>
        <w:t xml:space="preserve">, 75 SMU L. Rev 1, 18-19 (Jan 2022).  The quote is from the report of the Plan B Workgroup.  Manistee Justice of the Peace (Maricopa County) Donald Watts served on that workgroup.   </w:t>
      </w:r>
    </w:p>
    <w:p w14:paraId="37AD0614" w14:textId="77777777" w:rsidR="003325E7" w:rsidRPr="00BD26D4" w:rsidRDefault="003325E7" w:rsidP="003325E7">
      <w:pPr>
        <w:pStyle w:val="FootnoteText"/>
        <w:jc w:val="both"/>
        <w:rPr>
          <w:sz w:val="24"/>
          <w:szCs w:val="24"/>
        </w:rPr>
      </w:pPr>
    </w:p>
  </w:footnote>
  <w:footnote w:id="22">
    <w:p w14:paraId="03CEF3B4" w14:textId="77777777" w:rsidR="00957A80" w:rsidRDefault="00957A80" w:rsidP="00957A80">
      <w:pPr>
        <w:pStyle w:val="FootnoteText"/>
        <w:rPr>
          <w:sz w:val="24"/>
          <w:szCs w:val="24"/>
        </w:rPr>
      </w:pPr>
      <w:r>
        <w:rPr>
          <w:rStyle w:val="FootnoteReference"/>
        </w:rPr>
        <w:footnoteRef/>
      </w:r>
      <w:r>
        <w:t xml:space="preserve"> </w:t>
      </w:r>
      <w:r w:rsidRPr="00730F35">
        <w:rPr>
          <w:sz w:val="24"/>
          <w:szCs w:val="24"/>
        </w:rPr>
        <w:t xml:space="preserve">Petition, R-25-0020, page </w:t>
      </w:r>
      <w:r>
        <w:rPr>
          <w:sz w:val="24"/>
          <w:szCs w:val="24"/>
        </w:rPr>
        <w:t>6</w:t>
      </w:r>
      <w:r w:rsidRPr="00730F35">
        <w:rPr>
          <w:sz w:val="24"/>
          <w:szCs w:val="24"/>
        </w:rPr>
        <w:t>.</w:t>
      </w:r>
    </w:p>
    <w:p w14:paraId="3567E9FA" w14:textId="77777777" w:rsidR="00957A80" w:rsidRDefault="00957A80" w:rsidP="00957A80">
      <w:pPr>
        <w:pStyle w:val="FootnoteText"/>
      </w:pPr>
    </w:p>
    <w:p w14:paraId="6E87EE64" w14:textId="77777777" w:rsidR="00957A80" w:rsidRDefault="00957A80">
      <w:pPr>
        <w:pStyle w:val="FootnoteText"/>
      </w:pPr>
    </w:p>
  </w:footnote>
  <w:footnote w:id="23">
    <w:p w14:paraId="6FD1529C" w14:textId="77777777" w:rsidR="00957A80" w:rsidRDefault="00957A80">
      <w:pPr>
        <w:pStyle w:val="FootnoteText"/>
      </w:pPr>
      <w:r>
        <w:rPr>
          <w:rStyle w:val="FootnoteReference"/>
        </w:rPr>
        <w:footnoteRef/>
      </w:r>
      <w:r>
        <w:t xml:space="preserve"> </w:t>
      </w:r>
      <w:r w:rsidRPr="00957A80">
        <w:rPr>
          <w:i/>
          <w:iCs/>
          <w:sz w:val="24"/>
          <w:szCs w:val="24"/>
        </w:rPr>
        <w:t>Id.</w:t>
      </w:r>
      <w:r>
        <w:t xml:space="preserve"> </w:t>
      </w:r>
    </w:p>
    <w:p w14:paraId="4C5B143F" w14:textId="77777777" w:rsidR="002F58AE" w:rsidRDefault="002F58AE">
      <w:pPr>
        <w:pStyle w:val="FootnoteText"/>
      </w:pPr>
    </w:p>
  </w:footnote>
  <w:footnote w:id="24">
    <w:p w14:paraId="5D248C2D" w14:textId="77777777" w:rsidR="006A3A49" w:rsidRDefault="002F58AE" w:rsidP="002F58AE">
      <w:pPr>
        <w:pStyle w:val="FootnoteText"/>
        <w:jc w:val="both"/>
        <w:rPr>
          <w:sz w:val="24"/>
          <w:szCs w:val="24"/>
        </w:rPr>
      </w:pPr>
      <w:r>
        <w:rPr>
          <w:rStyle w:val="FootnoteReference"/>
        </w:rPr>
        <w:footnoteRef/>
      </w:r>
      <w:r>
        <w:t xml:space="preserve"> </w:t>
      </w:r>
      <w:r w:rsidRPr="00002B50">
        <w:rPr>
          <w:sz w:val="24"/>
          <w:szCs w:val="24"/>
        </w:rPr>
        <w:t>“</w:t>
      </w:r>
      <w:r w:rsidRPr="00002B50">
        <w:rPr>
          <w:color w:val="1F1F1F"/>
          <w:sz w:val="24"/>
          <w:szCs w:val="24"/>
          <w:shd w:val="clear" w:color="auto" w:fill="FFFFFF"/>
        </w:rPr>
        <w:t xml:space="preserve">If there is a breach that is both material and irreparable and that occurs on the premises,” which includes, but is not limited to criminal conduct, “the landlord may deliver a written notice for immediate termination of the rental agreement.”  </w:t>
      </w:r>
      <w:r w:rsidRPr="00002B50">
        <w:rPr>
          <w:sz w:val="24"/>
          <w:szCs w:val="24"/>
        </w:rPr>
        <w:t>A.R.S. § 33-1368(A).</w:t>
      </w:r>
      <w:r w:rsidR="00974A07" w:rsidRPr="00002B50">
        <w:rPr>
          <w:sz w:val="24"/>
          <w:szCs w:val="24"/>
        </w:rPr>
        <w:t xml:space="preserve"> </w:t>
      </w:r>
      <w:r w:rsidR="00002B50" w:rsidRPr="00002B50">
        <w:rPr>
          <w:sz w:val="24"/>
          <w:szCs w:val="24"/>
        </w:rPr>
        <w:t>Even if the tenant fails to appear, a</w:t>
      </w:r>
      <w:r w:rsidR="00974A07" w:rsidRPr="00002B50">
        <w:rPr>
          <w:sz w:val="24"/>
          <w:szCs w:val="24"/>
        </w:rPr>
        <w:t xml:space="preserve"> judge cannot sign a judgment</w:t>
      </w:r>
      <w:r w:rsidR="00002B50" w:rsidRPr="00002B50">
        <w:rPr>
          <w:sz w:val="24"/>
          <w:szCs w:val="24"/>
        </w:rPr>
        <w:t xml:space="preserve"> in an eviction action requesting immediate possession without evidence from a witness called by the landlord.  RPEA 13(b)(3)(B)(Immediate evictions require a hearing).</w:t>
      </w:r>
      <w:r w:rsidR="00002B50">
        <w:rPr>
          <w:sz w:val="24"/>
          <w:szCs w:val="24"/>
        </w:rPr>
        <w:t xml:space="preserve">  </w:t>
      </w:r>
    </w:p>
    <w:p w14:paraId="5E228BA3" w14:textId="77777777" w:rsidR="002F58AE" w:rsidRPr="002F58AE" w:rsidRDefault="00974A07" w:rsidP="002F58AE">
      <w:pPr>
        <w:pStyle w:val="FootnoteText"/>
        <w:jc w:val="both"/>
        <w:rPr>
          <w:sz w:val="24"/>
          <w:szCs w:val="24"/>
        </w:rPr>
      </w:pPr>
      <w:r>
        <w:rPr>
          <w:sz w:val="24"/>
          <w:szCs w:val="24"/>
        </w:rPr>
        <w:t xml:space="preserve">  </w:t>
      </w:r>
    </w:p>
  </w:footnote>
  <w:footnote w:id="25">
    <w:p w14:paraId="6E53DEA1" w14:textId="77777777" w:rsidR="006A3A49" w:rsidRDefault="006A3A49">
      <w:pPr>
        <w:pStyle w:val="FootnoteText"/>
      </w:pPr>
      <w:r>
        <w:rPr>
          <w:rStyle w:val="FootnoteReference"/>
        </w:rPr>
        <w:footnoteRef/>
      </w:r>
      <w:r>
        <w:t xml:space="preserve"> “</w:t>
      </w:r>
      <w:r w:rsidRPr="006A3A49">
        <w:rPr>
          <w:color w:val="1F1F1F"/>
          <w:sz w:val="24"/>
          <w:szCs w:val="24"/>
          <w:shd w:val="clear" w:color="auto" w:fill="FFFFFF"/>
        </w:rPr>
        <w:t>If the court determines that a defense or proper counterclaim may exist, the court shall order a trial on the merits.”</w:t>
      </w:r>
      <w:r>
        <w:rPr>
          <w:color w:val="1F1F1F"/>
          <w:sz w:val="24"/>
          <w:szCs w:val="24"/>
          <w:shd w:val="clear" w:color="auto" w:fill="FFFFFF"/>
        </w:rPr>
        <w:t xml:space="preserve">  </w:t>
      </w:r>
      <w:r w:rsidRPr="006A3A49">
        <w:rPr>
          <w:sz w:val="24"/>
          <w:szCs w:val="24"/>
        </w:rPr>
        <w:t>RPEA 11(c)(1)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01B"/>
    <w:multiLevelType w:val="hybridMultilevel"/>
    <w:tmpl w:val="E4B6A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29036C"/>
    <w:multiLevelType w:val="hybridMultilevel"/>
    <w:tmpl w:val="D3120D48"/>
    <w:lvl w:ilvl="0" w:tplc="4B767536">
      <w:start w:val="1"/>
      <w:numFmt w:val="lowerLetter"/>
      <w:lvlText w:val="%1."/>
      <w:lvlJc w:val="left"/>
      <w:pPr>
        <w:ind w:left="1095" w:hanging="375"/>
      </w:pPr>
      <w:rPr>
        <w:rFonts w:hint="default"/>
      </w:rPr>
    </w:lvl>
    <w:lvl w:ilvl="1" w:tplc="F4FADBFA">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E05685"/>
    <w:multiLevelType w:val="hybridMultilevel"/>
    <w:tmpl w:val="651C47A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EE6DA2"/>
    <w:multiLevelType w:val="hybridMultilevel"/>
    <w:tmpl w:val="97B0A1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65F20"/>
    <w:multiLevelType w:val="hybridMultilevel"/>
    <w:tmpl w:val="EC0881C8"/>
    <w:lvl w:ilvl="0" w:tplc="1634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27833"/>
    <w:multiLevelType w:val="hybridMultilevel"/>
    <w:tmpl w:val="A16C2C76"/>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5C558E"/>
    <w:multiLevelType w:val="hybridMultilevel"/>
    <w:tmpl w:val="3048884C"/>
    <w:lvl w:ilvl="0" w:tplc="8758BD5E">
      <w:start w:val="1"/>
      <w:numFmt w:val="lowerLetter"/>
      <w:lvlText w:val="%1."/>
      <w:lvlJc w:val="left"/>
      <w:pPr>
        <w:ind w:left="1080" w:hanging="360"/>
      </w:pPr>
      <w:rPr>
        <w:rFonts w:hint="default"/>
      </w:rPr>
    </w:lvl>
    <w:lvl w:ilvl="1" w:tplc="60480E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E77900"/>
    <w:multiLevelType w:val="hybridMultilevel"/>
    <w:tmpl w:val="0A548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633DBA"/>
    <w:multiLevelType w:val="hybridMultilevel"/>
    <w:tmpl w:val="5240D2D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510D2A"/>
    <w:multiLevelType w:val="hybridMultilevel"/>
    <w:tmpl w:val="EE2EFA8A"/>
    <w:lvl w:ilvl="0" w:tplc="224C1CF4">
      <w:start w:val="1"/>
      <w:numFmt w:val="decimal"/>
      <w:lvlText w:val="%1."/>
      <w:lvlJc w:val="left"/>
      <w:pPr>
        <w:ind w:left="720" w:hanging="360"/>
      </w:pPr>
      <w:rPr>
        <w:rFonts w:eastAsia="Calibri"/>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83D496B"/>
    <w:multiLevelType w:val="hybridMultilevel"/>
    <w:tmpl w:val="579EDAE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ED7AC1"/>
    <w:multiLevelType w:val="hybridMultilevel"/>
    <w:tmpl w:val="28280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FDA4578"/>
    <w:multiLevelType w:val="hybridMultilevel"/>
    <w:tmpl w:val="9050EB16"/>
    <w:lvl w:ilvl="0" w:tplc="78D0477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1E1A29"/>
    <w:multiLevelType w:val="hybridMultilevel"/>
    <w:tmpl w:val="BA62AF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17447"/>
    <w:multiLevelType w:val="hybridMultilevel"/>
    <w:tmpl w:val="070009A4"/>
    <w:lvl w:ilvl="0" w:tplc="8758BD5E">
      <w:start w:val="1"/>
      <w:numFmt w:val="lowerLetter"/>
      <w:lvlText w:val="%1."/>
      <w:lvlJc w:val="left"/>
      <w:pPr>
        <w:ind w:left="1080" w:hanging="360"/>
      </w:pPr>
      <w:rPr>
        <w:rFonts w:hint="default"/>
      </w:rPr>
    </w:lvl>
    <w:lvl w:ilvl="1" w:tplc="44CE04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3925330">
    <w:abstractNumId w:val="12"/>
    <w:lvlOverride w:ilvl="0"/>
    <w:lvlOverride w:ilvl="1"/>
    <w:lvlOverride w:ilvl="2"/>
    <w:lvlOverride w:ilvl="3"/>
    <w:lvlOverride w:ilvl="4"/>
    <w:lvlOverride w:ilvl="5"/>
    <w:lvlOverride w:ilvl="6"/>
    <w:lvlOverride w:ilvl="7"/>
    <w:lvlOverride w:ilvl="8"/>
  </w:num>
  <w:num w:numId="2" w16cid:durableId="20086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207351">
    <w:abstractNumId w:val="0"/>
    <w:lvlOverride w:ilvl="0"/>
    <w:lvlOverride w:ilvl="1"/>
    <w:lvlOverride w:ilvl="2"/>
    <w:lvlOverride w:ilvl="3"/>
    <w:lvlOverride w:ilvl="4"/>
    <w:lvlOverride w:ilvl="5"/>
    <w:lvlOverride w:ilvl="6"/>
    <w:lvlOverride w:ilvl="7"/>
    <w:lvlOverride w:ilvl="8"/>
  </w:num>
  <w:num w:numId="4" w16cid:durableId="140852516">
    <w:abstractNumId w:val="5"/>
  </w:num>
  <w:num w:numId="5" w16cid:durableId="1600524466">
    <w:abstractNumId w:val="11"/>
  </w:num>
  <w:num w:numId="6" w16cid:durableId="551504058">
    <w:abstractNumId w:val="0"/>
  </w:num>
  <w:num w:numId="7" w16cid:durableId="1108695781">
    <w:abstractNumId w:val="14"/>
  </w:num>
  <w:num w:numId="8" w16cid:durableId="1309939886">
    <w:abstractNumId w:val="2"/>
  </w:num>
  <w:num w:numId="9" w16cid:durableId="1881817046">
    <w:abstractNumId w:val="9"/>
  </w:num>
  <w:num w:numId="10" w16cid:durableId="970479206">
    <w:abstractNumId w:val="6"/>
  </w:num>
  <w:num w:numId="11" w16cid:durableId="1202210644">
    <w:abstractNumId w:val="15"/>
  </w:num>
  <w:num w:numId="12" w16cid:durableId="920062768">
    <w:abstractNumId w:val="13"/>
  </w:num>
  <w:num w:numId="13" w16cid:durableId="1937979777">
    <w:abstractNumId w:val="3"/>
  </w:num>
  <w:num w:numId="14" w16cid:durableId="1514757550">
    <w:abstractNumId w:val="7"/>
  </w:num>
  <w:num w:numId="15" w16cid:durableId="750584488">
    <w:abstractNumId w:val="4"/>
  </w:num>
  <w:num w:numId="16" w16cid:durableId="5913562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6871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35"/>
    <w:rsid w:val="00002B50"/>
    <w:rsid w:val="0000727F"/>
    <w:rsid w:val="00007AEF"/>
    <w:rsid w:val="000121C2"/>
    <w:rsid w:val="00013822"/>
    <w:rsid w:val="00015E6E"/>
    <w:rsid w:val="0002214E"/>
    <w:rsid w:val="000233B8"/>
    <w:rsid w:val="00024896"/>
    <w:rsid w:val="00031FE5"/>
    <w:rsid w:val="00032414"/>
    <w:rsid w:val="000340B4"/>
    <w:rsid w:val="00036607"/>
    <w:rsid w:val="00036878"/>
    <w:rsid w:val="000415C6"/>
    <w:rsid w:val="00046562"/>
    <w:rsid w:val="00054726"/>
    <w:rsid w:val="000565FE"/>
    <w:rsid w:val="00060959"/>
    <w:rsid w:val="00061DCC"/>
    <w:rsid w:val="000624A3"/>
    <w:rsid w:val="00064B92"/>
    <w:rsid w:val="0007151D"/>
    <w:rsid w:val="00073137"/>
    <w:rsid w:val="0007328A"/>
    <w:rsid w:val="00076F13"/>
    <w:rsid w:val="0007727F"/>
    <w:rsid w:val="00077E1F"/>
    <w:rsid w:val="00080F58"/>
    <w:rsid w:val="00086727"/>
    <w:rsid w:val="00091711"/>
    <w:rsid w:val="00092957"/>
    <w:rsid w:val="000934DD"/>
    <w:rsid w:val="000938EA"/>
    <w:rsid w:val="00093C06"/>
    <w:rsid w:val="00095CEE"/>
    <w:rsid w:val="000A1DA2"/>
    <w:rsid w:val="000A2BD2"/>
    <w:rsid w:val="000A7FBD"/>
    <w:rsid w:val="000B1A60"/>
    <w:rsid w:val="000B7ABD"/>
    <w:rsid w:val="000B7E2C"/>
    <w:rsid w:val="000C1526"/>
    <w:rsid w:val="000C2398"/>
    <w:rsid w:val="000C3B4D"/>
    <w:rsid w:val="000C49E5"/>
    <w:rsid w:val="000D1FEC"/>
    <w:rsid w:val="000D5393"/>
    <w:rsid w:val="000D5D3D"/>
    <w:rsid w:val="000D61EF"/>
    <w:rsid w:val="000E2910"/>
    <w:rsid w:val="000E36BF"/>
    <w:rsid w:val="000E45CE"/>
    <w:rsid w:val="000F0C46"/>
    <w:rsid w:val="000F158E"/>
    <w:rsid w:val="000F2014"/>
    <w:rsid w:val="000F2B07"/>
    <w:rsid w:val="000F2C1D"/>
    <w:rsid w:val="000F4951"/>
    <w:rsid w:val="000F503F"/>
    <w:rsid w:val="000F562C"/>
    <w:rsid w:val="000F573A"/>
    <w:rsid w:val="00106210"/>
    <w:rsid w:val="0010736A"/>
    <w:rsid w:val="0011008B"/>
    <w:rsid w:val="0011064A"/>
    <w:rsid w:val="0012031C"/>
    <w:rsid w:val="00124363"/>
    <w:rsid w:val="001301E4"/>
    <w:rsid w:val="0013060F"/>
    <w:rsid w:val="001329A5"/>
    <w:rsid w:val="00132CF8"/>
    <w:rsid w:val="00134E5F"/>
    <w:rsid w:val="001413B6"/>
    <w:rsid w:val="00143FA9"/>
    <w:rsid w:val="00146214"/>
    <w:rsid w:val="00146222"/>
    <w:rsid w:val="00153E22"/>
    <w:rsid w:val="00156497"/>
    <w:rsid w:val="001569F6"/>
    <w:rsid w:val="0015705B"/>
    <w:rsid w:val="00160D85"/>
    <w:rsid w:val="0016309B"/>
    <w:rsid w:val="001646E5"/>
    <w:rsid w:val="00165D1A"/>
    <w:rsid w:val="001735B6"/>
    <w:rsid w:val="00175B37"/>
    <w:rsid w:val="001764C3"/>
    <w:rsid w:val="001813F4"/>
    <w:rsid w:val="00182485"/>
    <w:rsid w:val="00193A26"/>
    <w:rsid w:val="00193C20"/>
    <w:rsid w:val="001A323C"/>
    <w:rsid w:val="001A3BB4"/>
    <w:rsid w:val="001A5C9A"/>
    <w:rsid w:val="001A7549"/>
    <w:rsid w:val="001B1DC6"/>
    <w:rsid w:val="001B2B50"/>
    <w:rsid w:val="001C032C"/>
    <w:rsid w:val="001C5542"/>
    <w:rsid w:val="001C5B5E"/>
    <w:rsid w:val="001C6603"/>
    <w:rsid w:val="001C794F"/>
    <w:rsid w:val="001D1914"/>
    <w:rsid w:val="001D2C99"/>
    <w:rsid w:val="001D3289"/>
    <w:rsid w:val="001D3CE7"/>
    <w:rsid w:val="001D6ADB"/>
    <w:rsid w:val="001E55E6"/>
    <w:rsid w:val="001E7B4D"/>
    <w:rsid w:val="001F063B"/>
    <w:rsid w:val="001F6159"/>
    <w:rsid w:val="001F6574"/>
    <w:rsid w:val="001F709C"/>
    <w:rsid w:val="002013FD"/>
    <w:rsid w:val="0020194B"/>
    <w:rsid w:val="00202591"/>
    <w:rsid w:val="002036F4"/>
    <w:rsid w:val="002077A5"/>
    <w:rsid w:val="002117B8"/>
    <w:rsid w:val="00211B47"/>
    <w:rsid w:val="00221F1A"/>
    <w:rsid w:val="002223AA"/>
    <w:rsid w:val="0022300D"/>
    <w:rsid w:val="0022697F"/>
    <w:rsid w:val="00230115"/>
    <w:rsid w:val="00230BB6"/>
    <w:rsid w:val="00230C24"/>
    <w:rsid w:val="00230D04"/>
    <w:rsid w:val="00234F85"/>
    <w:rsid w:val="002356E1"/>
    <w:rsid w:val="00237486"/>
    <w:rsid w:val="002377CB"/>
    <w:rsid w:val="00240477"/>
    <w:rsid w:val="002443C1"/>
    <w:rsid w:val="00244464"/>
    <w:rsid w:val="00246DE8"/>
    <w:rsid w:val="002513CF"/>
    <w:rsid w:val="00252987"/>
    <w:rsid w:val="00252D1D"/>
    <w:rsid w:val="00257FA0"/>
    <w:rsid w:val="00262D32"/>
    <w:rsid w:val="00264D76"/>
    <w:rsid w:val="00265458"/>
    <w:rsid w:val="00265CD9"/>
    <w:rsid w:val="0027066D"/>
    <w:rsid w:val="00271CA0"/>
    <w:rsid w:val="00272694"/>
    <w:rsid w:val="00273AAB"/>
    <w:rsid w:val="00274374"/>
    <w:rsid w:val="00274D02"/>
    <w:rsid w:val="00276080"/>
    <w:rsid w:val="00276B65"/>
    <w:rsid w:val="00281072"/>
    <w:rsid w:val="002814B3"/>
    <w:rsid w:val="0028252F"/>
    <w:rsid w:val="0028462E"/>
    <w:rsid w:val="002926BB"/>
    <w:rsid w:val="00295963"/>
    <w:rsid w:val="002A0398"/>
    <w:rsid w:val="002A0AD3"/>
    <w:rsid w:val="002A3E31"/>
    <w:rsid w:val="002A6416"/>
    <w:rsid w:val="002A6C95"/>
    <w:rsid w:val="002B1AB8"/>
    <w:rsid w:val="002B2747"/>
    <w:rsid w:val="002B2C8C"/>
    <w:rsid w:val="002B7F77"/>
    <w:rsid w:val="002C16CC"/>
    <w:rsid w:val="002C4BDD"/>
    <w:rsid w:val="002C6A9E"/>
    <w:rsid w:val="002D00E5"/>
    <w:rsid w:val="002D2F69"/>
    <w:rsid w:val="002D62C5"/>
    <w:rsid w:val="002D767C"/>
    <w:rsid w:val="002E16EA"/>
    <w:rsid w:val="002F0B69"/>
    <w:rsid w:val="002F4154"/>
    <w:rsid w:val="002F57B7"/>
    <w:rsid w:val="002F58AE"/>
    <w:rsid w:val="002F644B"/>
    <w:rsid w:val="002F6BEF"/>
    <w:rsid w:val="0030150D"/>
    <w:rsid w:val="003015BA"/>
    <w:rsid w:val="0030325B"/>
    <w:rsid w:val="00304105"/>
    <w:rsid w:val="00313E27"/>
    <w:rsid w:val="003168B1"/>
    <w:rsid w:val="003212B0"/>
    <w:rsid w:val="0032620F"/>
    <w:rsid w:val="003325E7"/>
    <w:rsid w:val="00335D1C"/>
    <w:rsid w:val="00340DE6"/>
    <w:rsid w:val="00341EDC"/>
    <w:rsid w:val="003455D1"/>
    <w:rsid w:val="00350145"/>
    <w:rsid w:val="00350BC7"/>
    <w:rsid w:val="003548E7"/>
    <w:rsid w:val="003603F7"/>
    <w:rsid w:val="00360BD0"/>
    <w:rsid w:val="003631A1"/>
    <w:rsid w:val="003659E1"/>
    <w:rsid w:val="003743D3"/>
    <w:rsid w:val="00374439"/>
    <w:rsid w:val="00375939"/>
    <w:rsid w:val="00376834"/>
    <w:rsid w:val="00380E35"/>
    <w:rsid w:val="00385448"/>
    <w:rsid w:val="003855AE"/>
    <w:rsid w:val="00387C08"/>
    <w:rsid w:val="00392BDA"/>
    <w:rsid w:val="003943BB"/>
    <w:rsid w:val="003A34EA"/>
    <w:rsid w:val="003B0D30"/>
    <w:rsid w:val="003B7FE6"/>
    <w:rsid w:val="003D0B15"/>
    <w:rsid w:val="003D121E"/>
    <w:rsid w:val="003D6F37"/>
    <w:rsid w:val="003D73BB"/>
    <w:rsid w:val="003E7287"/>
    <w:rsid w:val="003F3FCC"/>
    <w:rsid w:val="0040490C"/>
    <w:rsid w:val="004056A6"/>
    <w:rsid w:val="00406E79"/>
    <w:rsid w:val="00411A98"/>
    <w:rsid w:val="00435E4D"/>
    <w:rsid w:val="00437395"/>
    <w:rsid w:val="0044024D"/>
    <w:rsid w:val="00441C27"/>
    <w:rsid w:val="00442778"/>
    <w:rsid w:val="0044397B"/>
    <w:rsid w:val="00447F89"/>
    <w:rsid w:val="00452EAF"/>
    <w:rsid w:val="00453F68"/>
    <w:rsid w:val="0046088B"/>
    <w:rsid w:val="00461BD4"/>
    <w:rsid w:val="00462006"/>
    <w:rsid w:val="00465797"/>
    <w:rsid w:val="00470251"/>
    <w:rsid w:val="0047189F"/>
    <w:rsid w:val="004730BF"/>
    <w:rsid w:val="004801D8"/>
    <w:rsid w:val="00481330"/>
    <w:rsid w:val="00491A43"/>
    <w:rsid w:val="0049201B"/>
    <w:rsid w:val="00492743"/>
    <w:rsid w:val="00493798"/>
    <w:rsid w:val="00495A52"/>
    <w:rsid w:val="004976E8"/>
    <w:rsid w:val="004A3C32"/>
    <w:rsid w:val="004A5AF9"/>
    <w:rsid w:val="004A7A6B"/>
    <w:rsid w:val="004B2096"/>
    <w:rsid w:val="004B23B6"/>
    <w:rsid w:val="004B5662"/>
    <w:rsid w:val="004B5FD4"/>
    <w:rsid w:val="004C2725"/>
    <w:rsid w:val="004D343F"/>
    <w:rsid w:val="004E02F6"/>
    <w:rsid w:val="004E192E"/>
    <w:rsid w:val="004E4DB3"/>
    <w:rsid w:val="004F111D"/>
    <w:rsid w:val="004F15D9"/>
    <w:rsid w:val="004F1F4F"/>
    <w:rsid w:val="004F7B94"/>
    <w:rsid w:val="00500EC5"/>
    <w:rsid w:val="00501C55"/>
    <w:rsid w:val="00504D6D"/>
    <w:rsid w:val="00506628"/>
    <w:rsid w:val="00514DB3"/>
    <w:rsid w:val="00517144"/>
    <w:rsid w:val="005202B9"/>
    <w:rsid w:val="005209BA"/>
    <w:rsid w:val="005213F3"/>
    <w:rsid w:val="00521FF8"/>
    <w:rsid w:val="005304B7"/>
    <w:rsid w:val="00532135"/>
    <w:rsid w:val="00536CFF"/>
    <w:rsid w:val="00540308"/>
    <w:rsid w:val="00542F30"/>
    <w:rsid w:val="005471CD"/>
    <w:rsid w:val="005511F7"/>
    <w:rsid w:val="005516E1"/>
    <w:rsid w:val="0055317C"/>
    <w:rsid w:val="005610CE"/>
    <w:rsid w:val="00563631"/>
    <w:rsid w:val="00566BE6"/>
    <w:rsid w:val="005708E5"/>
    <w:rsid w:val="0057173E"/>
    <w:rsid w:val="00573E5E"/>
    <w:rsid w:val="005757EF"/>
    <w:rsid w:val="005843D5"/>
    <w:rsid w:val="00590E6B"/>
    <w:rsid w:val="005925AC"/>
    <w:rsid w:val="00592DEF"/>
    <w:rsid w:val="005938CB"/>
    <w:rsid w:val="00595831"/>
    <w:rsid w:val="005A3EBE"/>
    <w:rsid w:val="005A57AC"/>
    <w:rsid w:val="005A5EB6"/>
    <w:rsid w:val="005B029F"/>
    <w:rsid w:val="005B0A52"/>
    <w:rsid w:val="005B2419"/>
    <w:rsid w:val="005B31CF"/>
    <w:rsid w:val="005B37BE"/>
    <w:rsid w:val="005C46F3"/>
    <w:rsid w:val="005C4BBA"/>
    <w:rsid w:val="005C6A7E"/>
    <w:rsid w:val="005D325A"/>
    <w:rsid w:val="005D4F45"/>
    <w:rsid w:val="005D63FF"/>
    <w:rsid w:val="005E2349"/>
    <w:rsid w:val="005E3123"/>
    <w:rsid w:val="005E52A8"/>
    <w:rsid w:val="005F085A"/>
    <w:rsid w:val="005F1C9D"/>
    <w:rsid w:val="005F6C2B"/>
    <w:rsid w:val="00602601"/>
    <w:rsid w:val="00603BEF"/>
    <w:rsid w:val="00603E04"/>
    <w:rsid w:val="00606891"/>
    <w:rsid w:val="00612193"/>
    <w:rsid w:val="006122C1"/>
    <w:rsid w:val="00622999"/>
    <w:rsid w:val="006315FF"/>
    <w:rsid w:val="00631DD0"/>
    <w:rsid w:val="00636012"/>
    <w:rsid w:val="0063640C"/>
    <w:rsid w:val="00637045"/>
    <w:rsid w:val="0064408F"/>
    <w:rsid w:val="006460F6"/>
    <w:rsid w:val="00650AD5"/>
    <w:rsid w:val="006524E0"/>
    <w:rsid w:val="0065277C"/>
    <w:rsid w:val="006570F8"/>
    <w:rsid w:val="00663F5C"/>
    <w:rsid w:val="006645FD"/>
    <w:rsid w:val="00666797"/>
    <w:rsid w:val="00674653"/>
    <w:rsid w:val="0068007D"/>
    <w:rsid w:val="006845EE"/>
    <w:rsid w:val="00684713"/>
    <w:rsid w:val="006855D4"/>
    <w:rsid w:val="0068572A"/>
    <w:rsid w:val="00686882"/>
    <w:rsid w:val="00687DB5"/>
    <w:rsid w:val="00690A7C"/>
    <w:rsid w:val="00690E79"/>
    <w:rsid w:val="00691D20"/>
    <w:rsid w:val="00691E90"/>
    <w:rsid w:val="00693CC4"/>
    <w:rsid w:val="00696CE3"/>
    <w:rsid w:val="006A168A"/>
    <w:rsid w:val="006A3A49"/>
    <w:rsid w:val="006A7070"/>
    <w:rsid w:val="006A78C5"/>
    <w:rsid w:val="006B51B7"/>
    <w:rsid w:val="006C06B5"/>
    <w:rsid w:val="006C0D1B"/>
    <w:rsid w:val="006C38A1"/>
    <w:rsid w:val="006C62CC"/>
    <w:rsid w:val="006D171D"/>
    <w:rsid w:val="006D789A"/>
    <w:rsid w:val="006E186C"/>
    <w:rsid w:val="006E2CC7"/>
    <w:rsid w:val="006E315A"/>
    <w:rsid w:val="006E4981"/>
    <w:rsid w:val="006E4F07"/>
    <w:rsid w:val="006F7E4A"/>
    <w:rsid w:val="0070308A"/>
    <w:rsid w:val="00704A24"/>
    <w:rsid w:val="00705ED8"/>
    <w:rsid w:val="00706BDA"/>
    <w:rsid w:val="00707105"/>
    <w:rsid w:val="00710D7A"/>
    <w:rsid w:val="00710DC0"/>
    <w:rsid w:val="00710E2C"/>
    <w:rsid w:val="0071112B"/>
    <w:rsid w:val="00711520"/>
    <w:rsid w:val="007115A2"/>
    <w:rsid w:val="00711D03"/>
    <w:rsid w:val="007126A3"/>
    <w:rsid w:val="00714719"/>
    <w:rsid w:val="00714DB6"/>
    <w:rsid w:val="00716925"/>
    <w:rsid w:val="0072252D"/>
    <w:rsid w:val="007228D2"/>
    <w:rsid w:val="00723068"/>
    <w:rsid w:val="0072385E"/>
    <w:rsid w:val="00723EAC"/>
    <w:rsid w:val="007258BD"/>
    <w:rsid w:val="0072795A"/>
    <w:rsid w:val="00727B69"/>
    <w:rsid w:val="00730A95"/>
    <w:rsid w:val="00730F35"/>
    <w:rsid w:val="0073193C"/>
    <w:rsid w:val="00735D16"/>
    <w:rsid w:val="0074674C"/>
    <w:rsid w:val="007501CE"/>
    <w:rsid w:val="00753A74"/>
    <w:rsid w:val="007566CF"/>
    <w:rsid w:val="00757412"/>
    <w:rsid w:val="0076018B"/>
    <w:rsid w:val="00760B4E"/>
    <w:rsid w:val="00763B8B"/>
    <w:rsid w:val="00767B4B"/>
    <w:rsid w:val="00767D90"/>
    <w:rsid w:val="007701C1"/>
    <w:rsid w:val="007703D8"/>
    <w:rsid w:val="00770A5B"/>
    <w:rsid w:val="00775AAF"/>
    <w:rsid w:val="00776305"/>
    <w:rsid w:val="007818AC"/>
    <w:rsid w:val="00782A4B"/>
    <w:rsid w:val="00782F20"/>
    <w:rsid w:val="00783068"/>
    <w:rsid w:val="007914F0"/>
    <w:rsid w:val="0079218D"/>
    <w:rsid w:val="00792B08"/>
    <w:rsid w:val="0079373C"/>
    <w:rsid w:val="00796EDC"/>
    <w:rsid w:val="007A3B6F"/>
    <w:rsid w:val="007A5F5F"/>
    <w:rsid w:val="007B219E"/>
    <w:rsid w:val="007B570B"/>
    <w:rsid w:val="007B679B"/>
    <w:rsid w:val="007C099E"/>
    <w:rsid w:val="007C2C22"/>
    <w:rsid w:val="007C3F24"/>
    <w:rsid w:val="007C4EB0"/>
    <w:rsid w:val="007C5EBD"/>
    <w:rsid w:val="007C6BDD"/>
    <w:rsid w:val="007C7132"/>
    <w:rsid w:val="007C76C8"/>
    <w:rsid w:val="007D3233"/>
    <w:rsid w:val="007D403F"/>
    <w:rsid w:val="007D5EFC"/>
    <w:rsid w:val="007D65E2"/>
    <w:rsid w:val="007E1FC6"/>
    <w:rsid w:val="007E66F3"/>
    <w:rsid w:val="007E79B1"/>
    <w:rsid w:val="007F0FF0"/>
    <w:rsid w:val="007F38F3"/>
    <w:rsid w:val="007F4226"/>
    <w:rsid w:val="007F576E"/>
    <w:rsid w:val="0080173F"/>
    <w:rsid w:val="00801C89"/>
    <w:rsid w:val="0080484A"/>
    <w:rsid w:val="00807CA5"/>
    <w:rsid w:val="008105B6"/>
    <w:rsid w:val="008106B8"/>
    <w:rsid w:val="00814BF8"/>
    <w:rsid w:val="00816203"/>
    <w:rsid w:val="00817489"/>
    <w:rsid w:val="00817D75"/>
    <w:rsid w:val="008217B7"/>
    <w:rsid w:val="00822941"/>
    <w:rsid w:val="008273D0"/>
    <w:rsid w:val="0083391F"/>
    <w:rsid w:val="008349F6"/>
    <w:rsid w:val="008357E9"/>
    <w:rsid w:val="00840F69"/>
    <w:rsid w:val="00844BB5"/>
    <w:rsid w:val="008464D1"/>
    <w:rsid w:val="00854A98"/>
    <w:rsid w:val="00856ED8"/>
    <w:rsid w:val="00860217"/>
    <w:rsid w:val="00867078"/>
    <w:rsid w:val="00872339"/>
    <w:rsid w:val="008748B9"/>
    <w:rsid w:val="008751B5"/>
    <w:rsid w:val="00875AC8"/>
    <w:rsid w:val="00875D09"/>
    <w:rsid w:val="00883715"/>
    <w:rsid w:val="00883A0A"/>
    <w:rsid w:val="00884A32"/>
    <w:rsid w:val="00884A8E"/>
    <w:rsid w:val="00892343"/>
    <w:rsid w:val="008926DE"/>
    <w:rsid w:val="00892738"/>
    <w:rsid w:val="00892E50"/>
    <w:rsid w:val="008962F5"/>
    <w:rsid w:val="008A1A24"/>
    <w:rsid w:val="008B408F"/>
    <w:rsid w:val="008B78AC"/>
    <w:rsid w:val="008C11A1"/>
    <w:rsid w:val="008C25AD"/>
    <w:rsid w:val="008C4169"/>
    <w:rsid w:val="008D015D"/>
    <w:rsid w:val="008D3C9D"/>
    <w:rsid w:val="008D43F4"/>
    <w:rsid w:val="008D47C9"/>
    <w:rsid w:val="008D67A0"/>
    <w:rsid w:val="008E24A4"/>
    <w:rsid w:val="008E368D"/>
    <w:rsid w:val="008E5271"/>
    <w:rsid w:val="008F0CE7"/>
    <w:rsid w:val="008F2233"/>
    <w:rsid w:val="008F59CB"/>
    <w:rsid w:val="008F61C7"/>
    <w:rsid w:val="008F6F7E"/>
    <w:rsid w:val="008F71B9"/>
    <w:rsid w:val="00903A16"/>
    <w:rsid w:val="00906FF0"/>
    <w:rsid w:val="00907F0C"/>
    <w:rsid w:val="00911A13"/>
    <w:rsid w:val="00913540"/>
    <w:rsid w:val="00914148"/>
    <w:rsid w:val="009142FF"/>
    <w:rsid w:val="009149B5"/>
    <w:rsid w:val="009203AD"/>
    <w:rsid w:val="00920A71"/>
    <w:rsid w:val="00922F5E"/>
    <w:rsid w:val="009240FB"/>
    <w:rsid w:val="00927302"/>
    <w:rsid w:val="00932E0B"/>
    <w:rsid w:val="009401DF"/>
    <w:rsid w:val="0094116C"/>
    <w:rsid w:val="00947D4A"/>
    <w:rsid w:val="009500BA"/>
    <w:rsid w:val="009508CF"/>
    <w:rsid w:val="009510E2"/>
    <w:rsid w:val="00951806"/>
    <w:rsid w:val="00955BB6"/>
    <w:rsid w:val="00957A80"/>
    <w:rsid w:val="009619E8"/>
    <w:rsid w:val="0096672E"/>
    <w:rsid w:val="00966F68"/>
    <w:rsid w:val="009732E3"/>
    <w:rsid w:val="0097342C"/>
    <w:rsid w:val="00974A07"/>
    <w:rsid w:val="009751AC"/>
    <w:rsid w:val="00977A61"/>
    <w:rsid w:val="00980938"/>
    <w:rsid w:val="00982ADE"/>
    <w:rsid w:val="009833F6"/>
    <w:rsid w:val="00984E23"/>
    <w:rsid w:val="00987604"/>
    <w:rsid w:val="00990316"/>
    <w:rsid w:val="00990D2C"/>
    <w:rsid w:val="00993595"/>
    <w:rsid w:val="00994657"/>
    <w:rsid w:val="009978D1"/>
    <w:rsid w:val="009A0EA5"/>
    <w:rsid w:val="009A1943"/>
    <w:rsid w:val="009A5C4A"/>
    <w:rsid w:val="009A7CA6"/>
    <w:rsid w:val="009B2779"/>
    <w:rsid w:val="009B4D67"/>
    <w:rsid w:val="009B563F"/>
    <w:rsid w:val="009C2766"/>
    <w:rsid w:val="009C293E"/>
    <w:rsid w:val="009C3290"/>
    <w:rsid w:val="009C385E"/>
    <w:rsid w:val="009C3DDA"/>
    <w:rsid w:val="009C4B09"/>
    <w:rsid w:val="009C7B75"/>
    <w:rsid w:val="009D211B"/>
    <w:rsid w:val="009D49FF"/>
    <w:rsid w:val="009D60C2"/>
    <w:rsid w:val="009D690A"/>
    <w:rsid w:val="009E1BC3"/>
    <w:rsid w:val="009E20B4"/>
    <w:rsid w:val="009E395B"/>
    <w:rsid w:val="009E4C5C"/>
    <w:rsid w:val="009F66D3"/>
    <w:rsid w:val="00A02AED"/>
    <w:rsid w:val="00A10222"/>
    <w:rsid w:val="00A10C9D"/>
    <w:rsid w:val="00A12CF5"/>
    <w:rsid w:val="00A131CC"/>
    <w:rsid w:val="00A1321C"/>
    <w:rsid w:val="00A13E3E"/>
    <w:rsid w:val="00A24D89"/>
    <w:rsid w:val="00A30A36"/>
    <w:rsid w:val="00A3212F"/>
    <w:rsid w:val="00A35EFF"/>
    <w:rsid w:val="00A36208"/>
    <w:rsid w:val="00A37F92"/>
    <w:rsid w:val="00A43537"/>
    <w:rsid w:val="00A43E69"/>
    <w:rsid w:val="00A464B4"/>
    <w:rsid w:val="00A51946"/>
    <w:rsid w:val="00A54BE0"/>
    <w:rsid w:val="00A565A0"/>
    <w:rsid w:val="00A565CC"/>
    <w:rsid w:val="00A57D12"/>
    <w:rsid w:val="00A57DBC"/>
    <w:rsid w:val="00A57FC7"/>
    <w:rsid w:val="00A7021B"/>
    <w:rsid w:val="00A72535"/>
    <w:rsid w:val="00A7450C"/>
    <w:rsid w:val="00A74C97"/>
    <w:rsid w:val="00A762C3"/>
    <w:rsid w:val="00A826A3"/>
    <w:rsid w:val="00A8369D"/>
    <w:rsid w:val="00A8373B"/>
    <w:rsid w:val="00A860AD"/>
    <w:rsid w:val="00A8614E"/>
    <w:rsid w:val="00A876CC"/>
    <w:rsid w:val="00A934F4"/>
    <w:rsid w:val="00A935CD"/>
    <w:rsid w:val="00A95EED"/>
    <w:rsid w:val="00A96555"/>
    <w:rsid w:val="00AA15F7"/>
    <w:rsid w:val="00AA26ED"/>
    <w:rsid w:val="00AA28D9"/>
    <w:rsid w:val="00AA4BB6"/>
    <w:rsid w:val="00AA5978"/>
    <w:rsid w:val="00AA5E3A"/>
    <w:rsid w:val="00AA60CB"/>
    <w:rsid w:val="00AB1D5D"/>
    <w:rsid w:val="00AB309C"/>
    <w:rsid w:val="00AB7A59"/>
    <w:rsid w:val="00AB7F0F"/>
    <w:rsid w:val="00AC221F"/>
    <w:rsid w:val="00AC31F9"/>
    <w:rsid w:val="00AC3C44"/>
    <w:rsid w:val="00AC3C6E"/>
    <w:rsid w:val="00AC4F7A"/>
    <w:rsid w:val="00AD095B"/>
    <w:rsid w:val="00AD210D"/>
    <w:rsid w:val="00AE055F"/>
    <w:rsid w:val="00AE05BC"/>
    <w:rsid w:val="00AE491C"/>
    <w:rsid w:val="00AE6457"/>
    <w:rsid w:val="00AF240F"/>
    <w:rsid w:val="00AF257B"/>
    <w:rsid w:val="00AF5C93"/>
    <w:rsid w:val="00B00207"/>
    <w:rsid w:val="00B013E1"/>
    <w:rsid w:val="00B03004"/>
    <w:rsid w:val="00B03C8F"/>
    <w:rsid w:val="00B10222"/>
    <w:rsid w:val="00B14988"/>
    <w:rsid w:val="00B15C99"/>
    <w:rsid w:val="00B1628B"/>
    <w:rsid w:val="00B17348"/>
    <w:rsid w:val="00B179A2"/>
    <w:rsid w:val="00B2330A"/>
    <w:rsid w:val="00B24591"/>
    <w:rsid w:val="00B2557E"/>
    <w:rsid w:val="00B303E7"/>
    <w:rsid w:val="00B30F47"/>
    <w:rsid w:val="00B33DA0"/>
    <w:rsid w:val="00B33F22"/>
    <w:rsid w:val="00B350FE"/>
    <w:rsid w:val="00B36DAD"/>
    <w:rsid w:val="00B40CFE"/>
    <w:rsid w:val="00B42B18"/>
    <w:rsid w:val="00B4328E"/>
    <w:rsid w:val="00B43643"/>
    <w:rsid w:val="00B44094"/>
    <w:rsid w:val="00B442A8"/>
    <w:rsid w:val="00B44BA2"/>
    <w:rsid w:val="00B450F6"/>
    <w:rsid w:val="00B46B97"/>
    <w:rsid w:val="00B478F3"/>
    <w:rsid w:val="00B55827"/>
    <w:rsid w:val="00B609B7"/>
    <w:rsid w:val="00B61DB8"/>
    <w:rsid w:val="00B661FF"/>
    <w:rsid w:val="00B66658"/>
    <w:rsid w:val="00B676E0"/>
    <w:rsid w:val="00B72590"/>
    <w:rsid w:val="00B72E94"/>
    <w:rsid w:val="00B74523"/>
    <w:rsid w:val="00B867E7"/>
    <w:rsid w:val="00B92C72"/>
    <w:rsid w:val="00B938C4"/>
    <w:rsid w:val="00B96733"/>
    <w:rsid w:val="00B969F1"/>
    <w:rsid w:val="00B96B56"/>
    <w:rsid w:val="00B97D16"/>
    <w:rsid w:val="00BA1510"/>
    <w:rsid w:val="00BA1A91"/>
    <w:rsid w:val="00BA7B18"/>
    <w:rsid w:val="00BB03F3"/>
    <w:rsid w:val="00BB212F"/>
    <w:rsid w:val="00BB6B41"/>
    <w:rsid w:val="00BC0570"/>
    <w:rsid w:val="00BC3B5F"/>
    <w:rsid w:val="00BD26D4"/>
    <w:rsid w:val="00BD412E"/>
    <w:rsid w:val="00BD5F4D"/>
    <w:rsid w:val="00BE0D4C"/>
    <w:rsid w:val="00BE4A73"/>
    <w:rsid w:val="00BF537F"/>
    <w:rsid w:val="00BF59FA"/>
    <w:rsid w:val="00C01C91"/>
    <w:rsid w:val="00C04FFA"/>
    <w:rsid w:val="00C10288"/>
    <w:rsid w:val="00C10AAF"/>
    <w:rsid w:val="00C10EA9"/>
    <w:rsid w:val="00C20427"/>
    <w:rsid w:val="00C229EB"/>
    <w:rsid w:val="00C25096"/>
    <w:rsid w:val="00C31A71"/>
    <w:rsid w:val="00C32152"/>
    <w:rsid w:val="00C32235"/>
    <w:rsid w:val="00C342A5"/>
    <w:rsid w:val="00C3430B"/>
    <w:rsid w:val="00C35038"/>
    <w:rsid w:val="00C44DFF"/>
    <w:rsid w:val="00C50DCB"/>
    <w:rsid w:val="00C5741D"/>
    <w:rsid w:val="00C6025A"/>
    <w:rsid w:val="00C64D05"/>
    <w:rsid w:val="00C67B54"/>
    <w:rsid w:val="00C71099"/>
    <w:rsid w:val="00C712EE"/>
    <w:rsid w:val="00C72695"/>
    <w:rsid w:val="00C75355"/>
    <w:rsid w:val="00C80996"/>
    <w:rsid w:val="00C81003"/>
    <w:rsid w:val="00C81685"/>
    <w:rsid w:val="00C846A5"/>
    <w:rsid w:val="00C91AEE"/>
    <w:rsid w:val="00C946E8"/>
    <w:rsid w:val="00C9509E"/>
    <w:rsid w:val="00C95AFD"/>
    <w:rsid w:val="00C9627B"/>
    <w:rsid w:val="00CA110A"/>
    <w:rsid w:val="00CA3868"/>
    <w:rsid w:val="00CA6399"/>
    <w:rsid w:val="00CC5E05"/>
    <w:rsid w:val="00CD00B7"/>
    <w:rsid w:val="00CD06AC"/>
    <w:rsid w:val="00CD6869"/>
    <w:rsid w:val="00CE203A"/>
    <w:rsid w:val="00CE275E"/>
    <w:rsid w:val="00CE3ED2"/>
    <w:rsid w:val="00CE418F"/>
    <w:rsid w:val="00CE5DB6"/>
    <w:rsid w:val="00CE7616"/>
    <w:rsid w:val="00CF02EC"/>
    <w:rsid w:val="00CF6E77"/>
    <w:rsid w:val="00D036E4"/>
    <w:rsid w:val="00D041E1"/>
    <w:rsid w:val="00D10BAA"/>
    <w:rsid w:val="00D13F70"/>
    <w:rsid w:val="00D211F9"/>
    <w:rsid w:val="00D236E4"/>
    <w:rsid w:val="00D24DAD"/>
    <w:rsid w:val="00D2622C"/>
    <w:rsid w:val="00D277C2"/>
    <w:rsid w:val="00D32156"/>
    <w:rsid w:val="00D322CD"/>
    <w:rsid w:val="00D324A4"/>
    <w:rsid w:val="00D32DFA"/>
    <w:rsid w:val="00D34F90"/>
    <w:rsid w:val="00D376FF"/>
    <w:rsid w:val="00D40372"/>
    <w:rsid w:val="00D4115D"/>
    <w:rsid w:val="00D42435"/>
    <w:rsid w:val="00D47BCD"/>
    <w:rsid w:val="00D516F4"/>
    <w:rsid w:val="00D51DDC"/>
    <w:rsid w:val="00D5268C"/>
    <w:rsid w:val="00D538B6"/>
    <w:rsid w:val="00D53E81"/>
    <w:rsid w:val="00D63E38"/>
    <w:rsid w:val="00D64585"/>
    <w:rsid w:val="00D678E4"/>
    <w:rsid w:val="00D700C1"/>
    <w:rsid w:val="00D74454"/>
    <w:rsid w:val="00D74D76"/>
    <w:rsid w:val="00D75182"/>
    <w:rsid w:val="00D7676A"/>
    <w:rsid w:val="00D8204A"/>
    <w:rsid w:val="00D83F06"/>
    <w:rsid w:val="00D842EA"/>
    <w:rsid w:val="00D85A28"/>
    <w:rsid w:val="00D86055"/>
    <w:rsid w:val="00D91311"/>
    <w:rsid w:val="00D916EC"/>
    <w:rsid w:val="00D91898"/>
    <w:rsid w:val="00D93795"/>
    <w:rsid w:val="00D95F9D"/>
    <w:rsid w:val="00D963E1"/>
    <w:rsid w:val="00DA389B"/>
    <w:rsid w:val="00DA3A13"/>
    <w:rsid w:val="00DA4D71"/>
    <w:rsid w:val="00DA60C0"/>
    <w:rsid w:val="00DA73B4"/>
    <w:rsid w:val="00DB374D"/>
    <w:rsid w:val="00DC3CEA"/>
    <w:rsid w:val="00DC45A1"/>
    <w:rsid w:val="00DC5507"/>
    <w:rsid w:val="00DC5C8C"/>
    <w:rsid w:val="00DC6B3D"/>
    <w:rsid w:val="00DD0E6B"/>
    <w:rsid w:val="00DD1CDF"/>
    <w:rsid w:val="00DD690F"/>
    <w:rsid w:val="00DE0716"/>
    <w:rsid w:val="00DE1205"/>
    <w:rsid w:val="00DE3C07"/>
    <w:rsid w:val="00DE52BD"/>
    <w:rsid w:val="00DF04D7"/>
    <w:rsid w:val="00DF0C05"/>
    <w:rsid w:val="00DF4448"/>
    <w:rsid w:val="00DF5830"/>
    <w:rsid w:val="00DF7091"/>
    <w:rsid w:val="00E018E0"/>
    <w:rsid w:val="00E03427"/>
    <w:rsid w:val="00E039A7"/>
    <w:rsid w:val="00E0541F"/>
    <w:rsid w:val="00E10879"/>
    <w:rsid w:val="00E11B4C"/>
    <w:rsid w:val="00E13D96"/>
    <w:rsid w:val="00E16DBB"/>
    <w:rsid w:val="00E16F0F"/>
    <w:rsid w:val="00E17B52"/>
    <w:rsid w:val="00E24F9C"/>
    <w:rsid w:val="00E25895"/>
    <w:rsid w:val="00E258F2"/>
    <w:rsid w:val="00E261F5"/>
    <w:rsid w:val="00E268FC"/>
    <w:rsid w:val="00E27AD9"/>
    <w:rsid w:val="00E3107F"/>
    <w:rsid w:val="00E3172C"/>
    <w:rsid w:val="00E327F5"/>
    <w:rsid w:val="00E365EA"/>
    <w:rsid w:val="00E4028C"/>
    <w:rsid w:val="00E404A7"/>
    <w:rsid w:val="00E41B3C"/>
    <w:rsid w:val="00E41D90"/>
    <w:rsid w:val="00E43451"/>
    <w:rsid w:val="00E46199"/>
    <w:rsid w:val="00E520EB"/>
    <w:rsid w:val="00E52ADB"/>
    <w:rsid w:val="00E5438F"/>
    <w:rsid w:val="00E5785E"/>
    <w:rsid w:val="00E638F6"/>
    <w:rsid w:val="00E66D57"/>
    <w:rsid w:val="00E71364"/>
    <w:rsid w:val="00E72414"/>
    <w:rsid w:val="00E73244"/>
    <w:rsid w:val="00E742BF"/>
    <w:rsid w:val="00E75977"/>
    <w:rsid w:val="00E7731D"/>
    <w:rsid w:val="00E80C8F"/>
    <w:rsid w:val="00E901C7"/>
    <w:rsid w:val="00E936EF"/>
    <w:rsid w:val="00E961A9"/>
    <w:rsid w:val="00EA3C35"/>
    <w:rsid w:val="00EA49D6"/>
    <w:rsid w:val="00EA5ACC"/>
    <w:rsid w:val="00EA746C"/>
    <w:rsid w:val="00EB0A03"/>
    <w:rsid w:val="00EB1D69"/>
    <w:rsid w:val="00EB64B0"/>
    <w:rsid w:val="00EB6D46"/>
    <w:rsid w:val="00EC3ECC"/>
    <w:rsid w:val="00ED1066"/>
    <w:rsid w:val="00ED30ED"/>
    <w:rsid w:val="00ED5E3B"/>
    <w:rsid w:val="00ED5E78"/>
    <w:rsid w:val="00EE366C"/>
    <w:rsid w:val="00EF0E07"/>
    <w:rsid w:val="00EF139A"/>
    <w:rsid w:val="00EF417C"/>
    <w:rsid w:val="00F0114F"/>
    <w:rsid w:val="00F056C7"/>
    <w:rsid w:val="00F10423"/>
    <w:rsid w:val="00F1351F"/>
    <w:rsid w:val="00F13559"/>
    <w:rsid w:val="00F230EE"/>
    <w:rsid w:val="00F25D5B"/>
    <w:rsid w:val="00F3056F"/>
    <w:rsid w:val="00F3258F"/>
    <w:rsid w:val="00F3343E"/>
    <w:rsid w:val="00F343B8"/>
    <w:rsid w:val="00F43B7A"/>
    <w:rsid w:val="00F47400"/>
    <w:rsid w:val="00F47D68"/>
    <w:rsid w:val="00F51419"/>
    <w:rsid w:val="00F51628"/>
    <w:rsid w:val="00F5253D"/>
    <w:rsid w:val="00F55F51"/>
    <w:rsid w:val="00F56588"/>
    <w:rsid w:val="00F60451"/>
    <w:rsid w:val="00F60DCA"/>
    <w:rsid w:val="00F63311"/>
    <w:rsid w:val="00F70FA4"/>
    <w:rsid w:val="00F742EB"/>
    <w:rsid w:val="00F7445B"/>
    <w:rsid w:val="00F77923"/>
    <w:rsid w:val="00F82F8F"/>
    <w:rsid w:val="00F839E4"/>
    <w:rsid w:val="00F85C76"/>
    <w:rsid w:val="00F90131"/>
    <w:rsid w:val="00F91419"/>
    <w:rsid w:val="00F92922"/>
    <w:rsid w:val="00F93EAE"/>
    <w:rsid w:val="00FA3B25"/>
    <w:rsid w:val="00FB0629"/>
    <w:rsid w:val="00FB2BB6"/>
    <w:rsid w:val="00FB2F4E"/>
    <w:rsid w:val="00FC10AE"/>
    <w:rsid w:val="00FC2ED7"/>
    <w:rsid w:val="00FC4B87"/>
    <w:rsid w:val="00FC56BF"/>
    <w:rsid w:val="00FD3354"/>
    <w:rsid w:val="00FD7B5B"/>
    <w:rsid w:val="00FE30A6"/>
    <w:rsid w:val="00FE4367"/>
    <w:rsid w:val="00FE7135"/>
    <w:rsid w:val="00FE78F1"/>
    <w:rsid w:val="00FE7994"/>
    <w:rsid w:val="00FF1E7A"/>
    <w:rsid w:val="00FF2796"/>
    <w:rsid w:val="00FF48A7"/>
    <w:rsid w:val="00FF637D"/>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BCC62"/>
  <w15:chartTrackingRefBased/>
  <w15:docId w15:val="{FC0CD440-AE0C-E743-A84D-23906CBC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link w:val="BodyText2Char"/>
    <w:pPr>
      <w:jc w:val="both"/>
    </w:pPr>
    <w:rPr>
      <w:b/>
      <w:sz w:val="24"/>
    </w:rPr>
  </w:style>
  <w:style w:type="paragraph" w:styleId="FootnoteText">
    <w:name w:val="footnote text"/>
    <w:basedOn w:val="Normal"/>
    <w:link w:val="FootnoteTextChar"/>
    <w:uiPriority w:val="99"/>
  </w:style>
  <w:style w:type="character" w:styleId="FootnoteReference">
    <w:name w:val="footnote reference"/>
    <w:uiPriority w:val="99"/>
    <w:semiHidden/>
    <w:rPr>
      <w:vertAlign w:val="superscript"/>
    </w:rPr>
  </w:style>
  <w:style w:type="character" w:styleId="EndnoteReference">
    <w:name w:val="endnote reference"/>
    <w:uiPriority w:val="99"/>
    <w:unhideWhenUsed/>
    <w:rsid w:val="007115A2"/>
    <w:rPr>
      <w:vertAlign w:val="superscript"/>
    </w:rPr>
  </w:style>
  <w:style w:type="paragraph" w:styleId="EndnoteText">
    <w:name w:val="endnote text"/>
    <w:basedOn w:val="Normal"/>
    <w:link w:val="EndnoteTextChar"/>
    <w:uiPriority w:val="99"/>
    <w:rsid w:val="00B96733"/>
  </w:style>
  <w:style w:type="character" w:customStyle="1" w:styleId="EndnoteTextChar">
    <w:name w:val="Endnote Text Char"/>
    <w:basedOn w:val="DefaultParagraphFont"/>
    <w:link w:val="EndnoteText"/>
    <w:uiPriority w:val="99"/>
    <w:rsid w:val="00B96733"/>
  </w:style>
  <w:style w:type="paragraph" w:styleId="BalloonText">
    <w:name w:val="Balloon Text"/>
    <w:basedOn w:val="Normal"/>
    <w:link w:val="BalloonTextChar"/>
    <w:rsid w:val="0076018B"/>
    <w:rPr>
      <w:rFonts w:ascii="Tahoma" w:hAnsi="Tahoma" w:cs="Tahoma"/>
      <w:sz w:val="16"/>
      <w:szCs w:val="16"/>
    </w:rPr>
  </w:style>
  <w:style w:type="character" w:customStyle="1" w:styleId="BalloonTextChar">
    <w:name w:val="Balloon Text Char"/>
    <w:link w:val="BalloonText"/>
    <w:rsid w:val="0076018B"/>
    <w:rPr>
      <w:rFonts w:ascii="Tahoma" w:hAnsi="Tahoma" w:cs="Tahoma"/>
      <w:sz w:val="16"/>
      <w:szCs w:val="16"/>
    </w:rPr>
  </w:style>
  <w:style w:type="character" w:customStyle="1" w:styleId="FootnoteTextChar">
    <w:name w:val="Footnote Text Char"/>
    <w:basedOn w:val="DefaultParagraphFont"/>
    <w:link w:val="FootnoteText"/>
    <w:uiPriority w:val="99"/>
    <w:rsid w:val="005925AC"/>
  </w:style>
  <w:style w:type="paragraph" w:styleId="Header">
    <w:name w:val="header"/>
    <w:basedOn w:val="Normal"/>
    <w:link w:val="HeaderChar"/>
    <w:rsid w:val="00461BD4"/>
    <w:pPr>
      <w:tabs>
        <w:tab w:val="center" w:pos="4680"/>
        <w:tab w:val="right" w:pos="9360"/>
      </w:tabs>
    </w:pPr>
  </w:style>
  <w:style w:type="character" w:customStyle="1" w:styleId="HeaderChar">
    <w:name w:val="Header Char"/>
    <w:basedOn w:val="DefaultParagraphFont"/>
    <w:link w:val="Header"/>
    <w:rsid w:val="00461BD4"/>
  </w:style>
  <w:style w:type="character" w:customStyle="1" w:styleId="FooterChar">
    <w:name w:val="Footer Char"/>
    <w:link w:val="Footer"/>
    <w:uiPriority w:val="99"/>
    <w:rsid w:val="00461BD4"/>
  </w:style>
  <w:style w:type="character" w:styleId="Hyperlink">
    <w:name w:val="Hyperlink"/>
    <w:rsid w:val="00EA49D6"/>
    <w:rPr>
      <w:color w:val="0563C1"/>
      <w:u w:val="single"/>
    </w:rPr>
  </w:style>
  <w:style w:type="table" w:styleId="TableGrid">
    <w:name w:val="Table Grid"/>
    <w:basedOn w:val="TableNormal"/>
    <w:uiPriority w:val="39"/>
    <w:rsid w:val="0073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E27"/>
    <w:pPr>
      <w:ind w:left="720"/>
      <w:contextualSpacing/>
    </w:pPr>
    <w:rPr>
      <w:rFonts w:ascii="Calibri" w:eastAsia="Calibri" w:hAnsi="Calibri"/>
      <w:sz w:val="22"/>
      <w:szCs w:val="22"/>
    </w:rPr>
  </w:style>
  <w:style w:type="paragraph" w:styleId="NormalWeb">
    <w:name w:val="Normal (Web)"/>
    <w:basedOn w:val="Normal"/>
    <w:uiPriority w:val="99"/>
    <w:unhideWhenUsed/>
    <w:rsid w:val="004F15D9"/>
    <w:pPr>
      <w:spacing w:before="100" w:beforeAutospacing="1" w:after="100" w:afterAutospacing="1"/>
    </w:pPr>
    <w:rPr>
      <w:sz w:val="24"/>
      <w:szCs w:val="24"/>
    </w:rPr>
  </w:style>
  <w:style w:type="character" w:customStyle="1" w:styleId="BodyText2Char">
    <w:name w:val="Body Text 2 Char"/>
    <w:link w:val="BodyText2"/>
    <w:rsid w:val="00202591"/>
    <w:rPr>
      <w:b/>
      <w:sz w:val="24"/>
    </w:rPr>
  </w:style>
  <w:style w:type="character" w:styleId="Emphasis">
    <w:name w:val="Emphasis"/>
    <w:uiPriority w:val="20"/>
    <w:qFormat/>
    <w:rsid w:val="00A934F4"/>
    <w:rPr>
      <w:i/>
      <w:iCs/>
    </w:rPr>
  </w:style>
  <w:style w:type="paragraph" w:customStyle="1" w:styleId="xmsonormal">
    <w:name w:val="x_msonormal"/>
    <w:basedOn w:val="Normal"/>
    <w:uiPriority w:val="99"/>
    <w:rsid w:val="00E039A7"/>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636">
      <w:bodyDiv w:val="1"/>
      <w:marLeft w:val="0"/>
      <w:marRight w:val="0"/>
      <w:marTop w:val="0"/>
      <w:marBottom w:val="0"/>
      <w:divBdr>
        <w:top w:val="none" w:sz="0" w:space="0" w:color="auto"/>
        <w:left w:val="none" w:sz="0" w:space="0" w:color="auto"/>
        <w:bottom w:val="none" w:sz="0" w:space="0" w:color="auto"/>
        <w:right w:val="none" w:sz="0" w:space="0" w:color="auto"/>
      </w:divBdr>
    </w:div>
    <w:div w:id="274484590">
      <w:bodyDiv w:val="1"/>
      <w:marLeft w:val="0"/>
      <w:marRight w:val="0"/>
      <w:marTop w:val="0"/>
      <w:marBottom w:val="0"/>
      <w:divBdr>
        <w:top w:val="none" w:sz="0" w:space="0" w:color="auto"/>
        <w:left w:val="none" w:sz="0" w:space="0" w:color="auto"/>
        <w:bottom w:val="none" w:sz="0" w:space="0" w:color="auto"/>
        <w:right w:val="none" w:sz="0" w:space="0" w:color="auto"/>
      </w:divBdr>
    </w:div>
    <w:div w:id="374088028">
      <w:bodyDiv w:val="1"/>
      <w:marLeft w:val="0"/>
      <w:marRight w:val="0"/>
      <w:marTop w:val="0"/>
      <w:marBottom w:val="0"/>
      <w:divBdr>
        <w:top w:val="none" w:sz="0" w:space="0" w:color="auto"/>
        <w:left w:val="none" w:sz="0" w:space="0" w:color="auto"/>
        <w:bottom w:val="none" w:sz="0" w:space="0" w:color="auto"/>
        <w:right w:val="none" w:sz="0" w:space="0" w:color="auto"/>
      </w:divBdr>
      <w:divsChild>
        <w:div w:id="45833442">
          <w:marLeft w:val="0"/>
          <w:marRight w:val="0"/>
          <w:marTop w:val="0"/>
          <w:marBottom w:val="0"/>
          <w:divBdr>
            <w:top w:val="none" w:sz="0" w:space="0" w:color="auto"/>
            <w:left w:val="none" w:sz="0" w:space="0" w:color="auto"/>
            <w:bottom w:val="none" w:sz="0" w:space="0" w:color="auto"/>
            <w:right w:val="none" w:sz="0" w:space="0" w:color="auto"/>
          </w:divBdr>
        </w:div>
        <w:div w:id="328869554">
          <w:marLeft w:val="0"/>
          <w:marRight w:val="0"/>
          <w:marTop w:val="0"/>
          <w:marBottom w:val="0"/>
          <w:divBdr>
            <w:top w:val="none" w:sz="0" w:space="0" w:color="auto"/>
            <w:left w:val="none" w:sz="0" w:space="0" w:color="auto"/>
            <w:bottom w:val="none" w:sz="0" w:space="0" w:color="auto"/>
            <w:right w:val="none" w:sz="0" w:space="0" w:color="auto"/>
          </w:divBdr>
        </w:div>
        <w:div w:id="350180634">
          <w:marLeft w:val="0"/>
          <w:marRight w:val="0"/>
          <w:marTop w:val="0"/>
          <w:marBottom w:val="0"/>
          <w:divBdr>
            <w:top w:val="none" w:sz="0" w:space="0" w:color="auto"/>
            <w:left w:val="none" w:sz="0" w:space="0" w:color="auto"/>
            <w:bottom w:val="none" w:sz="0" w:space="0" w:color="auto"/>
            <w:right w:val="none" w:sz="0" w:space="0" w:color="auto"/>
          </w:divBdr>
        </w:div>
        <w:div w:id="464546283">
          <w:marLeft w:val="0"/>
          <w:marRight w:val="0"/>
          <w:marTop w:val="0"/>
          <w:marBottom w:val="0"/>
          <w:divBdr>
            <w:top w:val="none" w:sz="0" w:space="0" w:color="auto"/>
            <w:left w:val="none" w:sz="0" w:space="0" w:color="auto"/>
            <w:bottom w:val="none" w:sz="0" w:space="0" w:color="auto"/>
            <w:right w:val="none" w:sz="0" w:space="0" w:color="auto"/>
          </w:divBdr>
        </w:div>
        <w:div w:id="538054663">
          <w:marLeft w:val="0"/>
          <w:marRight w:val="0"/>
          <w:marTop w:val="0"/>
          <w:marBottom w:val="0"/>
          <w:divBdr>
            <w:top w:val="none" w:sz="0" w:space="0" w:color="auto"/>
            <w:left w:val="none" w:sz="0" w:space="0" w:color="auto"/>
            <w:bottom w:val="none" w:sz="0" w:space="0" w:color="auto"/>
            <w:right w:val="none" w:sz="0" w:space="0" w:color="auto"/>
          </w:divBdr>
        </w:div>
        <w:div w:id="552929391">
          <w:marLeft w:val="0"/>
          <w:marRight w:val="0"/>
          <w:marTop w:val="0"/>
          <w:marBottom w:val="0"/>
          <w:divBdr>
            <w:top w:val="none" w:sz="0" w:space="0" w:color="auto"/>
            <w:left w:val="none" w:sz="0" w:space="0" w:color="auto"/>
            <w:bottom w:val="none" w:sz="0" w:space="0" w:color="auto"/>
            <w:right w:val="none" w:sz="0" w:space="0" w:color="auto"/>
          </w:divBdr>
        </w:div>
        <w:div w:id="691882737">
          <w:marLeft w:val="0"/>
          <w:marRight w:val="0"/>
          <w:marTop w:val="0"/>
          <w:marBottom w:val="0"/>
          <w:divBdr>
            <w:top w:val="none" w:sz="0" w:space="0" w:color="auto"/>
            <w:left w:val="none" w:sz="0" w:space="0" w:color="auto"/>
            <w:bottom w:val="none" w:sz="0" w:space="0" w:color="auto"/>
            <w:right w:val="none" w:sz="0" w:space="0" w:color="auto"/>
          </w:divBdr>
        </w:div>
        <w:div w:id="988363971">
          <w:marLeft w:val="0"/>
          <w:marRight w:val="0"/>
          <w:marTop w:val="0"/>
          <w:marBottom w:val="0"/>
          <w:divBdr>
            <w:top w:val="none" w:sz="0" w:space="0" w:color="auto"/>
            <w:left w:val="none" w:sz="0" w:space="0" w:color="auto"/>
            <w:bottom w:val="none" w:sz="0" w:space="0" w:color="auto"/>
            <w:right w:val="none" w:sz="0" w:space="0" w:color="auto"/>
          </w:divBdr>
        </w:div>
        <w:div w:id="1071151555">
          <w:marLeft w:val="0"/>
          <w:marRight w:val="0"/>
          <w:marTop w:val="0"/>
          <w:marBottom w:val="0"/>
          <w:divBdr>
            <w:top w:val="none" w:sz="0" w:space="0" w:color="auto"/>
            <w:left w:val="none" w:sz="0" w:space="0" w:color="auto"/>
            <w:bottom w:val="none" w:sz="0" w:space="0" w:color="auto"/>
            <w:right w:val="none" w:sz="0" w:space="0" w:color="auto"/>
          </w:divBdr>
        </w:div>
        <w:div w:id="1100297680">
          <w:marLeft w:val="0"/>
          <w:marRight w:val="0"/>
          <w:marTop w:val="0"/>
          <w:marBottom w:val="0"/>
          <w:divBdr>
            <w:top w:val="none" w:sz="0" w:space="0" w:color="auto"/>
            <w:left w:val="none" w:sz="0" w:space="0" w:color="auto"/>
            <w:bottom w:val="none" w:sz="0" w:space="0" w:color="auto"/>
            <w:right w:val="none" w:sz="0" w:space="0" w:color="auto"/>
          </w:divBdr>
        </w:div>
        <w:div w:id="1145926596">
          <w:marLeft w:val="0"/>
          <w:marRight w:val="0"/>
          <w:marTop w:val="0"/>
          <w:marBottom w:val="0"/>
          <w:divBdr>
            <w:top w:val="none" w:sz="0" w:space="0" w:color="auto"/>
            <w:left w:val="none" w:sz="0" w:space="0" w:color="auto"/>
            <w:bottom w:val="none" w:sz="0" w:space="0" w:color="auto"/>
            <w:right w:val="none" w:sz="0" w:space="0" w:color="auto"/>
          </w:divBdr>
        </w:div>
        <w:div w:id="1157527010">
          <w:marLeft w:val="0"/>
          <w:marRight w:val="0"/>
          <w:marTop w:val="0"/>
          <w:marBottom w:val="0"/>
          <w:divBdr>
            <w:top w:val="none" w:sz="0" w:space="0" w:color="auto"/>
            <w:left w:val="none" w:sz="0" w:space="0" w:color="auto"/>
            <w:bottom w:val="none" w:sz="0" w:space="0" w:color="auto"/>
            <w:right w:val="none" w:sz="0" w:space="0" w:color="auto"/>
          </w:divBdr>
        </w:div>
        <w:div w:id="1387952421">
          <w:marLeft w:val="0"/>
          <w:marRight w:val="0"/>
          <w:marTop w:val="0"/>
          <w:marBottom w:val="0"/>
          <w:divBdr>
            <w:top w:val="none" w:sz="0" w:space="0" w:color="auto"/>
            <w:left w:val="none" w:sz="0" w:space="0" w:color="auto"/>
            <w:bottom w:val="none" w:sz="0" w:space="0" w:color="auto"/>
            <w:right w:val="none" w:sz="0" w:space="0" w:color="auto"/>
          </w:divBdr>
        </w:div>
        <w:div w:id="1710913358">
          <w:marLeft w:val="0"/>
          <w:marRight w:val="0"/>
          <w:marTop w:val="0"/>
          <w:marBottom w:val="0"/>
          <w:divBdr>
            <w:top w:val="none" w:sz="0" w:space="0" w:color="auto"/>
            <w:left w:val="none" w:sz="0" w:space="0" w:color="auto"/>
            <w:bottom w:val="none" w:sz="0" w:space="0" w:color="auto"/>
            <w:right w:val="none" w:sz="0" w:space="0" w:color="auto"/>
          </w:divBdr>
        </w:div>
        <w:div w:id="1726222800">
          <w:marLeft w:val="0"/>
          <w:marRight w:val="0"/>
          <w:marTop w:val="0"/>
          <w:marBottom w:val="0"/>
          <w:divBdr>
            <w:top w:val="none" w:sz="0" w:space="0" w:color="auto"/>
            <w:left w:val="none" w:sz="0" w:space="0" w:color="auto"/>
            <w:bottom w:val="none" w:sz="0" w:space="0" w:color="auto"/>
            <w:right w:val="none" w:sz="0" w:space="0" w:color="auto"/>
          </w:divBdr>
        </w:div>
        <w:div w:id="1896118549">
          <w:marLeft w:val="0"/>
          <w:marRight w:val="0"/>
          <w:marTop w:val="0"/>
          <w:marBottom w:val="0"/>
          <w:divBdr>
            <w:top w:val="none" w:sz="0" w:space="0" w:color="auto"/>
            <w:left w:val="none" w:sz="0" w:space="0" w:color="auto"/>
            <w:bottom w:val="none" w:sz="0" w:space="0" w:color="auto"/>
            <w:right w:val="none" w:sz="0" w:space="0" w:color="auto"/>
          </w:divBdr>
        </w:div>
        <w:div w:id="1914850174">
          <w:marLeft w:val="0"/>
          <w:marRight w:val="0"/>
          <w:marTop w:val="0"/>
          <w:marBottom w:val="0"/>
          <w:divBdr>
            <w:top w:val="none" w:sz="0" w:space="0" w:color="auto"/>
            <w:left w:val="none" w:sz="0" w:space="0" w:color="auto"/>
            <w:bottom w:val="none" w:sz="0" w:space="0" w:color="auto"/>
            <w:right w:val="none" w:sz="0" w:space="0" w:color="auto"/>
          </w:divBdr>
        </w:div>
        <w:div w:id="1985693508">
          <w:marLeft w:val="0"/>
          <w:marRight w:val="0"/>
          <w:marTop w:val="0"/>
          <w:marBottom w:val="0"/>
          <w:divBdr>
            <w:top w:val="none" w:sz="0" w:space="0" w:color="auto"/>
            <w:left w:val="none" w:sz="0" w:space="0" w:color="auto"/>
            <w:bottom w:val="none" w:sz="0" w:space="0" w:color="auto"/>
            <w:right w:val="none" w:sz="0" w:space="0" w:color="auto"/>
          </w:divBdr>
        </w:div>
      </w:divsChild>
    </w:div>
    <w:div w:id="430206400">
      <w:bodyDiv w:val="1"/>
      <w:marLeft w:val="0"/>
      <w:marRight w:val="0"/>
      <w:marTop w:val="0"/>
      <w:marBottom w:val="0"/>
      <w:divBdr>
        <w:top w:val="none" w:sz="0" w:space="0" w:color="auto"/>
        <w:left w:val="none" w:sz="0" w:space="0" w:color="auto"/>
        <w:bottom w:val="none" w:sz="0" w:space="0" w:color="auto"/>
        <w:right w:val="none" w:sz="0" w:space="0" w:color="auto"/>
      </w:divBdr>
      <w:divsChild>
        <w:div w:id="9064992">
          <w:marLeft w:val="0"/>
          <w:marRight w:val="0"/>
          <w:marTop w:val="0"/>
          <w:marBottom w:val="0"/>
          <w:divBdr>
            <w:top w:val="none" w:sz="0" w:space="0" w:color="auto"/>
            <w:left w:val="none" w:sz="0" w:space="0" w:color="auto"/>
            <w:bottom w:val="none" w:sz="0" w:space="0" w:color="auto"/>
            <w:right w:val="none" w:sz="0" w:space="0" w:color="auto"/>
          </w:divBdr>
        </w:div>
        <w:div w:id="82655915">
          <w:marLeft w:val="0"/>
          <w:marRight w:val="0"/>
          <w:marTop w:val="0"/>
          <w:marBottom w:val="0"/>
          <w:divBdr>
            <w:top w:val="none" w:sz="0" w:space="0" w:color="auto"/>
            <w:left w:val="none" w:sz="0" w:space="0" w:color="auto"/>
            <w:bottom w:val="none" w:sz="0" w:space="0" w:color="auto"/>
            <w:right w:val="none" w:sz="0" w:space="0" w:color="auto"/>
          </w:divBdr>
        </w:div>
        <w:div w:id="126320380">
          <w:marLeft w:val="0"/>
          <w:marRight w:val="0"/>
          <w:marTop w:val="0"/>
          <w:marBottom w:val="0"/>
          <w:divBdr>
            <w:top w:val="none" w:sz="0" w:space="0" w:color="auto"/>
            <w:left w:val="none" w:sz="0" w:space="0" w:color="auto"/>
            <w:bottom w:val="none" w:sz="0" w:space="0" w:color="auto"/>
            <w:right w:val="none" w:sz="0" w:space="0" w:color="auto"/>
          </w:divBdr>
        </w:div>
        <w:div w:id="139274786">
          <w:marLeft w:val="0"/>
          <w:marRight w:val="0"/>
          <w:marTop w:val="0"/>
          <w:marBottom w:val="0"/>
          <w:divBdr>
            <w:top w:val="none" w:sz="0" w:space="0" w:color="auto"/>
            <w:left w:val="none" w:sz="0" w:space="0" w:color="auto"/>
            <w:bottom w:val="none" w:sz="0" w:space="0" w:color="auto"/>
            <w:right w:val="none" w:sz="0" w:space="0" w:color="auto"/>
          </w:divBdr>
        </w:div>
        <w:div w:id="152570094">
          <w:marLeft w:val="0"/>
          <w:marRight w:val="0"/>
          <w:marTop w:val="0"/>
          <w:marBottom w:val="0"/>
          <w:divBdr>
            <w:top w:val="none" w:sz="0" w:space="0" w:color="auto"/>
            <w:left w:val="none" w:sz="0" w:space="0" w:color="auto"/>
            <w:bottom w:val="none" w:sz="0" w:space="0" w:color="auto"/>
            <w:right w:val="none" w:sz="0" w:space="0" w:color="auto"/>
          </w:divBdr>
        </w:div>
        <w:div w:id="222450165">
          <w:marLeft w:val="0"/>
          <w:marRight w:val="0"/>
          <w:marTop w:val="0"/>
          <w:marBottom w:val="0"/>
          <w:divBdr>
            <w:top w:val="none" w:sz="0" w:space="0" w:color="auto"/>
            <w:left w:val="none" w:sz="0" w:space="0" w:color="auto"/>
            <w:bottom w:val="none" w:sz="0" w:space="0" w:color="auto"/>
            <w:right w:val="none" w:sz="0" w:space="0" w:color="auto"/>
          </w:divBdr>
        </w:div>
        <w:div w:id="242105583">
          <w:marLeft w:val="0"/>
          <w:marRight w:val="0"/>
          <w:marTop w:val="0"/>
          <w:marBottom w:val="0"/>
          <w:divBdr>
            <w:top w:val="none" w:sz="0" w:space="0" w:color="auto"/>
            <w:left w:val="none" w:sz="0" w:space="0" w:color="auto"/>
            <w:bottom w:val="none" w:sz="0" w:space="0" w:color="auto"/>
            <w:right w:val="none" w:sz="0" w:space="0" w:color="auto"/>
          </w:divBdr>
        </w:div>
        <w:div w:id="273565008">
          <w:marLeft w:val="0"/>
          <w:marRight w:val="0"/>
          <w:marTop w:val="0"/>
          <w:marBottom w:val="0"/>
          <w:divBdr>
            <w:top w:val="none" w:sz="0" w:space="0" w:color="auto"/>
            <w:left w:val="none" w:sz="0" w:space="0" w:color="auto"/>
            <w:bottom w:val="none" w:sz="0" w:space="0" w:color="auto"/>
            <w:right w:val="none" w:sz="0" w:space="0" w:color="auto"/>
          </w:divBdr>
        </w:div>
        <w:div w:id="290745063">
          <w:marLeft w:val="0"/>
          <w:marRight w:val="0"/>
          <w:marTop w:val="0"/>
          <w:marBottom w:val="0"/>
          <w:divBdr>
            <w:top w:val="none" w:sz="0" w:space="0" w:color="auto"/>
            <w:left w:val="none" w:sz="0" w:space="0" w:color="auto"/>
            <w:bottom w:val="none" w:sz="0" w:space="0" w:color="auto"/>
            <w:right w:val="none" w:sz="0" w:space="0" w:color="auto"/>
          </w:divBdr>
        </w:div>
        <w:div w:id="358312464">
          <w:marLeft w:val="0"/>
          <w:marRight w:val="0"/>
          <w:marTop w:val="0"/>
          <w:marBottom w:val="0"/>
          <w:divBdr>
            <w:top w:val="none" w:sz="0" w:space="0" w:color="auto"/>
            <w:left w:val="none" w:sz="0" w:space="0" w:color="auto"/>
            <w:bottom w:val="none" w:sz="0" w:space="0" w:color="auto"/>
            <w:right w:val="none" w:sz="0" w:space="0" w:color="auto"/>
          </w:divBdr>
        </w:div>
        <w:div w:id="364335545">
          <w:marLeft w:val="0"/>
          <w:marRight w:val="0"/>
          <w:marTop w:val="0"/>
          <w:marBottom w:val="0"/>
          <w:divBdr>
            <w:top w:val="none" w:sz="0" w:space="0" w:color="auto"/>
            <w:left w:val="none" w:sz="0" w:space="0" w:color="auto"/>
            <w:bottom w:val="none" w:sz="0" w:space="0" w:color="auto"/>
            <w:right w:val="none" w:sz="0" w:space="0" w:color="auto"/>
          </w:divBdr>
        </w:div>
        <w:div w:id="383649526">
          <w:marLeft w:val="0"/>
          <w:marRight w:val="0"/>
          <w:marTop w:val="0"/>
          <w:marBottom w:val="0"/>
          <w:divBdr>
            <w:top w:val="none" w:sz="0" w:space="0" w:color="auto"/>
            <w:left w:val="none" w:sz="0" w:space="0" w:color="auto"/>
            <w:bottom w:val="none" w:sz="0" w:space="0" w:color="auto"/>
            <w:right w:val="none" w:sz="0" w:space="0" w:color="auto"/>
          </w:divBdr>
        </w:div>
        <w:div w:id="451093124">
          <w:marLeft w:val="0"/>
          <w:marRight w:val="0"/>
          <w:marTop w:val="0"/>
          <w:marBottom w:val="0"/>
          <w:divBdr>
            <w:top w:val="none" w:sz="0" w:space="0" w:color="auto"/>
            <w:left w:val="none" w:sz="0" w:space="0" w:color="auto"/>
            <w:bottom w:val="none" w:sz="0" w:space="0" w:color="auto"/>
            <w:right w:val="none" w:sz="0" w:space="0" w:color="auto"/>
          </w:divBdr>
        </w:div>
        <w:div w:id="482894421">
          <w:marLeft w:val="0"/>
          <w:marRight w:val="0"/>
          <w:marTop w:val="0"/>
          <w:marBottom w:val="0"/>
          <w:divBdr>
            <w:top w:val="none" w:sz="0" w:space="0" w:color="auto"/>
            <w:left w:val="none" w:sz="0" w:space="0" w:color="auto"/>
            <w:bottom w:val="none" w:sz="0" w:space="0" w:color="auto"/>
            <w:right w:val="none" w:sz="0" w:space="0" w:color="auto"/>
          </w:divBdr>
        </w:div>
        <w:div w:id="510530113">
          <w:marLeft w:val="0"/>
          <w:marRight w:val="0"/>
          <w:marTop w:val="0"/>
          <w:marBottom w:val="0"/>
          <w:divBdr>
            <w:top w:val="none" w:sz="0" w:space="0" w:color="auto"/>
            <w:left w:val="none" w:sz="0" w:space="0" w:color="auto"/>
            <w:bottom w:val="none" w:sz="0" w:space="0" w:color="auto"/>
            <w:right w:val="none" w:sz="0" w:space="0" w:color="auto"/>
          </w:divBdr>
        </w:div>
        <w:div w:id="516888801">
          <w:marLeft w:val="0"/>
          <w:marRight w:val="0"/>
          <w:marTop w:val="0"/>
          <w:marBottom w:val="0"/>
          <w:divBdr>
            <w:top w:val="none" w:sz="0" w:space="0" w:color="auto"/>
            <w:left w:val="none" w:sz="0" w:space="0" w:color="auto"/>
            <w:bottom w:val="none" w:sz="0" w:space="0" w:color="auto"/>
            <w:right w:val="none" w:sz="0" w:space="0" w:color="auto"/>
          </w:divBdr>
        </w:div>
        <w:div w:id="525796794">
          <w:marLeft w:val="0"/>
          <w:marRight w:val="0"/>
          <w:marTop w:val="0"/>
          <w:marBottom w:val="0"/>
          <w:divBdr>
            <w:top w:val="none" w:sz="0" w:space="0" w:color="auto"/>
            <w:left w:val="none" w:sz="0" w:space="0" w:color="auto"/>
            <w:bottom w:val="none" w:sz="0" w:space="0" w:color="auto"/>
            <w:right w:val="none" w:sz="0" w:space="0" w:color="auto"/>
          </w:divBdr>
        </w:div>
        <w:div w:id="636953363">
          <w:marLeft w:val="0"/>
          <w:marRight w:val="0"/>
          <w:marTop w:val="0"/>
          <w:marBottom w:val="0"/>
          <w:divBdr>
            <w:top w:val="none" w:sz="0" w:space="0" w:color="auto"/>
            <w:left w:val="none" w:sz="0" w:space="0" w:color="auto"/>
            <w:bottom w:val="none" w:sz="0" w:space="0" w:color="auto"/>
            <w:right w:val="none" w:sz="0" w:space="0" w:color="auto"/>
          </w:divBdr>
        </w:div>
        <w:div w:id="657461894">
          <w:marLeft w:val="0"/>
          <w:marRight w:val="0"/>
          <w:marTop w:val="0"/>
          <w:marBottom w:val="0"/>
          <w:divBdr>
            <w:top w:val="none" w:sz="0" w:space="0" w:color="auto"/>
            <w:left w:val="none" w:sz="0" w:space="0" w:color="auto"/>
            <w:bottom w:val="none" w:sz="0" w:space="0" w:color="auto"/>
            <w:right w:val="none" w:sz="0" w:space="0" w:color="auto"/>
          </w:divBdr>
        </w:div>
        <w:div w:id="686560570">
          <w:marLeft w:val="0"/>
          <w:marRight w:val="0"/>
          <w:marTop w:val="0"/>
          <w:marBottom w:val="0"/>
          <w:divBdr>
            <w:top w:val="none" w:sz="0" w:space="0" w:color="auto"/>
            <w:left w:val="none" w:sz="0" w:space="0" w:color="auto"/>
            <w:bottom w:val="none" w:sz="0" w:space="0" w:color="auto"/>
            <w:right w:val="none" w:sz="0" w:space="0" w:color="auto"/>
          </w:divBdr>
        </w:div>
        <w:div w:id="748424791">
          <w:marLeft w:val="0"/>
          <w:marRight w:val="0"/>
          <w:marTop w:val="0"/>
          <w:marBottom w:val="0"/>
          <w:divBdr>
            <w:top w:val="none" w:sz="0" w:space="0" w:color="auto"/>
            <w:left w:val="none" w:sz="0" w:space="0" w:color="auto"/>
            <w:bottom w:val="none" w:sz="0" w:space="0" w:color="auto"/>
            <w:right w:val="none" w:sz="0" w:space="0" w:color="auto"/>
          </w:divBdr>
        </w:div>
        <w:div w:id="773281452">
          <w:marLeft w:val="0"/>
          <w:marRight w:val="0"/>
          <w:marTop w:val="0"/>
          <w:marBottom w:val="0"/>
          <w:divBdr>
            <w:top w:val="none" w:sz="0" w:space="0" w:color="auto"/>
            <w:left w:val="none" w:sz="0" w:space="0" w:color="auto"/>
            <w:bottom w:val="none" w:sz="0" w:space="0" w:color="auto"/>
            <w:right w:val="none" w:sz="0" w:space="0" w:color="auto"/>
          </w:divBdr>
        </w:div>
        <w:div w:id="783616954">
          <w:marLeft w:val="0"/>
          <w:marRight w:val="0"/>
          <w:marTop w:val="0"/>
          <w:marBottom w:val="0"/>
          <w:divBdr>
            <w:top w:val="none" w:sz="0" w:space="0" w:color="auto"/>
            <w:left w:val="none" w:sz="0" w:space="0" w:color="auto"/>
            <w:bottom w:val="none" w:sz="0" w:space="0" w:color="auto"/>
            <w:right w:val="none" w:sz="0" w:space="0" w:color="auto"/>
          </w:divBdr>
        </w:div>
        <w:div w:id="848178301">
          <w:marLeft w:val="0"/>
          <w:marRight w:val="0"/>
          <w:marTop w:val="0"/>
          <w:marBottom w:val="0"/>
          <w:divBdr>
            <w:top w:val="none" w:sz="0" w:space="0" w:color="auto"/>
            <w:left w:val="none" w:sz="0" w:space="0" w:color="auto"/>
            <w:bottom w:val="none" w:sz="0" w:space="0" w:color="auto"/>
            <w:right w:val="none" w:sz="0" w:space="0" w:color="auto"/>
          </w:divBdr>
        </w:div>
        <w:div w:id="880171318">
          <w:marLeft w:val="0"/>
          <w:marRight w:val="0"/>
          <w:marTop w:val="0"/>
          <w:marBottom w:val="0"/>
          <w:divBdr>
            <w:top w:val="none" w:sz="0" w:space="0" w:color="auto"/>
            <w:left w:val="none" w:sz="0" w:space="0" w:color="auto"/>
            <w:bottom w:val="none" w:sz="0" w:space="0" w:color="auto"/>
            <w:right w:val="none" w:sz="0" w:space="0" w:color="auto"/>
          </w:divBdr>
        </w:div>
        <w:div w:id="889417805">
          <w:marLeft w:val="0"/>
          <w:marRight w:val="0"/>
          <w:marTop w:val="0"/>
          <w:marBottom w:val="0"/>
          <w:divBdr>
            <w:top w:val="none" w:sz="0" w:space="0" w:color="auto"/>
            <w:left w:val="none" w:sz="0" w:space="0" w:color="auto"/>
            <w:bottom w:val="none" w:sz="0" w:space="0" w:color="auto"/>
            <w:right w:val="none" w:sz="0" w:space="0" w:color="auto"/>
          </w:divBdr>
        </w:div>
        <w:div w:id="907572062">
          <w:marLeft w:val="0"/>
          <w:marRight w:val="0"/>
          <w:marTop w:val="0"/>
          <w:marBottom w:val="0"/>
          <w:divBdr>
            <w:top w:val="none" w:sz="0" w:space="0" w:color="auto"/>
            <w:left w:val="none" w:sz="0" w:space="0" w:color="auto"/>
            <w:bottom w:val="none" w:sz="0" w:space="0" w:color="auto"/>
            <w:right w:val="none" w:sz="0" w:space="0" w:color="auto"/>
          </w:divBdr>
        </w:div>
        <w:div w:id="921840444">
          <w:marLeft w:val="0"/>
          <w:marRight w:val="0"/>
          <w:marTop w:val="0"/>
          <w:marBottom w:val="0"/>
          <w:divBdr>
            <w:top w:val="none" w:sz="0" w:space="0" w:color="auto"/>
            <w:left w:val="none" w:sz="0" w:space="0" w:color="auto"/>
            <w:bottom w:val="none" w:sz="0" w:space="0" w:color="auto"/>
            <w:right w:val="none" w:sz="0" w:space="0" w:color="auto"/>
          </w:divBdr>
        </w:div>
        <w:div w:id="930354977">
          <w:marLeft w:val="0"/>
          <w:marRight w:val="0"/>
          <w:marTop w:val="0"/>
          <w:marBottom w:val="0"/>
          <w:divBdr>
            <w:top w:val="none" w:sz="0" w:space="0" w:color="auto"/>
            <w:left w:val="none" w:sz="0" w:space="0" w:color="auto"/>
            <w:bottom w:val="none" w:sz="0" w:space="0" w:color="auto"/>
            <w:right w:val="none" w:sz="0" w:space="0" w:color="auto"/>
          </w:divBdr>
        </w:div>
        <w:div w:id="966349940">
          <w:marLeft w:val="0"/>
          <w:marRight w:val="0"/>
          <w:marTop w:val="0"/>
          <w:marBottom w:val="0"/>
          <w:divBdr>
            <w:top w:val="none" w:sz="0" w:space="0" w:color="auto"/>
            <w:left w:val="none" w:sz="0" w:space="0" w:color="auto"/>
            <w:bottom w:val="none" w:sz="0" w:space="0" w:color="auto"/>
            <w:right w:val="none" w:sz="0" w:space="0" w:color="auto"/>
          </w:divBdr>
        </w:div>
        <w:div w:id="976641961">
          <w:marLeft w:val="0"/>
          <w:marRight w:val="0"/>
          <w:marTop w:val="0"/>
          <w:marBottom w:val="0"/>
          <w:divBdr>
            <w:top w:val="none" w:sz="0" w:space="0" w:color="auto"/>
            <w:left w:val="none" w:sz="0" w:space="0" w:color="auto"/>
            <w:bottom w:val="none" w:sz="0" w:space="0" w:color="auto"/>
            <w:right w:val="none" w:sz="0" w:space="0" w:color="auto"/>
          </w:divBdr>
        </w:div>
        <w:div w:id="987394489">
          <w:marLeft w:val="0"/>
          <w:marRight w:val="0"/>
          <w:marTop w:val="0"/>
          <w:marBottom w:val="0"/>
          <w:divBdr>
            <w:top w:val="none" w:sz="0" w:space="0" w:color="auto"/>
            <w:left w:val="none" w:sz="0" w:space="0" w:color="auto"/>
            <w:bottom w:val="none" w:sz="0" w:space="0" w:color="auto"/>
            <w:right w:val="none" w:sz="0" w:space="0" w:color="auto"/>
          </w:divBdr>
        </w:div>
        <w:div w:id="1067805566">
          <w:marLeft w:val="0"/>
          <w:marRight w:val="0"/>
          <w:marTop w:val="0"/>
          <w:marBottom w:val="0"/>
          <w:divBdr>
            <w:top w:val="none" w:sz="0" w:space="0" w:color="auto"/>
            <w:left w:val="none" w:sz="0" w:space="0" w:color="auto"/>
            <w:bottom w:val="none" w:sz="0" w:space="0" w:color="auto"/>
            <w:right w:val="none" w:sz="0" w:space="0" w:color="auto"/>
          </w:divBdr>
        </w:div>
        <w:div w:id="1072510292">
          <w:marLeft w:val="0"/>
          <w:marRight w:val="0"/>
          <w:marTop w:val="0"/>
          <w:marBottom w:val="0"/>
          <w:divBdr>
            <w:top w:val="none" w:sz="0" w:space="0" w:color="auto"/>
            <w:left w:val="none" w:sz="0" w:space="0" w:color="auto"/>
            <w:bottom w:val="none" w:sz="0" w:space="0" w:color="auto"/>
            <w:right w:val="none" w:sz="0" w:space="0" w:color="auto"/>
          </w:divBdr>
        </w:div>
        <w:div w:id="1090158025">
          <w:marLeft w:val="0"/>
          <w:marRight w:val="0"/>
          <w:marTop w:val="0"/>
          <w:marBottom w:val="0"/>
          <w:divBdr>
            <w:top w:val="none" w:sz="0" w:space="0" w:color="auto"/>
            <w:left w:val="none" w:sz="0" w:space="0" w:color="auto"/>
            <w:bottom w:val="none" w:sz="0" w:space="0" w:color="auto"/>
            <w:right w:val="none" w:sz="0" w:space="0" w:color="auto"/>
          </w:divBdr>
        </w:div>
        <w:div w:id="1120497041">
          <w:marLeft w:val="0"/>
          <w:marRight w:val="0"/>
          <w:marTop w:val="0"/>
          <w:marBottom w:val="0"/>
          <w:divBdr>
            <w:top w:val="none" w:sz="0" w:space="0" w:color="auto"/>
            <w:left w:val="none" w:sz="0" w:space="0" w:color="auto"/>
            <w:bottom w:val="none" w:sz="0" w:space="0" w:color="auto"/>
            <w:right w:val="none" w:sz="0" w:space="0" w:color="auto"/>
          </w:divBdr>
        </w:div>
        <w:div w:id="1122722716">
          <w:marLeft w:val="0"/>
          <w:marRight w:val="0"/>
          <w:marTop w:val="0"/>
          <w:marBottom w:val="0"/>
          <w:divBdr>
            <w:top w:val="none" w:sz="0" w:space="0" w:color="auto"/>
            <w:left w:val="none" w:sz="0" w:space="0" w:color="auto"/>
            <w:bottom w:val="none" w:sz="0" w:space="0" w:color="auto"/>
            <w:right w:val="none" w:sz="0" w:space="0" w:color="auto"/>
          </w:divBdr>
        </w:div>
        <w:div w:id="1165438937">
          <w:marLeft w:val="0"/>
          <w:marRight w:val="0"/>
          <w:marTop w:val="0"/>
          <w:marBottom w:val="0"/>
          <w:divBdr>
            <w:top w:val="none" w:sz="0" w:space="0" w:color="auto"/>
            <w:left w:val="none" w:sz="0" w:space="0" w:color="auto"/>
            <w:bottom w:val="none" w:sz="0" w:space="0" w:color="auto"/>
            <w:right w:val="none" w:sz="0" w:space="0" w:color="auto"/>
          </w:divBdr>
        </w:div>
        <w:div w:id="1181818693">
          <w:marLeft w:val="0"/>
          <w:marRight w:val="0"/>
          <w:marTop w:val="0"/>
          <w:marBottom w:val="0"/>
          <w:divBdr>
            <w:top w:val="none" w:sz="0" w:space="0" w:color="auto"/>
            <w:left w:val="none" w:sz="0" w:space="0" w:color="auto"/>
            <w:bottom w:val="none" w:sz="0" w:space="0" w:color="auto"/>
            <w:right w:val="none" w:sz="0" w:space="0" w:color="auto"/>
          </w:divBdr>
        </w:div>
        <w:div w:id="1270308732">
          <w:marLeft w:val="0"/>
          <w:marRight w:val="0"/>
          <w:marTop w:val="0"/>
          <w:marBottom w:val="0"/>
          <w:divBdr>
            <w:top w:val="none" w:sz="0" w:space="0" w:color="auto"/>
            <w:left w:val="none" w:sz="0" w:space="0" w:color="auto"/>
            <w:bottom w:val="none" w:sz="0" w:space="0" w:color="auto"/>
            <w:right w:val="none" w:sz="0" w:space="0" w:color="auto"/>
          </w:divBdr>
        </w:div>
        <w:div w:id="1297419880">
          <w:marLeft w:val="0"/>
          <w:marRight w:val="0"/>
          <w:marTop w:val="0"/>
          <w:marBottom w:val="0"/>
          <w:divBdr>
            <w:top w:val="none" w:sz="0" w:space="0" w:color="auto"/>
            <w:left w:val="none" w:sz="0" w:space="0" w:color="auto"/>
            <w:bottom w:val="none" w:sz="0" w:space="0" w:color="auto"/>
            <w:right w:val="none" w:sz="0" w:space="0" w:color="auto"/>
          </w:divBdr>
        </w:div>
        <w:div w:id="1313145466">
          <w:marLeft w:val="0"/>
          <w:marRight w:val="0"/>
          <w:marTop w:val="0"/>
          <w:marBottom w:val="0"/>
          <w:divBdr>
            <w:top w:val="none" w:sz="0" w:space="0" w:color="auto"/>
            <w:left w:val="none" w:sz="0" w:space="0" w:color="auto"/>
            <w:bottom w:val="none" w:sz="0" w:space="0" w:color="auto"/>
            <w:right w:val="none" w:sz="0" w:space="0" w:color="auto"/>
          </w:divBdr>
        </w:div>
        <w:div w:id="1328709608">
          <w:marLeft w:val="0"/>
          <w:marRight w:val="0"/>
          <w:marTop w:val="0"/>
          <w:marBottom w:val="0"/>
          <w:divBdr>
            <w:top w:val="none" w:sz="0" w:space="0" w:color="auto"/>
            <w:left w:val="none" w:sz="0" w:space="0" w:color="auto"/>
            <w:bottom w:val="none" w:sz="0" w:space="0" w:color="auto"/>
            <w:right w:val="none" w:sz="0" w:space="0" w:color="auto"/>
          </w:divBdr>
        </w:div>
        <w:div w:id="1546063098">
          <w:marLeft w:val="0"/>
          <w:marRight w:val="0"/>
          <w:marTop w:val="0"/>
          <w:marBottom w:val="0"/>
          <w:divBdr>
            <w:top w:val="none" w:sz="0" w:space="0" w:color="auto"/>
            <w:left w:val="none" w:sz="0" w:space="0" w:color="auto"/>
            <w:bottom w:val="none" w:sz="0" w:space="0" w:color="auto"/>
            <w:right w:val="none" w:sz="0" w:space="0" w:color="auto"/>
          </w:divBdr>
        </w:div>
        <w:div w:id="1594244271">
          <w:marLeft w:val="0"/>
          <w:marRight w:val="0"/>
          <w:marTop w:val="0"/>
          <w:marBottom w:val="0"/>
          <w:divBdr>
            <w:top w:val="none" w:sz="0" w:space="0" w:color="auto"/>
            <w:left w:val="none" w:sz="0" w:space="0" w:color="auto"/>
            <w:bottom w:val="none" w:sz="0" w:space="0" w:color="auto"/>
            <w:right w:val="none" w:sz="0" w:space="0" w:color="auto"/>
          </w:divBdr>
        </w:div>
        <w:div w:id="1618220097">
          <w:marLeft w:val="0"/>
          <w:marRight w:val="0"/>
          <w:marTop w:val="0"/>
          <w:marBottom w:val="0"/>
          <w:divBdr>
            <w:top w:val="none" w:sz="0" w:space="0" w:color="auto"/>
            <w:left w:val="none" w:sz="0" w:space="0" w:color="auto"/>
            <w:bottom w:val="none" w:sz="0" w:space="0" w:color="auto"/>
            <w:right w:val="none" w:sz="0" w:space="0" w:color="auto"/>
          </w:divBdr>
        </w:div>
        <w:div w:id="1671059577">
          <w:marLeft w:val="0"/>
          <w:marRight w:val="0"/>
          <w:marTop w:val="0"/>
          <w:marBottom w:val="0"/>
          <w:divBdr>
            <w:top w:val="none" w:sz="0" w:space="0" w:color="auto"/>
            <w:left w:val="none" w:sz="0" w:space="0" w:color="auto"/>
            <w:bottom w:val="none" w:sz="0" w:space="0" w:color="auto"/>
            <w:right w:val="none" w:sz="0" w:space="0" w:color="auto"/>
          </w:divBdr>
        </w:div>
        <w:div w:id="1686469885">
          <w:marLeft w:val="0"/>
          <w:marRight w:val="0"/>
          <w:marTop w:val="0"/>
          <w:marBottom w:val="0"/>
          <w:divBdr>
            <w:top w:val="none" w:sz="0" w:space="0" w:color="auto"/>
            <w:left w:val="none" w:sz="0" w:space="0" w:color="auto"/>
            <w:bottom w:val="none" w:sz="0" w:space="0" w:color="auto"/>
            <w:right w:val="none" w:sz="0" w:space="0" w:color="auto"/>
          </w:divBdr>
        </w:div>
        <w:div w:id="1747651818">
          <w:marLeft w:val="0"/>
          <w:marRight w:val="0"/>
          <w:marTop w:val="0"/>
          <w:marBottom w:val="0"/>
          <w:divBdr>
            <w:top w:val="none" w:sz="0" w:space="0" w:color="auto"/>
            <w:left w:val="none" w:sz="0" w:space="0" w:color="auto"/>
            <w:bottom w:val="none" w:sz="0" w:space="0" w:color="auto"/>
            <w:right w:val="none" w:sz="0" w:space="0" w:color="auto"/>
          </w:divBdr>
        </w:div>
        <w:div w:id="1757048773">
          <w:marLeft w:val="0"/>
          <w:marRight w:val="0"/>
          <w:marTop w:val="0"/>
          <w:marBottom w:val="0"/>
          <w:divBdr>
            <w:top w:val="none" w:sz="0" w:space="0" w:color="auto"/>
            <w:left w:val="none" w:sz="0" w:space="0" w:color="auto"/>
            <w:bottom w:val="none" w:sz="0" w:space="0" w:color="auto"/>
            <w:right w:val="none" w:sz="0" w:space="0" w:color="auto"/>
          </w:divBdr>
        </w:div>
        <w:div w:id="1802992423">
          <w:marLeft w:val="0"/>
          <w:marRight w:val="0"/>
          <w:marTop w:val="0"/>
          <w:marBottom w:val="0"/>
          <w:divBdr>
            <w:top w:val="none" w:sz="0" w:space="0" w:color="auto"/>
            <w:left w:val="none" w:sz="0" w:space="0" w:color="auto"/>
            <w:bottom w:val="none" w:sz="0" w:space="0" w:color="auto"/>
            <w:right w:val="none" w:sz="0" w:space="0" w:color="auto"/>
          </w:divBdr>
        </w:div>
        <w:div w:id="1952930684">
          <w:marLeft w:val="0"/>
          <w:marRight w:val="0"/>
          <w:marTop w:val="0"/>
          <w:marBottom w:val="0"/>
          <w:divBdr>
            <w:top w:val="none" w:sz="0" w:space="0" w:color="auto"/>
            <w:left w:val="none" w:sz="0" w:space="0" w:color="auto"/>
            <w:bottom w:val="none" w:sz="0" w:space="0" w:color="auto"/>
            <w:right w:val="none" w:sz="0" w:space="0" w:color="auto"/>
          </w:divBdr>
        </w:div>
        <w:div w:id="1999262414">
          <w:marLeft w:val="0"/>
          <w:marRight w:val="0"/>
          <w:marTop w:val="0"/>
          <w:marBottom w:val="0"/>
          <w:divBdr>
            <w:top w:val="none" w:sz="0" w:space="0" w:color="auto"/>
            <w:left w:val="none" w:sz="0" w:space="0" w:color="auto"/>
            <w:bottom w:val="none" w:sz="0" w:space="0" w:color="auto"/>
            <w:right w:val="none" w:sz="0" w:space="0" w:color="auto"/>
          </w:divBdr>
        </w:div>
        <w:div w:id="2053186284">
          <w:marLeft w:val="0"/>
          <w:marRight w:val="0"/>
          <w:marTop w:val="0"/>
          <w:marBottom w:val="0"/>
          <w:divBdr>
            <w:top w:val="none" w:sz="0" w:space="0" w:color="auto"/>
            <w:left w:val="none" w:sz="0" w:space="0" w:color="auto"/>
            <w:bottom w:val="none" w:sz="0" w:space="0" w:color="auto"/>
            <w:right w:val="none" w:sz="0" w:space="0" w:color="auto"/>
          </w:divBdr>
        </w:div>
      </w:divsChild>
    </w:div>
    <w:div w:id="607933977">
      <w:bodyDiv w:val="1"/>
      <w:marLeft w:val="0"/>
      <w:marRight w:val="0"/>
      <w:marTop w:val="0"/>
      <w:marBottom w:val="0"/>
      <w:divBdr>
        <w:top w:val="none" w:sz="0" w:space="0" w:color="auto"/>
        <w:left w:val="none" w:sz="0" w:space="0" w:color="auto"/>
        <w:bottom w:val="none" w:sz="0" w:space="0" w:color="auto"/>
        <w:right w:val="none" w:sz="0" w:space="0" w:color="auto"/>
      </w:divBdr>
      <w:divsChild>
        <w:div w:id="1944335228">
          <w:marLeft w:val="0"/>
          <w:marRight w:val="0"/>
          <w:marTop w:val="240"/>
          <w:marBottom w:val="0"/>
          <w:divBdr>
            <w:top w:val="none" w:sz="0" w:space="0" w:color="auto"/>
            <w:left w:val="none" w:sz="0" w:space="0" w:color="auto"/>
            <w:bottom w:val="none" w:sz="0" w:space="0" w:color="auto"/>
            <w:right w:val="none" w:sz="0" w:space="0" w:color="auto"/>
          </w:divBdr>
          <w:divsChild>
            <w:div w:id="2112702338">
              <w:marLeft w:val="0"/>
              <w:marRight w:val="0"/>
              <w:marTop w:val="0"/>
              <w:marBottom w:val="0"/>
              <w:divBdr>
                <w:top w:val="none" w:sz="0" w:space="0" w:color="auto"/>
                <w:left w:val="none" w:sz="0" w:space="0" w:color="auto"/>
                <w:bottom w:val="none" w:sz="0" w:space="0" w:color="auto"/>
                <w:right w:val="none" w:sz="0" w:space="0" w:color="auto"/>
              </w:divBdr>
              <w:divsChild>
                <w:div w:id="1725253387">
                  <w:marLeft w:val="0"/>
                  <w:marRight w:val="0"/>
                  <w:marTop w:val="240"/>
                  <w:marBottom w:val="0"/>
                  <w:divBdr>
                    <w:top w:val="none" w:sz="0" w:space="0" w:color="auto"/>
                    <w:left w:val="none" w:sz="0" w:space="0" w:color="auto"/>
                    <w:bottom w:val="none" w:sz="0" w:space="0" w:color="auto"/>
                    <w:right w:val="none" w:sz="0" w:space="0" w:color="auto"/>
                  </w:divBdr>
                  <w:divsChild>
                    <w:div w:id="1210261379">
                      <w:marLeft w:val="0"/>
                      <w:marRight w:val="0"/>
                      <w:marTop w:val="240"/>
                      <w:marBottom w:val="0"/>
                      <w:divBdr>
                        <w:top w:val="none" w:sz="0" w:space="0" w:color="auto"/>
                        <w:left w:val="none" w:sz="0" w:space="0" w:color="auto"/>
                        <w:bottom w:val="none" w:sz="0" w:space="0" w:color="auto"/>
                        <w:right w:val="none" w:sz="0" w:space="0" w:color="auto"/>
                      </w:divBdr>
                      <w:divsChild>
                        <w:div w:id="1715077342">
                          <w:marLeft w:val="0"/>
                          <w:marRight w:val="0"/>
                          <w:marTop w:val="0"/>
                          <w:marBottom w:val="0"/>
                          <w:divBdr>
                            <w:top w:val="none" w:sz="0" w:space="0" w:color="auto"/>
                            <w:left w:val="none" w:sz="0" w:space="0" w:color="auto"/>
                            <w:bottom w:val="none" w:sz="0" w:space="0" w:color="auto"/>
                            <w:right w:val="none" w:sz="0" w:space="0" w:color="auto"/>
                          </w:divBdr>
                          <w:divsChild>
                            <w:div w:id="12879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9669">
                      <w:marLeft w:val="0"/>
                      <w:marRight w:val="0"/>
                      <w:marTop w:val="0"/>
                      <w:marBottom w:val="0"/>
                      <w:divBdr>
                        <w:top w:val="none" w:sz="0" w:space="0" w:color="auto"/>
                        <w:left w:val="none" w:sz="0" w:space="0" w:color="auto"/>
                        <w:bottom w:val="none" w:sz="0" w:space="0" w:color="auto"/>
                        <w:right w:val="none" w:sz="0" w:space="0" w:color="auto"/>
                      </w:divBdr>
                      <w:divsChild>
                        <w:div w:id="16613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3226">
          <w:marLeft w:val="0"/>
          <w:marRight w:val="0"/>
          <w:marTop w:val="240"/>
          <w:marBottom w:val="240"/>
          <w:divBdr>
            <w:top w:val="none" w:sz="0" w:space="0" w:color="auto"/>
            <w:left w:val="none" w:sz="0" w:space="0" w:color="auto"/>
            <w:bottom w:val="none" w:sz="0" w:space="0" w:color="auto"/>
            <w:right w:val="none" w:sz="0" w:space="0" w:color="auto"/>
          </w:divBdr>
        </w:div>
      </w:divsChild>
    </w:div>
    <w:div w:id="616451929">
      <w:bodyDiv w:val="1"/>
      <w:marLeft w:val="0"/>
      <w:marRight w:val="0"/>
      <w:marTop w:val="0"/>
      <w:marBottom w:val="0"/>
      <w:divBdr>
        <w:top w:val="none" w:sz="0" w:space="0" w:color="auto"/>
        <w:left w:val="none" w:sz="0" w:space="0" w:color="auto"/>
        <w:bottom w:val="none" w:sz="0" w:space="0" w:color="auto"/>
        <w:right w:val="none" w:sz="0" w:space="0" w:color="auto"/>
      </w:divBdr>
    </w:div>
    <w:div w:id="745304736">
      <w:bodyDiv w:val="1"/>
      <w:marLeft w:val="0"/>
      <w:marRight w:val="0"/>
      <w:marTop w:val="0"/>
      <w:marBottom w:val="0"/>
      <w:divBdr>
        <w:top w:val="none" w:sz="0" w:space="0" w:color="auto"/>
        <w:left w:val="none" w:sz="0" w:space="0" w:color="auto"/>
        <w:bottom w:val="none" w:sz="0" w:space="0" w:color="auto"/>
        <w:right w:val="none" w:sz="0" w:space="0" w:color="auto"/>
      </w:divBdr>
    </w:div>
    <w:div w:id="1095637320">
      <w:bodyDiv w:val="1"/>
      <w:marLeft w:val="0"/>
      <w:marRight w:val="0"/>
      <w:marTop w:val="0"/>
      <w:marBottom w:val="0"/>
      <w:divBdr>
        <w:top w:val="none" w:sz="0" w:space="0" w:color="auto"/>
        <w:left w:val="none" w:sz="0" w:space="0" w:color="auto"/>
        <w:bottom w:val="none" w:sz="0" w:space="0" w:color="auto"/>
        <w:right w:val="none" w:sz="0" w:space="0" w:color="auto"/>
      </w:divBdr>
    </w:div>
    <w:div w:id="1238398571">
      <w:bodyDiv w:val="1"/>
      <w:marLeft w:val="0"/>
      <w:marRight w:val="0"/>
      <w:marTop w:val="0"/>
      <w:marBottom w:val="0"/>
      <w:divBdr>
        <w:top w:val="none" w:sz="0" w:space="0" w:color="auto"/>
        <w:left w:val="none" w:sz="0" w:space="0" w:color="auto"/>
        <w:bottom w:val="none" w:sz="0" w:space="0" w:color="auto"/>
        <w:right w:val="none" w:sz="0" w:space="0" w:color="auto"/>
      </w:divBdr>
    </w:div>
    <w:div w:id="1378580116">
      <w:bodyDiv w:val="1"/>
      <w:marLeft w:val="0"/>
      <w:marRight w:val="0"/>
      <w:marTop w:val="0"/>
      <w:marBottom w:val="0"/>
      <w:divBdr>
        <w:top w:val="none" w:sz="0" w:space="0" w:color="auto"/>
        <w:left w:val="none" w:sz="0" w:space="0" w:color="auto"/>
        <w:bottom w:val="none" w:sz="0" w:space="0" w:color="auto"/>
        <w:right w:val="none" w:sz="0" w:space="0" w:color="auto"/>
      </w:divBdr>
    </w:div>
    <w:div w:id="1467505506">
      <w:bodyDiv w:val="1"/>
      <w:marLeft w:val="0"/>
      <w:marRight w:val="0"/>
      <w:marTop w:val="0"/>
      <w:marBottom w:val="0"/>
      <w:divBdr>
        <w:top w:val="none" w:sz="0" w:space="0" w:color="auto"/>
        <w:left w:val="none" w:sz="0" w:space="0" w:color="auto"/>
        <w:bottom w:val="none" w:sz="0" w:space="0" w:color="auto"/>
        <w:right w:val="none" w:sz="0" w:space="0" w:color="auto"/>
      </w:divBdr>
    </w:div>
    <w:div w:id="1474954340">
      <w:bodyDiv w:val="1"/>
      <w:marLeft w:val="0"/>
      <w:marRight w:val="0"/>
      <w:marTop w:val="0"/>
      <w:marBottom w:val="0"/>
      <w:divBdr>
        <w:top w:val="none" w:sz="0" w:space="0" w:color="auto"/>
        <w:left w:val="none" w:sz="0" w:space="0" w:color="auto"/>
        <w:bottom w:val="none" w:sz="0" w:space="0" w:color="auto"/>
        <w:right w:val="none" w:sz="0" w:space="0" w:color="auto"/>
      </w:divBdr>
    </w:div>
    <w:div w:id="1650593179">
      <w:bodyDiv w:val="1"/>
      <w:marLeft w:val="0"/>
      <w:marRight w:val="0"/>
      <w:marTop w:val="0"/>
      <w:marBottom w:val="0"/>
      <w:divBdr>
        <w:top w:val="none" w:sz="0" w:space="0" w:color="auto"/>
        <w:left w:val="none" w:sz="0" w:space="0" w:color="auto"/>
        <w:bottom w:val="none" w:sz="0" w:space="0" w:color="auto"/>
        <w:right w:val="none" w:sz="0" w:space="0" w:color="auto"/>
      </w:divBdr>
    </w:div>
    <w:div w:id="184813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87616-E136-4010-964A-DBABE38D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Gerald A</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 A</dc:title>
  <dc:subject/>
  <dc:creator>Johna Williams</dc:creator>
  <cp:keywords/>
  <cp:lastModifiedBy>Charles Adornetto</cp:lastModifiedBy>
  <cp:revision>2</cp:revision>
  <cp:lastPrinted>2025-01-25T08:45:00Z</cp:lastPrinted>
  <dcterms:created xsi:type="dcterms:W3CDTF">2025-02-14T16:12:00Z</dcterms:created>
  <dcterms:modified xsi:type="dcterms:W3CDTF">2025-02-14T16:12:00Z</dcterms:modified>
</cp:coreProperties>
</file>