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C4EDB" w14:textId="7AE774B2" w:rsidR="00407EAE" w:rsidRPr="00407EAE" w:rsidRDefault="00407EAE" w:rsidP="00407EAE">
      <w:pPr>
        <w:pStyle w:val="Title"/>
        <w:spacing w:line="276" w:lineRule="auto"/>
        <w:jc w:val="center"/>
        <w:rPr>
          <w:rFonts w:ascii="Times New Roman" w:hAnsi="Times New Roman" w:cs="Times New Roman"/>
          <w:b/>
          <w:bCs/>
          <w:sz w:val="28"/>
          <w:szCs w:val="28"/>
        </w:rPr>
      </w:pPr>
      <w:r w:rsidRPr="00407EAE">
        <w:rPr>
          <w:rFonts w:ascii="Times New Roman" w:hAnsi="Times New Roman" w:cs="Times New Roman"/>
          <w:b/>
          <w:bCs/>
          <w:sz w:val="28"/>
          <w:szCs w:val="28"/>
        </w:rPr>
        <w:t>EXHIBIT 1</w:t>
      </w:r>
    </w:p>
    <w:p w14:paraId="3BFA08E4" w14:textId="77777777" w:rsidR="00407EAE" w:rsidRPr="00407EAE" w:rsidRDefault="00407EAE" w:rsidP="00407EAE">
      <w:pPr>
        <w:pStyle w:val="Title"/>
        <w:spacing w:line="276" w:lineRule="auto"/>
        <w:jc w:val="center"/>
        <w:rPr>
          <w:rFonts w:ascii="Times New Roman" w:hAnsi="Times New Roman" w:cs="Times New Roman"/>
          <w:sz w:val="28"/>
          <w:szCs w:val="28"/>
        </w:rPr>
      </w:pPr>
      <w:r w:rsidRPr="00407EAE">
        <w:rPr>
          <w:rFonts w:ascii="Times New Roman" w:hAnsi="Times New Roman" w:cs="Times New Roman"/>
          <w:sz w:val="28"/>
          <w:szCs w:val="28"/>
        </w:rPr>
        <w:t xml:space="preserve">(Please </w:t>
      </w:r>
      <w:proofErr w:type="gramStart"/>
      <w:r w:rsidRPr="00407EAE">
        <w:rPr>
          <w:rFonts w:ascii="Times New Roman" w:hAnsi="Times New Roman" w:cs="Times New Roman"/>
          <w:sz w:val="28"/>
          <w:szCs w:val="28"/>
        </w:rPr>
        <w:t>note:</w:t>
      </w:r>
      <w:proofErr w:type="gramEnd"/>
      <w:r w:rsidRPr="00407EAE">
        <w:rPr>
          <w:rFonts w:ascii="Times New Roman" w:hAnsi="Times New Roman" w:cs="Times New Roman"/>
          <w:sz w:val="28"/>
          <w:szCs w:val="28"/>
        </w:rPr>
        <w:t xml:space="preserve"> deletions are reflected by </w:t>
      </w:r>
      <w:r w:rsidRPr="00407EAE">
        <w:rPr>
          <w:rFonts w:ascii="Times New Roman" w:hAnsi="Times New Roman" w:cs="Times New Roman"/>
          <w:strike/>
          <w:sz w:val="28"/>
          <w:szCs w:val="28"/>
        </w:rPr>
        <w:t>strikethrough</w:t>
      </w:r>
      <w:r w:rsidRPr="00407EAE">
        <w:rPr>
          <w:rFonts w:ascii="Times New Roman" w:hAnsi="Times New Roman" w:cs="Times New Roman"/>
          <w:sz w:val="28"/>
          <w:szCs w:val="28"/>
        </w:rPr>
        <w:t xml:space="preserve"> and additions are reflected by </w:t>
      </w:r>
      <w:r w:rsidRPr="00407EAE">
        <w:rPr>
          <w:rFonts w:ascii="Times New Roman" w:hAnsi="Times New Roman" w:cs="Times New Roman"/>
          <w:sz w:val="28"/>
          <w:szCs w:val="28"/>
          <w:u w:val="single"/>
        </w:rPr>
        <w:t>underline</w:t>
      </w:r>
      <w:r w:rsidRPr="00407EAE">
        <w:rPr>
          <w:rFonts w:ascii="Times New Roman" w:hAnsi="Times New Roman" w:cs="Times New Roman"/>
          <w:sz w:val="28"/>
          <w:szCs w:val="28"/>
        </w:rPr>
        <w:t>.)</w:t>
      </w:r>
    </w:p>
    <w:p w14:paraId="0233EACC" w14:textId="77777777" w:rsidR="00407EAE" w:rsidRPr="00407EAE" w:rsidRDefault="00407EAE" w:rsidP="00407EAE">
      <w:pPr>
        <w:spacing w:before="204" w:line="276" w:lineRule="auto"/>
        <w:ind w:left="100" w:right="3074"/>
        <w:rPr>
          <w:b/>
          <w:sz w:val="28"/>
          <w:szCs w:val="28"/>
        </w:rPr>
      </w:pPr>
    </w:p>
    <w:p w14:paraId="1CC35107" w14:textId="64A2AC61" w:rsidR="00407EAE" w:rsidRPr="00407EAE" w:rsidRDefault="00407EAE" w:rsidP="00407EAE">
      <w:pPr>
        <w:spacing w:before="204" w:line="276" w:lineRule="auto"/>
        <w:ind w:left="100" w:right="3074"/>
        <w:rPr>
          <w:b/>
          <w:sz w:val="28"/>
          <w:szCs w:val="28"/>
        </w:rPr>
      </w:pPr>
      <w:r w:rsidRPr="00407EAE">
        <w:rPr>
          <w:b/>
          <w:sz w:val="28"/>
          <w:szCs w:val="28"/>
        </w:rPr>
        <w:t>Rule</w:t>
      </w:r>
      <w:r w:rsidRPr="00407EAE">
        <w:rPr>
          <w:b/>
          <w:spacing w:val="-6"/>
          <w:sz w:val="28"/>
          <w:szCs w:val="28"/>
        </w:rPr>
        <w:t xml:space="preserve"> </w:t>
      </w:r>
      <w:r w:rsidRPr="00407EAE">
        <w:rPr>
          <w:b/>
          <w:sz w:val="28"/>
          <w:szCs w:val="28"/>
        </w:rPr>
        <w:t>45</w:t>
      </w:r>
      <w:r>
        <w:rPr>
          <w:b/>
          <w:sz w:val="28"/>
          <w:szCs w:val="28"/>
        </w:rPr>
        <w:t>.</w:t>
      </w:r>
      <w:r w:rsidRPr="00407EAE">
        <w:rPr>
          <w:b/>
          <w:spacing w:val="-8"/>
          <w:sz w:val="28"/>
          <w:szCs w:val="28"/>
        </w:rPr>
        <w:t xml:space="preserve"> </w:t>
      </w:r>
      <w:r w:rsidRPr="00407EAE">
        <w:rPr>
          <w:b/>
          <w:sz w:val="28"/>
          <w:szCs w:val="28"/>
        </w:rPr>
        <w:t>Mandatory</w:t>
      </w:r>
      <w:r w:rsidRPr="00407EAE">
        <w:rPr>
          <w:b/>
          <w:spacing w:val="-9"/>
          <w:sz w:val="28"/>
          <w:szCs w:val="28"/>
        </w:rPr>
        <w:t xml:space="preserve"> </w:t>
      </w:r>
      <w:r w:rsidRPr="00407EAE">
        <w:rPr>
          <w:b/>
          <w:sz w:val="28"/>
          <w:szCs w:val="28"/>
        </w:rPr>
        <w:t>Continuing</w:t>
      </w:r>
      <w:r w:rsidRPr="00407EAE">
        <w:rPr>
          <w:b/>
          <w:spacing w:val="-7"/>
          <w:sz w:val="28"/>
          <w:szCs w:val="28"/>
        </w:rPr>
        <w:t xml:space="preserve"> </w:t>
      </w:r>
      <w:r w:rsidRPr="00407EAE">
        <w:rPr>
          <w:b/>
          <w:sz w:val="28"/>
          <w:szCs w:val="28"/>
        </w:rPr>
        <w:t>Legal</w:t>
      </w:r>
      <w:r w:rsidRPr="00407EAE">
        <w:rPr>
          <w:b/>
          <w:spacing w:val="-8"/>
          <w:sz w:val="28"/>
          <w:szCs w:val="28"/>
        </w:rPr>
        <w:t xml:space="preserve"> </w:t>
      </w:r>
      <w:r w:rsidRPr="00407EAE">
        <w:rPr>
          <w:b/>
          <w:sz w:val="28"/>
          <w:szCs w:val="28"/>
        </w:rPr>
        <w:t xml:space="preserve">Education </w:t>
      </w:r>
    </w:p>
    <w:p w14:paraId="0C0846E0" w14:textId="4FBC03B7" w:rsidR="00407EAE" w:rsidRPr="00407EAE" w:rsidRDefault="00407EAE" w:rsidP="00407EAE">
      <w:pPr>
        <w:spacing w:before="204" w:line="276" w:lineRule="auto"/>
        <w:ind w:left="100" w:right="3074"/>
        <w:jc w:val="both"/>
        <w:rPr>
          <w:b/>
          <w:sz w:val="28"/>
          <w:szCs w:val="28"/>
        </w:rPr>
      </w:pPr>
      <w:r w:rsidRPr="00407EAE">
        <w:rPr>
          <w:b/>
          <w:sz w:val="28"/>
          <w:szCs w:val="28"/>
        </w:rPr>
        <w:t>(a)</w:t>
      </w:r>
      <w:r w:rsidRPr="00407EAE">
        <w:rPr>
          <w:b/>
          <w:sz w:val="28"/>
          <w:szCs w:val="28"/>
        </w:rPr>
        <w:t xml:space="preserve"> </w:t>
      </w:r>
      <w:r w:rsidRPr="00407EAE">
        <w:rPr>
          <w:b/>
          <w:sz w:val="28"/>
          <w:szCs w:val="28"/>
        </w:rPr>
        <w:t>Continuing Legal Education Requirements.</w:t>
      </w:r>
    </w:p>
    <w:p w14:paraId="3493B4E0" w14:textId="77777777" w:rsidR="00407EAE" w:rsidRPr="00407EAE" w:rsidRDefault="00407EAE" w:rsidP="00407EAE">
      <w:pPr>
        <w:pStyle w:val="ListParagraph"/>
        <w:widowControl w:val="0"/>
        <w:numPr>
          <w:ilvl w:val="1"/>
          <w:numId w:val="1"/>
        </w:numPr>
        <w:tabs>
          <w:tab w:val="left" w:pos="326"/>
        </w:tabs>
        <w:autoSpaceDE w:val="0"/>
        <w:autoSpaceDN w:val="0"/>
        <w:spacing w:before="227" w:line="276" w:lineRule="auto"/>
        <w:ind w:right="166" w:firstLine="0"/>
        <w:contextualSpacing w:val="0"/>
        <w:jc w:val="both"/>
        <w:rPr>
          <w:bCs/>
          <w:sz w:val="28"/>
          <w:szCs w:val="28"/>
        </w:rPr>
      </w:pPr>
      <w:r w:rsidRPr="00407EAE">
        <w:rPr>
          <w:bCs/>
          <w:sz w:val="28"/>
          <w:szCs w:val="28"/>
        </w:rPr>
        <w:t>Every active member of the bar, not exempted, shall complete a minimum of fifteen hours of continuing legal education activity in each educational year. An educational year shall begin on July 1 and end on the following June 30.</w:t>
      </w:r>
    </w:p>
    <w:p w14:paraId="218EC361" w14:textId="77777777" w:rsidR="00407EAE" w:rsidRPr="00407EAE" w:rsidRDefault="00407EAE" w:rsidP="00407EAE">
      <w:pPr>
        <w:pStyle w:val="ListParagraph"/>
        <w:widowControl w:val="0"/>
        <w:numPr>
          <w:ilvl w:val="1"/>
          <w:numId w:val="1"/>
        </w:numPr>
        <w:tabs>
          <w:tab w:val="left" w:pos="326"/>
        </w:tabs>
        <w:autoSpaceDE w:val="0"/>
        <w:autoSpaceDN w:val="0"/>
        <w:spacing w:before="227" w:line="276" w:lineRule="auto"/>
        <w:ind w:right="166" w:firstLine="0"/>
        <w:contextualSpacing w:val="0"/>
        <w:jc w:val="both"/>
        <w:rPr>
          <w:bCs/>
          <w:sz w:val="28"/>
          <w:szCs w:val="28"/>
        </w:rPr>
      </w:pPr>
      <w:r w:rsidRPr="00407EAE">
        <w:rPr>
          <w:bCs/>
          <w:sz w:val="28"/>
          <w:szCs w:val="28"/>
        </w:rPr>
        <w:t xml:space="preserve">A minimum of three hours of continuing legal education activity each educational year shall be </w:t>
      </w:r>
      <w:proofErr w:type="gramStart"/>
      <w:r w:rsidRPr="00407EAE">
        <w:rPr>
          <w:bCs/>
          <w:sz w:val="28"/>
          <w:szCs w:val="28"/>
        </w:rPr>
        <w:t>in the area of</w:t>
      </w:r>
      <w:proofErr w:type="gramEnd"/>
      <w:r w:rsidRPr="00407EAE">
        <w:rPr>
          <w:bCs/>
          <w:sz w:val="28"/>
          <w:szCs w:val="28"/>
        </w:rPr>
        <w:t xml:space="preserve"> professional responsibility. Professional responsibility includes instruction in legal and judicial ethics, professionalism, and malpractice prevention, and may include such topics as substance abuse, including causes, prevention, detection and treatment alternatives, attorneys' fees, client development, law office economics and practice, alternatives to litigation for managing conflict and resolving disputes, stress management, and the particular responsibilities of public lawyers, judges, and in-house counsel, to the extent that professional responsibility is directly addressed in connection with these topics. Lawyers elected, appointed or employed as government lawyers must have at least one hour on rules that are specifically applicable to government lawyers by July 1, 2025, or if not a government lawyer on the effective date of this amendment to this rule, within one year after being appointed or employed as a government lawyer.</w:t>
      </w:r>
    </w:p>
    <w:p w14:paraId="7CEA1715" w14:textId="77777777" w:rsidR="00407EAE" w:rsidRPr="00407EAE" w:rsidRDefault="00407EAE" w:rsidP="00407EAE">
      <w:pPr>
        <w:pStyle w:val="ListParagraph"/>
        <w:widowControl w:val="0"/>
        <w:numPr>
          <w:ilvl w:val="1"/>
          <w:numId w:val="1"/>
        </w:numPr>
        <w:tabs>
          <w:tab w:val="left" w:pos="326"/>
        </w:tabs>
        <w:autoSpaceDE w:val="0"/>
        <w:autoSpaceDN w:val="0"/>
        <w:spacing w:before="227" w:line="276" w:lineRule="auto"/>
        <w:ind w:right="166" w:firstLine="0"/>
        <w:contextualSpacing w:val="0"/>
        <w:jc w:val="both"/>
        <w:rPr>
          <w:bCs/>
          <w:sz w:val="28"/>
          <w:szCs w:val="28"/>
        </w:rPr>
      </w:pPr>
      <w:r w:rsidRPr="00407EAE">
        <w:rPr>
          <w:bCs/>
          <w:sz w:val="28"/>
          <w:szCs w:val="28"/>
        </w:rPr>
        <w:t>An active member of the bar, not exempted, who serves as an arbitrator under Rule 73, Arizona Rules of Civil Procedure, is eligible for two hours of continuing legal education activity credit in lieu of financial compensation otherwise available under A.R.S. § 12-133(g) or local rule for service as an arbitrator. Such credit shall be included in the maximum number of hours allowed for self-study and shall be awarded under procedures approved by the Board of Governors.</w:t>
      </w:r>
    </w:p>
    <w:p w14:paraId="3B847F55" w14:textId="77777777" w:rsidR="00407EAE" w:rsidRPr="00407EAE" w:rsidRDefault="00407EAE" w:rsidP="00407EAE">
      <w:pPr>
        <w:pStyle w:val="ListParagraph"/>
        <w:widowControl w:val="0"/>
        <w:numPr>
          <w:ilvl w:val="1"/>
          <w:numId w:val="1"/>
        </w:numPr>
        <w:tabs>
          <w:tab w:val="left" w:pos="326"/>
        </w:tabs>
        <w:autoSpaceDE w:val="0"/>
        <w:autoSpaceDN w:val="0"/>
        <w:spacing w:before="227" w:line="276" w:lineRule="auto"/>
        <w:ind w:right="166" w:firstLine="0"/>
        <w:contextualSpacing w:val="0"/>
        <w:jc w:val="both"/>
        <w:rPr>
          <w:bCs/>
          <w:sz w:val="28"/>
          <w:szCs w:val="28"/>
        </w:rPr>
      </w:pPr>
      <w:r w:rsidRPr="00407EAE">
        <w:rPr>
          <w:bCs/>
          <w:sz w:val="28"/>
          <w:szCs w:val="28"/>
        </w:rPr>
        <w:t xml:space="preserve">An active member of the bar, not exempted, who provides pro bono service to the poor or near poor through an approved legal services organization, as defined </w:t>
      </w:r>
      <w:r w:rsidRPr="00407EAE">
        <w:rPr>
          <w:bCs/>
          <w:sz w:val="28"/>
          <w:szCs w:val="28"/>
        </w:rPr>
        <w:lastRenderedPageBreak/>
        <w:t>in Rule 38(d), is eligible for one hour of continuing legal education credit for every five hours of pro bono service provided, up to a maximum of five hours per educational year of continuing legal education credit. Such credit shall be included in the maximum number of hours allowed for self-study and shall be reported in the attorney's annual affidavit of compliance.</w:t>
      </w:r>
    </w:p>
    <w:p w14:paraId="6515BFB6" w14:textId="77777777" w:rsidR="00407EAE" w:rsidRPr="00407EAE" w:rsidRDefault="00407EAE" w:rsidP="00407EAE">
      <w:pPr>
        <w:pStyle w:val="ListParagraph"/>
        <w:widowControl w:val="0"/>
        <w:numPr>
          <w:ilvl w:val="1"/>
          <w:numId w:val="1"/>
        </w:numPr>
        <w:tabs>
          <w:tab w:val="left" w:pos="326"/>
        </w:tabs>
        <w:autoSpaceDE w:val="0"/>
        <w:autoSpaceDN w:val="0"/>
        <w:spacing w:before="227" w:line="276" w:lineRule="auto"/>
        <w:ind w:right="166" w:firstLine="0"/>
        <w:contextualSpacing w:val="0"/>
        <w:jc w:val="both"/>
        <w:rPr>
          <w:bCs/>
          <w:sz w:val="28"/>
          <w:szCs w:val="28"/>
        </w:rPr>
      </w:pPr>
      <w:r w:rsidRPr="00407EAE">
        <w:rPr>
          <w:bCs/>
          <w:sz w:val="28"/>
          <w:szCs w:val="28"/>
        </w:rPr>
        <w:t xml:space="preserve">An active member of the bar, not exempted, who serves as an arbitrator for a fee dispute resolution under the auspices of the State Bar Fee Arbitration Program </w:t>
      </w:r>
      <w:r w:rsidRPr="00407EAE">
        <w:rPr>
          <w:bCs/>
          <w:strike/>
          <w:sz w:val="28"/>
          <w:szCs w:val="28"/>
        </w:rPr>
        <w:t>Committee</w:t>
      </w:r>
      <w:r w:rsidRPr="00407EAE">
        <w:rPr>
          <w:bCs/>
          <w:sz w:val="28"/>
          <w:szCs w:val="28"/>
        </w:rPr>
        <w:t xml:space="preserve"> is eligible for </w:t>
      </w:r>
      <w:r w:rsidRPr="00407EAE">
        <w:rPr>
          <w:bCs/>
          <w:strike/>
          <w:sz w:val="28"/>
          <w:szCs w:val="28"/>
        </w:rPr>
        <w:t>one</w:t>
      </w:r>
      <w:r w:rsidRPr="00407EAE">
        <w:rPr>
          <w:bCs/>
          <w:sz w:val="28"/>
          <w:szCs w:val="28"/>
        </w:rPr>
        <w:t xml:space="preserve"> </w:t>
      </w:r>
      <w:r w:rsidRPr="00407EAE">
        <w:rPr>
          <w:bCs/>
          <w:sz w:val="28"/>
          <w:szCs w:val="28"/>
          <w:u w:val="single"/>
        </w:rPr>
        <w:t>two</w:t>
      </w:r>
      <w:r w:rsidRPr="00407EAE">
        <w:rPr>
          <w:bCs/>
          <w:sz w:val="28"/>
          <w:szCs w:val="28"/>
        </w:rPr>
        <w:t xml:space="preserve"> </w:t>
      </w:r>
      <w:r w:rsidRPr="00407EAE">
        <w:rPr>
          <w:bCs/>
          <w:sz w:val="28"/>
          <w:szCs w:val="28"/>
          <w:u w:val="single"/>
        </w:rPr>
        <w:t>(2)</w:t>
      </w:r>
      <w:r w:rsidRPr="00407EAE">
        <w:rPr>
          <w:bCs/>
          <w:sz w:val="28"/>
          <w:szCs w:val="28"/>
        </w:rPr>
        <w:t xml:space="preserve"> hour</w:t>
      </w:r>
      <w:r w:rsidRPr="00407EAE">
        <w:rPr>
          <w:bCs/>
          <w:sz w:val="28"/>
          <w:szCs w:val="28"/>
          <w:u w:val="single"/>
        </w:rPr>
        <w:t>s</w:t>
      </w:r>
      <w:r w:rsidRPr="00407EAE">
        <w:rPr>
          <w:bCs/>
          <w:sz w:val="28"/>
          <w:szCs w:val="28"/>
        </w:rPr>
        <w:t xml:space="preserve"> of continuing legal education activity credit for each hearing actually conducted</w:t>
      </w:r>
      <w:r w:rsidRPr="00407EAE">
        <w:rPr>
          <w:bCs/>
          <w:sz w:val="28"/>
          <w:szCs w:val="28"/>
          <w:u w:val="single"/>
        </w:rPr>
        <w:t>.</w:t>
      </w:r>
      <w:r w:rsidRPr="00407EAE">
        <w:rPr>
          <w:bCs/>
          <w:strike/>
          <w:sz w:val="28"/>
          <w:szCs w:val="28"/>
          <w:u w:val="single"/>
        </w:rPr>
        <w:t>,</w:t>
      </w:r>
      <w:r w:rsidRPr="00407EAE">
        <w:rPr>
          <w:bCs/>
          <w:sz w:val="28"/>
          <w:szCs w:val="28"/>
        </w:rPr>
        <w:t xml:space="preserve"> </w:t>
      </w:r>
      <w:r w:rsidRPr="00407EAE">
        <w:rPr>
          <w:bCs/>
          <w:sz w:val="28"/>
          <w:szCs w:val="28"/>
          <w:u w:val="single"/>
        </w:rPr>
        <w:t>Those appointed to serve as panel chair are eligible for four (4) hours of continuing legal education activity credit for each hearing actually conducted.</w:t>
      </w:r>
      <w:r w:rsidRPr="00407EAE">
        <w:rPr>
          <w:bCs/>
          <w:sz w:val="28"/>
          <w:szCs w:val="28"/>
        </w:rPr>
        <w:t xml:space="preserve"> </w:t>
      </w:r>
      <w:r w:rsidRPr="00407EAE">
        <w:rPr>
          <w:bCs/>
          <w:sz w:val="28"/>
          <w:szCs w:val="28"/>
          <w:u w:val="single"/>
        </w:rPr>
        <w:t>The maximum hours any arbitrator is eligible for in one educational year shall not exceed eight (8) hours.</w:t>
      </w:r>
      <w:r w:rsidRPr="00407EAE">
        <w:rPr>
          <w:sz w:val="28"/>
          <w:szCs w:val="28"/>
        </w:rPr>
        <w:t xml:space="preserve"> </w:t>
      </w:r>
      <w:r w:rsidRPr="00407EAE">
        <w:rPr>
          <w:sz w:val="28"/>
          <w:szCs w:val="28"/>
          <w:u w:val="single"/>
        </w:rPr>
        <w:t>U</w:t>
      </w:r>
      <w:r w:rsidRPr="00407EAE">
        <w:rPr>
          <w:bCs/>
          <w:sz w:val="28"/>
          <w:szCs w:val="28"/>
          <w:u w:val="single"/>
        </w:rPr>
        <w:t>p to two (2) hours are eligible to be professional responsibility credit.</w:t>
      </w:r>
      <w:r w:rsidRPr="00407EAE">
        <w:rPr>
          <w:bCs/>
          <w:sz w:val="28"/>
          <w:szCs w:val="28"/>
        </w:rPr>
        <w:t xml:space="preserve"> </w:t>
      </w:r>
      <w:r w:rsidRPr="00407EAE">
        <w:rPr>
          <w:bCs/>
          <w:strike/>
          <w:sz w:val="28"/>
          <w:szCs w:val="28"/>
        </w:rPr>
        <w:t>up to a maximum of two hours credit in any one educational year.</w:t>
      </w:r>
      <w:r w:rsidRPr="00407EAE">
        <w:rPr>
          <w:bCs/>
          <w:sz w:val="28"/>
          <w:szCs w:val="28"/>
        </w:rPr>
        <w:t xml:space="preserve"> </w:t>
      </w:r>
      <w:r w:rsidRPr="00407EAE">
        <w:rPr>
          <w:bCs/>
          <w:strike/>
          <w:sz w:val="28"/>
          <w:szCs w:val="28"/>
        </w:rPr>
        <w:t xml:space="preserve">This credit shall be applied to the required three hours of activity </w:t>
      </w:r>
      <w:proofErr w:type="gramStart"/>
      <w:r w:rsidRPr="00407EAE">
        <w:rPr>
          <w:bCs/>
          <w:strike/>
          <w:sz w:val="28"/>
          <w:szCs w:val="28"/>
        </w:rPr>
        <w:t>in the area of</w:t>
      </w:r>
      <w:proofErr w:type="gramEnd"/>
      <w:r w:rsidRPr="00407EAE">
        <w:rPr>
          <w:bCs/>
          <w:strike/>
          <w:sz w:val="28"/>
          <w:szCs w:val="28"/>
        </w:rPr>
        <w:t xml:space="preserve"> professional responsibility mandated for that educational year.</w:t>
      </w:r>
    </w:p>
    <w:p w14:paraId="0E688F2C" w14:textId="77777777" w:rsidR="00407EAE" w:rsidRPr="00407EAE" w:rsidRDefault="00407EAE" w:rsidP="00407EAE">
      <w:pPr>
        <w:pStyle w:val="ListParagraph"/>
        <w:widowControl w:val="0"/>
        <w:numPr>
          <w:ilvl w:val="1"/>
          <w:numId w:val="1"/>
        </w:numPr>
        <w:tabs>
          <w:tab w:val="left" w:pos="326"/>
        </w:tabs>
        <w:autoSpaceDE w:val="0"/>
        <w:autoSpaceDN w:val="0"/>
        <w:spacing w:before="227" w:line="276" w:lineRule="auto"/>
        <w:ind w:right="166" w:firstLine="0"/>
        <w:contextualSpacing w:val="0"/>
        <w:jc w:val="both"/>
        <w:rPr>
          <w:bCs/>
          <w:sz w:val="28"/>
          <w:szCs w:val="28"/>
        </w:rPr>
      </w:pPr>
      <w:r w:rsidRPr="00407EAE">
        <w:rPr>
          <w:sz w:val="28"/>
          <w:szCs w:val="28"/>
        </w:rPr>
        <w:t>An</w:t>
      </w:r>
      <w:r w:rsidRPr="00407EAE">
        <w:rPr>
          <w:bCs/>
          <w:sz w:val="28"/>
          <w:szCs w:val="28"/>
        </w:rPr>
        <w:t xml:space="preserve"> active member of the bar, not exempted, who successfully completes a mentor program as a mentor or mentee under the auspices of the State Bar Mentor Program is eligible for up to eight (8) hours of continuing legal education activity credit, of which up to two (2) credit hours may qualify as professional responsibility credits, up to a maximum of eight (8) hours of continuing legal education credit per educational year. All credits are applied in the year the program is completed.</w:t>
      </w:r>
    </w:p>
    <w:p w14:paraId="5C494D98" w14:textId="77777777" w:rsidR="00407EAE" w:rsidRPr="00407EAE" w:rsidRDefault="00407EAE" w:rsidP="00407EAE">
      <w:pPr>
        <w:pStyle w:val="ListParagraph"/>
        <w:widowControl w:val="0"/>
        <w:numPr>
          <w:ilvl w:val="1"/>
          <w:numId w:val="1"/>
        </w:numPr>
        <w:tabs>
          <w:tab w:val="left" w:pos="326"/>
        </w:tabs>
        <w:autoSpaceDE w:val="0"/>
        <w:autoSpaceDN w:val="0"/>
        <w:spacing w:before="227" w:line="276" w:lineRule="auto"/>
        <w:ind w:right="166" w:firstLine="0"/>
        <w:contextualSpacing w:val="0"/>
        <w:jc w:val="both"/>
        <w:rPr>
          <w:bCs/>
          <w:sz w:val="28"/>
          <w:szCs w:val="28"/>
        </w:rPr>
      </w:pPr>
      <w:r w:rsidRPr="00407EAE">
        <w:rPr>
          <w:bCs/>
          <w:sz w:val="28"/>
          <w:szCs w:val="28"/>
        </w:rPr>
        <w:t xml:space="preserve">An active member of the bar, not exempted, who attends a continuing education program to satisfy a state agency license renewal requirement is eligible to claim one hour of continuing legal education credit for every qualifying hour of credit earned in satisfaction of the member's state agency license renewal requirement. To be eligible to qualify as continuing legal education credit, credit earned in satisfaction of the member's state agency license renewal requirement must derive from a continuing education program that: consists of an organized program of learning, deals with matters directly related to the law, will increase the participant's professional competence as a lawyer, follows an agenda, is accompanied by substantive or practical written materials or exercises, and </w:t>
      </w:r>
      <w:r w:rsidRPr="00407EAE">
        <w:rPr>
          <w:bCs/>
          <w:sz w:val="28"/>
          <w:szCs w:val="28"/>
        </w:rPr>
        <w:lastRenderedPageBreak/>
        <w:t>substantially conforms, as far as practicable, to the regulations established by the board. Notwithstanding the foregoing, credits earned in satisfaction of a member's state agency license renewal requirement cannot be counted toward the professional responsibility activity required under section (a)(2). "State agency license renewal requirement" has the meaning provided in A.R.S. § 12-112.01.</w:t>
      </w:r>
    </w:p>
    <w:p w14:paraId="5975C456" w14:textId="77777777" w:rsidR="002C4AA6" w:rsidRPr="00407EAE" w:rsidRDefault="002C4AA6"/>
    <w:sectPr w:rsidR="002C4AA6" w:rsidRPr="00407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3E28BF"/>
    <w:multiLevelType w:val="hybridMultilevel"/>
    <w:tmpl w:val="13784F1E"/>
    <w:lvl w:ilvl="0" w:tplc="B3BCCB4A">
      <w:start w:val="1"/>
      <w:numFmt w:val="lowerLetter"/>
      <w:lvlText w:val="(%1)"/>
      <w:lvlJc w:val="left"/>
      <w:pPr>
        <w:ind w:left="443" w:hanging="344"/>
      </w:pPr>
      <w:rPr>
        <w:rFonts w:ascii="Garamond" w:eastAsia="Garamond" w:hAnsi="Garamond" w:cs="Garamond" w:hint="default"/>
        <w:b/>
        <w:bCs/>
        <w:i w:val="0"/>
        <w:iCs w:val="0"/>
        <w:spacing w:val="-1"/>
        <w:w w:val="100"/>
        <w:sz w:val="24"/>
        <w:szCs w:val="24"/>
        <w:lang w:val="en-US" w:eastAsia="en-US" w:bidi="ar-SA"/>
      </w:rPr>
    </w:lvl>
    <w:lvl w:ilvl="1" w:tplc="A2926892">
      <w:start w:val="1"/>
      <w:numFmt w:val="decimal"/>
      <w:lvlText w:val="%2."/>
      <w:lvlJc w:val="left"/>
      <w:pPr>
        <w:ind w:left="100" w:hanging="226"/>
      </w:pPr>
      <w:rPr>
        <w:rFonts w:ascii="Times New Roman" w:eastAsia="Garamond" w:hAnsi="Times New Roman" w:cs="Times New Roman" w:hint="default"/>
        <w:b w:val="0"/>
        <w:bCs w:val="0"/>
        <w:i w:val="0"/>
        <w:iCs w:val="0"/>
        <w:strike w:val="0"/>
        <w:w w:val="100"/>
        <w:sz w:val="28"/>
        <w:szCs w:val="28"/>
        <w:u w:val="none"/>
        <w:lang w:val="en-US" w:eastAsia="en-US" w:bidi="ar-SA"/>
      </w:rPr>
    </w:lvl>
    <w:lvl w:ilvl="2" w:tplc="19AC3370">
      <w:start w:val="1"/>
      <w:numFmt w:val="lowerLetter"/>
      <w:lvlText w:val="(%3)"/>
      <w:lvlJc w:val="left"/>
      <w:pPr>
        <w:ind w:left="398" w:hanging="299"/>
      </w:pPr>
      <w:rPr>
        <w:rFonts w:ascii="Garamond" w:eastAsia="Garamond" w:hAnsi="Garamond" w:cs="Garamond" w:hint="default"/>
        <w:b w:val="0"/>
        <w:bCs w:val="0"/>
        <w:i w:val="0"/>
        <w:iCs w:val="0"/>
        <w:w w:val="100"/>
        <w:sz w:val="24"/>
        <w:szCs w:val="24"/>
        <w:lang w:val="en-US" w:eastAsia="en-US" w:bidi="ar-SA"/>
      </w:rPr>
    </w:lvl>
    <w:lvl w:ilvl="3" w:tplc="B56C63FC">
      <w:numFmt w:val="bullet"/>
      <w:lvlText w:val="•"/>
      <w:lvlJc w:val="left"/>
      <w:pPr>
        <w:ind w:left="1582" w:hanging="299"/>
      </w:pPr>
      <w:rPr>
        <w:rFonts w:hint="default"/>
        <w:lang w:val="en-US" w:eastAsia="en-US" w:bidi="ar-SA"/>
      </w:rPr>
    </w:lvl>
    <w:lvl w:ilvl="4" w:tplc="13C01BF0">
      <w:numFmt w:val="bullet"/>
      <w:lvlText w:val="•"/>
      <w:lvlJc w:val="left"/>
      <w:pPr>
        <w:ind w:left="2725" w:hanging="299"/>
      </w:pPr>
      <w:rPr>
        <w:rFonts w:hint="default"/>
        <w:lang w:val="en-US" w:eastAsia="en-US" w:bidi="ar-SA"/>
      </w:rPr>
    </w:lvl>
    <w:lvl w:ilvl="5" w:tplc="3A2C230E">
      <w:numFmt w:val="bullet"/>
      <w:lvlText w:val="•"/>
      <w:lvlJc w:val="left"/>
      <w:pPr>
        <w:ind w:left="3867" w:hanging="299"/>
      </w:pPr>
      <w:rPr>
        <w:rFonts w:hint="default"/>
        <w:lang w:val="en-US" w:eastAsia="en-US" w:bidi="ar-SA"/>
      </w:rPr>
    </w:lvl>
    <w:lvl w:ilvl="6" w:tplc="35F09900">
      <w:numFmt w:val="bullet"/>
      <w:lvlText w:val="•"/>
      <w:lvlJc w:val="left"/>
      <w:pPr>
        <w:ind w:left="5010" w:hanging="299"/>
      </w:pPr>
      <w:rPr>
        <w:rFonts w:hint="default"/>
        <w:lang w:val="en-US" w:eastAsia="en-US" w:bidi="ar-SA"/>
      </w:rPr>
    </w:lvl>
    <w:lvl w:ilvl="7" w:tplc="2A8215DE">
      <w:numFmt w:val="bullet"/>
      <w:lvlText w:val="•"/>
      <w:lvlJc w:val="left"/>
      <w:pPr>
        <w:ind w:left="6152" w:hanging="299"/>
      </w:pPr>
      <w:rPr>
        <w:rFonts w:hint="default"/>
        <w:lang w:val="en-US" w:eastAsia="en-US" w:bidi="ar-SA"/>
      </w:rPr>
    </w:lvl>
    <w:lvl w:ilvl="8" w:tplc="4A3E97AE">
      <w:numFmt w:val="bullet"/>
      <w:lvlText w:val="•"/>
      <w:lvlJc w:val="left"/>
      <w:pPr>
        <w:ind w:left="7295" w:hanging="299"/>
      </w:pPr>
      <w:rPr>
        <w:rFonts w:hint="default"/>
        <w:lang w:val="en-US" w:eastAsia="en-US" w:bidi="ar-SA"/>
      </w:rPr>
    </w:lvl>
  </w:abstractNum>
  <w:num w:numId="1" w16cid:durableId="134771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AE"/>
    <w:rsid w:val="002C4AA6"/>
    <w:rsid w:val="00407EAE"/>
    <w:rsid w:val="00C50E06"/>
    <w:rsid w:val="00ED4383"/>
    <w:rsid w:val="00F3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321E"/>
  <w15:chartTrackingRefBased/>
  <w15:docId w15:val="{A9961E18-1601-477F-BE60-CED6781B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AE"/>
    <w:pPr>
      <w:spacing w:after="0" w:line="508" w:lineRule="exac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07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E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E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E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E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EAE"/>
    <w:rPr>
      <w:rFonts w:eastAsiaTheme="majorEastAsia" w:cstheme="majorBidi"/>
      <w:color w:val="272727" w:themeColor="text1" w:themeTint="D8"/>
    </w:rPr>
  </w:style>
  <w:style w:type="paragraph" w:styleId="Title">
    <w:name w:val="Title"/>
    <w:basedOn w:val="Normal"/>
    <w:next w:val="Normal"/>
    <w:link w:val="TitleChar"/>
    <w:uiPriority w:val="10"/>
    <w:qFormat/>
    <w:rsid w:val="00407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AE"/>
    <w:pPr>
      <w:spacing w:before="160"/>
      <w:jc w:val="center"/>
    </w:pPr>
    <w:rPr>
      <w:i/>
      <w:iCs/>
      <w:color w:val="404040" w:themeColor="text1" w:themeTint="BF"/>
    </w:rPr>
  </w:style>
  <w:style w:type="character" w:customStyle="1" w:styleId="QuoteChar">
    <w:name w:val="Quote Char"/>
    <w:basedOn w:val="DefaultParagraphFont"/>
    <w:link w:val="Quote"/>
    <w:uiPriority w:val="29"/>
    <w:rsid w:val="00407EAE"/>
    <w:rPr>
      <w:i/>
      <w:iCs/>
      <w:color w:val="404040" w:themeColor="text1" w:themeTint="BF"/>
    </w:rPr>
  </w:style>
  <w:style w:type="paragraph" w:styleId="ListParagraph">
    <w:name w:val="List Paragraph"/>
    <w:basedOn w:val="Normal"/>
    <w:uiPriority w:val="1"/>
    <w:qFormat/>
    <w:rsid w:val="00407EAE"/>
    <w:pPr>
      <w:ind w:left="720"/>
      <w:contextualSpacing/>
    </w:pPr>
  </w:style>
  <w:style w:type="character" w:styleId="IntenseEmphasis">
    <w:name w:val="Intense Emphasis"/>
    <w:basedOn w:val="DefaultParagraphFont"/>
    <w:uiPriority w:val="21"/>
    <w:qFormat/>
    <w:rsid w:val="00407EAE"/>
    <w:rPr>
      <w:i/>
      <w:iCs/>
      <w:color w:val="0F4761" w:themeColor="accent1" w:themeShade="BF"/>
    </w:rPr>
  </w:style>
  <w:style w:type="paragraph" w:styleId="IntenseQuote">
    <w:name w:val="Intense Quote"/>
    <w:basedOn w:val="Normal"/>
    <w:next w:val="Normal"/>
    <w:link w:val="IntenseQuoteChar"/>
    <w:uiPriority w:val="30"/>
    <w:qFormat/>
    <w:rsid w:val="00407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EAE"/>
    <w:rPr>
      <w:i/>
      <w:iCs/>
      <w:color w:val="0F4761" w:themeColor="accent1" w:themeShade="BF"/>
    </w:rPr>
  </w:style>
  <w:style w:type="character" w:styleId="IntenseReference">
    <w:name w:val="Intense Reference"/>
    <w:basedOn w:val="DefaultParagraphFont"/>
    <w:uiPriority w:val="32"/>
    <w:qFormat/>
    <w:rsid w:val="00407E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1</cp:revision>
  <dcterms:created xsi:type="dcterms:W3CDTF">2024-12-18T18:24:00Z</dcterms:created>
  <dcterms:modified xsi:type="dcterms:W3CDTF">2024-12-18T18:27:00Z</dcterms:modified>
</cp:coreProperties>
</file>