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8A4E" w14:textId="621DCF96" w:rsidR="005A0BB9" w:rsidRDefault="005A0BB9" w:rsidP="005A0BB9">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Appendix</w:t>
      </w:r>
      <w:r w:rsidR="0038598B">
        <w:rPr>
          <w:rFonts w:ascii="Times New Roman" w:hAnsi="Times New Roman" w:cs="Times New Roman"/>
          <w:b/>
          <w:bCs/>
          <w:sz w:val="26"/>
          <w:szCs w:val="26"/>
        </w:rPr>
        <w:t xml:space="preserve"> to Petition </w:t>
      </w:r>
      <w:r w:rsidR="004A1ACD">
        <w:rPr>
          <w:rFonts w:ascii="Times New Roman" w:hAnsi="Times New Roman" w:cs="Times New Roman"/>
          <w:b/>
          <w:bCs/>
          <w:sz w:val="26"/>
          <w:szCs w:val="26"/>
        </w:rPr>
        <w:t>to Amend Rule 122, Rules of the Supreme Court</w:t>
      </w:r>
      <w:r w:rsidR="0038598B">
        <w:rPr>
          <w:rFonts w:ascii="Times New Roman" w:hAnsi="Times New Roman" w:cs="Times New Roman"/>
          <w:b/>
          <w:bCs/>
          <w:sz w:val="26"/>
          <w:szCs w:val="26"/>
        </w:rPr>
        <w:t xml:space="preserve"> </w:t>
      </w:r>
    </w:p>
    <w:p w14:paraId="06A7B000" w14:textId="77777777" w:rsidR="005A0BB9" w:rsidRPr="001B5579" w:rsidRDefault="005A0BB9" w:rsidP="005A0BB9">
      <w:pPr>
        <w:spacing w:after="0" w:line="240" w:lineRule="auto"/>
        <w:jc w:val="center"/>
        <w:rPr>
          <w:rFonts w:ascii="Times New Roman" w:hAnsi="Times New Roman" w:cs="Times New Roman"/>
          <w:b/>
          <w:bCs/>
          <w:sz w:val="26"/>
          <w:szCs w:val="26"/>
        </w:rPr>
      </w:pPr>
    </w:p>
    <w:p w14:paraId="6A17A56C" w14:textId="77777777" w:rsidR="005A0BB9" w:rsidRDefault="005A0BB9" w:rsidP="005A0BB9">
      <w:pPr>
        <w:spacing w:after="0" w:line="240" w:lineRule="auto"/>
        <w:rPr>
          <w:rFonts w:ascii="Times New Roman" w:hAnsi="Times New Roman" w:cs="Times New Roman"/>
          <w:b/>
          <w:bCs/>
          <w:sz w:val="26"/>
          <w:szCs w:val="26"/>
        </w:rPr>
      </w:pPr>
      <w:r w:rsidRPr="00DE3DFC">
        <w:rPr>
          <w:rFonts w:ascii="Times New Roman" w:hAnsi="Times New Roman" w:cs="Times New Roman"/>
          <w:b/>
          <w:bCs/>
          <w:sz w:val="26"/>
          <w:szCs w:val="26"/>
        </w:rPr>
        <w:t>Rules of the Supreme Court</w:t>
      </w:r>
    </w:p>
    <w:p w14:paraId="28320DA2" w14:textId="77777777" w:rsidR="005A0BB9" w:rsidRPr="00DE3DFC" w:rsidRDefault="005A0BB9" w:rsidP="005A0BB9">
      <w:pPr>
        <w:spacing w:after="0" w:line="240" w:lineRule="auto"/>
        <w:rPr>
          <w:rFonts w:ascii="Times New Roman" w:hAnsi="Times New Roman" w:cs="Times New Roman"/>
          <w:b/>
          <w:bCs/>
          <w:sz w:val="26"/>
          <w:szCs w:val="26"/>
        </w:rPr>
      </w:pPr>
    </w:p>
    <w:p w14:paraId="2341BAD2" w14:textId="77777777" w:rsidR="005A0BB9" w:rsidRPr="00DE3DFC" w:rsidRDefault="005A0BB9" w:rsidP="005A0BB9">
      <w:pPr>
        <w:spacing w:line="240" w:lineRule="auto"/>
        <w:rPr>
          <w:rFonts w:ascii="Times New Roman" w:hAnsi="Times New Roman" w:cs="Times New Roman"/>
          <w:b/>
          <w:bCs/>
          <w:sz w:val="26"/>
          <w:szCs w:val="26"/>
        </w:rPr>
      </w:pPr>
      <w:r w:rsidRPr="00DE3DFC">
        <w:rPr>
          <w:rFonts w:ascii="Times New Roman" w:hAnsi="Times New Roman" w:cs="Times New Roman"/>
          <w:b/>
          <w:bCs/>
          <w:sz w:val="26"/>
          <w:szCs w:val="26"/>
        </w:rPr>
        <w:t>Rule 122. Use of Recording Devices in a Courtroom</w:t>
      </w:r>
    </w:p>
    <w:p w14:paraId="2BA8E242" w14:textId="77777777" w:rsidR="005A0BB9" w:rsidRDefault="005A0BB9" w:rsidP="005A0BB9">
      <w:pPr>
        <w:spacing w:line="240" w:lineRule="auto"/>
        <w:rPr>
          <w:rFonts w:ascii="Times New Roman" w:hAnsi="Times New Roman" w:cs="Times New Roman"/>
          <w:sz w:val="26"/>
          <w:szCs w:val="26"/>
        </w:rPr>
      </w:pPr>
      <w:r>
        <w:rPr>
          <w:rFonts w:ascii="Times New Roman" w:hAnsi="Times New Roman" w:cs="Times New Roman"/>
          <w:sz w:val="26"/>
          <w:szCs w:val="26"/>
        </w:rPr>
        <w:t>. . . .</w:t>
      </w:r>
    </w:p>
    <w:p w14:paraId="08FCBAE6" w14:textId="77777777" w:rsidR="005A0BB9" w:rsidRPr="00925297" w:rsidRDefault="005A0BB9" w:rsidP="005A0BB9">
      <w:pPr>
        <w:spacing w:line="240" w:lineRule="auto"/>
        <w:rPr>
          <w:rFonts w:ascii="Times New Roman" w:hAnsi="Times New Roman" w:cs="Times New Roman"/>
          <w:sz w:val="26"/>
          <w:szCs w:val="26"/>
        </w:rPr>
      </w:pPr>
      <w:r w:rsidRPr="00DE3DFC">
        <w:rPr>
          <w:rFonts w:ascii="Times New Roman" w:hAnsi="Times New Roman" w:cs="Times New Roman"/>
          <w:b/>
          <w:bCs/>
          <w:sz w:val="26"/>
          <w:szCs w:val="26"/>
        </w:rPr>
        <w:t>(c) Request to Cover a Proceeding.</w:t>
      </w:r>
      <w:r w:rsidRPr="00925297">
        <w:rPr>
          <w:rFonts w:ascii="Times New Roman" w:hAnsi="Times New Roman" w:cs="Times New Roman"/>
          <w:sz w:val="26"/>
          <w:szCs w:val="26"/>
        </w:rPr>
        <w:t xml:space="preserve"> Except as provided in paragraph</w:t>
      </w:r>
      <w:r w:rsidRPr="00925297">
        <w:rPr>
          <w:rFonts w:ascii="Times New Roman" w:hAnsi="Times New Roman" w:cs="Times New Roman"/>
          <w:strike/>
          <w:sz w:val="26"/>
          <w:szCs w:val="26"/>
        </w:rPr>
        <w:t xml:space="preserve">s (h) and </w:t>
      </w:r>
      <w:r w:rsidRPr="00925297">
        <w:rPr>
          <w:rFonts w:ascii="Times New Roman" w:hAnsi="Times New Roman" w:cs="Times New Roman"/>
          <w:sz w:val="26"/>
          <w:szCs w:val="26"/>
        </w:rPr>
        <w:t>(i) of this rule, a person who wishes to use a recording device during a proceeding must submit a written or electronic request to cover the proceeding, as follows.</w:t>
      </w:r>
    </w:p>
    <w:p w14:paraId="629AB084" w14:textId="77777777" w:rsidR="005A0BB9" w:rsidRPr="00925297" w:rsidRDefault="005A0BB9" w:rsidP="005A0BB9">
      <w:pPr>
        <w:spacing w:line="240" w:lineRule="auto"/>
        <w:rPr>
          <w:rFonts w:ascii="Times New Roman" w:hAnsi="Times New Roman" w:cs="Times New Roman"/>
          <w:sz w:val="26"/>
          <w:szCs w:val="26"/>
        </w:rPr>
      </w:pPr>
      <w:r>
        <w:rPr>
          <w:rFonts w:ascii="Times New Roman" w:hAnsi="Times New Roman" w:cs="Times New Roman"/>
          <w:sz w:val="26"/>
          <w:szCs w:val="26"/>
        </w:rPr>
        <w:t>. . . .</w:t>
      </w:r>
    </w:p>
    <w:p w14:paraId="6372A32C" w14:textId="77777777" w:rsidR="005A0BB9" w:rsidRPr="00925297" w:rsidRDefault="005A0BB9" w:rsidP="005A0BB9">
      <w:pPr>
        <w:spacing w:line="240" w:lineRule="auto"/>
        <w:rPr>
          <w:rFonts w:ascii="Times New Roman" w:hAnsi="Times New Roman" w:cs="Times New Roman"/>
          <w:sz w:val="26"/>
          <w:szCs w:val="26"/>
        </w:rPr>
      </w:pPr>
      <w:r w:rsidRPr="00925297">
        <w:rPr>
          <w:rFonts w:ascii="Times New Roman" w:hAnsi="Times New Roman" w:cs="Times New Roman"/>
          <w:sz w:val="26"/>
          <w:szCs w:val="26"/>
        </w:rPr>
        <w:t xml:space="preserve">(3) </w:t>
      </w:r>
      <w:r w:rsidRPr="00DE3DFC">
        <w:rPr>
          <w:rFonts w:ascii="Times New Roman" w:hAnsi="Times New Roman" w:cs="Times New Roman"/>
          <w:i/>
          <w:iCs/>
          <w:sz w:val="26"/>
          <w:szCs w:val="26"/>
        </w:rPr>
        <w:t>Court action upon receiving a request</w:t>
      </w:r>
      <w:r w:rsidRPr="00925297">
        <w:rPr>
          <w:rFonts w:ascii="Times New Roman" w:hAnsi="Times New Roman" w:cs="Times New Roman"/>
          <w:sz w:val="26"/>
          <w:szCs w:val="26"/>
        </w:rPr>
        <w:t xml:space="preserve">: The court </w:t>
      </w:r>
      <w:r w:rsidRPr="000C2A3F">
        <w:rPr>
          <w:rFonts w:ascii="Times New Roman" w:hAnsi="Times New Roman" w:cs="Times New Roman"/>
          <w:strike/>
          <w:sz w:val="26"/>
          <w:szCs w:val="26"/>
        </w:rPr>
        <w:t>will</w:t>
      </w:r>
      <w:r w:rsidRPr="00925297">
        <w:rPr>
          <w:rFonts w:ascii="Times New Roman" w:hAnsi="Times New Roman" w:cs="Times New Roman"/>
          <w:sz w:val="26"/>
          <w:szCs w:val="26"/>
        </w:rPr>
        <w:t xml:space="preserve"> </w:t>
      </w:r>
      <w:r w:rsidRPr="000C2A3F">
        <w:rPr>
          <w:rFonts w:ascii="Times New Roman" w:hAnsi="Times New Roman" w:cs="Times New Roman"/>
          <w:sz w:val="26"/>
          <w:szCs w:val="26"/>
          <w:u w:val="single"/>
        </w:rPr>
        <w:t>must</w:t>
      </w:r>
      <w:r>
        <w:rPr>
          <w:rFonts w:ascii="Times New Roman" w:hAnsi="Times New Roman" w:cs="Times New Roman"/>
          <w:sz w:val="26"/>
          <w:szCs w:val="26"/>
        </w:rPr>
        <w:t xml:space="preserve"> </w:t>
      </w:r>
      <w:r w:rsidRPr="000C2A3F">
        <w:rPr>
          <w:rFonts w:ascii="Times New Roman" w:hAnsi="Times New Roman" w:cs="Times New Roman"/>
          <w:sz w:val="26"/>
          <w:szCs w:val="26"/>
        </w:rPr>
        <w:t>notify</w:t>
      </w:r>
      <w:r w:rsidRPr="00925297">
        <w:rPr>
          <w:rFonts w:ascii="Times New Roman" w:hAnsi="Times New Roman" w:cs="Times New Roman"/>
          <w:sz w:val="26"/>
          <w:szCs w:val="26"/>
        </w:rPr>
        <w:t xml:space="preserve"> the parties</w:t>
      </w:r>
      <w:r w:rsidRPr="000C2A3F">
        <w:rPr>
          <w:rFonts w:ascii="Times New Roman" w:hAnsi="Times New Roman" w:cs="Times New Roman"/>
          <w:sz w:val="26"/>
          <w:szCs w:val="26"/>
        </w:rPr>
        <w:t xml:space="preserve"> </w:t>
      </w:r>
      <w:r>
        <w:rPr>
          <w:rFonts w:ascii="Times New Roman" w:hAnsi="Times New Roman" w:cs="Times New Roman"/>
          <w:sz w:val="26"/>
          <w:szCs w:val="26"/>
          <w:u w:val="single"/>
        </w:rPr>
        <w:t>before the hearing</w:t>
      </w:r>
      <w:r w:rsidRPr="000C2A3F">
        <w:rPr>
          <w:rFonts w:ascii="Times New Roman" w:hAnsi="Times New Roman" w:cs="Times New Roman"/>
          <w:sz w:val="26"/>
          <w:szCs w:val="26"/>
        </w:rPr>
        <w:t xml:space="preserve"> </w:t>
      </w:r>
      <w:r w:rsidRPr="00925297">
        <w:rPr>
          <w:rFonts w:ascii="Times New Roman" w:hAnsi="Times New Roman" w:cs="Times New Roman"/>
          <w:sz w:val="26"/>
          <w:szCs w:val="26"/>
        </w:rPr>
        <w:t xml:space="preserve">of its receipt of a request for coverage. The judge </w:t>
      </w:r>
      <w:proofErr w:type="gramStart"/>
      <w:r w:rsidRPr="00D85D00">
        <w:rPr>
          <w:rFonts w:ascii="Times New Roman" w:hAnsi="Times New Roman" w:cs="Times New Roman"/>
          <w:strike/>
          <w:sz w:val="26"/>
          <w:szCs w:val="26"/>
        </w:rPr>
        <w:t>will</w:t>
      </w:r>
      <w:r w:rsidRPr="00925297">
        <w:rPr>
          <w:rFonts w:ascii="Times New Roman" w:hAnsi="Times New Roman" w:cs="Times New Roman"/>
          <w:sz w:val="26"/>
          <w:szCs w:val="26"/>
        </w:rPr>
        <w:t xml:space="preserve"> </w:t>
      </w:r>
      <w:r w:rsidRPr="00D85D00">
        <w:rPr>
          <w:rFonts w:ascii="Times New Roman" w:hAnsi="Times New Roman" w:cs="Times New Roman"/>
          <w:sz w:val="26"/>
          <w:szCs w:val="26"/>
          <w:u w:val="single"/>
        </w:rPr>
        <w:t>must</w:t>
      </w:r>
      <w:proofErr w:type="gramEnd"/>
      <w:r>
        <w:rPr>
          <w:rFonts w:ascii="Times New Roman" w:hAnsi="Times New Roman" w:cs="Times New Roman"/>
          <w:sz w:val="26"/>
          <w:szCs w:val="26"/>
        </w:rPr>
        <w:t xml:space="preserve"> </w:t>
      </w:r>
      <w:r w:rsidRPr="00925297">
        <w:rPr>
          <w:rFonts w:ascii="Times New Roman" w:hAnsi="Times New Roman" w:cs="Times New Roman"/>
          <w:sz w:val="26"/>
          <w:szCs w:val="26"/>
        </w:rPr>
        <w:t>promptly hold a hearing if the judge intends to deny the request or a portion of the request, or if a party objects to a reques</w:t>
      </w:r>
      <w:r>
        <w:rPr>
          <w:rFonts w:ascii="Times New Roman" w:hAnsi="Times New Roman" w:cs="Times New Roman"/>
          <w:sz w:val="26"/>
          <w:szCs w:val="26"/>
        </w:rPr>
        <w:t>t</w:t>
      </w:r>
      <w:r>
        <w:rPr>
          <w:rFonts w:ascii="Times New Roman" w:hAnsi="Times New Roman" w:cs="Times New Roman"/>
          <w:sz w:val="26"/>
          <w:szCs w:val="26"/>
          <w:u w:val="single"/>
        </w:rPr>
        <w:t>, except that a judge may deny an untimely request without a hearing</w:t>
      </w:r>
      <w:r w:rsidRPr="00925297">
        <w:rPr>
          <w:rFonts w:ascii="Times New Roman" w:hAnsi="Times New Roman" w:cs="Times New Roman"/>
          <w:sz w:val="26"/>
          <w:szCs w:val="26"/>
        </w:rPr>
        <w:t>.</w:t>
      </w:r>
    </w:p>
    <w:p w14:paraId="3FEACC6A" w14:textId="77777777" w:rsidR="005A0BB9" w:rsidRPr="00925297" w:rsidRDefault="005A0BB9" w:rsidP="005A0BB9">
      <w:pPr>
        <w:spacing w:line="240" w:lineRule="auto"/>
        <w:rPr>
          <w:rFonts w:ascii="Times New Roman" w:hAnsi="Times New Roman" w:cs="Times New Roman"/>
          <w:sz w:val="26"/>
          <w:szCs w:val="26"/>
        </w:rPr>
      </w:pPr>
      <w:r>
        <w:rPr>
          <w:rFonts w:ascii="Times New Roman" w:hAnsi="Times New Roman" w:cs="Times New Roman"/>
          <w:sz w:val="26"/>
          <w:szCs w:val="26"/>
        </w:rPr>
        <w:t>. . . .</w:t>
      </w:r>
    </w:p>
    <w:p w14:paraId="2DB0DAE5" w14:textId="77777777" w:rsidR="005A0BB9" w:rsidRPr="00925297" w:rsidRDefault="005A0BB9" w:rsidP="005A0BB9">
      <w:pPr>
        <w:spacing w:line="240" w:lineRule="auto"/>
        <w:rPr>
          <w:rFonts w:ascii="Times New Roman" w:hAnsi="Times New Roman" w:cs="Times New Roman"/>
          <w:sz w:val="26"/>
          <w:szCs w:val="26"/>
        </w:rPr>
      </w:pPr>
      <w:r w:rsidRPr="00925297">
        <w:rPr>
          <w:rFonts w:ascii="Times New Roman" w:hAnsi="Times New Roman" w:cs="Times New Roman"/>
          <w:sz w:val="26"/>
          <w:szCs w:val="26"/>
        </w:rPr>
        <w:t xml:space="preserve">(5) </w:t>
      </w:r>
      <w:r w:rsidRPr="00DE3DFC">
        <w:rPr>
          <w:rFonts w:ascii="Times New Roman" w:hAnsi="Times New Roman" w:cs="Times New Roman"/>
          <w:i/>
          <w:iCs/>
          <w:sz w:val="26"/>
          <w:szCs w:val="26"/>
        </w:rPr>
        <w:t>Time for a victim</w:t>
      </w:r>
      <w:r w:rsidRPr="00DE3DFC">
        <w:rPr>
          <w:rFonts w:ascii="Times New Roman" w:hAnsi="Times New Roman" w:cs="Times New Roman"/>
          <w:i/>
          <w:iCs/>
          <w:sz w:val="26"/>
          <w:szCs w:val="26"/>
          <w:u w:val="single"/>
        </w:rPr>
        <w:t>,</w:t>
      </w:r>
      <w:r w:rsidRPr="00DE3DFC">
        <w:rPr>
          <w:rFonts w:ascii="Times New Roman" w:hAnsi="Times New Roman" w:cs="Times New Roman"/>
          <w:i/>
          <w:iCs/>
          <w:strike/>
          <w:sz w:val="26"/>
          <w:szCs w:val="26"/>
        </w:rPr>
        <w:t xml:space="preserve"> or</w:t>
      </w:r>
      <w:r w:rsidRPr="00DE3DFC">
        <w:rPr>
          <w:rFonts w:ascii="Times New Roman" w:hAnsi="Times New Roman" w:cs="Times New Roman"/>
          <w:i/>
          <w:iCs/>
          <w:sz w:val="26"/>
          <w:szCs w:val="26"/>
        </w:rPr>
        <w:t xml:space="preserve"> witness</w:t>
      </w:r>
      <w:r w:rsidRPr="00DE3DFC">
        <w:rPr>
          <w:rFonts w:ascii="Times New Roman" w:hAnsi="Times New Roman" w:cs="Times New Roman"/>
          <w:i/>
          <w:iCs/>
          <w:sz w:val="26"/>
          <w:szCs w:val="26"/>
          <w:u w:val="single"/>
        </w:rPr>
        <w:t xml:space="preserve">, or </w:t>
      </w:r>
      <w:r w:rsidRPr="001B5579">
        <w:rPr>
          <w:rFonts w:ascii="Times New Roman" w:hAnsi="Times New Roman" w:cs="Times New Roman"/>
          <w:i/>
          <w:iCs/>
          <w:sz w:val="26"/>
          <w:szCs w:val="26"/>
          <w:u w:val="single"/>
        </w:rPr>
        <w:t>party in a protective</w:t>
      </w:r>
      <w:r>
        <w:rPr>
          <w:rFonts w:ascii="Times New Roman" w:hAnsi="Times New Roman" w:cs="Times New Roman"/>
          <w:i/>
          <w:iCs/>
          <w:sz w:val="26"/>
          <w:szCs w:val="26"/>
          <w:u w:val="single"/>
        </w:rPr>
        <w:t xml:space="preserve"> order proceeding</w:t>
      </w:r>
      <w:r w:rsidRPr="00DE3DFC">
        <w:rPr>
          <w:rFonts w:ascii="Times New Roman" w:hAnsi="Times New Roman" w:cs="Times New Roman"/>
          <w:i/>
          <w:iCs/>
          <w:sz w:val="26"/>
          <w:szCs w:val="26"/>
          <w:u w:val="single"/>
        </w:rPr>
        <w:t xml:space="preserve"> </w:t>
      </w:r>
      <w:r w:rsidRPr="00DE3DFC">
        <w:rPr>
          <w:rFonts w:ascii="Times New Roman" w:hAnsi="Times New Roman" w:cs="Times New Roman"/>
          <w:i/>
          <w:iCs/>
          <w:sz w:val="26"/>
          <w:szCs w:val="26"/>
        </w:rPr>
        <w:t>to object to a request</w:t>
      </w:r>
      <w:r w:rsidRPr="00925297">
        <w:rPr>
          <w:rFonts w:ascii="Times New Roman" w:hAnsi="Times New Roman" w:cs="Times New Roman"/>
          <w:sz w:val="26"/>
          <w:szCs w:val="26"/>
        </w:rPr>
        <w:t>: Victims</w:t>
      </w:r>
      <w:r>
        <w:rPr>
          <w:rFonts w:ascii="Times New Roman" w:hAnsi="Times New Roman" w:cs="Times New Roman"/>
          <w:sz w:val="26"/>
          <w:szCs w:val="26"/>
          <w:u w:val="single"/>
        </w:rPr>
        <w:t>,</w:t>
      </w:r>
      <w:r w:rsidRPr="00DA057A">
        <w:rPr>
          <w:rFonts w:ascii="Times New Roman" w:hAnsi="Times New Roman" w:cs="Times New Roman"/>
          <w:strike/>
          <w:sz w:val="26"/>
          <w:szCs w:val="26"/>
        </w:rPr>
        <w:t xml:space="preserve"> or </w:t>
      </w:r>
      <w:r w:rsidRPr="00925297">
        <w:rPr>
          <w:rFonts w:ascii="Times New Roman" w:hAnsi="Times New Roman" w:cs="Times New Roman"/>
          <w:sz w:val="26"/>
          <w:szCs w:val="26"/>
        </w:rPr>
        <w:t>witnesses</w:t>
      </w:r>
      <w:r>
        <w:rPr>
          <w:rFonts w:ascii="Times New Roman" w:hAnsi="Times New Roman" w:cs="Times New Roman"/>
          <w:sz w:val="26"/>
          <w:szCs w:val="26"/>
          <w:u w:val="single"/>
        </w:rPr>
        <w:t xml:space="preserve">, and either party in a hearing that occurs pursuant to </w:t>
      </w:r>
      <w:r w:rsidRPr="00925297">
        <w:rPr>
          <w:rFonts w:ascii="Times New Roman" w:hAnsi="Times New Roman" w:cs="Times New Roman"/>
          <w:sz w:val="26"/>
          <w:szCs w:val="26"/>
          <w:u w:val="single"/>
        </w:rPr>
        <w:t>A.R.S. §§ 12-1809(H),</w:t>
      </w:r>
      <w:r>
        <w:rPr>
          <w:rFonts w:ascii="Times New Roman" w:hAnsi="Times New Roman" w:cs="Times New Roman"/>
          <w:sz w:val="26"/>
          <w:szCs w:val="26"/>
          <w:u w:val="single"/>
        </w:rPr>
        <w:t xml:space="preserve"> </w:t>
      </w:r>
      <w:r w:rsidRPr="00925297">
        <w:rPr>
          <w:rFonts w:ascii="Times New Roman" w:hAnsi="Times New Roman" w:cs="Times New Roman"/>
          <w:sz w:val="26"/>
          <w:szCs w:val="26"/>
          <w:u w:val="single"/>
        </w:rPr>
        <w:t>12-1810(G</w:t>
      </w:r>
      <w:r>
        <w:rPr>
          <w:rFonts w:ascii="Times New Roman" w:hAnsi="Times New Roman" w:cs="Times New Roman"/>
          <w:sz w:val="26"/>
          <w:szCs w:val="26"/>
          <w:u w:val="single"/>
        </w:rPr>
        <w:t xml:space="preserve">), or </w:t>
      </w:r>
      <w:r w:rsidRPr="00925297">
        <w:rPr>
          <w:rFonts w:ascii="Times New Roman" w:hAnsi="Times New Roman" w:cs="Times New Roman"/>
          <w:sz w:val="26"/>
          <w:szCs w:val="26"/>
          <w:u w:val="single"/>
        </w:rPr>
        <w:t>13-3602(L)</w:t>
      </w:r>
      <w:r w:rsidRPr="0002732E">
        <w:rPr>
          <w:rFonts w:ascii="Times New Roman" w:hAnsi="Times New Roman" w:cs="Times New Roman"/>
          <w:sz w:val="26"/>
          <w:szCs w:val="26"/>
        </w:rPr>
        <w:t xml:space="preserve">, </w:t>
      </w:r>
      <w:r w:rsidRPr="00925297">
        <w:rPr>
          <w:rFonts w:ascii="Times New Roman" w:hAnsi="Times New Roman" w:cs="Times New Roman"/>
          <w:sz w:val="26"/>
          <w:szCs w:val="26"/>
        </w:rPr>
        <w:t>may object to coverage of their appearance or testimony at any time. The prosecutor's office is responsible for notifying victims and the prosecutor's witnesses of coverage, and their right to object to coverage, prior to the victims' appearances or the witnesses' testimony at the proceeding. Other parties who call witnesses to testify are responsible for notifying their witness of coverage, and the witness's right to object to coverage, prior to the witness's testimony.</w:t>
      </w:r>
    </w:p>
    <w:p w14:paraId="74CA5B9B" w14:textId="77777777" w:rsidR="005A0BB9" w:rsidRPr="00925297" w:rsidRDefault="005A0BB9" w:rsidP="005A0BB9">
      <w:pPr>
        <w:spacing w:line="240" w:lineRule="auto"/>
        <w:rPr>
          <w:rFonts w:ascii="Times New Roman" w:hAnsi="Times New Roman" w:cs="Times New Roman"/>
          <w:sz w:val="26"/>
          <w:szCs w:val="26"/>
        </w:rPr>
      </w:pPr>
      <w:r w:rsidRPr="00925297">
        <w:rPr>
          <w:rFonts w:ascii="Times New Roman" w:hAnsi="Times New Roman" w:cs="Times New Roman"/>
          <w:sz w:val="26"/>
          <w:szCs w:val="26"/>
        </w:rPr>
        <w:t xml:space="preserve">(d) </w:t>
      </w:r>
      <w:r w:rsidRPr="00DE3DFC">
        <w:rPr>
          <w:rFonts w:ascii="Times New Roman" w:hAnsi="Times New Roman" w:cs="Times New Roman"/>
          <w:b/>
          <w:bCs/>
          <w:sz w:val="26"/>
          <w:szCs w:val="26"/>
        </w:rPr>
        <w:t>Denial or Limitation of Coverage</w:t>
      </w:r>
      <w:r w:rsidRPr="00925297">
        <w:rPr>
          <w:rFonts w:ascii="Times New Roman" w:hAnsi="Times New Roman" w:cs="Times New Roman"/>
          <w:sz w:val="26"/>
          <w:szCs w:val="26"/>
        </w:rPr>
        <w:t>. A properly submitted request for coverage should generally be approved, but a judge may deny or may limit the request as provided in this paragraph. A judge's decision on a coverage request, or on an objection to coverage, is reviewable only by special action.</w:t>
      </w:r>
    </w:p>
    <w:p w14:paraId="1229300A" w14:textId="77777777" w:rsidR="005A0BB9" w:rsidRPr="00925297" w:rsidRDefault="005A0BB9" w:rsidP="005A0BB9">
      <w:pPr>
        <w:spacing w:line="240" w:lineRule="auto"/>
        <w:rPr>
          <w:rFonts w:ascii="Times New Roman" w:hAnsi="Times New Roman" w:cs="Times New Roman"/>
          <w:sz w:val="26"/>
          <w:szCs w:val="26"/>
        </w:rPr>
      </w:pPr>
      <w:r w:rsidRPr="00925297">
        <w:rPr>
          <w:rFonts w:ascii="Times New Roman" w:hAnsi="Times New Roman" w:cs="Times New Roman"/>
          <w:sz w:val="26"/>
          <w:szCs w:val="26"/>
        </w:rPr>
        <w:t xml:space="preserve">(1) </w:t>
      </w:r>
      <w:r w:rsidRPr="00DE3DFC">
        <w:rPr>
          <w:rFonts w:ascii="Times New Roman" w:hAnsi="Times New Roman" w:cs="Times New Roman"/>
          <w:i/>
          <w:iCs/>
          <w:sz w:val="26"/>
          <w:szCs w:val="26"/>
        </w:rPr>
        <w:t>Denial of coverage</w:t>
      </w:r>
      <w:r w:rsidRPr="00925297">
        <w:rPr>
          <w:rFonts w:ascii="Times New Roman" w:hAnsi="Times New Roman" w:cs="Times New Roman"/>
          <w:sz w:val="26"/>
          <w:szCs w:val="26"/>
        </w:rPr>
        <w:t xml:space="preserve">: A judge on his or her own motion may deny a request for coverage, or may sustain a </w:t>
      </w:r>
      <w:r>
        <w:rPr>
          <w:rFonts w:ascii="Times New Roman" w:hAnsi="Times New Roman" w:cs="Times New Roman"/>
          <w:sz w:val="26"/>
          <w:szCs w:val="26"/>
          <w:u w:val="single"/>
        </w:rPr>
        <w:t xml:space="preserve">victim, witness, or </w:t>
      </w:r>
      <w:r w:rsidRPr="00925297">
        <w:rPr>
          <w:rFonts w:ascii="Times New Roman" w:hAnsi="Times New Roman" w:cs="Times New Roman"/>
          <w:sz w:val="26"/>
          <w:szCs w:val="26"/>
        </w:rPr>
        <w:t>party's objection to coverage, only after making specific, on-the-record findings that there is a likelihood of harm arising from one or more of the following factors, and that the harm outweighs the benefit of coverage to the public:</w:t>
      </w:r>
    </w:p>
    <w:p w14:paraId="5124A44F" w14:textId="77777777" w:rsidR="005A0BB9" w:rsidRPr="00925297" w:rsidRDefault="005A0BB9" w:rsidP="005A0BB9">
      <w:pPr>
        <w:spacing w:line="240" w:lineRule="auto"/>
        <w:rPr>
          <w:rFonts w:ascii="Times New Roman" w:hAnsi="Times New Roman" w:cs="Times New Roman"/>
          <w:sz w:val="26"/>
          <w:szCs w:val="26"/>
        </w:rPr>
      </w:pPr>
      <w:r>
        <w:rPr>
          <w:rFonts w:ascii="Times New Roman" w:hAnsi="Times New Roman" w:cs="Times New Roman"/>
          <w:sz w:val="26"/>
          <w:szCs w:val="26"/>
        </w:rPr>
        <w:t>. . . .</w:t>
      </w:r>
    </w:p>
    <w:p w14:paraId="05C038C7" w14:textId="77777777" w:rsidR="005A0BB9" w:rsidRPr="00925297" w:rsidRDefault="005A0BB9" w:rsidP="005A0BB9">
      <w:pPr>
        <w:spacing w:line="240" w:lineRule="auto"/>
        <w:rPr>
          <w:rFonts w:ascii="Times New Roman" w:hAnsi="Times New Roman" w:cs="Times New Roman"/>
          <w:sz w:val="26"/>
          <w:szCs w:val="26"/>
        </w:rPr>
      </w:pPr>
      <w:r w:rsidRPr="00925297">
        <w:rPr>
          <w:rFonts w:ascii="Times New Roman" w:hAnsi="Times New Roman" w:cs="Times New Roman"/>
          <w:sz w:val="26"/>
          <w:szCs w:val="26"/>
        </w:rPr>
        <w:t>(C) the impact of coverage upon the safety and well-being of any party, victim, witness, or juror</w:t>
      </w:r>
      <w:r w:rsidRPr="00DE3DFC">
        <w:rPr>
          <w:rFonts w:ascii="Times New Roman" w:hAnsi="Times New Roman" w:cs="Times New Roman"/>
          <w:sz w:val="26"/>
          <w:szCs w:val="26"/>
          <w:u w:val="single"/>
        </w:rPr>
        <w:t>, which specifically includes harassment as that term is defined in A</w:t>
      </w:r>
      <w:r w:rsidRPr="00925297">
        <w:rPr>
          <w:rFonts w:ascii="Times New Roman" w:hAnsi="Times New Roman" w:cs="Times New Roman"/>
          <w:sz w:val="26"/>
          <w:szCs w:val="26"/>
          <w:u w:val="single"/>
        </w:rPr>
        <w:t>.R.S. §§ 12-1809</w:t>
      </w:r>
      <w:r>
        <w:rPr>
          <w:rFonts w:ascii="Times New Roman" w:hAnsi="Times New Roman" w:cs="Times New Roman"/>
          <w:sz w:val="26"/>
          <w:szCs w:val="26"/>
          <w:u w:val="single"/>
        </w:rPr>
        <w:t>(T)(1), 13-2916(E)(3), or 13-2921(E</w:t>
      </w:r>
      <w:proofErr w:type="gramStart"/>
      <w:r>
        <w:rPr>
          <w:rFonts w:ascii="Times New Roman" w:hAnsi="Times New Roman" w:cs="Times New Roman"/>
          <w:sz w:val="26"/>
          <w:szCs w:val="26"/>
          <w:u w:val="single"/>
        </w:rPr>
        <w:t>)</w:t>
      </w:r>
      <w:r w:rsidRPr="00925297">
        <w:rPr>
          <w:rFonts w:ascii="Times New Roman" w:hAnsi="Times New Roman" w:cs="Times New Roman"/>
          <w:sz w:val="26"/>
          <w:szCs w:val="26"/>
        </w:rPr>
        <w:t>;</w:t>
      </w:r>
      <w:proofErr w:type="gramEnd"/>
    </w:p>
    <w:p w14:paraId="3A4EE81C" w14:textId="77777777" w:rsidR="005A0BB9" w:rsidRDefault="005A0BB9" w:rsidP="005A0BB9">
      <w:pPr>
        <w:spacing w:line="240" w:lineRule="auto"/>
        <w:rPr>
          <w:rFonts w:ascii="Times New Roman" w:hAnsi="Times New Roman" w:cs="Times New Roman"/>
          <w:sz w:val="26"/>
          <w:szCs w:val="26"/>
        </w:rPr>
      </w:pPr>
      <w:r>
        <w:rPr>
          <w:rFonts w:ascii="Times New Roman" w:hAnsi="Times New Roman" w:cs="Times New Roman"/>
          <w:sz w:val="26"/>
          <w:szCs w:val="26"/>
        </w:rPr>
        <w:t>. . . .</w:t>
      </w:r>
    </w:p>
    <w:p w14:paraId="002B4E65" w14:textId="77777777" w:rsidR="005A0BB9" w:rsidRPr="00925297" w:rsidRDefault="005A0BB9" w:rsidP="005A0BB9">
      <w:pPr>
        <w:spacing w:line="240" w:lineRule="auto"/>
        <w:rPr>
          <w:rFonts w:ascii="Times New Roman" w:hAnsi="Times New Roman" w:cs="Times New Roman"/>
          <w:sz w:val="26"/>
          <w:szCs w:val="26"/>
        </w:rPr>
      </w:pPr>
      <w:r w:rsidRPr="00925297">
        <w:rPr>
          <w:rFonts w:ascii="Times New Roman" w:hAnsi="Times New Roman" w:cs="Times New Roman"/>
          <w:sz w:val="26"/>
          <w:szCs w:val="26"/>
        </w:rPr>
        <w:lastRenderedPageBreak/>
        <w:t xml:space="preserve">(2) </w:t>
      </w:r>
      <w:r w:rsidRPr="00DE3DFC">
        <w:rPr>
          <w:rFonts w:ascii="Times New Roman" w:hAnsi="Times New Roman" w:cs="Times New Roman"/>
          <w:i/>
          <w:iCs/>
          <w:sz w:val="26"/>
          <w:szCs w:val="26"/>
        </w:rPr>
        <w:t>Limitation of coverage</w:t>
      </w:r>
      <w:r w:rsidRPr="00925297">
        <w:rPr>
          <w:rFonts w:ascii="Times New Roman" w:hAnsi="Times New Roman" w:cs="Times New Roman"/>
          <w:sz w:val="26"/>
          <w:szCs w:val="26"/>
        </w:rPr>
        <w:t>: Upon his or her own motion or upon the request of a party, victim, or witness, a judge may allow coverage as requested or may, after making specific, on-the-record findings based on the factors in paragraph (d)(1), impose limitations as follows:</w:t>
      </w:r>
    </w:p>
    <w:p w14:paraId="186B3277" w14:textId="77777777" w:rsidR="005A0BB9" w:rsidRDefault="005A0BB9" w:rsidP="005A0BB9">
      <w:pPr>
        <w:spacing w:line="240" w:lineRule="auto"/>
        <w:rPr>
          <w:rFonts w:ascii="Times New Roman" w:hAnsi="Times New Roman" w:cs="Times New Roman"/>
          <w:sz w:val="26"/>
          <w:szCs w:val="26"/>
        </w:rPr>
      </w:pPr>
      <w:r w:rsidRPr="00925297">
        <w:rPr>
          <w:rFonts w:ascii="Times New Roman" w:hAnsi="Times New Roman" w:cs="Times New Roman"/>
          <w:sz w:val="26"/>
          <w:szCs w:val="26"/>
        </w:rPr>
        <w:t xml:space="preserve">(A) order that no one may photograph, record, or broadcast a criminal defendant, a law enforcement officer, </w:t>
      </w:r>
      <w:r w:rsidRPr="00925297">
        <w:rPr>
          <w:rFonts w:ascii="Times New Roman" w:hAnsi="Times New Roman" w:cs="Times New Roman"/>
          <w:strike/>
          <w:sz w:val="26"/>
          <w:szCs w:val="26"/>
        </w:rPr>
        <w:t>or</w:t>
      </w:r>
      <w:r w:rsidRPr="00925297">
        <w:rPr>
          <w:rFonts w:ascii="Times New Roman" w:hAnsi="Times New Roman" w:cs="Times New Roman"/>
          <w:sz w:val="26"/>
          <w:szCs w:val="26"/>
        </w:rPr>
        <w:t xml:space="preserve"> a victim in the courtroom</w:t>
      </w:r>
      <w:r>
        <w:rPr>
          <w:rFonts w:ascii="Times New Roman" w:hAnsi="Times New Roman" w:cs="Times New Roman"/>
          <w:sz w:val="26"/>
          <w:szCs w:val="26"/>
          <w:u w:val="single"/>
        </w:rPr>
        <w:t xml:space="preserve">, or either party in a hearing that occurs pursuant </w:t>
      </w:r>
      <w:proofErr w:type="gramStart"/>
      <w:r>
        <w:rPr>
          <w:rFonts w:ascii="Times New Roman" w:hAnsi="Times New Roman" w:cs="Times New Roman"/>
          <w:sz w:val="26"/>
          <w:szCs w:val="26"/>
          <w:u w:val="single"/>
        </w:rPr>
        <w:t xml:space="preserve">to </w:t>
      </w:r>
      <w:r w:rsidRPr="00925297">
        <w:rPr>
          <w:rFonts w:ascii="Times New Roman" w:hAnsi="Times New Roman" w:cs="Times New Roman"/>
          <w:sz w:val="26"/>
          <w:szCs w:val="26"/>
          <w:u w:val="single"/>
        </w:rPr>
        <w:t xml:space="preserve"> A.R.S.</w:t>
      </w:r>
      <w:proofErr w:type="gramEnd"/>
      <w:r w:rsidRPr="00925297">
        <w:rPr>
          <w:rFonts w:ascii="Times New Roman" w:hAnsi="Times New Roman" w:cs="Times New Roman"/>
          <w:sz w:val="26"/>
          <w:szCs w:val="26"/>
          <w:u w:val="single"/>
        </w:rPr>
        <w:t xml:space="preserve"> §§ 12-1809(H),</w:t>
      </w:r>
      <w:r>
        <w:rPr>
          <w:rFonts w:ascii="Times New Roman" w:hAnsi="Times New Roman" w:cs="Times New Roman"/>
          <w:sz w:val="26"/>
          <w:szCs w:val="26"/>
          <w:u w:val="single"/>
        </w:rPr>
        <w:t xml:space="preserve"> </w:t>
      </w:r>
      <w:r w:rsidRPr="00925297">
        <w:rPr>
          <w:rFonts w:ascii="Times New Roman" w:hAnsi="Times New Roman" w:cs="Times New Roman"/>
          <w:sz w:val="26"/>
          <w:szCs w:val="26"/>
          <w:u w:val="single"/>
        </w:rPr>
        <w:t xml:space="preserve">12-1810(G), </w:t>
      </w:r>
      <w:r>
        <w:rPr>
          <w:rFonts w:ascii="Times New Roman" w:hAnsi="Times New Roman" w:cs="Times New Roman"/>
          <w:sz w:val="26"/>
          <w:szCs w:val="26"/>
          <w:u w:val="single"/>
        </w:rPr>
        <w:t xml:space="preserve">or </w:t>
      </w:r>
      <w:r w:rsidRPr="00925297">
        <w:rPr>
          <w:rFonts w:ascii="Times New Roman" w:hAnsi="Times New Roman" w:cs="Times New Roman"/>
          <w:sz w:val="26"/>
          <w:szCs w:val="26"/>
          <w:u w:val="single"/>
        </w:rPr>
        <w:t>13-3602(L)</w:t>
      </w:r>
      <w:r w:rsidRPr="00925297">
        <w:rPr>
          <w:rFonts w:ascii="Times New Roman" w:hAnsi="Times New Roman" w:cs="Times New Roman"/>
          <w:sz w:val="26"/>
          <w:szCs w:val="26"/>
        </w:rPr>
        <w:t>;</w:t>
      </w:r>
    </w:p>
    <w:p w14:paraId="637BB46E" w14:textId="77777777" w:rsidR="005A0BB9" w:rsidRPr="008B5A3B" w:rsidRDefault="005A0BB9" w:rsidP="005A0BB9">
      <w:pPr>
        <w:spacing w:line="240" w:lineRule="auto"/>
        <w:rPr>
          <w:rFonts w:ascii="Times New Roman" w:hAnsi="Times New Roman" w:cs="Times New Roman"/>
          <w:sz w:val="26"/>
          <w:szCs w:val="26"/>
        </w:rPr>
      </w:pPr>
      <w:r>
        <w:rPr>
          <w:rFonts w:ascii="Times New Roman" w:hAnsi="Times New Roman" w:cs="Times New Roman"/>
          <w:sz w:val="26"/>
          <w:szCs w:val="26"/>
        </w:rPr>
        <w:t>. . . .</w:t>
      </w:r>
    </w:p>
    <w:p w14:paraId="1BC5C6D2" w14:textId="77777777" w:rsidR="005A0BB9" w:rsidRPr="00925297" w:rsidRDefault="005A0BB9" w:rsidP="005A0BB9">
      <w:pPr>
        <w:spacing w:line="240" w:lineRule="auto"/>
        <w:rPr>
          <w:rFonts w:ascii="Times New Roman" w:hAnsi="Times New Roman" w:cs="Times New Roman"/>
          <w:sz w:val="26"/>
          <w:szCs w:val="26"/>
        </w:rPr>
      </w:pPr>
      <w:r w:rsidRPr="00925297">
        <w:rPr>
          <w:rFonts w:ascii="Times New Roman" w:hAnsi="Times New Roman" w:cs="Times New Roman"/>
          <w:sz w:val="26"/>
          <w:szCs w:val="26"/>
        </w:rPr>
        <w:t xml:space="preserve">(C) prohibit coverage of the testimony of that </w:t>
      </w:r>
      <w:r w:rsidRPr="00527484">
        <w:rPr>
          <w:rFonts w:ascii="Times New Roman" w:hAnsi="Times New Roman" w:cs="Times New Roman"/>
          <w:sz w:val="26"/>
          <w:szCs w:val="26"/>
          <w:u w:val="single"/>
        </w:rPr>
        <w:t>party, victim, or</w:t>
      </w:r>
      <w:r w:rsidRPr="00925297">
        <w:rPr>
          <w:rFonts w:ascii="Times New Roman" w:hAnsi="Times New Roman" w:cs="Times New Roman"/>
          <w:sz w:val="26"/>
          <w:szCs w:val="26"/>
        </w:rPr>
        <w:t xml:space="preserve"> witness upon a determination that coverage would have a substantial adverse impact upon that </w:t>
      </w:r>
      <w:r w:rsidRPr="00527484">
        <w:rPr>
          <w:rFonts w:ascii="Times New Roman" w:hAnsi="Times New Roman" w:cs="Times New Roman"/>
          <w:sz w:val="26"/>
          <w:szCs w:val="26"/>
          <w:u w:val="single"/>
        </w:rPr>
        <w:t>party, victim, or</w:t>
      </w:r>
      <w:r w:rsidRPr="00925297">
        <w:rPr>
          <w:rFonts w:ascii="Times New Roman" w:hAnsi="Times New Roman" w:cs="Times New Roman"/>
          <w:sz w:val="26"/>
          <w:szCs w:val="26"/>
        </w:rPr>
        <w:t xml:space="preserve"> witness or his or her testimony.</w:t>
      </w:r>
    </w:p>
    <w:p w14:paraId="0D6930B2" w14:textId="77777777" w:rsidR="005A0BB9" w:rsidRPr="00925297" w:rsidRDefault="005A0BB9" w:rsidP="005A0BB9">
      <w:pPr>
        <w:spacing w:line="240" w:lineRule="auto"/>
        <w:rPr>
          <w:rFonts w:ascii="Times New Roman" w:hAnsi="Times New Roman" w:cs="Times New Roman"/>
          <w:sz w:val="26"/>
          <w:szCs w:val="26"/>
        </w:rPr>
      </w:pPr>
      <w:r>
        <w:rPr>
          <w:rFonts w:ascii="Times New Roman" w:hAnsi="Times New Roman" w:cs="Times New Roman"/>
          <w:sz w:val="26"/>
          <w:szCs w:val="26"/>
        </w:rPr>
        <w:t>. . . .</w:t>
      </w:r>
    </w:p>
    <w:p w14:paraId="177DDE4E" w14:textId="77777777" w:rsidR="005A0BB9" w:rsidRPr="00925297" w:rsidRDefault="005A0BB9" w:rsidP="005A0BB9">
      <w:pPr>
        <w:spacing w:line="240" w:lineRule="auto"/>
        <w:rPr>
          <w:rFonts w:ascii="Times New Roman" w:hAnsi="Times New Roman" w:cs="Times New Roman"/>
          <w:sz w:val="26"/>
          <w:szCs w:val="26"/>
        </w:rPr>
      </w:pPr>
      <w:r w:rsidRPr="00925297">
        <w:rPr>
          <w:rFonts w:ascii="Times New Roman" w:hAnsi="Times New Roman" w:cs="Times New Roman"/>
          <w:sz w:val="26"/>
          <w:szCs w:val="26"/>
        </w:rPr>
        <w:t xml:space="preserve">(h) </w:t>
      </w:r>
      <w:r w:rsidRPr="00517CB2">
        <w:rPr>
          <w:rFonts w:ascii="Times New Roman" w:hAnsi="Times New Roman" w:cs="Times New Roman"/>
          <w:b/>
          <w:bCs/>
          <w:sz w:val="26"/>
          <w:szCs w:val="26"/>
        </w:rPr>
        <w:t xml:space="preserve">Personal Audio Recorders; Required </w:t>
      </w:r>
      <w:r w:rsidRPr="00313D03">
        <w:rPr>
          <w:rFonts w:ascii="Times New Roman" w:hAnsi="Times New Roman" w:cs="Times New Roman"/>
          <w:b/>
          <w:bCs/>
          <w:strike/>
          <w:sz w:val="26"/>
          <w:szCs w:val="26"/>
        </w:rPr>
        <w:t>Notice</w:t>
      </w:r>
      <w:r w:rsidRPr="00517CB2">
        <w:rPr>
          <w:rFonts w:ascii="Times New Roman" w:hAnsi="Times New Roman" w:cs="Times New Roman"/>
          <w:b/>
          <w:bCs/>
          <w:sz w:val="26"/>
          <w:szCs w:val="26"/>
        </w:rPr>
        <w:t xml:space="preserve"> </w:t>
      </w:r>
      <w:r w:rsidRPr="00313D03">
        <w:rPr>
          <w:rFonts w:ascii="Times New Roman" w:hAnsi="Times New Roman" w:cs="Times New Roman"/>
          <w:b/>
          <w:bCs/>
          <w:sz w:val="26"/>
          <w:szCs w:val="26"/>
          <w:u w:val="single"/>
        </w:rPr>
        <w:t>Request</w:t>
      </w:r>
      <w:r>
        <w:rPr>
          <w:rFonts w:ascii="Times New Roman" w:hAnsi="Times New Roman" w:cs="Times New Roman"/>
          <w:b/>
          <w:bCs/>
          <w:sz w:val="26"/>
          <w:szCs w:val="26"/>
        </w:rPr>
        <w:t xml:space="preserve"> </w:t>
      </w:r>
      <w:r w:rsidRPr="00517CB2">
        <w:rPr>
          <w:rFonts w:ascii="Times New Roman" w:hAnsi="Times New Roman" w:cs="Times New Roman"/>
          <w:b/>
          <w:bCs/>
          <w:sz w:val="26"/>
          <w:szCs w:val="26"/>
        </w:rPr>
        <w:t xml:space="preserve">to the Court. </w:t>
      </w:r>
      <w:r w:rsidRPr="00925297">
        <w:rPr>
          <w:rFonts w:ascii="Times New Roman" w:hAnsi="Times New Roman" w:cs="Times New Roman"/>
          <w:sz w:val="26"/>
          <w:szCs w:val="26"/>
        </w:rPr>
        <w:t xml:space="preserve">A person may use a personal audio recorder during a proceeding, but the person must </w:t>
      </w:r>
      <w:r w:rsidRPr="00527484">
        <w:rPr>
          <w:rFonts w:ascii="Times New Roman" w:hAnsi="Times New Roman" w:cs="Times New Roman"/>
          <w:strike/>
          <w:sz w:val="26"/>
          <w:szCs w:val="26"/>
        </w:rPr>
        <w:t>notify the judge or the judge's staff</w:t>
      </w:r>
      <w:r w:rsidRPr="00925297">
        <w:rPr>
          <w:rFonts w:ascii="Times New Roman" w:hAnsi="Times New Roman" w:cs="Times New Roman"/>
          <w:sz w:val="26"/>
          <w:szCs w:val="26"/>
        </w:rPr>
        <w:t xml:space="preserve"> </w:t>
      </w:r>
      <w:proofErr w:type="gramStart"/>
      <w:r w:rsidRPr="00527484">
        <w:rPr>
          <w:rFonts w:ascii="Times New Roman" w:hAnsi="Times New Roman" w:cs="Times New Roman"/>
          <w:sz w:val="26"/>
          <w:szCs w:val="26"/>
          <w:u w:val="single"/>
        </w:rPr>
        <w:t>submit</w:t>
      </w:r>
      <w:proofErr w:type="gramEnd"/>
      <w:r w:rsidRPr="00527484">
        <w:rPr>
          <w:rFonts w:ascii="Times New Roman" w:hAnsi="Times New Roman" w:cs="Times New Roman"/>
          <w:sz w:val="26"/>
          <w:szCs w:val="26"/>
          <w:u w:val="single"/>
        </w:rPr>
        <w:t xml:space="preserve"> a request pursuant to paragraph (c) prior to using the device</w:t>
      </w:r>
      <w:r w:rsidRPr="00925297">
        <w:rPr>
          <w:rFonts w:ascii="Times New Roman" w:hAnsi="Times New Roman" w:cs="Times New Roman"/>
          <w:sz w:val="26"/>
          <w:szCs w:val="26"/>
        </w:rPr>
        <w:t xml:space="preserve">. </w:t>
      </w:r>
      <w:r w:rsidRPr="00EC1DB1">
        <w:rPr>
          <w:rFonts w:ascii="Times New Roman" w:hAnsi="Times New Roman" w:cs="Times New Roman"/>
          <w:strike/>
          <w:sz w:val="26"/>
          <w:szCs w:val="26"/>
        </w:rPr>
        <w:t>A person who uses a personal audio recorder is not required to submit a request under paragraph (c) of this rule, but a person who wishes to record or broadcast the audio portion of a proceeding with a device that is not on the person must do so</w:t>
      </w:r>
      <w:r w:rsidRPr="00925297">
        <w:rPr>
          <w:rFonts w:ascii="Times New Roman" w:hAnsi="Times New Roman" w:cs="Times New Roman"/>
          <w:sz w:val="26"/>
          <w:szCs w:val="26"/>
        </w:rPr>
        <w:t xml:space="preserve">. </w:t>
      </w:r>
      <w:r w:rsidRPr="00615F5E">
        <w:rPr>
          <w:rFonts w:ascii="Times New Roman" w:hAnsi="Times New Roman" w:cs="Times New Roman"/>
          <w:sz w:val="26"/>
          <w:szCs w:val="26"/>
          <w:u w:val="single"/>
        </w:rPr>
        <w:t xml:space="preserve">A person </w:t>
      </w:r>
      <w:r>
        <w:rPr>
          <w:rFonts w:ascii="Times New Roman" w:hAnsi="Times New Roman" w:cs="Times New Roman"/>
          <w:sz w:val="26"/>
          <w:szCs w:val="26"/>
          <w:u w:val="single"/>
        </w:rPr>
        <w:t>may not disseminate their personal audio recording of a proceeding to the public without the permission of the court</w:t>
      </w:r>
      <w:r>
        <w:rPr>
          <w:rFonts w:ascii="Times New Roman" w:hAnsi="Times New Roman" w:cs="Times New Roman"/>
          <w:sz w:val="26"/>
          <w:szCs w:val="26"/>
        </w:rPr>
        <w:t xml:space="preserve">. </w:t>
      </w:r>
      <w:r w:rsidRPr="00925297">
        <w:rPr>
          <w:rFonts w:ascii="Times New Roman" w:hAnsi="Times New Roman" w:cs="Times New Roman"/>
          <w:sz w:val="26"/>
          <w:szCs w:val="26"/>
        </w:rPr>
        <w:t>The use of a personal audio recorder must not be obtrusive, distracting, or otherwise prohibited, and use is subject to the prohibitions of paragraph (k) of this rule.</w:t>
      </w:r>
    </w:p>
    <w:p w14:paraId="52C60E4E" w14:textId="77777777" w:rsidR="005A0BB9" w:rsidRDefault="005A0BB9" w:rsidP="005A0BB9">
      <w:pPr>
        <w:spacing w:line="240" w:lineRule="auto"/>
        <w:rPr>
          <w:rFonts w:ascii="Times New Roman" w:hAnsi="Times New Roman" w:cs="Times New Roman"/>
          <w:sz w:val="26"/>
          <w:szCs w:val="26"/>
        </w:rPr>
      </w:pPr>
      <w:r>
        <w:rPr>
          <w:rFonts w:ascii="Times New Roman" w:hAnsi="Times New Roman" w:cs="Times New Roman"/>
          <w:sz w:val="26"/>
          <w:szCs w:val="26"/>
        </w:rPr>
        <w:t>. . . .</w:t>
      </w:r>
    </w:p>
    <w:p w14:paraId="131FBA7A" w14:textId="77777777" w:rsidR="005A0BB9" w:rsidRDefault="005A0BB9" w:rsidP="005A0BB9">
      <w:pPr>
        <w:spacing w:line="240" w:lineRule="auto"/>
        <w:rPr>
          <w:rFonts w:ascii="Times New Roman" w:hAnsi="Times New Roman" w:cs="Times New Roman"/>
          <w:sz w:val="26"/>
          <w:szCs w:val="26"/>
        </w:rPr>
      </w:pPr>
      <w:r w:rsidRPr="00925297">
        <w:rPr>
          <w:rFonts w:ascii="Times New Roman" w:hAnsi="Times New Roman" w:cs="Times New Roman"/>
          <w:sz w:val="26"/>
          <w:szCs w:val="26"/>
        </w:rPr>
        <w:t xml:space="preserve">(l) Other Governing Law. A person whose request under paragraph (c) of this rule has been approved may photograph, record in, or broadcast from, locations in a courthouse other than a courtroom as provided in Supreme Court Rule 122.1. The law </w:t>
      </w:r>
      <w:proofErr w:type="gramStart"/>
      <w:r w:rsidRPr="00925297">
        <w:rPr>
          <w:rFonts w:ascii="Times New Roman" w:hAnsi="Times New Roman" w:cs="Times New Roman"/>
          <w:sz w:val="26"/>
          <w:szCs w:val="26"/>
        </w:rPr>
        <w:t>generally</w:t>
      </w:r>
      <w:proofErr w:type="gramEnd"/>
      <w:r w:rsidRPr="00925297">
        <w:rPr>
          <w:rFonts w:ascii="Times New Roman" w:hAnsi="Times New Roman" w:cs="Times New Roman"/>
          <w:sz w:val="26"/>
          <w:szCs w:val="26"/>
        </w:rPr>
        <w:t xml:space="preserve"> applicable to inclusion or exclusion of the press or the public at court proceedings or during the testimony of a particular witness applies to persons who submit a request </w:t>
      </w:r>
      <w:r w:rsidRPr="00015E38">
        <w:rPr>
          <w:rFonts w:ascii="Times New Roman" w:hAnsi="Times New Roman" w:cs="Times New Roman"/>
          <w:strike/>
          <w:sz w:val="26"/>
          <w:szCs w:val="26"/>
        </w:rPr>
        <w:t xml:space="preserve">or notice </w:t>
      </w:r>
      <w:r w:rsidRPr="00925297">
        <w:rPr>
          <w:rFonts w:ascii="Times New Roman" w:hAnsi="Times New Roman" w:cs="Times New Roman"/>
          <w:sz w:val="26"/>
          <w:szCs w:val="26"/>
        </w:rPr>
        <w:t>under this rule. Nothing in this rule alters the obligation of any attorney to comply with the provisions of the Arizona Rules of Professional Conduct governing trial publicity.</w:t>
      </w:r>
    </w:p>
    <w:p w14:paraId="4341A2A0" w14:textId="77777777" w:rsidR="005A0BB9" w:rsidRPr="00015E38" w:rsidRDefault="005A0BB9" w:rsidP="005A0BB9">
      <w:pPr>
        <w:spacing w:line="240" w:lineRule="auto"/>
        <w:rPr>
          <w:rFonts w:ascii="Times New Roman" w:hAnsi="Times New Roman" w:cs="Times New Roman"/>
          <w:sz w:val="26"/>
          <w:szCs w:val="26"/>
          <w:u w:val="single"/>
        </w:rPr>
      </w:pPr>
      <w:r w:rsidRPr="00015E38">
        <w:rPr>
          <w:rFonts w:ascii="Times New Roman" w:hAnsi="Times New Roman" w:cs="Times New Roman"/>
          <w:sz w:val="26"/>
          <w:szCs w:val="26"/>
          <w:u w:val="single"/>
        </w:rPr>
        <w:t>(</w:t>
      </w:r>
      <w:r>
        <w:rPr>
          <w:rFonts w:ascii="Times New Roman" w:hAnsi="Times New Roman" w:cs="Times New Roman"/>
          <w:sz w:val="26"/>
          <w:szCs w:val="26"/>
          <w:u w:val="single"/>
        </w:rPr>
        <w:t>m</w:t>
      </w:r>
      <w:r w:rsidRPr="00015E38">
        <w:rPr>
          <w:rFonts w:ascii="Times New Roman" w:hAnsi="Times New Roman" w:cs="Times New Roman"/>
          <w:sz w:val="26"/>
          <w:szCs w:val="26"/>
          <w:u w:val="single"/>
        </w:rPr>
        <w:t>) Rule Is Not a Defense: This rule does not create or otherwise operate as a defense to criminal or civil liability for any person who choose</w:t>
      </w:r>
      <w:r>
        <w:rPr>
          <w:rFonts w:ascii="Times New Roman" w:hAnsi="Times New Roman" w:cs="Times New Roman"/>
          <w:sz w:val="26"/>
          <w:szCs w:val="26"/>
          <w:u w:val="single"/>
        </w:rPr>
        <w:t>s</w:t>
      </w:r>
      <w:r w:rsidRPr="00015E38">
        <w:rPr>
          <w:rFonts w:ascii="Times New Roman" w:hAnsi="Times New Roman" w:cs="Times New Roman"/>
          <w:sz w:val="26"/>
          <w:szCs w:val="26"/>
          <w:u w:val="single"/>
        </w:rPr>
        <w:t xml:space="preserve"> to photograph, record, or broadcast in a courtroom</w:t>
      </w:r>
      <w:r>
        <w:rPr>
          <w:rFonts w:ascii="Times New Roman" w:hAnsi="Times New Roman" w:cs="Times New Roman"/>
          <w:sz w:val="26"/>
          <w:szCs w:val="26"/>
          <w:u w:val="single"/>
        </w:rPr>
        <w:t>.</w:t>
      </w:r>
    </w:p>
    <w:p w14:paraId="2FCFD03C" w14:textId="77777777" w:rsidR="00CD1DDB" w:rsidRDefault="00CD1DDB"/>
    <w:sectPr w:rsidR="00CD1DDB" w:rsidSect="005A0BB9">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F9C0" w14:textId="77777777" w:rsidR="005A0BB9" w:rsidRDefault="005A0BB9" w:rsidP="005A0BB9">
      <w:pPr>
        <w:spacing w:after="0" w:line="240" w:lineRule="auto"/>
      </w:pPr>
      <w:r>
        <w:separator/>
      </w:r>
    </w:p>
  </w:endnote>
  <w:endnote w:type="continuationSeparator" w:id="0">
    <w:p w14:paraId="18BFC4BA" w14:textId="77777777" w:rsidR="005A0BB9" w:rsidRDefault="005A0BB9" w:rsidP="005A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ahoma"/>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39170342"/>
      <w:docPartObj>
        <w:docPartGallery w:val="Page Numbers (Bottom of Page)"/>
        <w:docPartUnique/>
      </w:docPartObj>
    </w:sdtPr>
    <w:sdtEndPr>
      <w:rPr>
        <w:noProof/>
      </w:rPr>
    </w:sdtEndPr>
    <w:sdtContent>
      <w:p w14:paraId="4808B8D4" w14:textId="151230C1" w:rsidR="004A1ACD" w:rsidRPr="005A0BB9" w:rsidRDefault="005A0BB9">
        <w:pPr>
          <w:pStyle w:val="Footer"/>
          <w:jc w:val="center"/>
          <w:rPr>
            <w:rFonts w:ascii="Times New Roman" w:hAnsi="Times New Roman" w:cs="Times New Roman"/>
          </w:rPr>
        </w:pPr>
        <w:r w:rsidRPr="005A0BB9">
          <w:rPr>
            <w:rFonts w:ascii="Times New Roman" w:hAnsi="Times New Roman" w:cs="Times New Roman"/>
          </w:rPr>
          <w:t xml:space="preserve">Appendix – </w:t>
        </w:r>
        <w:r w:rsidR="004A1ACD" w:rsidRPr="005A0BB9">
          <w:rPr>
            <w:rFonts w:ascii="Times New Roman" w:hAnsi="Times New Roman" w:cs="Times New Roman"/>
          </w:rPr>
          <w:fldChar w:fldCharType="begin"/>
        </w:r>
        <w:r w:rsidR="004A1ACD" w:rsidRPr="005A0BB9">
          <w:rPr>
            <w:rFonts w:ascii="Times New Roman" w:hAnsi="Times New Roman" w:cs="Times New Roman"/>
          </w:rPr>
          <w:instrText xml:space="preserve"> PAGE   \* MERGEFORMAT </w:instrText>
        </w:r>
        <w:r w:rsidR="004A1ACD" w:rsidRPr="005A0BB9">
          <w:rPr>
            <w:rFonts w:ascii="Times New Roman" w:hAnsi="Times New Roman" w:cs="Times New Roman"/>
          </w:rPr>
          <w:fldChar w:fldCharType="separate"/>
        </w:r>
        <w:r w:rsidR="004A1ACD" w:rsidRPr="005A0BB9">
          <w:rPr>
            <w:rFonts w:ascii="Times New Roman" w:hAnsi="Times New Roman" w:cs="Times New Roman"/>
            <w:noProof/>
          </w:rPr>
          <w:t>2</w:t>
        </w:r>
        <w:r w:rsidR="004A1ACD" w:rsidRPr="005A0BB9">
          <w:rPr>
            <w:rFonts w:ascii="Times New Roman" w:hAnsi="Times New Roman" w:cs="Times New Roman"/>
            <w:noProof/>
          </w:rPr>
          <w:fldChar w:fldCharType="end"/>
        </w:r>
      </w:p>
    </w:sdtContent>
  </w:sdt>
  <w:p w14:paraId="11A77BA7" w14:textId="77777777" w:rsidR="004A1ACD" w:rsidRDefault="004A1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BD73" w14:textId="77777777" w:rsidR="005A0BB9" w:rsidRDefault="005A0BB9" w:rsidP="005A0BB9">
      <w:pPr>
        <w:spacing w:after="0" w:line="240" w:lineRule="auto"/>
      </w:pPr>
      <w:r>
        <w:separator/>
      </w:r>
    </w:p>
  </w:footnote>
  <w:footnote w:type="continuationSeparator" w:id="0">
    <w:p w14:paraId="20BDE64F" w14:textId="77777777" w:rsidR="005A0BB9" w:rsidRDefault="005A0BB9" w:rsidP="005A0B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B9"/>
    <w:rsid w:val="00084AB4"/>
    <w:rsid w:val="0038598B"/>
    <w:rsid w:val="004A1ACD"/>
    <w:rsid w:val="004E4320"/>
    <w:rsid w:val="005A0BB9"/>
    <w:rsid w:val="007C23ED"/>
    <w:rsid w:val="00934FAE"/>
    <w:rsid w:val="00B579AA"/>
    <w:rsid w:val="00CD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66FD"/>
  <w15:chartTrackingRefBased/>
  <w15:docId w15:val="{04647F64-7EE4-4273-A6F6-9B0811CC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B9"/>
  </w:style>
  <w:style w:type="paragraph" w:styleId="Heading1">
    <w:name w:val="heading 1"/>
    <w:basedOn w:val="Normal"/>
    <w:next w:val="Normal"/>
    <w:link w:val="Heading1Char"/>
    <w:uiPriority w:val="9"/>
    <w:qFormat/>
    <w:rsid w:val="005A0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BB9"/>
    <w:rPr>
      <w:rFonts w:eastAsiaTheme="majorEastAsia" w:cstheme="majorBidi"/>
      <w:color w:val="272727" w:themeColor="text1" w:themeTint="D8"/>
    </w:rPr>
  </w:style>
  <w:style w:type="paragraph" w:styleId="Title">
    <w:name w:val="Title"/>
    <w:basedOn w:val="Normal"/>
    <w:next w:val="Normal"/>
    <w:link w:val="TitleChar"/>
    <w:uiPriority w:val="10"/>
    <w:qFormat/>
    <w:rsid w:val="005A0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BB9"/>
    <w:pPr>
      <w:spacing w:before="160"/>
      <w:jc w:val="center"/>
    </w:pPr>
    <w:rPr>
      <w:i/>
      <w:iCs/>
      <w:color w:val="404040" w:themeColor="text1" w:themeTint="BF"/>
    </w:rPr>
  </w:style>
  <w:style w:type="character" w:customStyle="1" w:styleId="QuoteChar">
    <w:name w:val="Quote Char"/>
    <w:basedOn w:val="DefaultParagraphFont"/>
    <w:link w:val="Quote"/>
    <w:uiPriority w:val="29"/>
    <w:rsid w:val="005A0BB9"/>
    <w:rPr>
      <w:i/>
      <w:iCs/>
      <w:color w:val="404040" w:themeColor="text1" w:themeTint="BF"/>
    </w:rPr>
  </w:style>
  <w:style w:type="paragraph" w:styleId="ListParagraph">
    <w:name w:val="List Paragraph"/>
    <w:basedOn w:val="Normal"/>
    <w:uiPriority w:val="34"/>
    <w:qFormat/>
    <w:rsid w:val="005A0BB9"/>
    <w:pPr>
      <w:ind w:left="720"/>
      <w:contextualSpacing/>
    </w:pPr>
  </w:style>
  <w:style w:type="character" w:styleId="IntenseEmphasis">
    <w:name w:val="Intense Emphasis"/>
    <w:basedOn w:val="DefaultParagraphFont"/>
    <w:uiPriority w:val="21"/>
    <w:qFormat/>
    <w:rsid w:val="005A0BB9"/>
    <w:rPr>
      <w:i/>
      <w:iCs/>
      <w:color w:val="0F4761" w:themeColor="accent1" w:themeShade="BF"/>
    </w:rPr>
  </w:style>
  <w:style w:type="paragraph" w:styleId="IntenseQuote">
    <w:name w:val="Intense Quote"/>
    <w:basedOn w:val="Normal"/>
    <w:next w:val="Normal"/>
    <w:link w:val="IntenseQuoteChar"/>
    <w:uiPriority w:val="30"/>
    <w:qFormat/>
    <w:rsid w:val="005A0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BB9"/>
    <w:rPr>
      <w:i/>
      <w:iCs/>
      <w:color w:val="0F4761" w:themeColor="accent1" w:themeShade="BF"/>
    </w:rPr>
  </w:style>
  <w:style w:type="character" w:styleId="IntenseReference">
    <w:name w:val="Intense Reference"/>
    <w:basedOn w:val="DefaultParagraphFont"/>
    <w:uiPriority w:val="32"/>
    <w:qFormat/>
    <w:rsid w:val="005A0BB9"/>
    <w:rPr>
      <w:b/>
      <w:bCs/>
      <w:smallCaps/>
      <w:color w:val="0F4761" w:themeColor="accent1" w:themeShade="BF"/>
      <w:spacing w:val="5"/>
    </w:rPr>
  </w:style>
  <w:style w:type="paragraph" w:styleId="Footer">
    <w:name w:val="footer"/>
    <w:basedOn w:val="Normal"/>
    <w:link w:val="FooterChar"/>
    <w:uiPriority w:val="99"/>
    <w:unhideWhenUsed/>
    <w:rsid w:val="005A0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B9"/>
  </w:style>
  <w:style w:type="paragraph" w:styleId="Header">
    <w:name w:val="header"/>
    <w:basedOn w:val="Normal"/>
    <w:link w:val="HeaderChar"/>
    <w:uiPriority w:val="99"/>
    <w:unhideWhenUsed/>
    <w:rsid w:val="005A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3962</Characters>
  <Application>Microsoft Office Word</Application>
  <DocSecurity>0</DocSecurity>
  <Lines>77</Lines>
  <Paragraphs>24</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Walker</dc:creator>
  <cp:keywords/>
  <dc:description/>
  <cp:lastModifiedBy>Matthew Walker</cp:lastModifiedBy>
  <cp:revision>3</cp:revision>
  <dcterms:created xsi:type="dcterms:W3CDTF">2025-01-10T22:31:00Z</dcterms:created>
  <dcterms:modified xsi:type="dcterms:W3CDTF">2025-01-10T22:34:00Z</dcterms:modified>
</cp:coreProperties>
</file>