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56DAD" w14:textId="77777777" w:rsidR="00FC354A" w:rsidRPr="004B4C02" w:rsidRDefault="00FD0829" w:rsidP="00E170F6">
      <w:pPr>
        <w:spacing w:after="0" w:line="240" w:lineRule="auto"/>
        <w:rPr>
          <w:sz w:val="28"/>
          <w:szCs w:val="28"/>
        </w:rPr>
      </w:pPr>
      <w:bookmarkStart w:id="0" w:name="_GoBack"/>
      <w:bookmarkEnd w:id="0"/>
      <w:r>
        <w:rPr>
          <w:sz w:val="28"/>
          <w:szCs w:val="28"/>
        </w:rPr>
        <w:t>Jason D. Lewis</w:t>
      </w:r>
    </w:p>
    <w:p w14:paraId="55ED501A" w14:textId="6CBC46F1" w:rsidR="00265931" w:rsidRDefault="00265931" w:rsidP="00265931">
      <w:pPr>
        <w:spacing w:after="0" w:line="240" w:lineRule="auto"/>
        <w:rPr>
          <w:sz w:val="28"/>
          <w:szCs w:val="28"/>
        </w:rPr>
      </w:pPr>
      <w:r w:rsidRPr="00265931">
        <w:rPr>
          <w:sz w:val="28"/>
          <w:szCs w:val="28"/>
        </w:rPr>
        <w:t>2005 N. Central Ave.</w:t>
      </w:r>
    </w:p>
    <w:p w14:paraId="0C26CF83" w14:textId="77777777" w:rsidR="00265931" w:rsidRPr="00265931" w:rsidRDefault="00265931" w:rsidP="00265931">
      <w:pPr>
        <w:spacing w:after="0" w:line="240" w:lineRule="auto"/>
        <w:rPr>
          <w:sz w:val="28"/>
          <w:szCs w:val="28"/>
        </w:rPr>
      </w:pPr>
      <w:r w:rsidRPr="00265931">
        <w:rPr>
          <w:sz w:val="28"/>
          <w:szCs w:val="28"/>
        </w:rPr>
        <w:t>Phoenix, AZ 85004</w:t>
      </w:r>
    </w:p>
    <w:p w14:paraId="47F394CE" w14:textId="77777777" w:rsidR="00265931" w:rsidRPr="00265931" w:rsidRDefault="00FD0829" w:rsidP="00265931">
      <w:pPr>
        <w:spacing w:after="0" w:line="240" w:lineRule="auto"/>
        <w:rPr>
          <w:sz w:val="28"/>
          <w:szCs w:val="28"/>
        </w:rPr>
      </w:pPr>
      <w:r>
        <w:rPr>
          <w:sz w:val="28"/>
          <w:szCs w:val="28"/>
        </w:rPr>
        <w:t>(</w:t>
      </w:r>
      <w:r w:rsidR="00265931" w:rsidRPr="00265931">
        <w:rPr>
          <w:sz w:val="28"/>
          <w:szCs w:val="28"/>
        </w:rPr>
        <w:t>602</w:t>
      </w:r>
      <w:r>
        <w:rPr>
          <w:sz w:val="28"/>
          <w:szCs w:val="28"/>
        </w:rPr>
        <w:t xml:space="preserve">) </w:t>
      </w:r>
      <w:r w:rsidR="00265931" w:rsidRPr="00265931">
        <w:rPr>
          <w:sz w:val="28"/>
          <w:szCs w:val="28"/>
        </w:rPr>
        <w:t>542-</w:t>
      </w:r>
      <w:r>
        <w:rPr>
          <w:sz w:val="28"/>
          <w:szCs w:val="28"/>
        </w:rPr>
        <w:t>7989</w:t>
      </w:r>
    </w:p>
    <w:p w14:paraId="66A06FDC" w14:textId="77777777" w:rsidR="00265931" w:rsidRPr="00265931" w:rsidRDefault="00FD0829" w:rsidP="00265931">
      <w:pPr>
        <w:spacing w:after="0" w:line="240" w:lineRule="auto"/>
        <w:rPr>
          <w:sz w:val="28"/>
          <w:szCs w:val="28"/>
        </w:rPr>
      </w:pPr>
      <w:r>
        <w:rPr>
          <w:sz w:val="28"/>
          <w:szCs w:val="28"/>
        </w:rPr>
        <w:t>Jason</w:t>
      </w:r>
      <w:r w:rsidR="00265931" w:rsidRPr="00265931">
        <w:rPr>
          <w:sz w:val="28"/>
          <w:szCs w:val="28"/>
        </w:rPr>
        <w:t>.</w:t>
      </w:r>
      <w:r>
        <w:rPr>
          <w:sz w:val="28"/>
          <w:szCs w:val="28"/>
        </w:rPr>
        <w:t>Lewis</w:t>
      </w:r>
      <w:r w:rsidR="00265931" w:rsidRPr="00265931">
        <w:rPr>
          <w:sz w:val="28"/>
          <w:szCs w:val="28"/>
        </w:rPr>
        <w:t>@azag.gov</w:t>
      </w:r>
    </w:p>
    <w:p w14:paraId="33F040A3" w14:textId="77777777" w:rsidR="00E170F6" w:rsidRPr="004B4C02" w:rsidRDefault="00E170F6" w:rsidP="00265931">
      <w:pPr>
        <w:spacing w:after="0" w:line="240" w:lineRule="auto"/>
        <w:rPr>
          <w:sz w:val="28"/>
          <w:szCs w:val="28"/>
        </w:rPr>
      </w:pPr>
      <w:r w:rsidRPr="004B4C02">
        <w:rPr>
          <w:sz w:val="28"/>
          <w:szCs w:val="28"/>
        </w:rPr>
        <w:t xml:space="preserve">AZ Bar # </w:t>
      </w:r>
      <w:r w:rsidR="00FD0829">
        <w:rPr>
          <w:sz w:val="28"/>
          <w:szCs w:val="28"/>
        </w:rPr>
        <w:t>032461</w:t>
      </w:r>
      <w:r w:rsidRPr="004B4C02">
        <w:rPr>
          <w:sz w:val="28"/>
          <w:szCs w:val="28"/>
        </w:rPr>
        <w:t>.</w:t>
      </w:r>
    </w:p>
    <w:p w14:paraId="22EC6E68" w14:textId="77777777" w:rsidR="00FC354A" w:rsidRPr="004B4C02" w:rsidRDefault="00FC354A" w:rsidP="00E170F6">
      <w:pPr>
        <w:pStyle w:val="StyleStyleCourtNameTitle18ptAfter12ptTimesNewRoman"/>
        <w:widowControl/>
        <w:spacing w:before="240" w:after="0"/>
        <w:rPr>
          <w:szCs w:val="28"/>
        </w:rPr>
      </w:pPr>
      <w:r w:rsidRPr="004B4C02">
        <w:rPr>
          <w:szCs w:val="28"/>
        </w:rPr>
        <w:t>In tHe Supreme Court</w:t>
      </w:r>
    </w:p>
    <w:p w14:paraId="6354404E" w14:textId="77777777" w:rsidR="00FC354A" w:rsidRPr="004B4C02" w:rsidRDefault="00FC354A" w:rsidP="00E170F6">
      <w:pPr>
        <w:pStyle w:val="StyleStyleCourtNameTitle18ptAfter12ptTimesNewRoman"/>
        <w:widowControl/>
        <w:spacing w:before="0"/>
        <w:rPr>
          <w:szCs w:val="28"/>
        </w:rPr>
      </w:pPr>
      <w:r w:rsidRPr="004B4C02">
        <w:rPr>
          <w:szCs w:val="28"/>
        </w:rPr>
        <w:t>State of ARIZONA</w:t>
      </w:r>
    </w:p>
    <w:tbl>
      <w:tblPr>
        <w:tblW w:w="9360" w:type="dxa"/>
        <w:tblInd w:w="120" w:type="dxa"/>
        <w:tblLayout w:type="fixed"/>
        <w:tblCellMar>
          <w:top w:w="260" w:type="dxa"/>
          <w:left w:w="120" w:type="dxa"/>
          <w:right w:w="120" w:type="dxa"/>
        </w:tblCellMar>
        <w:tblLook w:val="0000" w:firstRow="0" w:lastRow="0" w:firstColumn="0" w:lastColumn="0" w:noHBand="0" w:noVBand="0"/>
      </w:tblPr>
      <w:tblGrid>
        <w:gridCol w:w="4590"/>
        <w:gridCol w:w="4770"/>
      </w:tblGrid>
      <w:tr w:rsidR="00FC354A" w:rsidRPr="004B4C02" w14:paraId="50ACA90A" w14:textId="77777777" w:rsidTr="00627B7A">
        <w:trPr>
          <w:cantSplit/>
        </w:trPr>
        <w:tc>
          <w:tcPr>
            <w:tcW w:w="4590" w:type="dxa"/>
            <w:tcBorders>
              <w:bottom w:val="single" w:sz="6" w:space="0" w:color="auto"/>
              <w:right w:val="single" w:sz="6" w:space="0" w:color="auto"/>
            </w:tcBorders>
          </w:tcPr>
          <w:p w14:paraId="3233D6D7" w14:textId="77777777" w:rsidR="00FC354A" w:rsidRPr="004B4C02" w:rsidRDefault="00FC354A" w:rsidP="00FC354A">
            <w:pPr>
              <w:rPr>
                <w:sz w:val="28"/>
                <w:szCs w:val="28"/>
              </w:rPr>
            </w:pPr>
            <w:r w:rsidRPr="004B4C02">
              <w:rPr>
                <w:sz w:val="28"/>
                <w:szCs w:val="28"/>
              </w:rPr>
              <w:t xml:space="preserve">PETITION TO AMEND RULE </w:t>
            </w:r>
            <w:r w:rsidR="00FD0829">
              <w:rPr>
                <w:sz w:val="28"/>
                <w:szCs w:val="28"/>
              </w:rPr>
              <w:t>31.23</w:t>
            </w:r>
            <w:r w:rsidR="00265931">
              <w:rPr>
                <w:sz w:val="28"/>
                <w:szCs w:val="28"/>
              </w:rPr>
              <w:t>,</w:t>
            </w:r>
            <w:r w:rsidRPr="004B4C02">
              <w:rPr>
                <w:sz w:val="28"/>
                <w:szCs w:val="28"/>
              </w:rPr>
              <w:t xml:space="preserve"> ARIZONA RULES OF </w:t>
            </w:r>
            <w:r w:rsidR="00265931">
              <w:rPr>
                <w:sz w:val="28"/>
                <w:szCs w:val="28"/>
              </w:rPr>
              <w:t>Criminal</w:t>
            </w:r>
            <w:r w:rsidRPr="004B4C02">
              <w:rPr>
                <w:sz w:val="28"/>
                <w:szCs w:val="28"/>
              </w:rPr>
              <w:t xml:space="preserve"> PROCEDURE</w:t>
            </w:r>
          </w:p>
        </w:tc>
        <w:tc>
          <w:tcPr>
            <w:tcW w:w="4770" w:type="dxa"/>
            <w:tcBorders>
              <w:left w:val="single" w:sz="6" w:space="0" w:color="auto"/>
            </w:tcBorders>
            <w:tcMar>
              <w:left w:w="173" w:type="dxa"/>
              <w:right w:w="0" w:type="dxa"/>
            </w:tcMar>
          </w:tcPr>
          <w:p w14:paraId="09C5BC2B" w14:textId="77777777" w:rsidR="00FC354A" w:rsidRPr="004B4C02" w:rsidRDefault="00FC354A" w:rsidP="00FC354A">
            <w:pPr>
              <w:pStyle w:val="Caseinfo"/>
              <w:spacing w:line="240" w:lineRule="auto"/>
              <w:rPr>
                <w:rStyle w:val="FieldAllCaps"/>
                <w:caps w:val="0"/>
                <w:smallCaps w:val="0"/>
              </w:rPr>
            </w:pPr>
            <w:r w:rsidRPr="004B4C02">
              <w:rPr>
                <w:rStyle w:val="FieldAllCaps"/>
                <w:caps w:val="0"/>
                <w:smallCaps w:val="0"/>
              </w:rPr>
              <w:t>Supreme Court No. R–</w:t>
            </w:r>
          </w:p>
          <w:p w14:paraId="01D06ABB" w14:textId="77777777" w:rsidR="00FC354A" w:rsidRPr="004B4C02" w:rsidRDefault="00FC354A" w:rsidP="00FC354A">
            <w:pPr>
              <w:pStyle w:val="Caseinfo"/>
              <w:spacing w:line="240" w:lineRule="auto"/>
              <w:rPr>
                <w:rStyle w:val="FieldAllCaps"/>
                <w:caps w:val="0"/>
                <w:smallCaps w:val="0"/>
              </w:rPr>
            </w:pPr>
          </w:p>
          <w:p w14:paraId="339B48BF" w14:textId="77777777" w:rsidR="00FC354A" w:rsidRPr="004B4C02" w:rsidRDefault="00FC354A" w:rsidP="00FC354A">
            <w:pPr>
              <w:pStyle w:val="Caseinfo"/>
              <w:spacing w:line="240" w:lineRule="auto"/>
              <w:rPr>
                <w:rStyle w:val="FieldAllCaps"/>
                <w:b/>
                <w:caps w:val="0"/>
                <w:smallCaps w:val="0"/>
              </w:rPr>
            </w:pPr>
            <w:r w:rsidRPr="004B4C02">
              <w:rPr>
                <w:rStyle w:val="FieldAllCaps"/>
                <w:b/>
                <w:caps w:val="0"/>
                <w:smallCaps w:val="0"/>
              </w:rPr>
              <w:t xml:space="preserve">Petition to Amend Rule </w:t>
            </w:r>
            <w:r w:rsidR="00493056">
              <w:rPr>
                <w:rStyle w:val="FieldAllCaps"/>
                <w:b/>
                <w:caps w:val="0"/>
                <w:smallCaps w:val="0"/>
              </w:rPr>
              <w:t>3</w:t>
            </w:r>
            <w:r w:rsidR="00FD0829">
              <w:rPr>
                <w:rStyle w:val="FieldAllCaps"/>
                <w:b/>
                <w:caps w:val="0"/>
                <w:smallCaps w:val="0"/>
              </w:rPr>
              <w:t>1.23</w:t>
            </w:r>
            <w:r w:rsidRPr="004B4C02">
              <w:rPr>
                <w:rStyle w:val="FieldAllCaps"/>
                <w:b/>
                <w:caps w:val="0"/>
                <w:smallCaps w:val="0"/>
              </w:rPr>
              <w:t>,</w:t>
            </w:r>
          </w:p>
          <w:p w14:paraId="6742A5CC" w14:textId="77777777" w:rsidR="00FC354A" w:rsidRPr="004B4C02" w:rsidRDefault="00FC354A" w:rsidP="00FC354A">
            <w:pPr>
              <w:pStyle w:val="Caseinfo"/>
              <w:spacing w:line="240" w:lineRule="auto"/>
              <w:rPr>
                <w:rStyle w:val="StyleCaseinfoBlackChar"/>
                <w:b/>
                <w:smallCaps w:val="0"/>
                <w:color w:val="auto"/>
              </w:rPr>
            </w:pPr>
            <w:r w:rsidRPr="004B4C02">
              <w:rPr>
                <w:rStyle w:val="FieldAllCaps"/>
                <w:b/>
                <w:caps w:val="0"/>
                <w:smallCaps w:val="0"/>
              </w:rPr>
              <w:t xml:space="preserve">Arizona Rules of </w:t>
            </w:r>
            <w:r w:rsidR="00265931">
              <w:rPr>
                <w:rStyle w:val="FieldAllCaps"/>
                <w:b/>
                <w:caps w:val="0"/>
                <w:smallCaps w:val="0"/>
              </w:rPr>
              <w:t>Criminal</w:t>
            </w:r>
            <w:r w:rsidRPr="004B4C02">
              <w:rPr>
                <w:rStyle w:val="FieldAllCaps"/>
                <w:b/>
                <w:caps w:val="0"/>
                <w:smallCaps w:val="0"/>
              </w:rPr>
              <w:t xml:space="preserve"> Procedure</w:t>
            </w:r>
          </w:p>
          <w:p w14:paraId="02DF6EDC" w14:textId="77777777" w:rsidR="00FC354A" w:rsidRPr="004B4C02" w:rsidRDefault="00FC354A" w:rsidP="00FC354A">
            <w:pPr>
              <w:pStyle w:val="Caseinfo"/>
              <w:spacing w:line="240" w:lineRule="auto"/>
              <w:rPr>
                <w:rStyle w:val="FieldAllCaps"/>
                <w:b/>
                <w:caps w:val="0"/>
                <w:smallCaps w:val="0"/>
              </w:rPr>
            </w:pPr>
          </w:p>
        </w:tc>
      </w:tr>
      <w:tr w:rsidR="00FC354A" w:rsidRPr="004B4C02" w14:paraId="6A907F92" w14:textId="77777777" w:rsidTr="00627B7A">
        <w:trPr>
          <w:cantSplit/>
          <w:trHeight w:val="282"/>
        </w:trPr>
        <w:tc>
          <w:tcPr>
            <w:tcW w:w="4590" w:type="dxa"/>
            <w:tcBorders>
              <w:top w:val="single" w:sz="6" w:space="0" w:color="auto"/>
            </w:tcBorders>
            <w:tcMar>
              <w:top w:w="0" w:type="dxa"/>
            </w:tcMar>
          </w:tcPr>
          <w:p w14:paraId="0ADDCA8B" w14:textId="77777777" w:rsidR="00FC354A" w:rsidRPr="004B4C02" w:rsidRDefault="00FC354A" w:rsidP="00627B7A">
            <w:pPr>
              <w:pStyle w:val="Zbasefontbody"/>
            </w:pPr>
          </w:p>
        </w:tc>
        <w:tc>
          <w:tcPr>
            <w:tcW w:w="4770" w:type="dxa"/>
            <w:tcMar>
              <w:top w:w="0" w:type="dxa"/>
            </w:tcMar>
          </w:tcPr>
          <w:p w14:paraId="79AFDBCF" w14:textId="77777777" w:rsidR="00FC354A" w:rsidRPr="004B4C02" w:rsidRDefault="00FC354A" w:rsidP="00627B7A">
            <w:pPr>
              <w:pStyle w:val="Zbasefontbody"/>
            </w:pPr>
          </w:p>
        </w:tc>
      </w:tr>
    </w:tbl>
    <w:p w14:paraId="447AE91E" w14:textId="3AEE3023" w:rsidR="00493056" w:rsidRPr="0083270A" w:rsidRDefault="00E170F6" w:rsidP="008A1E67">
      <w:pPr>
        <w:spacing w:after="0" w:line="480" w:lineRule="auto"/>
        <w:ind w:firstLine="720"/>
        <w:jc w:val="both"/>
      </w:pPr>
      <w:r w:rsidRPr="0083270A">
        <w:t xml:space="preserve">Pursuant to Rule 28 of the Rules of the Arizona Supreme Court, the undersigned attorney (Petitioner) respectively petitions this Court to amend Rule </w:t>
      </w:r>
      <w:r w:rsidR="00493056">
        <w:t>3</w:t>
      </w:r>
      <w:r w:rsidR="00FD0829">
        <w:t>1.23</w:t>
      </w:r>
      <w:r w:rsidRPr="0083270A">
        <w:t xml:space="preserve"> of the Arizona Rules of </w:t>
      </w:r>
      <w:r w:rsidR="00265931" w:rsidRPr="0083270A">
        <w:t>Criminal</w:t>
      </w:r>
      <w:r w:rsidRPr="0083270A">
        <w:t xml:space="preserve"> Procedure (</w:t>
      </w:r>
      <w:r w:rsidR="00FD0829">
        <w:t>Warrant of Execution</w:t>
      </w:r>
      <w:r w:rsidRPr="0083270A">
        <w:t>).  The proposed amendment to</w:t>
      </w:r>
      <w:r w:rsidR="009A546B" w:rsidRPr="0083270A">
        <w:t xml:space="preserve"> Arizona Rule of </w:t>
      </w:r>
      <w:r w:rsidR="00FD0829">
        <w:t>Criminal</w:t>
      </w:r>
      <w:r w:rsidR="009A546B" w:rsidRPr="0083270A">
        <w:t xml:space="preserve"> Procedure (“Rule”) </w:t>
      </w:r>
      <w:r w:rsidR="00493056">
        <w:t>3</w:t>
      </w:r>
      <w:r w:rsidR="00FD0829">
        <w:t>1.23</w:t>
      </w:r>
      <w:r w:rsidRPr="0083270A">
        <w:t xml:space="preserve"> seeks to </w:t>
      </w:r>
      <w:r w:rsidR="00265931" w:rsidRPr="0083270A">
        <w:t>a</w:t>
      </w:r>
      <w:r w:rsidR="00FD0829">
        <w:t>dd predictability</w:t>
      </w:r>
      <w:r w:rsidR="00A512D4">
        <w:t xml:space="preserve"> and judicial efficiency</w:t>
      </w:r>
      <w:r w:rsidR="00FD0829">
        <w:t xml:space="preserve"> to the execution warrant process</w:t>
      </w:r>
      <w:r w:rsidR="00A512D4">
        <w:t>.</w:t>
      </w:r>
      <w:r w:rsidR="00B823A0">
        <w:rPr>
          <w:rStyle w:val="FootnoteReference"/>
        </w:rPr>
        <w:footnoteReference w:id="1"/>
      </w:r>
    </w:p>
    <w:p w14:paraId="3A4DFF03" w14:textId="18BC921B" w:rsidR="00FC354A" w:rsidRDefault="00E170F6" w:rsidP="00ED2BCB">
      <w:pPr>
        <w:spacing w:after="0" w:line="480" w:lineRule="auto"/>
        <w:ind w:firstLine="720"/>
        <w:jc w:val="both"/>
      </w:pPr>
      <w:bookmarkStart w:id="1" w:name="_Hlk184222069"/>
      <w:bookmarkStart w:id="2" w:name="_Hlk184222075"/>
      <w:r w:rsidRPr="0083270A">
        <w:t xml:space="preserve">A redline version of proposed amended Rule </w:t>
      </w:r>
      <w:r w:rsidR="005164F6">
        <w:t>3</w:t>
      </w:r>
      <w:r w:rsidR="00FD0829">
        <w:t>1.23</w:t>
      </w:r>
      <w:r w:rsidR="005164F6" w:rsidRPr="0083270A">
        <w:t xml:space="preserve"> </w:t>
      </w:r>
      <w:r w:rsidRPr="0083270A">
        <w:t xml:space="preserve">identifying additions and deletions is attached </w:t>
      </w:r>
      <w:bookmarkEnd w:id="1"/>
      <w:r w:rsidRPr="0083270A">
        <w:t xml:space="preserve">at </w:t>
      </w:r>
      <w:r w:rsidR="0083270A" w:rsidRPr="0083270A">
        <w:t xml:space="preserve">Appendix </w:t>
      </w:r>
      <w:r w:rsidR="0083270A">
        <w:t>“</w:t>
      </w:r>
      <w:r w:rsidRPr="0083270A">
        <w:t>A,</w:t>
      </w:r>
      <w:r w:rsidR="0083270A">
        <w:t>”</w:t>
      </w:r>
      <w:r w:rsidRPr="0083270A">
        <w:t xml:space="preserve"> and a </w:t>
      </w:r>
      <w:r w:rsidR="0083270A">
        <w:t>“</w:t>
      </w:r>
      <w:r w:rsidRPr="0083270A">
        <w:t>clean</w:t>
      </w:r>
      <w:r w:rsidR="0083270A">
        <w:t>”</w:t>
      </w:r>
      <w:r w:rsidRPr="0083270A">
        <w:t xml:space="preserve"> version of </w:t>
      </w:r>
      <w:r w:rsidR="004B4C02" w:rsidRPr="0083270A">
        <w:t>proposed amended</w:t>
      </w:r>
      <w:r w:rsidRPr="0083270A">
        <w:t xml:space="preserve"> Rule </w:t>
      </w:r>
      <w:r w:rsidR="009B3A4B">
        <w:t>3</w:t>
      </w:r>
      <w:r w:rsidR="00FD0829">
        <w:t>1.23</w:t>
      </w:r>
      <w:r w:rsidR="009B3A4B" w:rsidRPr="0083270A">
        <w:t xml:space="preserve"> </w:t>
      </w:r>
      <w:r w:rsidRPr="0083270A">
        <w:t xml:space="preserve">is attached at </w:t>
      </w:r>
      <w:r w:rsidR="0083270A" w:rsidRPr="0083270A">
        <w:t xml:space="preserve">Appendix </w:t>
      </w:r>
      <w:r w:rsidR="0083270A">
        <w:t>“</w:t>
      </w:r>
      <w:r w:rsidRPr="0083270A">
        <w:t>B.</w:t>
      </w:r>
      <w:r w:rsidR="0083270A">
        <w:t>”</w:t>
      </w:r>
      <w:r w:rsidR="009A032C">
        <w:t xml:space="preserve">  </w:t>
      </w:r>
    </w:p>
    <w:bookmarkEnd w:id="2"/>
    <w:p w14:paraId="5D3CEB22" w14:textId="77777777" w:rsidR="0099290E" w:rsidRPr="0099290E" w:rsidRDefault="00031A0A" w:rsidP="008A4C6B">
      <w:pPr>
        <w:pStyle w:val="ListParagraph"/>
        <w:numPr>
          <w:ilvl w:val="0"/>
          <w:numId w:val="2"/>
        </w:numPr>
        <w:spacing w:after="0" w:line="480" w:lineRule="auto"/>
        <w:jc w:val="both"/>
      </w:pPr>
      <w:r w:rsidRPr="0099290E">
        <w:rPr>
          <w:b/>
          <w:sz w:val="28"/>
          <w:szCs w:val="28"/>
        </w:rPr>
        <w:t>THE EVOLUTION OF RULE 3</w:t>
      </w:r>
      <w:r w:rsidR="008A1E67">
        <w:rPr>
          <w:b/>
          <w:sz w:val="28"/>
          <w:szCs w:val="28"/>
        </w:rPr>
        <w:t>1.23</w:t>
      </w:r>
      <w:r w:rsidRPr="0099290E">
        <w:rPr>
          <w:b/>
          <w:sz w:val="28"/>
          <w:szCs w:val="28"/>
        </w:rPr>
        <w:t>.</w:t>
      </w:r>
    </w:p>
    <w:p w14:paraId="0515576A" w14:textId="7173953F" w:rsidR="006D171E" w:rsidRPr="007A58AB" w:rsidRDefault="006D171E" w:rsidP="0042037A">
      <w:pPr>
        <w:spacing w:after="0" w:line="480" w:lineRule="auto"/>
        <w:ind w:firstLine="720"/>
        <w:jc w:val="both"/>
      </w:pPr>
      <w:r>
        <w:t xml:space="preserve">The current version of 31.23 was adopted after the overhaul </w:t>
      </w:r>
      <w:r w:rsidR="0099290E">
        <w:t xml:space="preserve">of the Arizona Rules of Criminal Procedure in 2018. </w:t>
      </w:r>
      <w:r w:rsidR="0099290E" w:rsidRPr="0099290E">
        <w:rPr>
          <w:i/>
        </w:rPr>
        <w:t xml:space="preserve">See </w:t>
      </w:r>
      <w:proofErr w:type="gramStart"/>
      <w:r w:rsidR="0099290E" w:rsidRPr="0099290E">
        <w:rPr>
          <w:i/>
        </w:rPr>
        <w:t>In</w:t>
      </w:r>
      <w:proofErr w:type="gramEnd"/>
      <w:r w:rsidR="0099290E" w:rsidRPr="0099290E">
        <w:rPr>
          <w:i/>
        </w:rPr>
        <w:t xml:space="preserve"> the Matter of Arizona Rules of Criminal Procedure</w:t>
      </w:r>
      <w:r w:rsidR="0099290E">
        <w:t xml:space="preserve">, </w:t>
      </w:r>
      <w:r w:rsidR="0099290E">
        <w:lastRenderedPageBreak/>
        <w:t>No. R-17-0002 (Ariz. Aug. 31, 2017).</w:t>
      </w:r>
      <w:r w:rsidR="003F45B0">
        <w:t xml:space="preserve"> The substance of 31.23</w:t>
      </w:r>
      <w:r w:rsidR="00901BD9">
        <w:t xml:space="preserve"> was adopted in a previous amendment when the rule was number</w:t>
      </w:r>
      <w:r w:rsidR="001F3FA7">
        <w:t>ed</w:t>
      </w:r>
      <w:r w:rsidR="00901BD9">
        <w:t xml:space="preserve"> as 31.17(c)(1). </w:t>
      </w:r>
      <w:r w:rsidR="00901BD9">
        <w:rPr>
          <w:i/>
        </w:rPr>
        <w:t xml:space="preserve">See </w:t>
      </w:r>
      <w:proofErr w:type="gramStart"/>
      <w:r w:rsidR="0099290E">
        <w:rPr>
          <w:i/>
        </w:rPr>
        <w:t>In</w:t>
      </w:r>
      <w:proofErr w:type="gramEnd"/>
      <w:r w:rsidR="0099290E">
        <w:rPr>
          <w:i/>
        </w:rPr>
        <w:t xml:space="preserve"> </w:t>
      </w:r>
      <w:r w:rsidR="00901BD9">
        <w:rPr>
          <w:i/>
        </w:rPr>
        <w:t>the Matter of</w:t>
      </w:r>
      <w:r w:rsidR="0099290E">
        <w:rPr>
          <w:i/>
        </w:rPr>
        <w:t xml:space="preserve"> Rule 31.17(c)(1), Rules of Criminal Procedure</w:t>
      </w:r>
      <w:r w:rsidR="0099290E">
        <w:t xml:space="preserve">, No. R-13-0050 (Ariz. </w:t>
      </w:r>
      <w:r w:rsidR="00901BD9">
        <w:t>Sep</w:t>
      </w:r>
      <w:r w:rsidR="0099290E">
        <w:t xml:space="preserve">. </w:t>
      </w:r>
      <w:r w:rsidR="00901BD9">
        <w:t>2</w:t>
      </w:r>
      <w:r w:rsidR="0099290E">
        <w:t>, 201</w:t>
      </w:r>
      <w:r w:rsidR="00901BD9">
        <w:t>5</w:t>
      </w:r>
      <w:r w:rsidR="0099290E">
        <w:t>).</w:t>
      </w:r>
      <w:r w:rsidR="007A58AB">
        <w:t xml:space="preserve"> This prior change was adopted at the </w:t>
      </w:r>
      <w:r w:rsidR="00EC34B1">
        <w:t xml:space="preserve">request </w:t>
      </w:r>
      <w:r w:rsidR="007A58AB">
        <w:t xml:space="preserve">of the Arizona Supreme Court’s capital staff attorney in order to foster judicial efficiency in the execution warrant process. </w:t>
      </w:r>
      <w:r w:rsidR="007A58AB">
        <w:rPr>
          <w:i/>
          <w:iCs/>
        </w:rPr>
        <w:t>Id</w:t>
      </w:r>
      <w:r w:rsidR="007A58AB">
        <w:t xml:space="preserve">. </w:t>
      </w:r>
    </w:p>
    <w:p w14:paraId="13379D36" w14:textId="43BE8A98" w:rsidR="0056527E" w:rsidRPr="0056527E" w:rsidRDefault="003722DE" w:rsidP="00EC34B1">
      <w:pPr>
        <w:pStyle w:val="ListParagraph"/>
        <w:numPr>
          <w:ilvl w:val="0"/>
          <w:numId w:val="2"/>
        </w:numPr>
        <w:spacing w:after="0" w:line="480" w:lineRule="auto"/>
        <w:jc w:val="both"/>
        <w:rPr>
          <w:b/>
          <w:sz w:val="28"/>
          <w:szCs w:val="28"/>
        </w:rPr>
      </w:pPr>
      <w:r w:rsidRPr="004B4C02">
        <w:rPr>
          <w:b/>
          <w:sz w:val="28"/>
          <w:szCs w:val="28"/>
        </w:rPr>
        <w:t xml:space="preserve">THE NEED FOR AMENDING RULE </w:t>
      </w:r>
      <w:r w:rsidR="009B3A4B" w:rsidRPr="009B3A4B">
        <w:rPr>
          <w:b/>
          <w:sz w:val="28"/>
          <w:szCs w:val="28"/>
        </w:rPr>
        <w:t>3</w:t>
      </w:r>
      <w:r w:rsidR="00F06087">
        <w:rPr>
          <w:b/>
          <w:sz w:val="28"/>
          <w:szCs w:val="28"/>
        </w:rPr>
        <w:t>1.23</w:t>
      </w:r>
      <w:r w:rsidRPr="004B4C02">
        <w:rPr>
          <w:b/>
          <w:sz w:val="28"/>
          <w:szCs w:val="28"/>
        </w:rPr>
        <w:t xml:space="preserve">. </w:t>
      </w:r>
    </w:p>
    <w:p w14:paraId="59E5CE45" w14:textId="7A31971B" w:rsidR="00FA5ABF" w:rsidRDefault="0007561E" w:rsidP="0042037A">
      <w:pPr>
        <w:spacing w:after="0" w:line="480" w:lineRule="auto"/>
        <w:ind w:firstLine="720"/>
        <w:jc w:val="both"/>
      </w:pPr>
      <w:r>
        <w:t>The current version of 31.23</w:t>
      </w:r>
      <w:r w:rsidR="00BD7939">
        <w:t xml:space="preserve"> provides for the circumstances under which the Arizona Supreme Court must issue a warrant of execution. The rule does not, however, </w:t>
      </w:r>
      <w:r w:rsidR="004E262D">
        <w:t xml:space="preserve">delineate the procedure the court must follow when the State seeks a warrant of execution. The proposed amendment to Rule 31.23 will increase predictability and efficiency in the warrant process. The Arizona Department of Corrections, Rehabilitations, and Reentry (“ADCRR”) must disclose a quantitative analysis of the drugs to be used in a planned execution within 10 days of the State filing a motion for warrant of execution. </w:t>
      </w:r>
      <w:r w:rsidR="00EC34B1">
        <w:t>If the rule is revised to specify</w:t>
      </w:r>
      <w:r w:rsidR="004E262D">
        <w:t xml:space="preserve"> the timeline under which the Arizona Supreme Court must consider the State’s motion, ADCRR can ensure that the drugs to be used will not expire before the time specified in any later issued warrant of execution. The proposed amendment will also promote efficiency in the court because it will </w:t>
      </w:r>
      <w:r w:rsidR="00C252F3">
        <w:t>automatically establish</w:t>
      </w:r>
      <w:r w:rsidR="004E262D">
        <w:t xml:space="preserve"> a briefing schedule</w:t>
      </w:r>
      <w:r w:rsidR="00C252F3">
        <w:t xml:space="preserve"> rather than requiring the court to first set one.</w:t>
      </w:r>
    </w:p>
    <w:p w14:paraId="38A4218B" w14:textId="6D8BACAD" w:rsidR="0056527E" w:rsidRPr="0056527E" w:rsidRDefault="0056527E" w:rsidP="0042037A">
      <w:pPr>
        <w:spacing w:after="0" w:line="480" w:lineRule="auto"/>
        <w:ind w:firstLine="720"/>
        <w:jc w:val="both"/>
      </w:pPr>
      <w:r w:rsidRPr="0056527E">
        <w:lastRenderedPageBreak/>
        <w:t xml:space="preserve">State law requires </w:t>
      </w:r>
      <w:r>
        <w:t>that the</w:t>
      </w:r>
      <w:r w:rsidRPr="0056527E">
        <w:t xml:space="preserve"> State </w:t>
      </w:r>
      <w:r>
        <w:t xml:space="preserve">carry out </w:t>
      </w:r>
      <w:r w:rsidR="00480D8D">
        <w:t xml:space="preserve">most </w:t>
      </w:r>
      <w:r>
        <w:t>death sentences</w:t>
      </w:r>
      <w:r w:rsidRPr="0056527E">
        <w:t xml:space="preserve"> by lethal injection.</w:t>
      </w:r>
      <w:r w:rsidR="00127921" w:rsidRPr="00127921">
        <w:rPr>
          <w:rStyle w:val="FootnoteReference"/>
        </w:rPr>
        <w:t xml:space="preserve"> </w:t>
      </w:r>
      <w:r w:rsidR="00127921">
        <w:rPr>
          <w:rStyle w:val="FootnoteReference"/>
        </w:rPr>
        <w:footnoteReference w:id="2"/>
      </w:r>
      <w:r w:rsidRPr="0056527E">
        <w:t xml:space="preserve">  A.R.S. § 13–757(A); Ariz. Const. Art. 22 § 22.  ADCRR </w:t>
      </w:r>
      <w:r>
        <w:t>currently uses compounded pentobarbital in all lethal injection executions</w:t>
      </w:r>
      <w:r w:rsidRPr="0056527E">
        <w:t xml:space="preserve">.  </w:t>
      </w:r>
      <w:r>
        <w:t>After ADCRR compounds a batch of pentobarbital</w:t>
      </w:r>
      <w:r w:rsidRPr="0056527E">
        <w:t xml:space="preserve">, </w:t>
      </w:r>
      <w:r>
        <w:t>the drug will have an anticipated</w:t>
      </w:r>
      <w:r w:rsidRPr="0056527E">
        <w:t xml:space="preserve"> beyond-use date of 90 days from the date of compounding.</w:t>
      </w:r>
      <w:r w:rsidRPr="0056527E">
        <w:rPr>
          <w:vertAlign w:val="superscript"/>
        </w:rPr>
        <w:footnoteReference w:id="3"/>
      </w:r>
    </w:p>
    <w:p w14:paraId="0BA79589" w14:textId="04B53E53" w:rsidR="0056527E" w:rsidRPr="0056527E" w:rsidRDefault="0056527E" w:rsidP="0042037A">
      <w:pPr>
        <w:spacing w:after="0" w:line="480" w:lineRule="auto"/>
        <w:ind w:firstLine="720"/>
        <w:jc w:val="both"/>
      </w:pPr>
      <w:r w:rsidRPr="0056527E">
        <w:t xml:space="preserve">ADCRR’s lethal-injection protocol and a related civil settlement agreement impose several requirements regarding the drugs used in a lethal injection execution.  First, ADCRR is prohibited from using any drug that is expired or past its beyond-use date at the time the execution is carried out.  </w:t>
      </w:r>
      <w:r w:rsidRPr="0056527E">
        <w:rPr>
          <w:i/>
        </w:rPr>
        <w:t xml:space="preserve">See </w:t>
      </w:r>
      <w:r w:rsidRPr="0056527E">
        <w:t>ADCRR Dep’t Order 710, ¶ A.1.III.</w:t>
      </w:r>
      <w:r w:rsidRPr="0056527E">
        <w:rPr>
          <w:vertAlign w:val="superscript"/>
        </w:rPr>
        <w:footnoteReference w:id="4"/>
      </w:r>
      <w:r w:rsidRPr="0056527E">
        <w:t xml:space="preserve">  Therefore, to ensure compliance with the protocol, ADCRR must carry out </w:t>
      </w:r>
      <w:r>
        <w:t>an</w:t>
      </w:r>
      <w:r w:rsidRPr="0056527E">
        <w:t xml:space="preserve"> execution no later than 90 days after the pentobarbital is compounded.</w:t>
      </w:r>
    </w:p>
    <w:p w14:paraId="3720598C" w14:textId="6B275390" w:rsidR="0056527E" w:rsidRPr="0056527E" w:rsidRDefault="0056527E" w:rsidP="0042037A">
      <w:pPr>
        <w:spacing w:after="0" w:line="480" w:lineRule="auto"/>
        <w:ind w:firstLine="720"/>
        <w:jc w:val="both"/>
      </w:pPr>
      <w:r w:rsidRPr="0056527E">
        <w:t xml:space="preserve">Second, ADCRR must disclose upon request a quantitative analysis of the compounded pentobarbital to be used in </w:t>
      </w:r>
      <w:r>
        <w:t>the</w:t>
      </w:r>
      <w:r w:rsidRPr="0056527E">
        <w:t xml:space="preserve"> execution within </w:t>
      </w:r>
      <w:r w:rsidRPr="0056527E">
        <w:br/>
        <w:t xml:space="preserve">10 days of the State filing a Motion for Warrant of Execution.  </w:t>
      </w:r>
      <w:r w:rsidRPr="0056527E">
        <w:rPr>
          <w:i/>
        </w:rPr>
        <w:t xml:space="preserve">See </w:t>
      </w:r>
      <w:r w:rsidRPr="0056527E">
        <w:t xml:space="preserve">ADCRR Dep’t Order 710, ¶ C.2.  Thus, to ensure ADCRR has sufficient time to conduct the required quantitative </w:t>
      </w:r>
      <w:r w:rsidRPr="0056527E">
        <w:lastRenderedPageBreak/>
        <w:t>analysis and disclose the results, the drug must be compounded shortly after the motion’s filing. This is important because once the drug is compounded, its 90-day shelf life will begin to run.</w:t>
      </w:r>
    </w:p>
    <w:p w14:paraId="6F183336" w14:textId="4445B344" w:rsidR="0056527E" w:rsidRPr="0056527E" w:rsidRDefault="0056527E" w:rsidP="0042037A">
      <w:pPr>
        <w:spacing w:after="0" w:line="480" w:lineRule="auto"/>
        <w:ind w:firstLine="720"/>
        <w:jc w:val="both"/>
      </w:pPr>
      <w:r w:rsidRPr="0056527E">
        <w:t xml:space="preserve">In order to comply with these requirements, ADCRR must first compound the pentobarbital it will use shortly after the State files the Motion for Warrant of Execution and then also ensure that the execution is carried out, pursuant to the warrant issued by </w:t>
      </w:r>
      <w:r w:rsidR="00921B50">
        <w:t>the Arizona Supreme Court</w:t>
      </w:r>
      <w:r w:rsidRPr="0056527E">
        <w:t xml:space="preserve">, no more than 90 days later.  Under the applicable rules, and assuming no extensions </w:t>
      </w:r>
      <w:r w:rsidR="00921B50">
        <w:t>are</w:t>
      </w:r>
      <w:r w:rsidRPr="0056527E">
        <w:t xml:space="preserve"> granted, </w:t>
      </w:r>
      <w:r w:rsidR="00921B50">
        <w:t>the defendant</w:t>
      </w:r>
      <w:r w:rsidRPr="0056527E">
        <w:t xml:space="preserve"> would have 10 days to respond to the State’s motion, and the State would have an additional 5 days to reply.  </w:t>
      </w:r>
      <w:r w:rsidRPr="0056527E">
        <w:rPr>
          <w:i/>
        </w:rPr>
        <w:t>See</w:t>
      </w:r>
      <w:r w:rsidRPr="0056527E">
        <w:t xml:space="preserve"> ARCAP (6)(a)(2); </w:t>
      </w:r>
      <w:r w:rsidRPr="0056527E">
        <w:rPr>
          <w:i/>
        </w:rPr>
        <w:t xml:space="preserve">see also </w:t>
      </w:r>
      <w:r w:rsidRPr="0056527E">
        <w:t xml:space="preserve">Ariz. R. Crim. P. 31.6(e).  This Court would then conference the motion and, if granted, would set an execution date 35 days later.  </w:t>
      </w:r>
      <w:r w:rsidRPr="0056527E">
        <w:rPr>
          <w:i/>
        </w:rPr>
        <w:t>See</w:t>
      </w:r>
      <w:r w:rsidRPr="0056527E">
        <w:t xml:space="preserve"> A.R.S. § 13–759(A); Ariz. R. Crim. P. 31.23(c).  </w:t>
      </w:r>
      <w:r w:rsidR="00921B50">
        <w:t>However,</w:t>
      </w:r>
      <w:r w:rsidRPr="0056527E">
        <w:t xml:space="preserve"> extended filing periods are </w:t>
      </w:r>
      <w:r w:rsidR="00921B50">
        <w:t xml:space="preserve">frequently </w:t>
      </w:r>
      <w:r w:rsidRPr="0056527E">
        <w:t>requested</w:t>
      </w:r>
      <w:r w:rsidR="00921B50">
        <w:t xml:space="preserve"> and granted. Consequently,</w:t>
      </w:r>
      <w:r w:rsidRPr="0056527E">
        <w:t xml:space="preserve"> the pre-warrant briefing process, not including the statutory </w:t>
      </w:r>
      <w:r w:rsidRPr="0056527E">
        <w:br/>
        <w:t>35-day waiting period on the execution warrant, can last for months.</w:t>
      </w:r>
      <w:r w:rsidRPr="0056527E">
        <w:rPr>
          <w:vertAlign w:val="superscript"/>
        </w:rPr>
        <w:footnoteReference w:id="5"/>
      </w:r>
    </w:p>
    <w:p w14:paraId="0E719947" w14:textId="77777777" w:rsidR="0056527E" w:rsidRDefault="0056527E" w:rsidP="0042037A">
      <w:pPr>
        <w:spacing w:after="0" w:line="480" w:lineRule="auto"/>
        <w:ind w:firstLine="720"/>
        <w:jc w:val="both"/>
      </w:pPr>
      <w:r w:rsidRPr="0056527E">
        <w:t xml:space="preserve">In addition, both the filing of a Motion for Warrant of Execution and issuance of an execution warrant by this Court trigger a host of procedures, requirements, and responsibilities for ADCRR officials and personnel.  </w:t>
      </w:r>
      <w:r w:rsidRPr="0056527E">
        <w:rPr>
          <w:i/>
        </w:rPr>
        <w:t xml:space="preserve">See generally </w:t>
      </w:r>
      <w:r w:rsidRPr="0056527E">
        <w:t xml:space="preserve">ADCRR Dep’t Order 710.  A scheduling order from this Court, setting prescribed dates for the filing of a Motion </w:t>
      </w:r>
      <w:r w:rsidRPr="0056527E">
        <w:lastRenderedPageBreak/>
        <w:t>for Warrant of Execution and for the issuance of a warrant (if the motion is granted), greatly assists ADCRR in its preparation and planning to meet all execution-related requirements.</w:t>
      </w:r>
    </w:p>
    <w:p w14:paraId="33DC76F2" w14:textId="425040C9" w:rsidR="00A774E8" w:rsidRDefault="00A774E8" w:rsidP="0056527E">
      <w:pPr>
        <w:spacing w:before="120" w:after="0" w:line="480" w:lineRule="auto"/>
        <w:ind w:firstLine="720"/>
        <w:jc w:val="both"/>
      </w:pPr>
      <w:r>
        <w:t>Because of the above-mentioned requirements, the State has in recent history requested that the Arizona Supreme Court establish a firm briefing schedule in anticipation of the State moving for a warrant of execution. The proposed amendment to Rule 31.23 would obviate the need for this procedure and would enable the State to</w:t>
      </w:r>
      <w:r w:rsidR="00397ACC">
        <w:t xml:space="preserve"> initiate the process with the filing of a motion for warrant of execution rather than requesting that a briefing schedule be set.</w:t>
      </w:r>
    </w:p>
    <w:p w14:paraId="67BFE56A" w14:textId="77777777" w:rsidR="00411244" w:rsidRPr="004B4C02" w:rsidRDefault="00411244" w:rsidP="00411244">
      <w:pPr>
        <w:spacing w:after="0" w:line="480" w:lineRule="auto"/>
        <w:jc w:val="center"/>
        <w:rPr>
          <w:b/>
          <w:sz w:val="28"/>
          <w:szCs w:val="28"/>
        </w:rPr>
      </w:pPr>
      <w:r w:rsidRPr="004B4C02">
        <w:rPr>
          <w:b/>
          <w:sz w:val="28"/>
          <w:szCs w:val="28"/>
        </w:rPr>
        <w:t>CONCLUSION</w:t>
      </w:r>
    </w:p>
    <w:p w14:paraId="1BD2241B" w14:textId="43C2A647" w:rsidR="00411244" w:rsidRDefault="00411244" w:rsidP="00411244">
      <w:pPr>
        <w:spacing w:before="120" w:after="0" w:line="480" w:lineRule="auto"/>
        <w:ind w:firstLine="720"/>
        <w:jc w:val="both"/>
      </w:pPr>
      <w:r w:rsidRPr="0083270A">
        <w:t xml:space="preserve">For the foregoing reasons, Petitioner respectfully asks this Court to amend Rule </w:t>
      </w:r>
      <w:r>
        <w:t>31.23</w:t>
      </w:r>
      <w:r w:rsidRPr="0083270A">
        <w:t xml:space="preserve"> as set forth in the Appendices.</w:t>
      </w:r>
    </w:p>
    <w:p w14:paraId="4D5B265E" w14:textId="77777777" w:rsidR="00411244" w:rsidRPr="004B4C02" w:rsidRDefault="00411244" w:rsidP="00B823A0">
      <w:pPr>
        <w:spacing w:line="240" w:lineRule="auto"/>
        <w:ind w:left="4320" w:firstLine="718"/>
        <w:rPr>
          <w:sz w:val="28"/>
          <w:szCs w:val="28"/>
        </w:rPr>
      </w:pPr>
      <w:r w:rsidRPr="004B4C02">
        <w:rPr>
          <w:sz w:val="28"/>
          <w:szCs w:val="28"/>
        </w:rPr>
        <w:t>Respectfully submitted,</w:t>
      </w:r>
    </w:p>
    <w:p w14:paraId="3CDBC867" w14:textId="77777777" w:rsidR="00411244" w:rsidRPr="004B4C02" w:rsidRDefault="00411244" w:rsidP="00B823A0">
      <w:pPr>
        <w:spacing w:line="240" w:lineRule="auto"/>
        <w:ind w:left="4320" w:firstLine="718"/>
        <w:rPr>
          <w:sz w:val="28"/>
          <w:szCs w:val="28"/>
        </w:rPr>
      </w:pPr>
    </w:p>
    <w:p w14:paraId="56A3F29B" w14:textId="77777777" w:rsidR="00411244" w:rsidRPr="004B4C02" w:rsidRDefault="00411244" w:rsidP="00B823A0">
      <w:pPr>
        <w:spacing w:line="240" w:lineRule="auto"/>
        <w:ind w:left="4320" w:firstLine="718"/>
        <w:rPr>
          <w:sz w:val="28"/>
          <w:szCs w:val="28"/>
          <w:u w:val="single"/>
        </w:rPr>
      </w:pPr>
      <w:r w:rsidRPr="004B4C02">
        <w:rPr>
          <w:sz w:val="28"/>
          <w:szCs w:val="28"/>
          <w:u w:val="single"/>
        </w:rPr>
        <w:t>/s/</w:t>
      </w:r>
      <w:r>
        <w:rPr>
          <w:sz w:val="28"/>
          <w:szCs w:val="28"/>
          <w:u w:val="single"/>
        </w:rPr>
        <w:t xml:space="preserve"> Jason D. Lewis</w:t>
      </w:r>
      <w:r w:rsidRPr="004B4C02">
        <w:rPr>
          <w:sz w:val="28"/>
          <w:szCs w:val="28"/>
          <w:u w:val="single"/>
        </w:rPr>
        <w:tab/>
      </w:r>
    </w:p>
    <w:p w14:paraId="6A9F0051" w14:textId="77777777" w:rsidR="00411244" w:rsidRDefault="00411244" w:rsidP="00B823A0">
      <w:pPr>
        <w:spacing w:after="0" w:line="240" w:lineRule="auto"/>
        <w:ind w:left="4320" w:firstLine="718"/>
        <w:rPr>
          <w:sz w:val="28"/>
          <w:szCs w:val="28"/>
        </w:rPr>
      </w:pPr>
      <w:r>
        <w:rPr>
          <w:sz w:val="28"/>
          <w:szCs w:val="28"/>
        </w:rPr>
        <w:t>Deputy Solicitor General/</w:t>
      </w:r>
    </w:p>
    <w:p w14:paraId="70DC25B9" w14:textId="77777777" w:rsidR="00411244" w:rsidRDefault="00411244" w:rsidP="00B823A0">
      <w:pPr>
        <w:spacing w:after="0" w:line="240" w:lineRule="auto"/>
        <w:ind w:left="4320" w:firstLine="718"/>
        <w:rPr>
          <w:sz w:val="28"/>
          <w:szCs w:val="28"/>
        </w:rPr>
      </w:pPr>
      <w:r>
        <w:rPr>
          <w:sz w:val="28"/>
          <w:szCs w:val="28"/>
        </w:rPr>
        <w:t>Section Chief of Capital Litigation</w:t>
      </w:r>
    </w:p>
    <w:p w14:paraId="48A0258A" w14:textId="77777777" w:rsidR="00411244" w:rsidRPr="004B4C02" w:rsidRDefault="00411244" w:rsidP="00B823A0">
      <w:pPr>
        <w:spacing w:after="0" w:line="240" w:lineRule="auto"/>
        <w:ind w:left="4320" w:firstLine="718"/>
        <w:rPr>
          <w:sz w:val="28"/>
          <w:szCs w:val="28"/>
        </w:rPr>
      </w:pPr>
      <w:r>
        <w:rPr>
          <w:sz w:val="28"/>
          <w:szCs w:val="28"/>
        </w:rPr>
        <w:t>Jason D. Lewis</w:t>
      </w:r>
    </w:p>
    <w:p w14:paraId="42CCF85F" w14:textId="77777777" w:rsidR="00411244" w:rsidRDefault="00411244" w:rsidP="00B823A0">
      <w:pPr>
        <w:spacing w:after="0" w:line="240" w:lineRule="auto"/>
        <w:ind w:left="4320" w:firstLine="718"/>
        <w:rPr>
          <w:sz w:val="28"/>
          <w:szCs w:val="28"/>
        </w:rPr>
      </w:pPr>
      <w:r w:rsidRPr="004B4C02">
        <w:rPr>
          <w:sz w:val="28"/>
          <w:szCs w:val="28"/>
        </w:rPr>
        <w:t xml:space="preserve">AZ SBN </w:t>
      </w:r>
      <w:r>
        <w:rPr>
          <w:sz w:val="28"/>
          <w:szCs w:val="28"/>
        </w:rPr>
        <w:t>032461</w:t>
      </w:r>
    </w:p>
    <w:p w14:paraId="4C613B2A" w14:textId="77777777" w:rsidR="00411244" w:rsidRDefault="00411244" w:rsidP="00B823A0">
      <w:pPr>
        <w:spacing w:after="0" w:line="240" w:lineRule="auto"/>
        <w:ind w:left="4320" w:firstLine="718"/>
        <w:rPr>
          <w:sz w:val="28"/>
          <w:szCs w:val="28"/>
        </w:rPr>
      </w:pPr>
      <w:r>
        <w:rPr>
          <w:sz w:val="28"/>
          <w:szCs w:val="28"/>
        </w:rPr>
        <w:t>2005 N. Central Avenue</w:t>
      </w:r>
    </w:p>
    <w:p w14:paraId="49278E41" w14:textId="77777777" w:rsidR="00411244" w:rsidRDefault="00411244" w:rsidP="00B823A0">
      <w:pPr>
        <w:spacing w:after="0" w:line="240" w:lineRule="auto"/>
        <w:ind w:left="4320" w:firstLine="718"/>
        <w:rPr>
          <w:sz w:val="28"/>
          <w:szCs w:val="28"/>
        </w:rPr>
      </w:pPr>
      <w:r>
        <w:rPr>
          <w:sz w:val="28"/>
          <w:szCs w:val="28"/>
        </w:rPr>
        <w:t>Phoenix, Arizona 85004</w:t>
      </w:r>
    </w:p>
    <w:p w14:paraId="0D891ED8" w14:textId="77777777" w:rsidR="00411244" w:rsidRDefault="00D0506E" w:rsidP="00B823A0">
      <w:pPr>
        <w:spacing w:after="0" w:line="240" w:lineRule="auto"/>
        <w:ind w:left="4320" w:firstLine="718"/>
        <w:rPr>
          <w:sz w:val="28"/>
          <w:szCs w:val="28"/>
        </w:rPr>
      </w:pPr>
      <w:hyperlink r:id="rId8" w:history="1">
        <w:r w:rsidR="00411244" w:rsidRPr="00041FB0">
          <w:rPr>
            <w:rStyle w:val="Hyperlink"/>
            <w:sz w:val="28"/>
            <w:szCs w:val="28"/>
          </w:rPr>
          <w:t>Jason.Lewis@azag.gov</w:t>
        </w:r>
      </w:hyperlink>
    </w:p>
    <w:p w14:paraId="60710608" w14:textId="77777777" w:rsidR="00411244" w:rsidRPr="004B4C02" w:rsidRDefault="00411244" w:rsidP="00B823A0">
      <w:pPr>
        <w:spacing w:after="0" w:line="240" w:lineRule="auto"/>
        <w:ind w:left="4320" w:firstLine="718"/>
        <w:rPr>
          <w:sz w:val="28"/>
          <w:szCs w:val="28"/>
        </w:rPr>
      </w:pPr>
      <w:r>
        <w:rPr>
          <w:sz w:val="28"/>
          <w:szCs w:val="28"/>
        </w:rPr>
        <w:t>(602) 542-7989</w:t>
      </w:r>
    </w:p>
    <w:p w14:paraId="1D71CBC9" w14:textId="77777777" w:rsidR="00411244" w:rsidRPr="0056527E" w:rsidRDefault="00411244" w:rsidP="00B823A0">
      <w:pPr>
        <w:spacing w:before="120" w:after="0" w:line="480" w:lineRule="auto"/>
        <w:ind w:left="4320"/>
        <w:jc w:val="both"/>
      </w:pPr>
    </w:p>
    <w:p w14:paraId="0FFFCB88" w14:textId="77777777" w:rsidR="00D42A6E" w:rsidRDefault="00D42A6E" w:rsidP="00411244">
      <w:pPr>
        <w:jc w:val="center"/>
        <w:rPr>
          <w:b/>
          <w:sz w:val="28"/>
          <w:szCs w:val="28"/>
        </w:rPr>
      </w:pPr>
    </w:p>
    <w:p w14:paraId="3DAF4D76" w14:textId="77777777" w:rsidR="00D42A6E" w:rsidRDefault="00D42A6E">
      <w:pPr>
        <w:rPr>
          <w:b/>
          <w:sz w:val="28"/>
          <w:szCs w:val="28"/>
        </w:rPr>
      </w:pPr>
      <w:r>
        <w:rPr>
          <w:b/>
          <w:sz w:val="28"/>
          <w:szCs w:val="28"/>
        </w:rPr>
        <w:br w:type="page"/>
      </w:r>
    </w:p>
    <w:p w14:paraId="688B215F" w14:textId="4ECA8F03" w:rsidR="008A7E13" w:rsidRDefault="008A7E13">
      <w:pPr>
        <w:jc w:val="center"/>
        <w:rPr>
          <w:b/>
          <w:sz w:val="28"/>
          <w:szCs w:val="28"/>
        </w:rPr>
      </w:pPr>
      <w:r w:rsidRPr="00DA69B5">
        <w:rPr>
          <w:b/>
          <w:sz w:val="28"/>
          <w:szCs w:val="28"/>
        </w:rPr>
        <w:lastRenderedPageBreak/>
        <w:t>APPENDIX A</w:t>
      </w:r>
    </w:p>
    <w:p w14:paraId="3C8C1958" w14:textId="77777777" w:rsidR="008A7E13" w:rsidRPr="00D80AF8" w:rsidRDefault="008A7E13" w:rsidP="008A7E13">
      <w:pPr>
        <w:jc w:val="center"/>
        <w:rPr>
          <w:sz w:val="28"/>
          <w:szCs w:val="28"/>
        </w:rPr>
      </w:pPr>
      <w:r>
        <w:rPr>
          <w:sz w:val="28"/>
          <w:szCs w:val="28"/>
        </w:rPr>
        <w:t xml:space="preserve">(Please note: deletions are reflected by strikethrough and additions are reflected by underline and </w:t>
      </w:r>
      <w:r w:rsidR="00FA5ABF">
        <w:rPr>
          <w:sz w:val="28"/>
          <w:szCs w:val="28"/>
        </w:rPr>
        <w:t>bold</w:t>
      </w:r>
      <w:r>
        <w:rPr>
          <w:sz w:val="28"/>
          <w:szCs w:val="28"/>
        </w:rPr>
        <w:t>.)</w:t>
      </w:r>
    </w:p>
    <w:p w14:paraId="3CCAF136" w14:textId="77777777" w:rsidR="00A64AB3" w:rsidRPr="00A64AB3" w:rsidRDefault="00A64AB3" w:rsidP="00A64AB3">
      <w:pPr>
        <w:tabs>
          <w:tab w:val="left" w:pos="1410"/>
        </w:tabs>
        <w:rPr>
          <w:sz w:val="28"/>
          <w:szCs w:val="28"/>
        </w:rPr>
      </w:pPr>
      <w:r w:rsidRPr="00A64AB3">
        <w:rPr>
          <w:sz w:val="28"/>
          <w:szCs w:val="28"/>
        </w:rPr>
        <w:t>Rule 31.23. Warrant of Execution</w:t>
      </w:r>
    </w:p>
    <w:p w14:paraId="50947C35" w14:textId="77777777" w:rsidR="00A64AB3" w:rsidRPr="00A64AB3" w:rsidRDefault="00A64AB3" w:rsidP="00A64AB3">
      <w:pPr>
        <w:tabs>
          <w:tab w:val="left" w:pos="1410"/>
        </w:tabs>
        <w:rPr>
          <w:sz w:val="28"/>
          <w:szCs w:val="28"/>
        </w:rPr>
      </w:pPr>
      <w:r w:rsidRPr="00A64AB3">
        <w:rPr>
          <w:sz w:val="28"/>
          <w:szCs w:val="28"/>
        </w:rPr>
        <w:t>(a) Issuance of Warrant. After affirming a death sentence, the Supreme Court must issue a warrant of execution if the State files a notice stating that:</w:t>
      </w:r>
    </w:p>
    <w:p w14:paraId="6B6DE40E" w14:textId="77777777" w:rsidR="00A64AB3" w:rsidRPr="00A64AB3" w:rsidRDefault="00A64AB3" w:rsidP="00A64AB3">
      <w:pPr>
        <w:tabs>
          <w:tab w:val="left" w:pos="1410"/>
        </w:tabs>
        <w:rPr>
          <w:sz w:val="28"/>
          <w:szCs w:val="28"/>
        </w:rPr>
      </w:pPr>
      <w:r w:rsidRPr="00A64AB3">
        <w:rPr>
          <w:sz w:val="28"/>
          <w:szCs w:val="28"/>
        </w:rPr>
        <w:t>(1) the defendant has not filed a first Rule 32 petition for post-conviction relief and the time for filing a petition has expired;</w:t>
      </w:r>
    </w:p>
    <w:p w14:paraId="71D2CF04" w14:textId="77777777" w:rsidR="00A64AB3" w:rsidRPr="00A64AB3" w:rsidRDefault="00A64AB3" w:rsidP="00A64AB3">
      <w:pPr>
        <w:tabs>
          <w:tab w:val="left" w:pos="1410"/>
        </w:tabs>
        <w:rPr>
          <w:sz w:val="28"/>
          <w:szCs w:val="28"/>
        </w:rPr>
      </w:pPr>
      <w:r w:rsidRPr="00A64AB3">
        <w:rPr>
          <w:sz w:val="28"/>
          <w:szCs w:val="28"/>
        </w:rPr>
        <w:t>(2) the defendant has not filed a petition for review seeking review of a superior court denial of the defendant's first Rule 32 petition for post-conviction relief and the time for filing a petition for review has expired; or</w:t>
      </w:r>
    </w:p>
    <w:p w14:paraId="3F5CB5E1" w14:textId="77777777" w:rsidR="00A64AB3" w:rsidRPr="00A64AB3" w:rsidRDefault="00A64AB3" w:rsidP="00A64AB3">
      <w:pPr>
        <w:tabs>
          <w:tab w:val="left" w:pos="1410"/>
        </w:tabs>
        <w:rPr>
          <w:sz w:val="28"/>
          <w:szCs w:val="28"/>
        </w:rPr>
      </w:pPr>
      <w:r w:rsidRPr="00A64AB3">
        <w:rPr>
          <w:sz w:val="28"/>
          <w:szCs w:val="28"/>
        </w:rPr>
        <w:t>(3) the defendant has not initiated habeas corpus proceedings in federal district court within 15 days after the Supreme Court's denial of a petition for review seeking review of the denial of the defendant's first Rule 32 petition for post-conviction relief.</w:t>
      </w:r>
    </w:p>
    <w:p w14:paraId="62BA4217" w14:textId="77777777" w:rsidR="00A64AB3" w:rsidRPr="00A64AB3" w:rsidRDefault="00A64AB3" w:rsidP="00A64AB3">
      <w:pPr>
        <w:tabs>
          <w:tab w:val="left" w:pos="1410"/>
        </w:tabs>
        <w:rPr>
          <w:sz w:val="28"/>
          <w:szCs w:val="28"/>
        </w:rPr>
      </w:pPr>
      <w:r w:rsidRPr="00A64AB3">
        <w:rPr>
          <w:sz w:val="28"/>
          <w:szCs w:val="28"/>
        </w:rPr>
        <w:t>(b) Post-Habeas Warrant. On the State's motion, the Supreme Court must issue a warrant of execution when federal habeas corpus proceedings and habeas appellate review conclude.</w:t>
      </w:r>
    </w:p>
    <w:p w14:paraId="1E8665E4" w14:textId="41E8C70E" w:rsidR="00A64AB3" w:rsidRPr="00A64AB3" w:rsidRDefault="00A64AB3" w:rsidP="00A64AB3">
      <w:pPr>
        <w:tabs>
          <w:tab w:val="left" w:pos="1410"/>
        </w:tabs>
        <w:rPr>
          <w:b/>
          <w:bCs/>
          <w:sz w:val="28"/>
          <w:szCs w:val="28"/>
          <w:u w:val="single"/>
        </w:rPr>
      </w:pPr>
      <w:r w:rsidRPr="00A64AB3">
        <w:rPr>
          <w:b/>
          <w:bCs/>
          <w:sz w:val="28"/>
          <w:szCs w:val="28"/>
          <w:u w:val="single"/>
        </w:rPr>
        <w:t xml:space="preserve">(c) </w:t>
      </w:r>
      <w:bookmarkStart w:id="3" w:name="_Hlk186443358"/>
      <w:r w:rsidRPr="00A64AB3">
        <w:rPr>
          <w:b/>
          <w:bCs/>
          <w:sz w:val="28"/>
          <w:szCs w:val="28"/>
          <w:u w:val="single"/>
        </w:rPr>
        <w:t xml:space="preserve">Briefing Schedule. When the State seeks a warrant of execution pursuant to this rule, the </w:t>
      </w:r>
      <w:r w:rsidR="005552B7">
        <w:rPr>
          <w:b/>
          <w:bCs/>
          <w:sz w:val="28"/>
          <w:szCs w:val="28"/>
          <w:u w:val="single"/>
        </w:rPr>
        <w:t>defendant may file a response</w:t>
      </w:r>
      <w:r w:rsidRPr="00A64AB3">
        <w:rPr>
          <w:b/>
          <w:bCs/>
          <w:sz w:val="28"/>
          <w:szCs w:val="28"/>
          <w:u w:val="single"/>
        </w:rPr>
        <w:t xml:space="preserve"> within 10 days after service of the State’s motion, and </w:t>
      </w:r>
      <w:r w:rsidR="005552B7">
        <w:rPr>
          <w:b/>
          <w:bCs/>
          <w:sz w:val="28"/>
          <w:szCs w:val="28"/>
          <w:u w:val="single"/>
        </w:rPr>
        <w:t xml:space="preserve">the State may file </w:t>
      </w:r>
      <w:r w:rsidRPr="00A64AB3">
        <w:rPr>
          <w:b/>
          <w:bCs/>
          <w:sz w:val="28"/>
          <w:szCs w:val="28"/>
          <w:u w:val="single"/>
        </w:rPr>
        <w:t xml:space="preserve">a reply within 5 days after service of a response. After briefing on the State’s motion is complete, the Supreme Court shall consider the State’s motion at </w:t>
      </w:r>
      <w:r w:rsidR="00245930">
        <w:rPr>
          <w:b/>
          <w:bCs/>
          <w:sz w:val="28"/>
          <w:szCs w:val="28"/>
          <w:u w:val="single"/>
        </w:rPr>
        <w:t>the</w:t>
      </w:r>
      <w:r w:rsidRPr="00A64AB3">
        <w:rPr>
          <w:b/>
          <w:bCs/>
          <w:sz w:val="28"/>
          <w:szCs w:val="28"/>
          <w:u w:val="single"/>
        </w:rPr>
        <w:t xml:space="preserve"> next </w:t>
      </w:r>
      <w:r w:rsidR="00245930">
        <w:rPr>
          <w:b/>
          <w:bCs/>
          <w:sz w:val="28"/>
          <w:szCs w:val="28"/>
          <w:u w:val="single"/>
        </w:rPr>
        <w:t>practicable conference</w:t>
      </w:r>
      <w:bookmarkEnd w:id="3"/>
      <w:r w:rsidRPr="00A64AB3">
        <w:rPr>
          <w:b/>
          <w:bCs/>
          <w:sz w:val="28"/>
          <w:szCs w:val="28"/>
          <w:u w:val="single"/>
        </w:rPr>
        <w:t>.</w:t>
      </w:r>
    </w:p>
    <w:p w14:paraId="24FFA722" w14:textId="77777777" w:rsidR="00A64AB3" w:rsidRPr="00A64AB3" w:rsidRDefault="00A64AB3" w:rsidP="00A64AB3">
      <w:pPr>
        <w:tabs>
          <w:tab w:val="left" w:pos="1410"/>
        </w:tabs>
        <w:rPr>
          <w:sz w:val="28"/>
          <w:szCs w:val="28"/>
        </w:rPr>
      </w:pPr>
      <w:r w:rsidRPr="00A64AB3">
        <w:rPr>
          <w:strike/>
          <w:sz w:val="28"/>
          <w:szCs w:val="28"/>
        </w:rPr>
        <w:t>(c)</w:t>
      </w:r>
      <w:r w:rsidRPr="00A64AB3">
        <w:rPr>
          <w:sz w:val="28"/>
          <w:szCs w:val="28"/>
        </w:rPr>
        <w:t>(d) Date and Time of Execution. The warrant of execution must specify an execution date that is 35 days after the warrant's issuance. If the Supreme Court finds that it is impracticable to carry out an execution on that date, it may extend the execution date but may not extend it more than 60 days after the warrant's issuance. Additionally, the warrant must:</w:t>
      </w:r>
    </w:p>
    <w:p w14:paraId="7EBB8BE1" w14:textId="77777777" w:rsidR="00A64AB3" w:rsidRPr="00A64AB3" w:rsidRDefault="00A64AB3" w:rsidP="00A64AB3">
      <w:pPr>
        <w:tabs>
          <w:tab w:val="left" w:pos="1410"/>
        </w:tabs>
        <w:rPr>
          <w:sz w:val="28"/>
          <w:szCs w:val="28"/>
        </w:rPr>
      </w:pPr>
      <w:r w:rsidRPr="00A64AB3">
        <w:rPr>
          <w:sz w:val="28"/>
          <w:szCs w:val="28"/>
        </w:rPr>
        <w:t>(1) state the date for starting the execution time period;</w:t>
      </w:r>
    </w:p>
    <w:p w14:paraId="7BF23058" w14:textId="77777777" w:rsidR="00A64AB3" w:rsidRPr="00A64AB3" w:rsidRDefault="00A64AB3" w:rsidP="00A64AB3">
      <w:pPr>
        <w:tabs>
          <w:tab w:val="left" w:pos="1410"/>
        </w:tabs>
        <w:rPr>
          <w:sz w:val="28"/>
          <w:szCs w:val="28"/>
        </w:rPr>
      </w:pPr>
      <w:r w:rsidRPr="00A64AB3">
        <w:rPr>
          <w:sz w:val="28"/>
          <w:szCs w:val="28"/>
        </w:rPr>
        <w:t>(2) state that the warrant is valid for 24 hours beginning at an hour to be designated by the director of the Arizona Department of Corrections;</w:t>
      </w:r>
    </w:p>
    <w:p w14:paraId="153598AE" w14:textId="77777777" w:rsidR="00A64AB3" w:rsidRPr="00A64AB3" w:rsidRDefault="00A64AB3" w:rsidP="00A64AB3">
      <w:pPr>
        <w:tabs>
          <w:tab w:val="left" w:pos="1410"/>
        </w:tabs>
        <w:rPr>
          <w:sz w:val="28"/>
          <w:szCs w:val="28"/>
        </w:rPr>
      </w:pPr>
      <w:r w:rsidRPr="00A64AB3">
        <w:rPr>
          <w:sz w:val="28"/>
          <w:szCs w:val="28"/>
        </w:rPr>
        <w:lastRenderedPageBreak/>
        <w:t>(3) order the director to provide written notice of the designated hour of execution to the Supreme Court and each party at least 20 calendar days before the execution date; and</w:t>
      </w:r>
    </w:p>
    <w:p w14:paraId="442F16AA" w14:textId="77777777" w:rsidR="00A64AB3" w:rsidRPr="00A64AB3" w:rsidRDefault="00A64AB3" w:rsidP="00A64AB3">
      <w:pPr>
        <w:tabs>
          <w:tab w:val="left" w:pos="1410"/>
        </w:tabs>
        <w:rPr>
          <w:sz w:val="28"/>
          <w:szCs w:val="28"/>
        </w:rPr>
      </w:pPr>
      <w:r w:rsidRPr="00A64AB3">
        <w:rPr>
          <w:sz w:val="28"/>
          <w:szCs w:val="28"/>
        </w:rPr>
        <w:t>(4) authorize the director to carry out the execution at any time during the warrant's duration.</w:t>
      </w:r>
    </w:p>
    <w:p w14:paraId="5D854E39" w14:textId="77777777" w:rsidR="00A64AB3" w:rsidRPr="00A64AB3" w:rsidRDefault="00A64AB3" w:rsidP="00A64AB3">
      <w:pPr>
        <w:tabs>
          <w:tab w:val="left" w:pos="1410"/>
        </w:tabs>
        <w:rPr>
          <w:sz w:val="28"/>
          <w:szCs w:val="28"/>
        </w:rPr>
      </w:pPr>
      <w:r w:rsidRPr="00A64AB3">
        <w:rPr>
          <w:strike/>
          <w:sz w:val="28"/>
          <w:szCs w:val="28"/>
        </w:rPr>
        <w:t>(d)</w:t>
      </w:r>
      <w:r w:rsidRPr="00A64AB3">
        <w:rPr>
          <w:sz w:val="28"/>
          <w:szCs w:val="28"/>
        </w:rPr>
        <w:t>(e) Return on Warrant. The director of the Arizona Department of Corrections must make a return on the warrant to the Supreme Court showing the manner and time of execution.</w:t>
      </w:r>
    </w:p>
    <w:p w14:paraId="6FC8AFD9" w14:textId="1689BAAB" w:rsidR="00FA5ABF" w:rsidRDefault="00FA5ABF" w:rsidP="007C032A">
      <w:pPr>
        <w:tabs>
          <w:tab w:val="left" w:pos="1410"/>
        </w:tabs>
        <w:rPr>
          <w:sz w:val="28"/>
          <w:szCs w:val="28"/>
        </w:rPr>
      </w:pPr>
    </w:p>
    <w:p w14:paraId="010F1DA8" w14:textId="77777777" w:rsidR="00DA69B5" w:rsidRPr="007C032A" w:rsidRDefault="00DA69B5" w:rsidP="007C032A">
      <w:pPr>
        <w:tabs>
          <w:tab w:val="left" w:pos="1410"/>
        </w:tabs>
        <w:rPr>
          <w:sz w:val="28"/>
          <w:szCs w:val="28"/>
        </w:rPr>
      </w:pPr>
    </w:p>
    <w:p w14:paraId="77E94ADC" w14:textId="77777777" w:rsidR="005552B7" w:rsidRDefault="005552B7" w:rsidP="008A7E13">
      <w:pPr>
        <w:jc w:val="center"/>
        <w:rPr>
          <w:b/>
          <w:sz w:val="28"/>
          <w:szCs w:val="28"/>
        </w:rPr>
      </w:pPr>
    </w:p>
    <w:p w14:paraId="663F30E0" w14:textId="77777777" w:rsidR="005552B7" w:rsidRDefault="005552B7" w:rsidP="008A7E13">
      <w:pPr>
        <w:jc w:val="center"/>
        <w:rPr>
          <w:b/>
          <w:sz w:val="28"/>
          <w:szCs w:val="28"/>
        </w:rPr>
      </w:pPr>
    </w:p>
    <w:p w14:paraId="20D75101" w14:textId="77777777" w:rsidR="005552B7" w:rsidRDefault="005552B7" w:rsidP="008A7E13">
      <w:pPr>
        <w:jc w:val="center"/>
        <w:rPr>
          <w:b/>
          <w:sz w:val="28"/>
          <w:szCs w:val="28"/>
        </w:rPr>
      </w:pPr>
    </w:p>
    <w:p w14:paraId="064E1341" w14:textId="77777777" w:rsidR="005552B7" w:rsidRDefault="005552B7" w:rsidP="008A7E13">
      <w:pPr>
        <w:jc w:val="center"/>
        <w:rPr>
          <w:b/>
          <w:sz w:val="28"/>
          <w:szCs w:val="28"/>
        </w:rPr>
      </w:pPr>
    </w:p>
    <w:p w14:paraId="0CA46CC5" w14:textId="77777777" w:rsidR="005552B7" w:rsidRDefault="005552B7" w:rsidP="008A7E13">
      <w:pPr>
        <w:jc w:val="center"/>
        <w:rPr>
          <w:b/>
          <w:sz w:val="28"/>
          <w:szCs w:val="28"/>
        </w:rPr>
      </w:pPr>
    </w:p>
    <w:p w14:paraId="247BE3FA" w14:textId="77777777" w:rsidR="005552B7" w:rsidRDefault="005552B7" w:rsidP="008A7E13">
      <w:pPr>
        <w:jc w:val="center"/>
        <w:rPr>
          <w:b/>
          <w:sz w:val="28"/>
          <w:szCs w:val="28"/>
        </w:rPr>
      </w:pPr>
    </w:p>
    <w:p w14:paraId="6C043D41" w14:textId="77777777" w:rsidR="005552B7" w:rsidRDefault="005552B7" w:rsidP="008A7E13">
      <w:pPr>
        <w:jc w:val="center"/>
        <w:rPr>
          <w:b/>
          <w:sz w:val="28"/>
          <w:szCs w:val="28"/>
        </w:rPr>
      </w:pPr>
    </w:p>
    <w:p w14:paraId="4589354B" w14:textId="77777777" w:rsidR="005552B7" w:rsidRDefault="005552B7" w:rsidP="008A7E13">
      <w:pPr>
        <w:jc w:val="center"/>
        <w:rPr>
          <w:b/>
          <w:sz w:val="28"/>
          <w:szCs w:val="28"/>
        </w:rPr>
      </w:pPr>
    </w:p>
    <w:p w14:paraId="771E89C3" w14:textId="77777777" w:rsidR="005552B7" w:rsidRDefault="005552B7" w:rsidP="008A7E13">
      <w:pPr>
        <w:jc w:val="center"/>
        <w:rPr>
          <w:b/>
          <w:sz w:val="28"/>
          <w:szCs w:val="28"/>
        </w:rPr>
      </w:pPr>
    </w:p>
    <w:p w14:paraId="0794F6C3" w14:textId="77777777" w:rsidR="005552B7" w:rsidRDefault="005552B7" w:rsidP="008A7E13">
      <w:pPr>
        <w:jc w:val="center"/>
        <w:rPr>
          <w:b/>
          <w:sz w:val="28"/>
          <w:szCs w:val="28"/>
        </w:rPr>
      </w:pPr>
    </w:p>
    <w:p w14:paraId="2C0E1EA8" w14:textId="77777777" w:rsidR="005552B7" w:rsidRDefault="005552B7" w:rsidP="008A7E13">
      <w:pPr>
        <w:jc w:val="center"/>
        <w:rPr>
          <w:b/>
          <w:sz w:val="28"/>
          <w:szCs w:val="28"/>
        </w:rPr>
      </w:pPr>
    </w:p>
    <w:p w14:paraId="00520D61" w14:textId="77777777" w:rsidR="005552B7" w:rsidRDefault="005552B7" w:rsidP="008A7E13">
      <w:pPr>
        <w:jc w:val="center"/>
        <w:rPr>
          <w:b/>
          <w:sz w:val="28"/>
          <w:szCs w:val="28"/>
        </w:rPr>
      </w:pPr>
    </w:p>
    <w:p w14:paraId="06FCF385" w14:textId="77777777" w:rsidR="005552B7" w:rsidRDefault="005552B7" w:rsidP="008A7E13">
      <w:pPr>
        <w:jc w:val="center"/>
        <w:rPr>
          <w:b/>
          <w:sz w:val="28"/>
          <w:szCs w:val="28"/>
        </w:rPr>
      </w:pPr>
    </w:p>
    <w:p w14:paraId="552D1998" w14:textId="77777777" w:rsidR="005552B7" w:rsidRDefault="005552B7" w:rsidP="008A7E13">
      <w:pPr>
        <w:jc w:val="center"/>
        <w:rPr>
          <w:b/>
          <w:sz w:val="28"/>
          <w:szCs w:val="28"/>
        </w:rPr>
      </w:pPr>
    </w:p>
    <w:p w14:paraId="124E7FF0" w14:textId="77777777" w:rsidR="005552B7" w:rsidRDefault="005552B7" w:rsidP="008A7E13">
      <w:pPr>
        <w:jc w:val="center"/>
        <w:rPr>
          <w:b/>
          <w:sz w:val="28"/>
          <w:szCs w:val="28"/>
        </w:rPr>
      </w:pPr>
    </w:p>
    <w:p w14:paraId="492FC789" w14:textId="77777777" w:rsidR="005552B7" w:rsidRDefault="005552B7" w:rsidP="008A7E13">
      <w:pPr>
        <w:jc w:val="center"/>
        <w:rPr>
          <w:b/>
          <w:sz w:val="28"/>
          <w:szCs w:val="28"/>
        </w:rPr>
      </w:pPr>
    </w:p>
    <w:p w14:paraId="3BF17964" w14:textId="688ECBDD" w:rsidR="008A7E13" w:rsidRDefault="008A7E13" w:rsidP="008A7E13">
      <w:pPr>
        <w:jc w:val="center"/>
        <w:rPr>
          <w:b/>
          <w:sz w:val="28"/>
          <w:szCs w:val="28"/>
        </w:rPr>
      </w:pPr>
      <w:r w:rsidRPr="008F0798">
        <w:rPr>
          <w:b/>
          <w:sz w:val="28"/>
          <w:szCs w:val="28"/>
        </w:rPr>
        <w:lastRenderedPageBreak/>
        <w:t xml:space="preserve">APPENDIX </w:t>
      </w:r>
      <w:r w:rsidRPr="004C1204">
        <w:rPr>
          <w:b/>
          <w:sz w:val="28"/>
          <w:szCs w:val="28"/>
        </w:rPr>
        <w:t>B</w:t>
      </w:r>
    </w:p>
    <w:p w14:paraId="44A4C8C1" w14:textId="77777777" w:rsidR="00FA7344" w:rsidRPr="00A64AB3" w:rsidRDefault="00FA7344" w:rsidP="00FA7344">
      <w:pPr>
        <w:tabs>
          <w:tab w:val="left" w:pos="1410"/>
        </w:tabs>
        <w:rPr>
          <w:sz w:val="28"/>
          <w:szCs w:val="28"/>
        </w:rPr>
      </w:pPr>
      <w:r w:rsidRPr="00A64AB3">
        <w:rPr>
          <w:sz w:val="28"/>
          <w:szCs w:val="28"/>
        </w:rPr>
        <w:t>Rule 31.23. Warrant of Execution</w:t>
      </w:r>
    </w:p>
    <w:p w14:paraId="00B65A7A" w14:textId="77777777" w:rsidR="00FA7344" w:rsidRPr="00A64AB3" w:rsidRDefault="00FA7344" w:rsidP="00FA7344">
      <w:pPr>
        <w:tabs>
          <w:tab w:val="left" w:pos="1410"/>
        </w:tabs>
        <w:rPr>
          <w:sz w:val="28"/>
          <w:szCs w:val="28"/>
        </w:rPr>
      </w:pPr>
      <w:r w:rsidRPr="00A64AB3">
        <w:rPr>
          <w:sz w:val="28"/>
          <w:szCs w:val="28"/>
        </w:rPr>
        <w:t>(a) Issuance of Warrant. After affirming a death sentence, the Supreme Court must issue a warrant of execution if the State files a notice stating that:</w:t>
      </w:r>
    </w:p>
    <w:p w14:paraId="6EB99CEF" w14:textId="77777777" w:rsidR="00FA7344" w:rsidRPr="00A64AB3" w:rsidRDefault="00FA7344" w:rsidP="00FA7344">
      <w:pPr>
        <w:tabs>
          <w:tab w:val="left" w:pos="1410"/>
        </w:tabs>
        <w:rPr>
          <w:sz w:val="28"/>
          <w:szCs w:val="28"/>
        </w:rPr>
      </w:pPr>
      <w:r w:rsidRPr="00A64AB3">
        <w:rPr>
          <w:sz w:val="28"/>
          <w:szCs w:val="28"/>
        </w:rPr>
        <w:t>(1) the defendant has not filed a first Rule 32 petition for post-conviction relief and the time for filing a petition has expired;</w:t>
      </w:r>
    </w:p>
    <w:p w14:paraId="61C679E1" w14:textId="77777777" w:rsidR="00FA7344" w:rsidRPr="00A64AB3" w:rsidRDefault="00FA7344" w:rsidP="00FA7344">
      <w:pPr>
        <w:tabs>
          <w:tab w:val="left" w:pos="1410"/>
        </w:tabs>
        <w:rPr>
          <w:sz w:val="28"/>
          <w:szCs w:val="28"/>
        </w:rPr>
      </w:pPr>
      <w:r w:rsidRPr="00A64AB3">
        <w:rPr>
          <w:sz w:val="28"/>
          <w:szCs w:val="28"/>
        </w:rPr>
        <w:t>(2) the defendant has not filed a petition for review seeking review of a superior court denial of the defendant's first Rule 32 petition for post-conviction relief and the time for filing a petition for review has expired; or</w:t>
      </w:r>
    </w:p>
    <w:p w14:paraId="163E9843" w14:textId="77777777" w:rsidR="00FA7344" w:rsidRPr="00A64AB3" w:rsidRDefault="00FA7344" w:rsidP="00FA7344">
      <w:pPr>
        <w:tabs>
          <w:tab w:val="left" w:pos="1410"/>
        </w:tabs>
        <w:rPr>
          <w:sz w:val="28"/>
          <w:szCs w:val="28"/>
        </w:rPr>
      </w:pPr>
      <w:r w:rsidRPr="00A64AB3">
        <w:rPr>
          <w:sz w:val="28"/>
          <w:szCs w:val="28"/>
        </w:rPr>
        <w:t>(3) the defendant has not initiated habeas corpus proceedings in federal district court within 15 days after the Supreme Court's denial of a petition for review seeking review of the denial of the defendant's first Rule 32 petition for post-conviction relief.</w:t>
      </w:r>
    </w:p>
    <w:p w14:paraId="7A640EEA" w14:textId="77777777" w:rsidR="00FA7344" w:rsidRPr="00A64AB3" w:rsidRDefault="00FA7344" w:rsidP="00FA7344">
      <w:pPr>
        <w:tabs>
          <w:tab w:val="left" w:pos="1410"/>
        </w:tabs>
        <w:rPr>
          <w:sz w:val="28"/>
          <w:szCs w:val="28"/>
        </w:rPr>
      </w:pPr>
      <w:r w:rsidRPr="00A64AB3">
        <w:rPr>
          <w:sz w:val="28"/>
          <w:szCs w:val="28"/>
        </w:rPr>
        <w:t>(b) Post-Habeas Warrant. On the State's motion, the Supreme Court must issue a warrant of execution when federal habeas corpus proceedings and habeas appellate review conclude.</w:t>
      </w:r>
    </w:p>
    <w:p w14:paraId="6B9D1945" w14:textId="6621A69F" w:rsidR="00FA7344" w:rsidRPr="00A64AB3" w:rsidRDefault="00FA7344" w:rsidP="00FA7344">
      <w:pPr>
        <w:tabs>
          <w:tab w:val="left" w:pos="1410"/>
        </w:tabs>
        <w:rPr>
          <w:sz w:val="28"/>
          <w:szCs w:val="28"/>
        </w:rPr>
      </w:pPr>
      <w:r w:rsidRPr="00A64AB3">
        <w:rPr>
          <w:sz w:val="28"/>
          <w:szCs w:val="28"/>
        </w:rPr>
        <w:t xml:space="preserve">(c) </w:t>
      </w:r>
      <w:r w:rsidR="005552B7" w:rsidRPr="005552B7">
        <w:rPr>
          <w:sz w:val="28"/>
          <w:szCs w:val="28"/>
        </w:rPr>
        <w:t>Briefing Schedule. When the State seeks a warrant of execution pursuant to this rule, the defendant may file a response within 10 days after service of the State’s motion, and the State may file a reply within 5 days after service of a response. After briefing on the State’s motion is complete, the Supreme Court shall consider the State’s motion at the next practicable conference</w:t>
      </w:r>
      <w:r w:rsidRPr="00A64AB3">
        <w:rPr>
          <w:sz w:val="28"/>
          <w:szCs w:val="28"/>
        </w:rPr>
        <w:t>.</w:t>
      </w:r>
    </w:p>
    <w:p w14:paraId="04DF6C6C" w14:textId="7CAE8C56" w:rsidR="00FA7344" w:rsidRPr="00A64AB3" w:rsidRDefault="00FA7344" w:rsidP="00FA7344">
      <w:pPr>
        <w:tabs>
          <w:tab w:val="left" w:pos="1410"/>
        </w:tabs>
        <w:rPr>
          <w:sz w:val="28"/>
          <w:szCs w:val="28"/>
        </w:rPr>
      </w:pPr>
      <w:r w:rsidRPr="00A64AB3">
        <w:rPr>
          <w:sz w:val="28"/>
          <w:szCs w:val="28"/>
        </w:rPr>
        <w:t>(d) Date and Time of Execution. The warrant of execution must specify an execution date that is 35 days after the warrant's issuance. If the Supreme Court finds that it is impracticable to carry out an execution on that date, it may extend the execution date but may not extend it more than 60 days after the warrant's issuance. Additionally, the warrant must:</w:t>
      </w:r>
    </w:p>
    <w:p w14:paraId="0A4F248F" w14:textId="77777777" w:rsidR="00FA7344" w:rsidRPr="00A64AB3" w:rsidRDefault="00FA7344" w:rsidP="00FA7344">
      <w:pPr>
        <w:tabs>
          <w:tab w:val="left" w:pos="1410"/>
        </w:tabs>
        <w:rPr>
          <w:sz w:val="28"/>
          <w:szCs w:val="28"/>
        </w:rPr>
      </w:pPr>
      <w:r w:rsidRPr="00A64AB3">
        <w:rPr>
          <w:sz w:val="28"/>
          <w:szCs w:val="28"/>
        </w:rPr>
        <w:t>(1) state the date for starting the execution time period;</w:t>
      </w:r>
    </w:p>
    <w:p w14:paraId="193A33B4" w14:textId="77777777" w:rsidR="00FA7344" w:rsidRPr="00A64AB3" w:rsidRDefault="00FA7344" w:rsidP="00FA7344">
      <w:pPr>
        <w:tabs>
          <w:tab w:val="left" w:pos="1410"/>
        </w:tabs>
        <w:rPr>
          <w:sz w:val="28"/>
          <w:szCs w:val="28"/>
        </w:rPr>
      </w:pPr>
      <w:r w:rsidRPr="00A64AB3">
        <w:rPr>
          <w:sz w:val="28"/>
          <w:szCs w:val="28"/>
        </w:rPr>
        <w:t>(2) state that the warrant is valid for 24 hours beginning at an hour to be designated by the director of the Arizona Department of Corrections;</w:t>
      </w:r>
    </w:p>
    <w:p w14:paraId="68DE4B3E" w14:textId="77777777" w:rsidR="00FA7344" w:rsidRPr="00A64AB3" w:rsidRDefault="00FA7344" w:rsidP="00FA7344">
      <w:pPr>
        <w:tabs>
          <w:tab w:val="left" w:pos="1410"/>
        </w:tabs>
        <w:rPr>
          <w:sz w:val="28"/>
          <w:szCs w:val="28"/>
        </w:rPr>
      </w:pPr>
      <w:r w:rsidRPr="00A64AB3">
        <w:rPr>
          <w:sz w:val="28"/>
          <w:szCs w:val="28"/>
        </w:rPr>
        <w:lastRenderedPageBreak/>
        <w:t>(3) order the director to provide written notice of the designated hour of execution to the Supreme Court and each party at least 20 calendar days before the execution date; and</w:t>
      </w:r>
    </w:p>
    <w:p w14:paraId="32F974F9" w14:textId="77777777" w:rsidR="00FA7344" w:rsidRPr="00A64AB3" w:rsidRDefault="00FA7344" w:rsidP="00FA7344">
      <w:pPr>
        <w:tabs>
          <w:tab w:val="left" w:pos="1410"/>
        </w:tabs>
        <w:rPr>
          <w:sz w:val="28"/>
          <w:szCs w:val="28"/>
        </w:rPr>
      </w:pPr>
      <w:r w:rsidRPr="00A64AB3">
        <w:rPr>
          <w:sz w:val="28"/>
          <w:szCs w:val="28"/>
        </w:rPr>
        <w:t>(4) authorize the director to carry out the execution at any time during the warrant's duration.</w:t>
      </w:r>
    </w:p>
    <w:p w14:paraId="27093A11" w14:textId="5582779D" w:rsidR="00FA7344" w:rsidRPr="00A64AB3" w:rsidRDefault="00FA7344" w:rsidP="00FA7344">
      <w:pPr>
        <w:tabs>
          <w:tab w:val="left" w:pos="1410"/>
        </w:tabs>
        <w:rPr>
          <w:sz w:val="28"/>
          <w:szCs w:val="28"/>
        </w:rPr>
      </w:pPr>
      <w:r w:rsidRPr="00A64AB3">
        <w:rPr>
          <w:sz w:val="28"/>
          <w:szCs w:val="28"/>
        </w:rPr>
        <w:t>(e) Return on Warrant. The director of the Arizona Department of Corrections must make a return on the warrant to the Supreme Court showing the manner and time of execution.</w:t>
      </w:r>
    </w:p>
    <w:p w14:paraId="7420970B" w14:textId="77777777" w:rsidR="008A7E13" w:rsidRPr="004B4C02" w:rsidRDefault="008A7E13" w:rsidP="00DA69B5">
      <w:pPr>
        <w:rPr>
          <w:sz w:val="28"/>
          <w:szCs w:val="28"/>
        </w:rPr>
      </w:pPr>
    </w:p>
    <w:sectPr w:rsidR="008A7E13" w:rsidRPr="004B4C0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1CB9C" w14:textId="77777777" w:rsidR="00D0506E" w:rsidRDefault="00D0506E" w:rsidP="005C157A">
      <w:pPr>
        <w:spacing w:after="0" w:line="240" w:lineRule="auto"/>
      </w:pPr>
      <w:r>
        <w:separator/>
      </w:r>
    </w:p>
    <w:p w14:paraId="1A3D020E" w14:textId="77777777" w:rsidR="00D0506E" w:rsidRDefault="00D0506E"/>
  </w:endnote>
  <w:endnote w:type="continuationSeparator" w:id="0">
    <w:p w14:paraId="47025344" w14:textId="77777777" w:rsidR="00D0506E" w:rsidRDefault="00D0506E" w:rsidP="005C157A">
      <w:pPr>
        <w:spacing w:after="0" w:line="240" w:lineRule="auto"/>
      </w:pPr>
      <w:r>
        <w:continuationSeparator/>
      </w:r>
    </w:p>
    <w:p w14:paraId="3F412A46" w14:textId="77777777" w:rsidR="00D0506E" w:rsidRDefault="00D05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322483"/>
      <w:docPartObj>
        <w:docPartGallery w:val="Page Numbers (Bottom of Page)"/>
        <w:docPartUnique/>
      </w:docPartObj>
    </w:sdtPr>
    <w:sdtEndPr>
      <w:rPr>
        <w:noProof/>
      </w:rPr>
    </w:sdtEndPr>
    <w:sdtContent>
      <w:p w14:paraId="45FEBD4F" w14:textId="77777777" w:rsidR="005C157A" w:rsidRDefault="005C1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1478E" w14:textId="77777777" w:rsidR="005C157A" w:rsidRDefault="005C157A">
    <w:pPr>
      <w:pStyle w:val="Footer"/>
    </w:pPr>
  </w:p>
  <w:p w14:paraId="2412F3D8" w14:textId="77777777" w:rsidR="00B664CC" w:rsidRDefault="00B664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D29CD" w14:textId="77777777" w:rsidR="00D0506E" w:rsidRDefault="00D0506E" w:rsidP="005C157A">
      <w:pPr>
        <w:spacing w:after="0" w:line="240" w:lineRule="auto"/>
      </w:pPr>
      <w:r>
        <w:separator/>
      </w:r>
    </w:p>
  </w:footnote>
  <w:footnote w:type="continuationSeparator" w:id="0">
    <w:p w14:paraId="6B0BB3BF" w14:textId="77777777" w:rsidR="00D0506E" w:rsidRDefault="00D0506E" w:rsidP="005C157A">
      <w:pPr>
        <w:spacing w:after="0" w:line="240" w:lineRule="auto"/>
      </w:pPr>
      <w:r>
        <w:continuationSeparator/>
      </w:r>
    </w:p>
    <w:p w14:paraId="3AFB9C1A" w14:textId="77777777" w:rsidR="00D0506E" w:rsidRDefault="00D0506E"/>
  </w:footnote>
  <w:footnote w:id="1">
    <w:p w14:paraId="5EB9724C" w14:textId="1DD8CD0D" w:rsidR="00B823A0" w:rsidRPr="007D6F73" w:rsidRDefault="00B823A0">
      <w:pPr>
        <w:pStyle w:val="FootnoteText"/>
      </w:pPr>
      <w:r>
        <w:rPr>
          <w:rStyle w:val="FootnoteReference"/>
        </w:rPr>
        <w:footnoteRef/>
      </w:r>
      <w:r>
        <w:t xml:space="preserve"> </w:t>
      </w:r>
      <w:r w:rsidR="007D6F73">
        <w:tab/>
        <w:t>A similar petition has not been filed</w:t>
      </w:r>
      <w:r>
        <w:t xml:space="preserve"> within the last five years. </w:t>
      </w:r>
      <w:r>
        <w:rPr>
          <w:i/>
        </w:rPr>
        <w:t xml:space="preserve">See </w:t>
      </w:r>
      <w:r w:rsidR="007D6F73">
        <w:t>Ariz. R. Sup. Ct. 28(a)(4)(A)(iv).</w:t>
      </w:r>
    </w:p>
  </w:footnote>
  <w:footnote w:id="2">
    <w:p w14:paraId="194C7264" w14:textId="77777777" w:rsidR="00127921" w:rsidRDefault="00127921" w:rsidP="00127921">
      <w:pPr>
        <w:pStyle w:val="FootnoteText"/>
        <w:jc w:val="both"/>
      </w:pPr>
      <w:r>
        <w:rPr>
          <w:rStyle w:val="FootnoteReference"/>
        </w:rPr>
        <w:footnoteRef/>
      </w:r>
      <w:r>
        <w:t xml:space="preserve"> </w:t>
      </w:r>
      <w:r>
        <w:tab/>
        <w:t xml:space="preserve">Inmates sentenced to death for an offense committed before November 13, 1992, may elect either lethal injection or lethal gas. </w:t>
      </w:r>
      <w:r>
        <w:rPr>
          <w:i/>
        </w:rPr>
        <w:t xml:space="preserve">See </w:t>
      </w:r>
      <w:r>
        <w:t>A.R.S. § 13–757(B). There are 30 inmates in Arizona who may make this election.</w:t>
      </w:r>
    </w:p>
    <w:p w14:paraId="24CD2831" w14:textId="77777777" w:rsidR="00127921" w:rsidRPr="00B823A0" w:rsidRDefault="00127921" w:rsidP="00127921">
      <w:pPr>
        <w:pStyle w:val="FootnoteText"/>
        <w:rPr>
          <w:rStyle w:val="FootnoteReference"/>
          <w:vertAlign w:val="baseline"/>
        </w:rPr>
      </w:pPr>
    </w:p>
  </w:footnote>
  <w:footnote w:id="3">
    <w:p w14:paraId="3711F99B" w14:textId="20D52DEF" w:rsidR="0056527E" w:rsidRDefault="0056527E" w:rsidP="00B823A0">
      <w:pPr>
        <w:pStyle w:val="FootnoteText"/>
        <w:jc w:val="both"/>
      </w:pPr>
      <w:r w:rsidRPr="00B823A0">
        <w:rPr>
          <w:rStyle w:val="FootnoteReference"/>
          <w:vertAlign w:val="baseline"/>
        </w:rPr>
        <w:footnoteRef/>
      </w:r>
      <w:r w:rsidRPr="00B823A0">
        <w:rPr>
          <w:rStyle w:val="FootnoteReference"/>
          <w:vertAlign w:val="baseline"/>
        </w:rPr>
        <w:t xml:space="preserve"> </w:t>
      </w:r>
      <w:r w:rsidR="00BA566C" w:rsidRPr="00B823A0">
        <w:rPr>
          <w:rStyle w:val="FootnoteReference"/>
          <w:vertAlign w:val="baseline"/>
        </w:rPr>
        <w:tab/>
      </w:r>
      <w:r w:rsidRPr="00B823A0">
        <w:rPr>
          <w:rStyle w:val="FootnoteReference"/>
          <w:vertAlign w:val="baseline"/>
        </w:rPr>
        <w:t>For the compounded pentobarbital to be used, the United States Pharmacopeia designates a default beyond-use date of 45 days from the date of compounding.  The beyond-use date may be extended to 90 days, however, upon completion of stability and sterility testing on the drug.  Stability testing on the raw material</w:t>
      </w:r>
      <w:r w:rsidR="00A774E8" w:rsidRPr="00B823A0">
        <w:rPr>
          <w:rStyle w:val="FootnoteReference"/>
          <w:vertAlign w:val="baseline"/>
        </w:rPr>
        <w:t>s</w:t>
      </w:r>
      <w:r w:rsidRPr="00B823A0">
        <w:rPr>
          <w:rStyle w:val="FootnoteReference"/>
          <w:vertAlign w:val="baseline"/>
        </w:rPr>
        <w:t xml:space="preserve"> </w:t>
      </w:r>
      <w:r w:rsidR="00A774E8" w:rsidRPr="00B823A0">
        <w:rPr>
          <w:rStyle w:val="FootnoteReference"/>
          <w:vertAlign w:val="baseline"/>
        </w:rPr>
        <w:t>ADCRR uses</w:t>
      </w:r>
      <w:r w:rsidRPr="00B823A0">
        <w:rPr>
          <w:rStyle w:val="FootnoteReference"/>
          <w:vertAlign w:val="baseline"/>
        </w:rPr>
        <w:t xml:space="preserve"> to compound the pentobarbital that will be used in </w:t>
      </w:r>
      <w:r w:rsidR="00A774E8" w:rsidRPr="00B823A0">
        <w:rPr>
          <w:rStyle w:val="FootnoteReference"/>
          <w:vertAlign w:val="baseline"/>
        </w:rPr>
        <w:t>executions</w:t>
      </w:r>
      <w:r w:rsidRPr="00B823A0">
        <w:rPr>
          <w:rStyle w:val="FootnoteReference"/>
          <w:vertAlign w:val="baseline"/>
        </w:rPr>
        <w:t xml:space="preserve"> was completed in 2022.  Sterility testing on the compounded pentobarbital </w:t>
      </w:r>
      <w:r w:rsidR="00A774E8" w:rsidRPr="00B823A0">
        <w:rPr>
          <w:rStyle w:val="FootnoteReference"/>
          <w:vertAlign w:val="baseline"/>
        </w:rPr>
        <w:t>to</w:t>
      </w:r>
      <w:r w:rsidRPr="00B823A0">
        <w:rPr>
          <w:rStyle w:val="FootnoteReference"/>
          <w:vertAlign w:val="baseline"/>
        </w:rPr>
        <w:t xml:space="preserve"> be used </w:t>
      </w:r>
      <w:r w:rsidR="00A774E8" w:rsidRPr="00B823A0">
        <w:rPr>
          <w:rStyle w:val="FootnoteReference"/>
          <w:vertAlign w:val="baseline"/>
        </w:rPr>
        <w:t>is</w:t>
      </w:r>
      <w:r w:rsidRPr="00B823A0">
        <w:rPr>
          <w:rStyle w:val="FootnoteReference"/>
          <w:vertAlign w:val="baseline"/>
        </w:rPr>
        <w:t xml:space="preserve"> conducted shortly after the drug is compounded.  </w:t>
      </w:r>
      <w:r w:rsidR="00A774E8" w:rsidRPr="00B823A0">
        <w:rPr>
          <w:rStyle w:val="FootnoteReference"/>
          <w:vertAlign w:val="baseline"/>
        </w:rPr>
        <w:t>After post-compounding sterility testing is conducted, the com</w:t>
      </w:r>
      <w:r w:rsidR="00A774E8">
        <w:t>pounded drug is typically given a</w:t>
      </w:r>
      <w:r w:rsidRPr="00253E28">
        <w:t xml:space="preserve"> beyond-use date of 90 days from </w:t>
      </w:r>
      <w:r>
        <w:t xml:space="preserve">the date of </w:t>
      </w:r>
      <w:r w:rsidRPr="00253E28">
        <w:t>compounding.</w:t>
      </w:r>
    </w:p>
    <w:p w14:paraId="7314B316" w14:textId="77777777" w:rsidR="00BA566C" w:rsidRDefault="00BA566C" w:rsidP="00B823A0">
      <w:pPr>
        <w:pStyle w:val="FootnoteText"/>
        <w:jc w:val="both"/>
      </w:pPr>
    </w:p>
  </w:footnote>
  <w:footnote w:id="4">
    <w:p w14:paraId="47A18DB8" w14:textId="15AF7B29" w:rsidR="0056527E" w:rsidRDefault="0056527E" w:rsidP="00B823A0">
      <w:pPr>
        <w:pStyle w:val="FootnoteText"/>
      </w:pPr>
      <w:r>
        <w:rPr>
          <w:rStyle w:val="FootnoteReference"/>
        </w:rPr>
        <w:footnoteRef/>
      </w:r>
      <w:r>
        <w:t xml:space="preserve"> </w:t>
      </w:r>
      <w:r w:rsidR="00411244">
        <w:tab/>
      </w:r>
      <w:r>
        <w:t xml:space="preserve">Department Order 710 may be viewed at: </w:t>
      </w:r>
      <w:r w:rsidRPr="00B823A0">
        <w:t>https://corrections.az.gov/sites/default/files/documents/policies/700/0710%20-%20eff%2010-23-24.pdf</w:t>
      </w:r>
      <w:r>
        <w:t>.</w:t>
      </w:r>
    </w:p>
  </w:footnote>
  <w:footnote w:id="5">
    <w:p w14:paraId="1BC6A097" w14:textId="7C2747F4" w:rsidR="0056527E" w:rsidRPr="005322C4" w:rsidRDefault="0056527E" w:rsidP="00B823A0">
      <w:pPr>
        <w:pStyle w:val="FootnoteText"/>
        <w:jc w:val="both"/>
      </w:pPr>
      <w:r>
        <w:rPr>
          <w:rStyle w:val="FootnoteReference"/>
        </w:rPr>
        <w:footnoteRef/>
      </w:r>
      <w:r>
        <w:t xml:space="preserve"> </w:t>
      </w:r>
      <w:r w:rsidR="00BA566C">
        <w:tab/>
      </w:r>
      <w:r>
        <w:t xml:space="preserve">For example, the pre-warrant litigation for inmate Robert Glen Jones spanned approximately 2 months.  </w:t>
      </w:r>
      <w:r>
        <w:rPr>
          <w:i/>
        </w:rPr>
        <w:t>See</w:t>
      </w:r>
      <w:r>
        <w:t xml:space="preserve"> No. CR–98–0537–AP, Motion for Warrant of Execution (filed on June 25, 2013); Warrant of Execution (issued on August 27, 2013).  Likely because another inmate was also pending execution, Jones’s execution date was fixed for a date past the 35-day statutory waiting period. </w:t>
      </w:r>
      <w:r w:rsidR="00EC34B1">
        <w:t xml:space="preserve"> </w:t>
      </w:r>
      <w:r>
        <w:rPr>
          <w:i/>
        </w:rPr>
        <w:t>See id.</w:t>
      </w:r>
      <w:r>
        <w:t>,</w:t>
      </w:r>
      <w:r>
        <w:rPr>
          <w:i/>
        </w:rPr>
        <w:t xml:space="preserve"> </w:t>
      </w:r>
      <w:r>
        <w:t>Warrant of Execution (fixing date for execution as October 23, 2013).  Nearly 4 months thus elapsed between the State’s request for an execution warrant and Jones’s execution.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 w15:restartNumberingAfterBreak="0">
    <w:nsid w:val="1A99130D"/>
    <w:multiLevelType w:val="hybridMultilevel"/>
    <w:tmpl w:val="08702BC2"/>
    <w:lvl w:ilvl="0" w:tplc="23EA0B12">
      <w:start w:val="1"/>
      <w:numFmt w:val="decimal"/>
      <w:pStyle w:val="Body"/>
      <w:lvlText w:val="¶%1"/>
      <w:lvlJc w:val="left"/>
      <w:pPr>
        <w:ind w:left="171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818DE"/>
    <w:multiLevelType w:val="hybridMultilevel"/>
    <w:tmpl w:val="097E912A"/>
    <w:lvl w:ilvl="0" w:tplc="7FA8E1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CE"/>
    <w:rsid w:val="00014F60"/>
    <w:rsid w:val="0002513B"/>
    <w:rsid w:val="00031A0A"/>
    <w:rsid w:val="00032913"/>
    <w:rsid w:val="00053B9F"/>
    <w:rsid w:val="00061409"/>
    <w:rsid w:val="000740FE"/>
    <w:rsid w:val="0007561E"/>
    <w:rsid w:val="0008574A"/>
    <w:rsid w:val="00090A1B"/>
    <w:rsid w:val="00094C28"/>
    <w:rsid w:val="000C6E06"/>
    <w:rsid w:val="00122CA4"/>
    <w:rsid w:val="00127921"/>
    <w:rsid w:val="001321E3"/>
    <w:rsid w:val="00144AEC"/>
    <w:rsid w:val="00161C9E"/>
    <w:rsid w:val="00174E66"/>
    <w:rsid w:val="00191E0B"/>
    <w:rsid w:val="001B48AE"/>
    <w:rsid w:val="001D63AC"/>
    <w:rsid w:val="001F3FA7"/>
    <w:rsid w:val="00235E34"/>
    <w:rsid w:val="00235F0E"/>
    <w:rsid w:val="00241435"/>
    <w:rsid w:val="00245930"/>
    <w:rsid w:val="00265931"/>
    <w:rsid w:val="002C44C3"/>
    <w:rsid w:val="002C5DCD"/>
    <w:rsid w:val="002E5551"/>
    <w:rsid w:val="003704E4"/>
    <w:rsid w:val="003722DE"/>
    <w:rsid w:val="00385116"/>
    <w:rsid w:val="00390416"/>
    <w:rsid w:val="00392504"/>
    <w:rsid w:val="00397ACC"/>
    <w:rsid w:val="003C6DDF"/>
    <w:rsid w:val="003D2360"/>
    <w:rsid w:val="003F45B0"/>
    <w:rsid w:val="00401309"/>
    <w:rsid w:val="00411244"/>
    <w:rsid w:val="00416091"/>
    <w:rsid w:val="0042037A"/>
    <w:rsid w:val="00432159"/>
    <w:rsid w:val="00432319"/>
    <w:rsid w:val="004522CD"/>
    <w:rsid w:val="0045719D"/>
    <w:rsid w:val="00480D8D"/>
    <w:rsid w:val="00493056"/>
    <w:rsid w:val="004B4C02"/>
    <w:rsid w:val="004C1204"/>
    <w:rsid w:val="004C70EF"/>
    <w:rsid w:val="004D3D8B"/>
    <w:rsid w:val="004E1271"/>
    <w:rsid w:val="004E262D"/>
    <w:rsid w:val="004E57B7"/>
    <w:rsid w:val="005019FE"/>
    <w:rsid w:val="00514892"/>
    <w:rsid w:val="005164F6"/>
    <w:rsid w:val="005552B7"/>
    <w:rsid w:val="0056527E"/>
    <w:rsid w:val="00582D65"/>
    <w:rsid w:val="00595049"/>
    <w:rsid w:val="005C157A"/>
    <w:rsid w:val="005D68C6"/>
    <w:rsid w:val="005E0963"/>
    <w:rsid w:val="005E4C58"/>
    <w:rsid w:val="005E65F9"/>
    <w:rsid w:val="005E744C"/>
    <w:rsid w:val="00604579"/>
    <w:rsid w:val="006221DF"/>
    <w:rsid w:val="00646D5E"/>
    <w:rsid w:val="00653C47"/>
    <w:rsid w:val="00692AB7"/>
    <w:rsid w:val="006B1715"/>
    <w:rsid w:val="006B4096"/>
    <w:rsid w:val="006C01D1"/>
    <w:rsid w:val="006C28A3"/>
    <w:rsid w:val="006D171E"/>
    <w:rsid w:val="006D4ACE"/>
    <w:rsid w:val="006D6ADF"/>
    <w:rsid w:val="007012BF"/>
    <w:rsid w:val="00721C02"/>
    <w:rsid w:val="00732ABD"/>
    <w:rsid w:val="007579FA"/>
    <w:rsid w:val="007913E6"/>
    <w:rsid w:val="007A58AB"/>
    <w:rsid w:val="007C032A"/>
    <w:rsid w:val="007D6F73"/>
    <w:rsid w:val="007E3517"/>
    <w:rsid w:val="007F3DA6"/>
    <w:rsid w:val="007F7B5E"/>
    <w:rsid w:val="0083270A"/>
    <w:rsid w:val="00842B3C"/>
    <w:rsid w:val="00845CC1"/>
    <w:rsid w:val="00885026"/>
    <w:rsid w:val="008960F1"/>
    <w:rsid w:val="008A1E67"/>
    <w:rsid w:val="008A7E13"/>
    <w:rsid w:val="00901BD9"/>
    <w:rsid w:val="00913EAA"/>
    <w:rsid w:val="00917593"/>
    <w:rsid w:val="00921B50"/>
    <w:rsid w:val="00925D25"/>
    <w:rsid w:val="00962AAA"/>
    <w:rsid w:val="00985E83"/>
    <w:rsid w:val="00990EFD"/>
    <w:rsid w:val="0099239F"/>
    <w:rsid w:val="0099290E"/>
    <w:rsid w:val="00994E39"/>
    <w:rsid w:val="009A032C"/>
    <w:rsid w:val="009A546B"/>
    <w:rsid w:val="009B2346"/>
    <w:rsid w:val="009B3A4B"/>
    <w:rsid w:val="009B799C"/>
    <w:rsid w:val="009C0C7C"/>
    <w:rsid w:val="00A126D6"/>
    <w:rsid w:val="00A258DB"/>
    <w:rsid w:val="00A512D4"/>
    <w:rsid w:val="00A64AB3"/>
    <w:rsid w:val="00A71842"/>
    <w:rsid w:val="00A774E8"/>
    <w:rsid w:val="00A92FA2"/>
    <w:rsid w:val="00AA0A99"/>
    <w:rsid w:val="00AE2CE8"/>
    <w:rsid w:val="00AE4264"/>
    <w:rsid w:val="00AF5FAC"/>
    <w:rsid w:val="00B05678"/>
    <w:rsid w:val="00B220B4"/>
    <w:rsid w:val="00B23523"/>
    <w:rsid w:val="00B3611B"/>
    <w:rsid w:val="00B40A19"/>
    <w:rsid w:val="00B445DB"/>
    <w:rsid w:val="00B45A89"/>
    <w:rsid w:val="00B55FCC"/>
    <w:rsid w:val="00B62AAE"/>
    <w:rsid w:val="00B664CC"/>
    <w:rsid w:val="00B66D3D"/>
    <w:rsid w:val="00B823A0"/>
    <w:rsid w:val="00B973E0"/>
    <w:rsid w:val="00BA566C"/>
    <w:rsid w:val="00BB6F39"/>
    <w:rsid w:val="00BD7939"/>
    <w:rsid w:val="00BE1856"/>
    <w:rsid w:val="00C12354"/>
    <w:rsid w:val="00C252F3"/>
    <w:rsid w:val="00C4768C"/>
    <w:rsid w:val="00C83DDA"/>
    <w:rsid w:val="00CB448C"/>
    <w:rsid w:val="00CC0A54"/>
    <w:rsid w:val="00CC431C"/>
    <w:rsid w:val="00CC58D3"/>
    <w:rsid w:val="00CD08C9"/>
    <w:rsid w:val="00D038F0"/>
    <w:rsid w:val="00D0506E"/>
    <w:rsid w:val="00D14B6C"/>
    <w:rsid w:val="00D4043C"/>
    <w:rsid w:val="00D42A6E"/>
    <w:rsid w:val="00D50F57"/>
    <w:rsid w:val="00D52A6C"/>
    <w:rsid w:val="00D741BA"/>
    <w:rsid w:val="00DA69B5"/>
    <w:rsid w:val="00E04EFC"/>
    <w:rsid w:val="00E10C74"/>
    <w:rsid w:val="00E170F6"/>
    <w:rsid w:val="00E24732"/>
    <w:rsid w:val="00E35949"/>
    <w:rsid w:val="00E35E6C"/>
    <w:rsid w:val="00E3718D"/>
    <w:rsid w:val="00E67EA6"/>
    <w:rsid w:val="00E779FD"/>
    <w:rsid w:val="00EA1C1D"/>
    <w:rsid w:val="00EC18F2"/>
    <w:rsid w:val="00EC34B1"/>
    <w:rsid w:val="00ED2BCB"/>
    <w:rsid w:val="00EF2F4F"/>
    <w:rsid w:val="00EF7065"/>
    <w:rsid w:val="00F05A4F"/>
    <w:rsid w:val="00F06087"/>
    <w:rsid w:val="00F51F4F"/>
    <w:rsid w:val="00F8323C"/>
    <w:rsid w:val="00FA5ABF"/>
    <w:rsid w:val="00FA7344"/>
    <w:rsid w:val="00FB3031"/>
    <w:rsid w:val="00FB4F5F"/>
    <w:rsid w:val="00FC354A"/>
    <w:rsid w:val="00FD0829"/>
    <w:rsid w:val="00FD1E35"/>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A7838"/>
  <w15:chartTrackingRefBased/>
  <w15:docId w15:val="{5E8C6FC8-E03A-40D2-AD11-802F6AD5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A0A"/>
    <w:rPr>
      <w:rFonts w:ascii="Times New Roman" w:hAnsi="Times New Roman" w:cs="Times New Roman"/>
      <w:sz w:val="26"/>
      <w:szCs w:val="26"/>
    </w:rPr>
  </w:style>
  <w:style w:type="paragraph" w:styleId="Heading1">
    <w:name w:val="heading 1"/>
    <w:next w:val="Normal"/>
    <w:link w:val="Heading1Char"/>
    <w:qFormat/>
    <w:rsid w:val="00732ABD"/>
    <w:pPr>
      <w:keepNext/>
      <w:pageBreakBefore/>
      <w:numPr>
        <w:numId w:val="3"/>
      </w:numPr>
      <w:suppressAutoHyphens/>
      <w:spacing w:after="280" w:line="240" w:lineRule="auto"/>
      <w:ind w:firstLine="0"/>
      <w:jc w:val="center"/>
      <w:outlineLvl w:val="0"/>
    </w:pPr>
    <w:rPr>
      <w:rFonts w:ascii="Times New Roman Bold" w:eastAsia="Times New Roman" w:hAnsi="Times New Roman Bold" w:cs="Garamond"/>
      <w:b/>
      <w:bCs/>
      <w:caps/>
      <w:sz w:val="28"/>
      <w:szCs w:val="28"/>
    </w:rPr>
  </w:style>
  <w:style w:type="paragraph" w:styleId="Heading2">
    <w:name w:val="heading 2"/>
    <w:basedOn w:val="Heading1"/>
    <w:next w:val="Normal"/>
    <w:link w:val="Heading2Char"/>
    <w:qFormat/>
    <w:rsid w:val="00732ABD"/>
    <w:pPr>
      <w:pageBreakBefore w:val="0"/>
      <w:numPr>
        <w:ilvl w:val="1"/>
      </w:numPr>
      <w:tabs>
        <w:tab w:val="left" w:pos="720"/>
      </w:tabs>
      <w:jc w:val="both"/>
      <w:outlineLvl w:val="1"/>
    </w:pPr>
    <w:rPr>
      <w:caps w:val="0"/>
    </w:rPr>
  </w:style>
  <w:style w:type="paragraph" w:styleId="Heading3">
    <w:name w:val="heading 3"/>
    <w:basedOn w:val="Heading2"/>
    <w:next w:val="Normal"/>
    <w:link w:val="Heading3Char"/>
    <w:qFormat/>
    <w:rsid w:val="00732ABD"/>
    <w:pPr>
      <w:numPr>
        <w:ilvl w:val="2"/>
      </w:numPr>
      <w:tabs>
        <w:tab w:val="clear" w:pos="720"/>
      </w:tabs>
      <w:outlineLvl w:val="2"/>
    </w:pPr>
    <w:rPr>
      <w:kern w:val="2"/>
    </w:rPr>
  </w:style>
  <w:style w:type="paragraph" w:styleId="Heading4">
    <w:name w:val="heading 4"/>
    <w:basedOn w:val="Heading3"/>
    <w:next w:val="Normal"/>
    <w:link w:val="Heading4Char"/>
    <w:qFormat/>
    <w:rsid w:val="00732ABD"/>
    <w:pPr>
      <w:numPr>
        <w:ilvl w:val="3"/>
      </w:numPr>
      <w:outlineLvl w:val="3"/>
    </w:pPr>
    <w:rPr>
      <w:rFonts w:cs="Times New Roman"/>
      <w:bCs w:val="0"/>
      <w:i/>
    </w:rPr>
  </w:style>
  <w:style w:type="paragraph" w:styleId="Heading5">
    <w:name w:val="heading 5"/>
    <w:basedOn w:val="Heading4"/>
    <w:next w:val="Normal"/>
    <w:link w:val="Heading5Char"/>
    <w:qFormat/>
    <w:rsid w:val="00732ABD"/>
    <w:pPr>
      <w:numPr>
        <w:ilvl w:val="4"/>
      </w:numPr>
      <w:outlineLvl w:val="4"/>
    </w:pPr>
    <w:rPr>
      <w:bCs/>
      <w:i w:val="0"/>
      <w:iCs/>
      <w:szCs w:val="26"/>
    </w:rPr>
  </w:style>
  <w:style w:type="paragraph" w:styleId="Heading6">
    <w:name w:val="heading 6"/>
    <w:basedOn w:val="Heading5"/>
    <w:next w:val="Normal"/>
    <w:link w:val="Heading6Char"/>
    <w:rsid w:val="00732ABD"/>
    <w:pPr>
      <w:numPr>
        <w:ilvl w:val="5"/>
      </w:numPr>
      <w:outlineLvl w:val="5"/>
    </w:pPr>
    <w:rPr>
      <w:rFonts w:ascii="Times New Roman" w:hAnsi="Times New Roman"/>
      <w:b w:val="0"/>
      <w:bCs w:val="0"/>
      <w:sz w:val="22"/>
      <w:szCs w:val="22"/>
    </w:rPr>
  </w:style>
  <w:style w:type="paragraph" w:styleId="Heading7">
    <w:name w:val="heading 7"/>
    <w:basedOn w:val="Heading6"/>
    <w:next w:val="Normal"/>
    <w:link w:val="Heading7Char"/>
    <w:rsid w:val="00732ABD"/>
    <w:pPr>
      <w:numPr>
        <w:ilvl w:val="6"/>
      </w:numPr>
      <w:outlineLvl w:val="6"/>
    </w:pPr>
    <w:rPr>
      <w:sz w:val="24"/>
      <w:szCs w:val="24"/>
    </w:rPr>
  </w:style>
  <w:style w:type="paragraph" w:styleId="Heading8">
    <w:name w:val="heading 8"/>
    <w:basedOn w:val="Heading7"/>
    <w:next w:val="Normal"/>
    <w:link w:val="Heading8Char"/>
    <w:rsid w:val="00732ABD"/>
    <w:pPr>
      <w:numPr>
        <w:ilvl w:val="7"/>
      </w:numPr>
      <w:outlineLvl w:val="7"/>
    </w:pPr>
    <w:rPr>
      <w:i/>
      <w:iCs w:val="0"/>
    </w:rPr>
  </w:style>
  <w:style w:type="paragraph" w:styleId="Heading9">
    <w:name w:val="heading 9"/>
    <w:basedOn w:val="Heading8"/>
    <w:next w:val="Normal"/>
    <w:link w:val="Heading9Char"/>
    <w:rsid w:val="00732ABD"/>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D4ACE"/>
    <w:pPr>
      <w:numPr>
        <w:numId w:val="1"/>
      </w:numPr>
      <w:tabs>
        <w:tab w:val="left" w:pos="1440"/>
      </w:tabs>
      <w:spacing w:after="240" w:line="240" w:lineRule="auto"/>
      <w:ind w:left="0" w:firstLine="0"/>
      <w:jc w:val="both"/>
    </w:pPr>
    <w:rPr>
      <w:rFonts w:ascii="Book Antiqua" w:hAnsi="Book Antiqua" w:cstheme="minorBidi"/>
      <w:sz w:val="24"/>
      <w:szCs w:val="22"/>
    </w:rPr>
  </w:style>
  <w:style w:type="paragraph" w:styleId="ListParagraph">
    <w:name w:val="List Paragraph"/>
    <w:basedOn w:val="Normal"/>
    <w:uiPriority w:val="34"/>
    <w:qFormat/>
    <w:rsid w:val="00FC354A"/>
    <w:pPr>
      <w:ind w:left="720"/>
      <w:contextualSpacing/>
    </w:pPr>
  </w:style>
  <w:style w:type="paragraph" w:customStyle="1" w:styleId="Zbasefontbody">
    <w:name w:val="Zbasefont_body"/>
    <w:link w:val="ZbasefontbodyChar"/>
    <w:rsid w:val="00FC354A"/>
    <w:pPr>
      <w:spacing w:after="0" w:line="240" w:lineRule="auto"/>
    </w:pPr>
    <w:rPr>
      <w:rFonts w:ascii="Times New Roman" w:eastAsia="Times New Roman" w:hAnsi="Times New Roman" w:cs="Times New Roman"/>
      <w:bCs/>
      <w:kern w:val="2"/>
      <w:sz w:val="28"/>
      <w:szCs w:val="28"/>
    </w:rPr>
  </w:style>
  <w:style w:type="paragraph" w:customStyle="1" w:styleId="Brieftitle">
    <w:name w:val="Brief_title"/>
    <w:basedOn w:val="Zbasefontbody"/>
    <w:rsid w:val="00FC354A"/>
    <w:pPr>
      <w:spacing w:before="240" w:after="240"/>
    </w:pPr>
    <w:rPr>
      <w:b/>
      <w:smallCaps/>
      <w:noProof/>
      <w:sz w:val="26"/>
      <w:szCs w:val="26"/>
    </w:rPr>
  </w:style>
  <w:style w:type="paragraph" w:customStyle="1" w:styleId="Caseinfo">
    <w:name w:val="Case_info"/>
    <w:basedOn w:val="Zbasefontbody"/>
    <w:link w:val="CaseinfoChar"/>
    <w:rsid w:val="00FC354A"/>
    <w:pPr>
      <w:tabs>
        <w:tab w:val="left" w:pos="3780"/>
      </w:tabs>
      <w:spacing w:line="360" w:lineRule="auto"/>
    </w:pPr>
    <w:rPr>
      <w:smallCaps/>
    </w:rPr>
  </w:style>
  <w:style w:type="character" w:customStyle="1" w:styleId="FieldAllCaps">
    <w:name w:val="Field All Caps"/>
    <w:autoRedefine/>
    <w:rsid w:val="00FC354A"/>
    <w:rPr>
      <w:caps/>
      <w:sz w:val="28"/>
      <w:szCs w:val="28"/>
    </w:rPr>
  </w:style>
  <w:style w:type="paragraph" w:customStyle="1" w:styleId="StyleStyleCourtNameTitle18ptAfter12ptTimesNewRoman">
    <w:name w:val="Style Style CourtNameTitle + 18 pt After:  12 pt + Times New Roman..."/>
    <w:basedOn w:val="Normal"/>
    <w:rsid w:val="00FC354A"/>
    <w:pPr>
      <w:widowControl w:val="0"/>
      <w:spacing w:before="360" w:after="240" w:line="240" w:lineRule="auto"/>
      <w:jc w:val="center"/>
      <w:outlineLvl w:val="0"/>
    </w:pPr>
    <w:rPr>
      <w:rFonts w:eastAsia="Times New Roman"/>
      <w:b/>
      <w:bCs/>
      <w:caps/>
      <w:kern w:val="2"/>
      <w:sz w:val="28"/>
      <w:szCs w:val="20"/>
    </w:rPr>
  </w:style>
  <w:style w:type="paragraph" w:customStyle="1" w:styleId="StyleCaseinfoBlack">
    <w:name w:val="Style Case_info + Black"/>
    <w:basedOn w:val="Caseinfo"/>
    <w:link w:val="StyleCaseinfoBlackChar"/>
    <w:rsid w:val="00FC354A"/>
    <w:rPr>
      <w:bCs w:val="0"/>
      <w:smallCaps w:val="0"/>
      <w:color w:val="000000"/>
    </w:rPr>
  </w:style>
  <w:style w:type="character" w:customStyle="1" w:styleId="ZbasefontbodyChar">
    <w:name w:val="Zbasefont_body Char"/>
    <w:link w:val="Zbasefontbody"/>
    <w:rsid w:val="00FC354A"/>
    <w:rPr>
      <w:rFonts w:ascii="Times New Roman" w:eastAsia="Times New Roman" w:hAnsi="Times New Roman" w:cs="Times New Roman"/>
      <w:bCs/>
      <w:kern w:val="2"/>
      <w:sz w:val="28"/>
      <w:szCs w:val="28"/>
    </w:rPr>
  </w:style>
  <w:style w:type="character" w:customStyle="1" w:styleId="CaseinfoChar">
    <w:name w:val="Case_info Char"/>
    <w:link w:val="Caseinfo"/>
    <w:rsid w:val="00FC354A"/>
    <w:rPr>
      <w:rFonts w:ascii="Times New Roman" w:eastAsia="Times New Roman" w:hAnsi="Times New Roman" w:cs="Times New Roman"/>
      <w:bCs/>
      <w:smallCaps/>
      <w:kern w:val="2"/>
      <w:sz w:val="28"/>
      <w:szCs w:val="28"/>
    </w:rPr>
  </w:style>
  <w:style w:type="character" w:customStyle="1" w:styleId="StyleCaseinfoBlackChar">
    <w:name w:val="Style Case_info + Black Char"/>
    <w:link w:val="StyleCaseinfoBlack"/>
    <w:rsid w:val="00FC354A"/>
    <w:rPr>
      <w:rFonts w:ascii="Times New Roman" w:eastAsia="Times New Roman" w:hAnsi="Times New Roman" w:cs="Times New Roman"/>
      <w:color w:val="000000"/>
      <w:kern w:val="2"/>
      <w:sz w:val="28"/>
      <w:szCs w:val="28"/>
    </w:rPr>
  </w:style>
  <w:style w:type="paragraph" w:styleId="Header">
    <w:name w:val="header"/>
    <w:basedOn w:val="Normal"/>
    <w:link w:val="HeaderChar"/>
    <w:uiPriority w:val="99"/>
    <w:unhideWhenUsed/>
    <w:rsid w:val="005C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7A"/>
    <w:rPr>
      <w:rFonts w:ascii="Times New Roman" w:hAnsi="Times New Roman" w:cs="Times New Roman"/>
      <w:sz w:val="26"/>
      <w:szCs w:val="26"/>
    </w:rPr>
  </w:style>
  <w:style w:type="paragraph" w:styleId="Footer">
    <w:name w:val="footer"/>
    <w:basedOn w:val="Normal"/>
    <w:link w:val="FooterChar"/>
    <w:uiPriority w:val="99"/>
    <w:unhideWhenUsed/>
    <w:rsid w:val="005C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7A"/>
    <w:rPr>
      <w:rFonts w:ascii="Times New Roman" w:hAnsi="Times New Roman" w:cs="Times New Roman"/>
      <w:sz w:val="26"/>
      <w:szCs w:val="26"/>
    </w:rPr>
  </w:style>
  <w:style w:type="character" w:customStyle="1" w:styleId="Heading1Char">
    <w:name w:val="Heading 1 Char"/>
    <w:basedOn w:val="DefaultParagraphFont"/>
    <w:link w:val="Heading1"/>
    <w:rsid w:val="00732ABD"/>
    <w:rPr>
      <w:rFonts w:ascii="Times New Roman Bold" w:eastAsia="Times New Roman" w:hAnsi="Times New Roman Bold" w:cs="Garamond"/>
      <w:b/>
      <w:bCs/>
      <w:caps/>
      <w:sz w:val="28"/>
      <w:szCs w:val="28"/>
    </w:rPr>
  </w:style>
  <w:style w:type="character" w:customStyle="1" w:styleId="Heading2Char">
    <w:name w:val="Heading 2 Char"/>
    <w:basedOn w:val="DefaultParagraphFont"/>
    <w:link w:val="Heading2"/>
    <w:rsid w:val="00732ABD"/>
    <w:rPr>
      <w:rFonts w:ascii="Times New Roman Bold" w:eastAsia="Times New Roman" w:hAnsi="Times New Roman Bold" w:cs="Garamond"/>
      <w:b/>
      <w:bCs/>
      <w:sz w:val="28"/>
      <w:szCs w:val="28"/>
    </w:rPr>
  </w:style>
  <w:style w:type="character" w:customStyle="1" w:styleId="Heading3Char">
    <w:name w:val="Heading 3 Char"/>
    <w:basedOn w:val="DefaultParagraphFont"/>
    <w:link w:val="Heading3"/>
    <w:rsid w:val="00732ABD"/>
    <w:rPr>
      <w:rFonts w:ascii="Times New Roman Bold" w:eastAsia="Times New Roman" w:hAnsi="Times New Roman Bold" w:cs="Garamond"/>
      <w:b/>
      <w:bCs/>
      <w:kern w:val="2"/>
      <w:sz w:val="28"/>
      <w:szCs w:val="28"/>
    </w:rPr>
  </w:style>
  <w:style w:type="character" w:customStyle="1" w:styleId="Heading4Char">
    <w:name w:val="Heading 4 Char"/>
    <w:basedOn w:val="DefaultParagraphFont"/>
    <w:link w:val="Heading4"/>
    <w:rsid w:val="00732ABD"/>
    <w:rPr>
      <w:rFonts w:ascii="Times New Roman Bold" w:eastAsia="Times New Roman" w:hAnsi="Times New Roman Bold" w:cs="Times New Roman"/>
      <w:b/>
      <w:i/>
      <w:kern w:val="2"/>
      <w:sz w:val="28"/>
      <w:szCs w:val="28"/>
    </w:rPr>
  </w:style>
  <w:style w:type="character" w:customStyle="1" w:styleId="Heading5Char">
    <w:name w:val="Heading 5 Char"/>
    <w:basedOn w:val="DefaultParagraphFont"/>
    <w:link w:val="Heading5"/>
    <w:rsid w:val="00732ABD"/>
    <w:rPr>
      <w:rFonts w:ascii="Times New Roman Bold" w:eastAsia="Times New Roman" w:hAnsi="Times New Roman Bold" w:cs="Times New Roman"/>
      <w:b/>
      <w:bCs/>
      <w:iCs/>
      <w:kern w:val="2"/>
      <w:sz w:val="28"/>
      <w:szCs w:val="26"/>
    </w:rPr>
  </w:style>
  <w:style w:type="character" w:customStyle="1" w:styleId="Heading6Char">
    <w:name w:val="Heading 6 Char"/>
    <w:basedOn w:val="DefaultParagraphFont"/>
    <w:link w:val="Heading6"/>
    <w:rsid w:val="00732ABD"/>
    <w:rPr>
      <w:rFonts w:ascii="Times New Roman" w:eastAsia="Times New Roman" w:hAnsi="Times New Roman" w:cs="Times New Roman"/>
      <w:iCs/>
      <w:kern w:val="2"/>
    </w:rPr>
  </w:style>
  <w:style w:type="character" w:customStyle="1" w:styleId="Heading7Char">
    <w:name w:val="Heading 7 Char"/>
    <w:basedOn w:val="DefaultParagraphFont"/>
    <w:link w:val="Heading7"/>
    <w:rsid w:val="00732ABD"/>
    <w:rPr>
      <w:rFonts w:ascii="Times New Roman" w:eastAsia="Times New Roman" w:hAnsi="Times New Roman" w:cs="Times New Roman"/>
      <w:iCs/>
      <w:kern w:val="2"/>
      <w:sz w:val="24"/>
      <w:szCs w:val="24"/>
    </w:rPr>
  </w:style>
  <w:style w:type="character" w:customStyle="1" w:styleId="Heading8Char">
    <w:name w:val="Heading 8 Char"/>
    <w:basedOn w:val="DefaultParagraphFont"/>
    <w:link w:val="Heading8"/>
    <w:rsid w:val="00732ABD"/>
    <w:rPr>
      <w:rFonts w:ascii="Times New Roman" w:eastAsia="Times New Roman" w:hAnsi="Times New Roman" w:cs="Times New Roman"/>
      <w:i/>
      <w:kern w:val="2"/>
      <w:sz w:val="24"/>
      <w:szCs w:val="24"/>
    </w:rPr>
  </w:style>
  <w:style w:type="character" w:customStyle="1" w:styleId="Heading9Char">
    <w:name w:val="Heading 9 Char"/>
    <w:basedOn w:val="DefaultParagraphFont"/>
    <w:link w:val="Heading9"/>
    <w:rsid w:val="00732ABD"/>
    <w:rPr>
      <w:rFonts w:ascii="Times New Roman" w:eastAsia="Times New Roman" w:hAnsi="Times New Roman" w:cs="Times New Roman"/>
      <w:i/>
      <w:kern w:val="2"/>
    </w:rPr>
  </w:style>
  <w:style w:type="numbering" w:customStyle="1" w:styleId="ABRHeadings">
    <w:name w:val="ABR Headings"/>
    <w:rsid w:val="00732ABD"/>
    <w:pPr>
      <w:numPr>
        <w:numId w:val="4"/>
      </w:numPr>
    </w:pPr>
  </w:style>
  <w:style w:type="character" w:styleId="Hyperlink">
    <w:name w:val="Hyperlink"/>
    <w:basedOn w:val="DefaultParagraphFont"/>
    <w:uiPriority w:val="99"/>
    <w:unhideWhenUsed/>
    <w:rsid w:val="00985E83"/>
    <w:rPr>
      <w:color w:val="0563C1" w:themeColor="hyperlink"/>
      <w:u w:val="single"/>
    </w:rPr>
  </w:style>
  <w:style w:type="character" w:styleId="UnresolvedMention">
    <w:name w:val="Unresolved Mention"/>
    <w:basedOn w:val="DefaultParagraphFont"/>
    <w:uiPriority w:val="99"/>
    <w:semiHidden/>
    <w:unhideWhenUsed/>
    <w:rsid w:val="00985E83"/>
    <w:rPr>
      <w:color w:val="605E5C"/>
      <w:shd w:val="clear" w:color="auto" w:fill="E1DFDD"/>
    </w:rPr>
  </w:style>
  <w:style w:type="paragraph" w:styleId="NoSpacing">
    <w:name w:val="No Spacing"/>
    <w:uiPriority w:val="1"/>
    <w:qFormat/>
    <w:rsid w:val="00E779FD"/>
    <w:pPr>
      <w:spacing w:after="0" w:line="240" w:lineRule="auto"/>
    </w:pPr>
    <w:rPr>
      <w:rFonts w:ascii="Times New Roman" w:hAnsi="Times New Roman" w:cs="Times New Roman"/>
      <w:sz w:val="26"/>
      <w:szCs w:val="26"/>
    </w:rPr>
  </w:style>
  <w:style w:type="paragraph" w:styleId="FootnoteText">
    <w:name w:val="footnote text"/>
    <w:basedOn w:val="Normal"/>
    <w:link w:val="FootnoteTextChar"/>
    <w:uiPriority w:val="99"/>
    <w:unhideWhenUsed/>
    <w:rsid w:val="00BE1856"/>
    <w:pPr>
      <w:spacing w:after="0" w:line="240" w:lineRule="auto"/>
    </w:pPr>
    <w:rPr>
      <w:sz w:val="20"/>
      <w:szCs w:val="20"/>
    </w:rPr>
  </w:style>
  <w:style w:type="character" w:customStyle="1" w:styleId="FootnoteTextChar">
    <w:name w:val="Footnote Text Char"/>
    <w:basedOn w:val="DefaultParagraphFont"/>
    <w:link w:val="FootnoteText"/>
    <w:uiPriority w:val="99"/>
    <w:rsid w:val="00BE1856"/>
    <w:rPr>
      <w:rFonts w:ascii="Times New Roman" w:hAnsi="Times New Roman" w:cs="Times New Roman"/>
      <w:sz w:val="20"/>
      <w:szCs w:val="20"/>
    </w:rPr>
  </w:style>
  <w:style w:type="character" w:styleId="FootnoteReference">
    <w:name w:val="footnote reference"/>
    <w:basedOn w:val="DefaultParagraphFont"/>
    <w:uiPriority w:val="99"/>
    <w:unhideWhenUsed/>
    <w:rsid w:val="00BE1856"/>
    <w:rPr>
      <w:vertAlign w:val="superscript"/>
    </w:rPr>
  </w:style>
  <w:style w:type="paragraph" w:styleId="BalloonText">
    <w:name w:val="Balloon Text"/>
    <w:basedOn w:val="Normal"/>
    <w:link w:val="BalloonTextChar"/>
    <w:uiPriority w:val="99"/>
    <w:semiHidden/>
    <w:unhideWhenUsed/>
    <w:rsid w:val="00EC3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B1"/>
    <w:rPr>
      <w:rFonts w:ascii="Segoe UI" w:hAnsi="Segoe UI" w:cs="Segoe UI"/>
      <w:sz w:val="18"/>
      <w:szCs w:val="18"/>
    </w:rPr>
  </w:style>
  <w:style w:type="character" w:styleId="CommentReference">
    <w:name w:val="annotation reference"/>
    <w:basedOn w:val="DefaultParagraphFont"/>
    <w:uiPriority w:val="99"/>
    <w:semiHidden/>
    <w:unhideWhenUsed/>
    <w:rsid w:val="00EC34B1"/>
    <w:rPr>
      <w:sz w:val="16"/>
      <w:szCs w:val="16"/>
    </w:rPr>
  </w:style>
  <w:style w:type="paragraph" w:styleId="CommentText">
    <w:name w:val="annotation text"/>
    <w:basedOn w:val="Normal"/>
    <w:link w:val="CommentTextChar"/>
    <w:uiPriority w:val="99"/>
    <w:semiHidden/>
    <w:unhideWhenUsed/>
    <w:rsid w:val="00EC34B1"/>
    <w:pPr>
      <w:spacing w:line="240" w:lineRule="auto"/>
    </w:pPr>
    <w:rPr>
      <w:sz w:val="20"/>
      <w:szCs w:val="20"/>
    </w:rPr>
  </w:style>
  <w:style w:type="character" w:customStyle="1" w:styleId="CommentTextChar">
    <w:name w:val="Comment Text Char"/>
    <w:basedOn w:val="DefaultParagraphFont"/>
    <w:link w:val="CommentText"/>
    <w:uiPriority w:val="99"/>
    <w:semiHidden/>
    <w:rsid w:val="00EC34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B1"/>
    <w:rPr>
      <w:b/>
      <w:bCs/>
    </w:rPr>
  </w:style>
  <w:style w:type="character" w:customStyle="1" w:styleId="CommentSubjectChar">
    <w:name w:val="Comment Subject Char"/>
    <w:basedOn w:val="CommentTextChar"/>
    <w:link w:val="CommentSubject"/>
    <w:uiPriority w:val="99"/>
    <w:semiHidden/>
    <w:rsid w:val="00EC34B1"/>
    <w:rPr>
      <w:rFonts w:ascii="Times New Roman" w:hAnsi="Times New Roman" w:cs="Times New Roman"/>
      <w:b/>
      <w:bCs/>
      <w:sz w:val="20"/>
      <w:szCs w:val="20"/>
    </w:rPr>
  </w:style>
  <w:style w:type="paragraph" w:styleId="Revision">
    <w:name w:val="Revision"/>
    <w:hidden/>
    <w:uiPriority w:val="99"/>
    <w:semiHidden/>
    <w:rsid w:val="00EC34B1"/>
    <w:pPr>
      <w:spacing w:after="0" w:line="240" w:lineRule="auto"/>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22749">
      <w:bodyDiv w:val="1"/>
      <w:marLeft w:val="0"/>
      <w:marRight w:val="0"/>
      <w:marTop w:val="0"/>
      <w:marBottom w:val="0"/>
      <w:divBdr>
        <w:top w:val="none" w:sz="0" w:space="0" w:color="auto"/>
        <w:left w:val="none" w:sz="0" w:space="0" w:color="auto"/>
        <w:bottom w:val="none" w:sz="0" w:space="0" w:color="auto"/>
        <w:right w:val="none" w:sz="0" w:space="0" w:color="auto"/>
      </w:divBdr>
      <w:divsChild>
        <w:div w:id="884759132">
          <w:marLeft w:val="0"/>
          <w:marRight w:val="0"/>
          <w:marTop w:val="0"/>
          <w:marBottom w:val="0"/>
          <w:divBdr>
            <w:top w:val="none" w:sz="0" w:space="0" w:color="3D3D3D"/>
            <w:left w:val="none" w:sz="0" w:space="0" w:color="3D3D3D"/>
            <w:bottom w:val="none" w:sz="0" w:space="0" w:color="3D3D3D"/>
            <w:right w:val="none" w:sz="0" w:space="0" w:color="3D3D3D"/>
          </w:divBdr>
          <w:divsChild>
            <w:div w:id="4107804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7373512">
      <w:bodyDiv w:val="1"/>
      <w:marLeft w:val="0"/>
      <w:marRight w:val="0"/>
      <w:marTop w:val="0"/>
      <w:marBottom w:val="0"/>
      <w:divBdr>
        <w:top w:val="none" w:sz="0" w:space="0" w:color="auto"/>
        <w:left w:val="none" w:sz="0" w:space="0" w:color="auto"/>
        <w:bottom w:val="none" w:sz="0" w:space="0" w:color="auto"/>
        <w:right w:val="none" w:sz="0" w:space="0" w:color="auto"/>
      </w:divBdr>
      <w:divsChild>
        <w:div w:id="353002747">
          <w:marLeft w:val="0"/>
          <w:marRight w:val="0"/>
          <w:marTop w:val="0"/>
          <w:marBottom w:val="0"/>
          <w:divBdr>
            <w:top w:val="none" w:sz="0" w:space="0" w:color="3D3D3D"/>
            <w:left w:val="none" w:sz="0" w:space="0" w:color="3D3D3D"/>
            <w:bottom w:val="none" w:sz="0" w:space="0" w:color="3D3D3D"/>
            <w:right w:val="none" w:sz="0" w:space="0" w:color="3D3D3D"/>
          </w:divBdr>
          <w:divsChild>
            <w:div w:id="20166401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0305388">
      <w:bodyDiv w:val="1"/>
      <w:marLeft w:val="0"/>
      <w:marRight w:val="0"/>
      <w:marTop w:val="0"/>
      <w:marBottom w:val="0"/>
      <w:divBdr>
        <w:top w:val="none" w:sz="0" w:space="0" w:color="auto"/>
        <w:left w:val="none" w:sz="0" w:space="0" w:color="auto"/>
        <w:bottom w:val="none" w:sz="0" w:space="0" w:color="auto"/>
        <w:right w:val="none" w:sz="0" w:space="0" w:color="auto"/>
      </w:divBdr>
      <w:divsChild>
        <w:div w:id="1249119551">
          <w:marLeft w:val="0"/>
          <w:marRight w:val="0"/>
          <w:marTop w:val="0"/>
          <w:marBottom w:val="0"/>
          <w:divBdr>
            <w:top w:val="none" w:sz="0" w:space="0" w:color="3D3D3D"/>
            <w:left w:val="none" w:sz="0" w:space="0" w:color="3D3D3D"/>
            <w:bottom w:val="none" w:sz="0" w:space="0" w:color="3D3D3D"/>
            <w:right w:val="none" w:sz="0" w:space="0" w:color="3D3D3D"/>
          </w:divBdr>
          <w:divsChild>
            <w:div w:id="3666803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066875">
      <w:bodyDiv w:val="1"/>
      <w:marLeft w:val="0"/>
      <w:marRight w:val="0"/>
      <w:marTop w:val="0"/>
      <w:marBottom w:val="0"/>
      <w:divBdr>
        <w:top w:val="none" w:sz="0" w:space="0" w:color="auto"/>
        <w:left w:val="none" w:sz="0" w:space="0" w:color="auto"/>
        <w:bottom w:val="none" w:sz="0" w:space="0" w:color="auto"/>
        <w:right w:val="none" w:sz="0" w:space="0" w:color="auto"/>
      </w:divBdr>
      <w:divsChild>
        <w:div w:id="38629548">
          <w:marLeft w:val="0"/>
          <w:marRight w:val="0"/>
          <w:marTop w:val="0"/>
          <w:marBottom w:val="0"/>
          <w:divBdr>
            <w:top w:val="none" w:sz="0" w:space="0" w:color="3D3D3D"/>
            <w:left w:val="none" w:sz="0" w:space="0" w:color="3D3D3D"/>
            <w:bottom w:val="none" w:sz="0" w:space="0" w:color="3D3D3D"/>
            <w:right w:val="none" w:sz="0" w:space="0" w:color="3D3D3D"/>
          </w:divBdr>
          <w:divsChild>
            <w:div w:id="8783190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9197392">
      <w:bodyDiv w:val="1"/>
      <w:marLeft w:val="0"/>
      <w:marRight w:val="0"/>
      <w:marTop w:val="0"/>
      <w:marBottom w:val="0"/>
      <w:divBdr>
        <w:top w:val="none" w:sz="0" w:space="0" w:color="auto"/>
        <w:left w:val="none" w:sz="0" w:space="0" w:color="auto"/>
        <w:bottom w:val="none" w:sz="0" w:space="0" w:color="auto"/>
        <w:right w:val="none" w:sz="0" w:space="0" w:color="auto"/>
      </w:divBdr>
      <w:divsChild>
        <w:div w:id="1436486629">
          <w:marLeft w:val="0"/>
          <w:marRight w:val="0"/>
          <w:marTop w:val="0"/>
          <w:marBottom w:val="0"/>
          <w:divBdr>
            <w:top w:val="none" w:sz="0" w:space="0" w:color="3D3D3D"/>
            <w:left w:val="none" w:sz="0" w:space="0" w:color="3D3D3D"/>
            <w:bottom w:val="none" w:sz="0" w:space="0" w:color="3D3D3D"/>
            <w:right w:val="none" w:sz="0" w:space="0" w:color="3D3D3D"/>
          </w:divBdr>
          <w:divsChild>
            <w:div w:id="3970903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Lewis@azag.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E7574-EE4C-49F8-9879-86777E9C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Kevin</dc:creator>
  <cp:keywords/>
  <dc:description/>
  <cp:lastModifiedBy>Lewis, Jason</cp:lastModifiedBy>
  <cp:revision>2</cp:revision>
  <dcterms:created xsi:type="dcterms:W3CDTF">2025-01-10T19:34:00Z</dcterms:created>
  <dcterms:modified xsi:type="dcterms:W3CDTF">2025-01-10T19:34:00Z</dcterms:modified>
</cp:coreProperties>
</file>