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4A" w:rsidRPr="004B4C02" w:rsidRDefault="00E170F6" w:rsidP="00E170F6">
      <w:pPr>
        <w:spacing w:after="0" w:line="240" w:lineRule="auto"/>
        <w:rPr>
          <w:sz w:val="28"/>
          <w:szCs w:val="28"/>
        </w:rPr>
      </w:pPr>
      <w:r w:rsidRPr="004B4C02">
        <w:rPr>
          <w:sz w:val="28"/>
          <w:szCs w:val="28"/>
        </w:rPr>
        <w:t>Kevin M. Morrow Esq.</w:t>
      </w:r>
    </w:p>
    <w:p w:rsidR="00265931" w:rsidRDefault="00265931" w:rsidP="00265931">
      <w:pPr>
        <w:spacing w:after="0" w:line="240" w:lineRule="auto"/>
        <w:rPr>
          <w:sz w:val="28"/>
          <w:szCs w:val="28"/>
        </w:rPr>
      </w:pPr>
      <w:r w:rsidRPr="00265931">
        <w:rPr>
          <w:sz w:val="28"/>
          <w:szCs w:val="28"/>
        </w:rPr>
        <w:t>2005 N. Central Ave.,</w:t>
      </w:r>
    </w:p>
    <w:p w:rsidR="00265931" w:rsidRPr="00265931" w:rsidRDefault="00265931" w:rsidP="00265931">
      <w:pPr>
        <w:spacing w:after="0" w:line="240" w:lineRule="auto"/>
        <w:rPr>
          <w:sz w:val="28"/>
          <w:szCs w:val="28"/>
        </w:rPr>
      </w:pPr>
      <w:r w:rsidRPr="00265931">
        <w:rPr>
          <w:sz w:val="28"/>
          <w:szCs w:val="28"/>
        </w:rPr>
        <w:t>Phoenix, AZ 85004</w:t>
      </w:r>
    </w:p>
    <w:p w:rsidR="00265931" w:rsidRPr="00265931" w:rsidRDefault="00265931" w:rsidP="00265931">
      <w:pPr>
        <w:spacing w:after="0" w:line="240" w:lineRule="auto"/>
        <w:rPr>
          <w:sz w:val="28"/>
          <w:szCs w:val="28"/>
        </w:rPr>
      </w:pPr>
      <w:r w:rsidRPr="00265931">
        <w:rPr>
          <w:sz w:val="28"/>
          <w:szCs w:val="28"/>
        </w:rPr>
        <w:t>602-542-2928</w:t>
      </w:r>
    </w:p>
    <w:p w:rsidR="00265931" w:rsidRPr="00265931" w:rsidRDefault="00265931" w:rsidP="00265931">
      <w:pPr>
        <w:spacing w:after="0" w:line="240" w:lineRule="auto"/>
        <w:rPr>
          <w:sz w:val="28"/>
          <w:szCs w:val="28"/>
        </w:rPr>
      </w:pPr>
      <w:r w:rsidRPr="00265931">
        <w:rPr>
          <w:sz w:val="28"/>
          <w:szCs w:val="28"/>
        </w:rPr>
        <w:t>Kevin.Morrow@azag.gov</w:t>
      </w:r>
    </w:p>
    <w:p w:rsidR="00E170F6" w:rsidRPr="004B4C02" w:rsidRDefault="00E170F6" w:rsidP="00265931">
      <w:pPr>
        <w:spacing w:after="0" w:line="240" w:lineRule="auto"/>
        <w:rPr>
          <w:sz w:val="28"/>
          <w:szCs w:val="28"/>
        </w:rPr>
      </w:pPr>
      <w:r w:rsidRPr="004B4C02">
        <w:rPr>
          <w:sz w:val="28"/>
          <w:szCs w:val="28"/>
        </w:rPr>
        <w:t>AZ Bar # 034697.</w:t>
      </w:r>
    </w:p>
    <w:p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rsidTr="00627B7A">
        <w:trPr>
          <w:cantSplit/>
        </w:trPr>
        <w:tc>
          <w:tcPr>
            <w:tcW w:w="4590" w:type="dxa"/>
            <w:tcBorders>
              <w:bottom w:val="single" w:sz="6" w:space="0" w:color="auto"/>
              <w:right w:val="single" w:sz="6" w:space="0" w:color="auto"/>
            </w:tcBorders>
          </w:tcPr>
          <w:p w:rsidR="00FC354A" w:rsidRPr="004B4C02" w:rsidRDefault="00FC354A" w:rsidP="00FC354A">
            <w:pPr>
              <w:rPr>
                <w:sz w:val="28"/>
                <w:szCs w:val="28"/>
              </w:rPr>
            </w:pPr>
            <w:r w:rsidRPr="004B4C02">
              <w:rPr>
                <w:sz w:val="28"/>
                <w:szCs w:val="28"/>
              </w:rPr>
              <w:t xml:space="preserve">PETITION TO AMEND RULE </w:t>
            </w:r>
            <w:r w:rsidR="00493056">
              <w:rPr>
                <w:sz w:val="28"/>
                <w:szCs w:val="28"/>
              </w:rPr>
              <w:t>32.16</w:t>
            </w:r>
            <w:r w:rsidR="00265931">
              <w:rPr>
                <w:sz w:val="28"/>
                <w:szCs w:val="28"/>
              </w:rPr>
              <w:t>,</w:t>
            </w:r>
            <w:r w:rsidRPr="004B4C02">
              <w:rPr>
                <w:sz w:val="28"/>
                <w:szCs w:val="28"/>
              </w:rPr>
              <w:t xml:space="preserve"> ARIZONA RULES OF </w:t>
            </w:r>
            <w:r w:rsidR="00265931">
              <w:rPr>
                <w:sz w:val="28"/>
                <w:szCs w:val="28"/>
              </w:rPr>
              <w:t>Criminal</w:t>
            </w:r>
            <w:r w:rsidRPr="004B4C02">
              <w:rPr>
                <w:sz w:val="28"/>
                <w:szCs w:val="28"/>
              </w:rPr>
              <w:t xml:space="preserve"> PROCEDURE</w:t>
            </w:r>
          </w:p>
        </w:tc>
        <w:tc>
          <w:tcPr>
            <w:tcW w:w="4770" w:type="dxa"/>
            <w:tcBorders>
              <w:left w:val="single" w:sz="6" w:space="0" w:color="auto"/>
            </w:tcBorders>
            <w:tcMar>
              <w:left w:w="173" w:type="dxa"/>
              <w:right w:w="0" w:type="dxa"/>
            </w:tcMar>
          </w:tcPr>
          <w:p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p>
          <w:p w:rsidR="00FC354A" w:rsidRPr="004B4C02" w:rsidRDefault="00FC354A" w:rsidP="00FC354A">
            <w:pPr>
              <w:pStyle w:val="Caseinfo"/>
              <w:spacing w:line="240" w:lineRule="auto"/>
              <w:rPr>
                <w:rStyle w:val="FieldAllCaps"/>
                <w:caps w:val="0"/>
                <w:smallCaps w:val="0"/>
              </w:rPr>
            </w:pPr>
          </w:p>
          <w:p w:rsidR="00FC354A" w:rsidRPr="004B4C02" w:rsidRDefault="00FC354A" w:rsidP="00FC354A">
            <w:pPr>
              <w:pStyle w:val="Caseinfo"/>
              <w:spacing w:line="240" w:lineRule="auto"/>
              <w:rPr>
                <w:rStyle w:val="FieldAllCaps"/>
                <w:b/>
                <w:caps w:val="0"/>
                <w:smallCaps w:val="0"/>
              </w:rPr>
            </w:pPr>
            <w:r w:rsidRPr="004B4C02">
              <w:rPr>
                <w:rStyle w:val="FieldAllCaps"/>
                <w:b/>
                <w:caps w:val="0"/>
                <w:smallCaps w:val="0"/>
              </w:rPr>
              <w:t xml:space="preserve">Petition to Amend Rule </w:t>
            </w:r>
            <w:r w:rsidR="00493056">
              <w:rPr>
                <w:rStyle w:val="FieldAllCaps"/>
                <w:b/>
                <w:caps w:val="0"/>
                <w:smallCaps w:val="0"/>
              </w:rPr>
              <w:t>3</w:t>
            </w:r>
            <w:r w:rsidR="00514892">
              <w:rPr>
                <w:rStyle w:val="FieldAllCaps"/>
                <w:b/>
                <w:caps w:val="0"/>
                <w:smallCaps w:val="0"/>
              </w:rPr>
              <w:t>2</w:t>
            </w:r>
            <w:r w:rsidR="00493056">
              <w:rPr>
                <w:rStyle w:val="FieldAllCaps"/>
                <w:b/>
                <w:caps w:val="0"/>
                <w:smallCaps w:val="0"/>
              </w:rPr>
              <w:t>.16</w:t>
            </w:r>
            <w:r w:rsidRPr="004B4C02">
              <w:rPr>
                <w:rStyle w:val="FieldAllCaps"/>
                <w:b/>
                <w:caps w:val="0"/>
                <w:smallCaps w:val="0"/>
              </w:rPr>
              <w:t>,</w:t>
            </w:r>
          </w:p>
          <w:p w:rsidR="00FC354A" w:rsidRPr="004B4C02" w:rsidRDefault="00FC354A" w:rsidP="00FC354A">
            <w:pPr>
              <w:pStyle w:val="Caseinfo"/>
              <w:spacing w:line="240" w:lineRule="auto"/>
              <w:rPr>
                <w:rStyle w:val="StyleCaseinfoBlackChar"/>
                <w:b/>
                <w:smallCaps w:val="0"/>
                <w:color w:val="auto"/>
              </w:rPr>
            </w:pPr>
            <w:r w:rsidRPr="004B4C02">
              <w:rPr>
                <w:rStyle w:val="FieldAllCaps"/>
                <w:b/>
                <w:caps w:val="0"/>
                <w:smallCaps w:val="0"/>
              </w:rPr>
              <w:t xml:space="preserve">Arizona Rules of </w:t>
            </w:r>
            <w:r w:rsidR="00265931">
              <w:rPr>
                <w:rStyle w:val="FieldAllCaps"/>
                <w:b/>
                <w:caps w:val="0"/>
                <w:smallCaps w:val="0"/>
              </w:rPr>
              <w:t>Criminal</w:t>
            </w:r>
            <w:r w:rsidRPr="004B4C02">
              <w:rPr>
                <w:rStyle w:val="FieldAllCaps"/>
                <w:b/>
                <w:caps w:val="0"/>
                <w:smallCaps w:val="0"/>
              </w:rPr>
              <w:t xml:space="preserve"> Procedure</w:t>
            </w:r>
          </w:p>
          <w:p w:rsidR="00FC354A" w:rsidRPr="004B4C02" w:rsidRDefault="00FC354A" w:rsidP="00FC354A">
            <w:pPr>
              <w:pStyle w:val="Caseinfo"/>
              <w:spacing w:line="240" w:lineRule="auto"/>
              <w:rPr>
                <w:rStyle w:val="FieldAllCaps"/>
                <w:b/>
                <w:caps w:val="0"/>
                <w:smallCaps w:val="0"/>
              </w:rPr>
            </w:pPr>
          </w:p>
        </w:tc>
      </w:tr>
      <w:tr w:rsidR="00FC354A" w:rsidRPr="004B4C02" w:rsidTr="00627B7A">
        <w:trPr>
          <w:cantSplit/>
          <w:trHeight w:val="282"/>
        </w:trPr>
        <w:tc>
          <w:tcPr>
            <w:tcW w:w="4590" w:type="dxa"/>
            <w:tcBorders>
              <w:top w:val="single" w:sz="6" w:space="0" w:color="auto"/>
            </w:tcBorders>
            <w:tcMar>
              <w:top w:w="0" w:type="dxa"/>
            </w:tcMar>
          </w:tcPr>
          <w:p w:rsidR="00FC354A" w:rsidRPr="004B4C02" w:rsidRDefault="00FC354A" w:rsidP="00627B7A">
            <w:pPr>
              <w:pStyle w:val="Zbasefontbody"/>
            </w:pPr>
          </w:p>
        </w:tc>
        <w:tc>
          <w:tcPr>
            <w:tcW w:w="4770" w:type="dxa"/>
            <w:tcMar>
              <w:top w:w="0" w:type="dxa"/>
            </w:tcMar>
          </w:tcPr>
          <w:p w:rsidR="00FC354A" w:rsidRPr="004B4C02" w:rsidRDefault="00FC354A" w:rsidP="00627B7A">
            <w:pPr>
              <w:pStyle w:val="Zbasefontbody"/>
            </w:pPr>
          </w:p>
        </w:tc>
      </w:tr>
    </w:tbl>
    <w:p w:rsidR="00493056" w:rsidRPr="0083270A" w:rsidRDefault="00E170F6" w:rsidP="00493056">
      <w:pPr>
        <w:spacing w:after="0" w:line="480" w:lineRule="auto"/>
        <w:ind w:firstLine="720"/>
        <w:jc w:val="both"/>
      </w:pPr>
      <w:r w:rsidRPr="0083270A">
        <w:t xml:space="preserve">Pursuant to Rule 28 of the Rules of the Arizona Supreme Court, the undersigned attorney (Petitioner) respectively petitions this Court to amend Rule </w:t>
      </w:r>
      <w:r w:rsidR="00493056">
        <w:t>32.16</w:t>
      </w:r>
      <w:r w:rsidRPr="0083270A">
        <w:t xml:space="preserve"> of the Arizona Rules of </w:t>
      </w:r>
      <w:r w:rsidR="00265931" w:rsidRPr="0083270A">
        <w:t>Criminal</w:t>
      </w:r>
      <w:r w:rsidRPr="0083270A">
        <w:t xml:space="preserve"> Procedure (</w:t>
      </w:r>
      <w:r w:rsidR="00493056">
        <w:t>Petition for Review from PCR</w:t>
      </w:r>
      <w:r w:rsidRPr="0083270A">
        <w:t>).  The proposed amendment to</w:t>
      </w:r>
      <w:r w:rsidR="009A546B" w:rsidRPr="0083270A">
        <w:t xml:space="preserve"> Arizona Rule of Civil Procedure (“Rule”) </w:t>
      </w:r>
      <w:r w:rsidR="00493056">
        <w:t>32.16</w:t>
      </w:r>
      <w:r w:rsidRPr="0083270A">
        <w:t xml:space="preserve"> seeks to </w:t>
      </w:r>
      <w:r w:rsidR="00265931" w:rsidRPr="0083270A">
        <w:t>address a</w:t>
      </w:r>
      <w:r w:rsidR="00493056">
        <w:t xml:space="preserve">n </w:t>
      </w:r>
      <w:r w:rsidR="00265931" w:rsidRPr="0083270A">
        <w:t>is</w:t>
      </w:r>
      <w:r w:rsidR="007913E6" w:rsidRPr="0083270A">
        <w:t>sue</w:t>
      </w:r>
      <w:r w:rsidR="00265931" w:rsidRPr="0083270A">
        <w:t xml:space="preserve"> </w:t>
      </w:r>
      <w:r w:rsidR="00493056">
        <w:t xml:space="preserve">with the Reply Brief word limit in petitions for review of post-conviction relief proceedings (“PCR”) </w:t>
      </w:r>
      <w:r w:rsidR="00265931" w:rsidRPr="0083270A">
        <w:t>in capital cases</w:t>
      </w:r>
      <w:r w:rsidRPr="0083270A">
        <w:t>.</w:t>
      </w:r>
      <w:r w:rsidR="00265931" w:rsidRPr="0083270A">
        <w:t xml:space="preserve">  </w:t>
      </w:r>
      <w:r w:rsidR="00493056">
        <w:t>In non-capital petitions, “</w:t>
      </w:r>
      <w:r w:rsidR="00493056" w:rsidRPr="00493056">
        <w:t xml:space="preserve">The petition or cross-petition for review must not exceed 6,000 words if typed or 22 pages if handwritten, exclusive of an appendix and copies of the trial court's rulings. </w:t>
      </w:r>
      <w:r w:rsidR="009A032C">
        <w:t xml:space="preserve"> </w:t>
      </w:r>
      <w:r w:rsidR="00493056" w:rsidRPr="00493056">
        <w:t>However, a petition for review and a response to a petition for review in a capital case must not exceed 12,000 words if typed or 44 pages if handwritten, exclusive of an appendix and copies of the trial court's rulings.</w:t>
      </w:r>
      <w:r w:rsidR="00493056">
        <w:t xml:space="preserve">”  Rule 32.16(c)(1).  However, there is no corresponding word increase for the Reply brief in capital cases.  </w:t>
      </w:r>
      <w:r w:rsidR="00493056" w:rsidRPr="00493056">
        <w:rPr>
          <w:i/>
        </w:rPr>
        <w:t>See</w:t>
      </w:r>
      <w:r w:rsidR="00493056">
        <w:t xml:space="preserve"> Rule 32.16(f)(3) (“</w:t>
      </w:r>
      <w:r w:rsidR="00493056" w:rsidRPr="00493056">
        <w:t xml:space="preserve">The reply is limited to matters addressed in the </w:t>
      </w:r>
      <w:r w:rsidR="00493056" w:rsidRPr="00493056">
        <w:lastRenderedPageBreak/>
        <w:t>response and may not exceed 3,000 words if typed and 11 pages if handwritten.</w:t>
      </w:r>
      <w:r w:rsidR="00493056">
        <w:t xml:space="preserve">”).  Petitioner believes </w:t>
      </w:r>
      <w:r w:rsidR="005164F6">
        <w:t>there</w:t>
      </w:r>
      <w:r w:rsidR="00493056">
        <w:t xml:space="preserve"> should be a corresponding increase in the Reply word count </w:t>
      </w:r>
      <w:r w:rsidR="00B23523">
        <w:t xml:space="preserve">corresponding </w:t>
      </w:r>
      <w:r w:rsidR="00493056">
        <w:t>to the two-fold increase in capital Response briefs</w:t>
      </w:r>
      <w:r w:rsidR="005164F6">
        <w:t>.</w:t>
      </w:r>
    </w:p>
    <w:p w:rsidR="00FC354A" w:rsidRDefault="00E170F6" w:rsidP="00ED2BCB">
      <w:pPr>
        <w:spacing w:after="0" w:line="480" w:lineRule="auto"/>
        <w:ind w:firstLine="720"/>
        <w:jc w:val="both"/>
      </w:pPr>
      <w:bookmarkStart w:id="0" w:name="_Hlk184222069"/>
      <w:bookmarkStart w:id="1" w:name="_Hlk184222075"/>
      <w:r w:rsidRPr="0083270A">
        <w:t xml:space="preserve">A redline version of proposed amended Rule </w:t>
      </w:r>
      <w:r w:rsidR="005164F6">
        <w:t>32.16</w:t>
      </w:r>
      <w:r w:rsidR="005164F6" w:rsidRPr="0083270A">
        <w:t xml:space="preserve"> </w:t>
      </w:r>
      <w:r w:rsidRPr="0083270A">
        <w:t xml:space="preserve">identifying additions and deletions is attached </w:t>
      </w:r>
      <w:bookmarkEnd w:id="0"/>
      <w:r w:rsidRPr="0083270A">
        <w:t xml:space="preserve">at </w:t>
      </w:r>
      <w:r w:rsidR="0083270A" w:rsidRPr="0083270A">
        <w:t xml:space="preserve">Appendix </w:t>
      </w:r>
      <w:r w:rsidR="0083270A">
        <w:t>“</w:t>
      </w:r>
      <w:r w:rsidRPr="0083270A">
        <w:t>A,</w:t>
      </w:r>
      <w:r w:rsidR="0083270A">
        <w:t>”</w:t>
      </w:r>
      <w:r w:rsidRPr="0083270A">
        <w:t xml:space="preserve"> and a </w:t>
      </w:r>
      <w:r w:rsidR="0083270A">
        <w:t>“</w:t>
      </w:r>
      <w:r w:rsidRPr="0083270A">
        <w:t>clean</w:t>
      </w:r>
      <w:r w:rsidR="0083270A">
        <w:t>”</w:t>
      </w:r>
      <w:r w:rsidRPr="0083270A">
        <w:t xml:space="preserve"> version of </w:t>
      </w:r>
      <w:r w:rsidR="004B4C02" w:rsidRPr="0083270A">
        <w:t>proposed amended</w:t>
      </w:r>
      <w:r w:rsidRPr="0083270A">
        <w:t xml:space="preserve"> Rule </w:t>
      </w:r>
      <w:r w:rsidR="009B3A4B">
        <w:t>32.16</w:t>
      </w:r>
      <w:r w:rsidR="009B3A4B" w:rsidRPr="0083270A">
        <w:t xml:space="preserve"> </w:t>
      </w:r>
      <w:r w:rsidRPr="0083270A">
        <w:t xml:space="preserve">is attached at </w:t>
      </w:r>
      <w:r w:rsidR="0083270A" w:rsidRPr="0083270A">
        <w:t xml:space="preserve">Appendix </w:t>
      </w:r>
      <w:r w:rsidR="0083270A">
        <w:t>“</w:t>
      </w:r>
      <w:r w:rsidRPr="0083270A">
        <w:t>B.</w:t>
      </w:r>
      <w:r w:rsidR="0083270A">
        <w:t>”</w:t>
      </w:r>
      <w:r w:rsidR="009A032C">
        <w:t xml:space="preserve"> </w:t>
      </w:r>
    </w:p>
    <w:bookmarkEnd w:id="1"/>
    <w:p w:rsidR="00031A0A" w:rsidRDefault="00031A0A" w:rsidP="00B40A19">
      <w:pPr>
        <w:pStyle w:val="ListParagraph"/>
        <w:numPr>
          <w:ilvl w:val="0"/>
          <w:numId w:val="2"/>
        </w:numPr>
        <w:spacing w:after="0" w:line="480" w:lineRule="auto"/>
        <w:jc w:val="both"/>
        <w:rPr>
          <w:b/>
          <w:sz w:val="28"/>
          <w:szCs w:val="28"/>
        </w:rPr>
      </w:pPr>
      <w:r w:rsidRPr="00031A0A">
        <w:rPr>
          <w:b/>
          <w:sz w:val="28"/>
          <w:szCs w:val="28"/>
        </w:rPr>
        <w:t>THE EVOLUTION OF RULE 32.16</w:t>
      </w:r>
      <w:r>
        <w:rPr>
          <w:b/>
          <w:sz w:val="28"/>
          <w:szCs w:val="28"/>
        </w:rPr>
        <w:t>.</w:t>
      </w:r>
    </w:p>
    <w:p w:rsidR="00EA1C1D" w:rsidRDefault="00031A0A" w:rsidP="00031A0A">
      <w:pPr>
        <w:spacing w:after="0" w:line="480" w:lineRule="auto"/>
        <w:ind w:firstLine="720"/>
        <w:jc w:val="both"/>
      </w:pPr>
      <w:r>
        <w:t xml:space="preserve">The current Rule 32.16 was adopted after the overhaul of Rule 32 in 2019.  </w:t>
      </w:r>
      <w:r w:rsidRPr="00031A0A">
        <w:rPr>
          <w:i/>
        </w:rPr>
        <w:t xml:space="preserve">See </w:t>
      </w:r>
      <w:proofErr w:type="gramStart"/>
      <w:r w:rsidRPr="00031A0A">
        <w:rPr>
          <w:i/>
        </w:rPr>
        <w:t>In</w:t>
      </w:r>
      <w:proofErr w:type="gramEnd"/>
      <w:r w:rsidRPr="00031A0A">
        <w:rPr>
          <w:i/>
        </w:rPr>
        <w:t xml:space="preserve"> Re Rule 32 and 33, Rules of Criminal Procedure</w:t>
      </w:r>
      <w:r>
        <w:t xml:space="preserve">, No. R-19-0012 (Ariz. Aug. 29, 2019).  </w:t>
      </w:r>
      <w:r w:rsidRPr="00031A0A">
        <w:rPr>
          <w:i/>
        </w:rPr>
        <w:t xml:space="preserve">See also </w:t>
      </w:r>
      <w:r>
        <w:t xml:space="preserve">Administrative Order No. 2018-07 (Ariz. Jan. 24, 2018) (establish Rule 32 Task Force).  The Analysis by the Rule 32 Task for noted that “The current rule does not contain a separate provision for the length of a petition or response in a capital case” and proposed allowing capital cases double the limit of non-capital cases.  </w:t>
      </w:r>
      <w:r w:rsidRPr="00031A0A">
        <w:rPr>
          <w:i/>
        </w:rPr>
        <w:t>See</w:t>
      </w:r>
      <w:r>
        <w:t xml:space="preserve"> No. R-19-0012, Rule 32TF: Petition Appendix 4, at 15.  Reply briefs are not discussed. </w:t>
      </w:r>
      <w:r w:rsidRPr="00031A0A">
        <w:rPr>
          <w:i/>
        </w:rPr>
        <w:t xml:space="preserve"> Id.</w:t>
      </w:r>
      <w:r>
        <w:t xml:space="preserve">  </w:t>
      </w:r>
    </w:p>
    <w:p w:rsidR="00031A0A" w:rsidRDefault="00031A0A" w:rsidP="00031A0A">
      <w:pPr>
        <w:spacing w:after="0" w:line="480" w:lineRule="auto"/>
        <w:ind w:firstLine="720"/>
        <w:jc w:val="both"/>
      </w:pPr>
      <w:r>
        <w:t xml:space="preserve">The previous version of the Rule, adopted in 2017, limited all petitions and responses to 6,000 words and reply briefs to 3,000 words.  </w:t>
      </w:r>
      <w:r w:rsidRPr="00031A0A">
        <w:rPr>
          <w:i/>
        </w:rPr>
        <w:t>See</w:t>
      </w:r>
      <w:r>
        <w:t xml:space="preserve"> Ariz. R. Crim P. 32.9(c) (2018); </w:t>
      </w:r>
      <w:r w:rsidRPr="00031A0A">
        <w:rPr>
          <w:i/>
        </w:rPr>
        <w:t>see also</w:t>
      </w:r>
      <w:r>
        <w:t xml:space="preserve"> Ariz. R. Crim P. 32.9(c) (2016) (all petitions and responses limited to 20 pages and reply briefs to 10 pages).  </w:t>
      </w:r>
    </w:p>
    <w:p w:rsidR="00031A0A" w:rsidRPr="00031A0A" w:rsidRDefault="00031A0A" w:rsidP="00031A0A">
      <w:pPr>
        <w:spacing w:after="0" w:line="480" w:lineRule="auto"/>
        <w:ind w:firstLine="720"/>
        <w:jc w:val="both"/>
      </w:pPr>
      <w:r>
        <w:t xml:space="preserve">Rule 32.16(j) was also amended in 2023 regarding the transmission of the trial record.  </w:t>
      </w:r>
      <w:r w:rsidRPr="00031A0A">
        <w:rPr>
          <w:i/>
        </w:rPr>
        <w:t xml:space="preserve">See </w:t>
      </w:r>
      <w:proofErr w:type="gramStart"/>
      <w:r w:rsidRPr="00031A0A">
        <w:rPr>
          <w:i/>
        </w:rPr>
        <w:t>In</w:t>
      </w:r>
      <w:proofErr w:type="gramEnd"/>
      <w:r w:rsidRPr="00031A0A">
        <w:rPr>
          <w:i/>
        </w:rPr>
        <w:t xml:space="preserve"> Re Rule 32.16(j) and 33.16(j), Rules of Criminal Procedure</w:t>
      </w:r>
      <w:r>
        <w:t>, No. 23-0012 (Ariz. Aug. 24, 2023).</w:t>
      </w:r>
    </w:p>
    <w:p w:rsidR="00FC354A" w:rsidRPr="004B4C02" w:rsidRDefault="003722DE" w:rsidP="00B40A19">
      <w:pPr>
        <w:pStyle w:val="ListParagraph"/>
        <w:numPr>
          <w:ilvl w:val="0"/>
          <w:numId w:val="2"/>
        </w:numPr>
        <w:spacing w:after="0" w:line="480" w:lineRule="auto"/>
        <w:jc w:val="both"/>
        <w:rPr>
          <w:b/>
          <w:sz w:val="28"/>
          <w:szCs w:val="28"/>
        </w:rPr>
      </w:pPr>
      <w:r w:rsidRPr="004B4C02">
        <w:rPr>
          <w:b/>
          <w:sz w:val="28"/>
          <w:szCs w:val="28"/>
        </w:rPr>
        <w:lastRenderedPageBreak/>
        <w:t xml:space="preserve">THE NEED FOR AMENDING RULE </w:t>
      </w:r>
      <w:r w:rsidR="009B3A4B" w:rsidRPr="009B3A4B">
        <w:rPr>
          <w:b/>
          <w:sz w:val="28"/>
          <w:szCs w:val="28"/>
        </w:rPr>
        <w:t>32.16</w:t>
      </w:r>
      <w:r w:rsidRPr="004B4C02">
        <w:rPr>
          <w:b/>
          <w:sz w:val="28"/>
          <w:szCs w:val="28"/>
        </w:rPr>
        <w:t xml:space="preserve">. </w:t>
      </w:r>
    </w:p>
    <w:p w:rsidR="009A032C" w:rsidRDefault="009A032C" w:rsidP="004E1271">
      <w:pPr>
        <w:spacing w:before="120" w:after="0" w:line="480" w:lineRule="auto"/>
        <w:ind w:firstLine="720"/>
        <w:jc w:val="both"/>
      </w:pPr>
      <w:r>
        <w:t>G</w:t>
      </w:r>
      <w:r w:rsidRPr="009A032C">
        <w:t>ood advocacy requires editing</w:t>
      </w:r>
      <w:r>
        <w:t xml:space="preserve">.  </w:t>
      </w:r>
      <w:r w:rsidRPr="009A032C">
        <w:rPr>
          <w:i/>
        </w:rPr>
        <w:t>State v. Johnson</w:t>
      </w:r>
      <w:r>
        <w:t xml:space="preserve">, 247 Ariz. 166, 212, ¶ 206 (2019).  </w:t>
      </w:r>
      <w:r w:rsidRPr="009A032C">
        <w:t>And court-m</w:t>
      </w:r>
      <w:r>
        <w:t xml:space="preserve">andated editing of a defendant’s appellate briefs does not violate </w:t>
      </w:r>
      <w:r w:rsidR="00392504">
        <w:t>her</w:t>
      </w:r>
      <w:r>
        <w:t xml:space="preserve"> constitutional rights.  </w:t>
      </w:r>
      <w:r w:rsidRPr="009A032C">
        <w:rPr>
          <w:i/>
        </w:rPr>
        <w:t>State v. Amaya-Ruiz</w:t>
      </w:r>
      <w:r>
        <w:t xml:space="preserve">, 166 Ariz. 152, 183 (1990); </w:t>
      </w:r>
      <w:r w:rsidRPr="009A032C">
        <w:rPr>
          <w:i/>
        </w:rPr>
        <w:t>State v. Bolton</w:t>
      </w:r>
      <w:r>
        <w:t>, 182 Ariz. 290, 299 (1995).  But “[s]</w:t>
      </w:r>
      <w:proofErr w:type="spellStart"/>
      <w:r>
        <w:t>ome</w:t>
      </w:r>
      <w:proofErr w:type="spellEnd"/>
      <w:r>
        <w:t xml:space="preserve"> cases are more complex than others, and in those cases, flexibility is required.”  </w:t>
      </w:r>
      <w:r w:rsidRPr="009A032C">
        <w:rPr>
          <w:i/>
        </w:rPr>
        <w:t>Johnson</w:t>
      </w:r>
      <w:r>
        <w:t>, 247 Ariz. at 211, ¶ 199.</w:t>
      </w:r>
      <w:r w:rsidR="004E1271">
        <w:t xml:space="preserve">  This Court “</w:t>
      </w:r>
      <w:r w:rsidRPr="009A032C">
        <w:t>is acutely aware of the gravity of the decisions we are called upon to make in capital cases.</w:t>
      </w:r>
      <w:r>
        <w:t xml:space="preserve">”  </w:t>
      </w:r>
      <w:r w:rsidRPr="009A032C">
        <w:rPr>
          <w:i/>
        </w:rPr>
        <w:t>State v. Atwood</w:t>
      </w:r>
      <w:r w:rsidRPr="009A032C">
        <w:t>, 171 Ariz. 576, 659 (1992)</w:t>
      </w:r>
      <w:r>
        <w:t>.</w:t>
      </w:r>
    </w:p>
    <w:p w:rsidR="004E1271" w:rsidRDefault="004E1271" w:rsidP="004E1271">
      <w:pPr>
        <w:spacing w:before="120" w:after="0" w:line="480" w:lineRule="auto"/>
        <w:ind w:firstLine="360"/>
        <w:jc w:val="both"/>
      </w:pPr>
      <w:r>
        <w:tab/>
        <w:t>For reasons unknown to Petitioner, when this court expanded the standard limit for words in capital petitions for review from P</w:t>
      </w:r>
      <w:r w:rsidR="00885026">
        <w:t>C</w:t>
      </w:r>
      <w:r>
        <w:t xml:space="preserve">R decisions, it did not provide a corresponding increase to the reply brief word count. </w:t>
      </w:r>
    </w:p>
    <w:p w:rsidR="00D14B6C" w:rsidRDefault="004E1271" w:rsidP="009C0C7C">
      <w:pPr>
        <w:spacing w:before="120" w:after="0" w:line="480" w:lineRule="auto"/>
        <w:ind w:firstLine="720"/>
        <w:jc w:val="both"/>
      </w:pPr>
      <w:r>
        <w:t xml:space="preserve">Reply briefs are, of course, optional under the Rules.  </w:t>
      </w:r>
      <w:r w:rsidRPr="004E1271">
        <w:rPr>
          <w:i/>
        </w:rPr>
        <w:t>See</w:t>
      </w:r>
      <w:r>
        <w:t xml:space="preserve"> Ariz. R. Crim. P. 32.16(f)(3). </w:t>
      </w:r>
      <w:r w:rsidR="009C0C7C">
        <w:t xml:space="preserve"> But “from the perspective of good advocacy, there is nothing optional about a reply brief.”  </w:t>
      </w:r>
      <w:r w:rsidRPr="004E1271">
        <w:t>Adam W. Hofmann</w:t>
      </w:r>
      <w:r>
        <w:t xml:space="preserve">, </w:t>
      </w:r>
      <w:r w:rsidR="00990EFD" w:rsidRPr="00990EFD">
        <w:rPr>
          <w:i/>
        </w:rPr>
        <w:t>The Battle Is Joined</w:t>
      </w:r>
      <w:r w:rsidR="00990EFD">
        <w:t xml:space="preserve"> </w:t>
      </w:r>
      <w:r w:rsidRPr="004E1271">
        <w:rPr>
          <w:i/>
        </w:rPr>
        <w:t>Writing Reply Briefs Artfully</w:t>
      </w:r>
      <w:r>
        <w:t>, 62 No. 3 DRI For Def. 62 (March 2020)</w:t>
      </w:r>
      <w:r w:rsidR="00885026">
        <w:t xml:space="preserve">.  </w:t>
      </w:r>
      <w:r w:rsidR="009C0C7C">
        <w:t>Indeed, the State Bar’s magazine advised appellate advocates; “</w:t>
      </w:r>
      <w:r w:rsidR="00D14B6C" w:rsidRPr="00D14B6C">
        <w:t>Don't underestimate the importance of the Reply Brief</w:t>
      </w:r>
      <w:r w:rsidR="009C0C7C">
        <w:t>” stating:</w:t>
      </w:r>
    </w:p>
    <w:p w:rsidR="00D14B6C" w:rsidRDefault="00D14B6C" w:rsidP="009C0C7C">
      <w:pPr>
        <w:pStyle w:val="NoSpacing"/>
        <w:ind w:left="720" w:right="720"/>
      </w:pPr>
      <w:r>
        <w:t>The Reply Brief has the obvious strategic advantage of being the last word the parties will say on the issues. It also may be the first thing the appellate judge reads because it often is the appellant's best presentation of its argument, complete with the appellant's rebuttal to the appellee's arguments raised in the Answering Brief.</w:t>
      </w:r>
    </w:p>
    <w:p w:rsidR="009C0C7C" w:rsidRDefault="009C0C7C" w:rsidP="009C0C7C">
      <w:pPr>
        <w:pStyle w:val="NoSpacing"/>
        <w:ind w:left="720" w:right="720"/>
      </w:pPr>
    </w:p>
    <w:p w:rsidR="00D14B6C" w:rsidRDefault="00D14B6C" w:rsidP="00990EFD">
      <w:pPr>
        <w:spacing w:after="0" w:line="480" w:lineRule="auto"/>
        <w:jc w:val="both"/>
      </w:pPr>
      <w:r>
        <w:lastRenderedPageBreak/>
        <w:t xml:space="preserve">Patrick Irvine &amp; Aaron Martin, </w:t>
      </w:r>
      <w:r w:rsidRPr="00D14B6C">
        <w:rPr>
          <w:i/>
        </w:rPr>
        <w:t>10 Tips for Effective Appellate Advocacy</w:t>
      </w:r>
      <w:r>
        <w:t>,</w:t>
      </w:r>
      <w:r w:rsidR="00990EFD">
        <w:t xml:space="preserve"> </w:t>
      </w:r>
      <w:r w:rsidRPr="00990EFD">
        <w:rPr>
          <w:smallCaps/>
        </w:rPr>
        <w:t xml:space="preserve">Ariz. </w:t>
      </w:r>
      <w:proofErr w:type="spellStart"/>
      <w:r w:rsidRPr="00990EFD">
        <w:rPr>
          <w:smallCaps/>
        </w:rPr>
        <w:t>Att’y</w:t>
      </w:r>
      <w:proofErr w:type="spellEnd"/>
      <w:r w:rsidR="00990EFD">
        <w:rPr>
          <w:smallCaps/>
        </w:rPr>
        <w:t>,</w:t>
      </w:r>
      <w:r>
        <w:t xml:space="preserve"> </w:t>
      </w:r>
      <w:r w:rsidR="00990EFD">
        <w:t>Vol. 52, No. 11</w:t>
      </w:r>
      <w:r>
        <w:t>, at 12, 16 (July/August 2016)</w:t>
      </w:r>
      <w:r w:rsidR="009C0C7C">
        <w:t>.</w:t>
      </w:r>
      <w:r w:rsidR="00990EFD">
        <w:t xml:space="preserve"> </w:t>
      </w:r>
      <w:r w:rsidR="00514892" w:rsidRPr="00514892">
        <w:rPr>
          <w:i/>
        </w:rPr>
        <w:t>See</w:t>
      </w:r>
      <w:r w:rsidR="00990EFD">
        <w:rPr>
          <w:i/>
        </w:rPr>
        <w:t xml:space="preserve"> also</w:t>
      </w:r>
      <w:r w:rsidR="00514892">
        <w:t xml:space="preserve"> Steven D. Stark, </w:t>
      </w:r>
      <w:r w:rsidR="00514892" w:rsidRPr="00514892">
        <w:rPr>
          <w:i/>
        </w:rPr>
        <w:t>Writing to Win</w:t>
      </w:r>
      <w:r w:rsidR="00514892">
        <w:t xml:space="preserve">, 190 (Three </w:t>
      </w:r>
      <w:r w:rsidR="00990EFD">
        <w:t>Rivers</w:t>
      </w:r>
      <w:r w:rsidR="00514892">
        <w:t xml:space="preserve"> Press 2012) (some judges have noted they read the reply briefs first)</w:t>
      </w:r>
      <w:r w:rsidR="00990EFD">
        <w:t xml:space="preserve">; </w:t>
      </w:r>
      <w:r w:rsidRPr="00D14B6C">
        <w:rPr>
          <w:i/>
        </w:rPr>
        <w:t xml:space="preserve">Haynes Mech. Sys., Inc. v. </w:t>
      </w:r>
      <w:proofErr w:type="spellStart"/>
      <w:r w:rsidRPr="00D14B6C">
        <w:rPr>
          <w:i/>
        </w:rPr>
        <w:t>Bluon</w:t>
      </w:r>
      <w:proofErr w:type="spellEnd"/>
      <w:r w:rsidRPr="00D14B6C">
        <w:rPr>
          <w:i/>
        </w:rPr>
        <w:t xml:space="preserve"> Energy, LLC</w:t>
      </w:r>
      <w:r>
        <w:t>, 18-CV-03004-KLM, 2022 WL 18456050, at *3 (D. Colo. June 24, 2022)</w:t>
      </w:r>
      <w:r w:rsidRPr="00D14B6C">
        <w:t xml:space="preserve"> </w:t>
      </w:r>
      <w:r>
        <w:t>(noting “the often critical importance of reply briefs in narrowing the issues”).</w:t>
      </w:r>
    </w:p>
    <w:p w:rsidR="00FA5ABF" w:rsidRPr="0083270A" w:rsidRDefault="004C1204" w:rsidP="004C1204">
      <w:pPr>
        <w:spacing w:before="120" w:after="0" w:line="480" w:lineRule="auto"/>
        <w:ind w:firstLine="720"/>
        <w:jc w:val="both"/>
      </w:pPr>
      <w:r w:rsidRPr="0083270A">
        <w:t xml:space="preserve">This Court should adopt the proposed rule </w:t>
      </w:r>
      <w:r w:rsidR="00D14B6C">
        <w:t>to resolve an apparent oversight from the prior amendment to the Rules</w:t>
      </w:r>
      <w:r w:rsidR="00514892">
        <w:t xml:space="preserve"> and increase the word limit for reply briefs in capital PCR petitions for review</w:t>
      </w:r>
      <w:r w:rsidR="0045719D">
        <w:t xml:space="preserve"> from 3,000 words to </w:t>
      </w:r>
      <w:r w:rsidR="009604F1">
        <w:t>6</w:t>
      </w:r>
      <w:r w:rsidR="0045719D">
        <w:t>,000 words</w:t>
      </w:r>
      <w:r w:rsidRPr="0083270A">
        <w:t>.</w:t>
      </w:r>
    </w:p>
    <w:p w:rsidR="009B799C" w:rsidRPr="004B4C02" w:rsidRDefault="00845CC1" w:rsidP="00845CC1">
      <w:pPr>
        <w:spacing w:after="0" w:line="480" w:lineRule="auto"/>
        <w:jc w:val="center"/>
        <w:rPr>
          <w:b/>
          <w:sz w:val="28"/>
          <w:szCs w:val="28"/>
        </w:rPr>
      </w:pPr>
      <w:r w:rsidRPr="004B4C02">
        <w:rPr>
          <w:b/>
          <w:sz w:val="28"/>
          <w:szCs w:val="28"/>
        </w:rPr>
        <w:t>CONCLUSION</w:t>
      </w:r>
    </w:p>
    <w:p w:rsidR="00653C47" w:rsidRPr="0083270A" w:rsidRDefault="00653C47" w:rsidP="00845CC1">
      <w:pPr>
        <w:spacing w:after="0" w:line="480" w:lineRule="auto"/>
        <w:ind w:firstLine="720"/>
        <w:jc w:val="both"/>
      </w:pPr>
      <w:r w:rsidRPr="0083270A">
        <w:t xml:space="preserve">For the foregoing reasons, Petitioner respectfully asks this Court to amend Rule </w:t>
      </w:r>
      <w:r w:rsidR="00D14B6C">
        <w:t>32.16</w:t>
      </w:r>
      <w:r w:rsidR="00D14B6C" w:rsidRPr="0083270A">
        <w:t xml:space="preserve"> </w:t>
      </w:r>
      <w:r w:rsidRPr="0083270A">
        <w:t>as set forth in the Appendices.</w:t>
      </w:r>
    </w:p>
    <w:tbl>
      <w:tblPr>
        <w:tblW w:w="9493" w:type="dxa"/>
        <w:tblInd w:w="120" w:type="dxa"/>
        <w:tblLayout w:type="fixed"/>
        <w:tblCellMar>
          <w:left w:w="120" w:type="dxa"/>
          <w:right w:w="120" w:type="dxa"/>
        </w:tblCellMar>
        <w:tblLook w:val="0000" w:firstRow="0" w:lastRow="0" w:firstColumn="0" w:lastColumn="0" w:noHBand="0" w:noVBand="0"/>
      </w:tblPr>
      <w:tblGrid>
        <w:gridCol w:w="4573"/>
        <w:gridCol w:w="4920"/>
      </w:tblGrid>
      <w:tr w:rsidR="00732ABD" w:rsidRPr="004B4C02" w:rsidTr="00732ABD">
        <w:trPr>
          <w:cantSplit/>
          <w:trHeight w:val="2550"/>
        </w:trPr>
        <w:tc>
          <w:tcPr>
            <w:tcW w:w="4573" w:type="dxa"/>
            <w:tcBorders>
              <w:top w:val="nil"/>
              <w:left w:val="nil"/>
              <w:bottom w:val="nil"/>
              <w:right w:val="nil"/>
            </w:tcBorders>
            <w:tcMar>
              <w:top w:w="260" w:type="dxa"/>
              <w:bottom w:w="260" w:type="dxa"/>
            </w:tcMar>
          </w:tcPr>
          <w:p w:rsidR="00732ABD" w:rsidRPr="004B4C02" w:rsidRDefault="00732ABD" w:rsidP="00A07043">
            <w:pPr>
              <w:pStyle w:val="Heading6"/>
              <w:numPr>
                <w:ilvl w:val="0"/>
                <w:numId w:val="0"/>
              </w:numPr>
              <w:ind w:left="3600"/>
              <w:rPr>
                <w:sz w:val="28"/>
                <w:szCs w:val="28"/>
              </w:rPr>
            </w:pPr>
          </w:p>
        </w:tc>
        <w:tc>
          <w:tcPr>
            <w:tcW w:w="4920" w:type="dxa"/>
            <w:tcBorders>
              <w:top w:val="nil"/>
              <w:left w:val="nil"/>
              <w:bottom w:val="nil"/>
              <w:right w:val="nil"/>
            </w:tcBorders>
            <w:tcMar>
              <w:top w:w="260" w:type="dxa"/>
              <w:left w:w="173" w:type="dxa"/>
              <w:bottom w:w="260" w:type="dxa"/>
              <w:right w:w="0" w:type="dxa"/>
            </w:tcMar>
          </w:tcPr>
          <w:p w:rsidR="00732ABD" w:rsidRPr="004B4C02" w:rsidRDefault="00732ABD" w:rsidP="00732ABD">
            <w:pPr>
              <w:spacing w:line="240" w:lineRule="auto"/>
              <w:ind w:firstLine="718"/>
              <w:rPr>
                <w:sz w:val="28"/>
                <w:szCs w:val="28"/>
              </w:rPr>
            </w:pPr>
            <w:bookmarkStart w:id="2" w:name="LegalWords_End"/>
            <w:bookmarkEnd w:id="2"/>
            <w:r w:rsidRPr="004B4C02">
              <w:rPr>
                <w:sz w:val="28"/>
                <w:szCs w:val="28"/>
              </w:rPr>
              <w:t>Respectfully submitted,</w:t>
            </w:r>
          </w:p>
          <w:p w:rsidR="00732ABD" w:rsidRPr="004B4C02" w:rsidRDefault="00732ABD" w:rsidP="00A07043">
            <w:pPr>
              <w:spacing w:line="240" w:lineRule="auto"/>
              <w:ind w:firstLine="718"/>
              <w:rPr>
                <w:sz w:val="28"/>
                <w:szCs w:val="28"/>
              </w:rPr>
            </w:pPr>
          </w:p>
          <w:p w:rsidR="00732ABD" w:rsidRPr="004B4C02" w:rsidRDefault="00732ABD" w:rsidP="00A07043">
            <w:pPr>
              <w:spacing w:line="240" w:lineRule="auto"/>
              <w:ind w:firstLine="718"/>
              <w:rPr>
                <w:sz w:val="28"/>
                <w:szCs w:val="28"/>
                <w:u w:val="single"/>
              </w:rPr>
            </w:pPr>
            <w:r w:rsidRPr="004B4C02">
              <w:rPr>
                <w:sz w:val="28"/>
                <w:szCs w:val="28"/>
                <w:u w:val="single"/>
              </w:rPr>
              <w:t>/s/</w:t>
            </w:r>
            <w:r w:rsidRPr="004B4C02">
              <w:rPr>
                <w:sz w:val="28"/>
                <w:szCs w:val="28"/>
                <w:u w:val="single"/>
              </w:rPr>
              <w:tab/>
            </w:r>
            <w:r w:rsidRPr="004B4C02">
              <w:rPr>
                <w:sz w:val="28"/>
                <w:szCs w:val="28"/>
                <w:u w:val="single"/>
              </w:rPr>
              <w:tab/>
            </w:r>
            <w:r w:rsidRPr="004B4C02">
              <w:rPr>
                <w:sz w:val="28"/>
                <w:szCs w:val="28"/>
                <w:u w:val="single"/>
              </w:rPr>
              <w:tab/>
            </w:r>
            <w:r w:rsidRPr="004B4C02">
              <w:rPr>
                <w:sz w:val="28"/>
                <w:szCs w:val="28"/>
                <w:u w:val="single"/>
              </w:rPr>
              <w:tab/>
            </w:r>
          </w:p>
          <w:p w:rsidR="00732ABD" w:rsidRPr="004B4C02" w:rsidRDefault="00732ABD" w:rsidP="00A07043">
            <w:pPr>
              <w:spacing w:line="240" w:lineRule="auto"/>
              <w:ind w:firstLine="718"/>
              <w:rPr>
                <w:sz w:val="28"/>
                <w:szCs w:val="28"/>
              </w:rPr>
            </w:pPr>
            <w:r w:rsidRPr="004B4C02">
              <w:rPr>
                <w:sz w:val="28"/>
                <w:szCs w:val="28"/>
              </w:rPr>
              <w:t>Kevin M. Morrow Esq.</w:t>
            </w:r>
          </w:p>
          <w:p w:rsidR="00732ABD" w:rsidRPr="004B4C02" w:rsidRDefault="00732ABD" w:rsidP="00A07043">
            <w:pPr>
              <w:spacing w:line="240" w:lineRule="auto"/>
              <w:ind w:firstLine="718"/>
              <w:rPr>
                <w:sz w:val="28"/>
                <w:szCs w:val="28"/>
              </w:rPr>
            </w:pPr>
            <w:r w:rsidRPr="004B4C02">
              <w:rPr>
                <w:sz w:val="28"/>
                <w:szCs w:val="28"/>
              </w:rPr>
              <w:t>AZ SBN 034697</w:t>
            </w:r>
          </w:p>
          <w:p w:rsidR="00732ABD" w:rsidRPr="004B4C02" w:rsidRDefault="00732ABD" w:rsidP="00732ABD">
            <w:pPr>
              <w:spacing w:line="240" w:lineRule="auto"/>
              <w:rPr>
                <w:sz w:val="28"/>
                <w:szCs w:val="28"/>
              </w:rPr>
            </w:pPr>
          </w:p>
        </w:tc>
      </w:tr>
    </w:tbl>
    <w:p w:rsidR="00845CC1" w:rsidRDefault="00845CC1" w:rsidP="00D52A6C">
      <w:pPr>
        <w:spacing w:after="0" w:line="480" w:lineRule="auto"/>
        <w:jc w:val="both"/>
        <w:rPr>
          <w:sz w:val="28"/>
          <w:szCs w:val="28"/>
        </w:rPr>
      </w:pPr>
    </w:p>
    <w:p w:rsidR="000929FE" w:rsidRDefault="000929FE" w:rsidP="00D52A6C">
      <w:pPr>
        <w:spacing w:after="0" w:line="480" w:lineRule="auto"/>
        <w:jc w:val="both"/>
        <w:rPr>
          <w:sz w:val="28"/>
          <w:szCs w:val="28"/>
        </w:rPr>
      </w:pPr>
    </w:p>
    <w:p w:rsidR="000929FE" w:rsidRPr="004B4C02" w:rsidRDefault="000929FE" w:rsidP="00D52A6C">
      <w:pPr>
        <w:spacing w:after="0" w:line="480" w:lineRule="auto"/>
        <w:jc w:val="both"/>
        <w:rPr>
          <w:sz w:val="28"/>
          <w:szCs w:val="28"/>
        </w:rPr>
      </w:pPr>
      <w:r>
        <w:rPr>
          <w:sz w:val="28"/>
          <w:szCs w:val="28"/>
        </w:rPr>
        <w:t>//</w:t>
      </w:r>
      <w:bookmarkStart w:id="3" w:name="_GoBack"/>
      <w:bookmarkEnd w:id="3"/>
    </w:p>
    <w:p w:rsidR="008A7E13" w:rsidRDefault="008A7E13" w:rsidP="008A7E13">
      <w:pPr>
        <w:jc w:val="center"/>
        <w:rPr>
          <w:b/>
          <w:sz w:val="28"/>
          <w:szCs w:val="28"/>
        </w:rPr>
      </w:pPr>
      <w:r w:rsidRPr="00DA69B5">
        <w:rPr>
          <w:b/>
          <w:sz w:val="28"/>
          <w:szCs w:val="28"/>
        </w:rPr>
        <w:lastRenderedPageBreak/>
        <w:t>APPENDIX A</w:t>
      </w:r>
    </w:p>
    <w:p w:rsidR="008A7E13" w:rsidRPr="00D80AF8" w:rsidRDefault="008A7E13" w:rsidP="008A7E13">
      <w:pPr>
        <w:jc w:val="center"/>
        <w:rPr>
          <w:sz w:val="28"/>
          <w:szCs w:val="28"/>
        </w:rPr>
      </w:pPr>
      <w:r>
        <w:rPr>
          <w:sz w:val="28"/>
          <w:szCs w:val="28"/>
        </w:rPr>
        <w:t xml:space="preserve">(Please note: deletions are reflected by strikethrough and additions are reflected by underline and </w:t>
      </w:r>
      <w:r w:rsidR="00FA5ABF">
        <w:rPr>
          <w:sz w:val="28"/>
          <w:szCs w:val="28"/>
        </w:rPr>
        <w:t>bold</w:t>
      </w:r>
      <w:r>
        <w:rPr>
          <w:sz w:val="28"/>
          <w:szCs w:val="28"/>
        </w:rPr>
        <w:t>.)</w:t>
      </w:r>
    </w:p>
    <w:p w:rsidR="007913E6" w:rsidRDefault="007913E6" w:rsidP="007913E6">
      <w:pPr>
        <w:rPr>
          <w:sz w:val="28"/>
          <w:szCs w:val="28"/>
        </w:rPr>
      </w:pPr>
      <w:r w:rsidRPr="008F0798">
        <w:rPr>
          <w:sz w:val="28"/>
          <w:szCs w:val="28"/>
        </w:rPr>
        <w:t xml:space="preserve">Rule </w:t>
      </w:r>
      <w:r w:rsidR="00DA69B5">
        <w:t>32.16</w:t>
      </w:r>
      <w:r w:rsidRPr="008F0798">
        <w:rPr>
          <w:sz w:val="28"/>
          <w:szCs w:val="28"/>
        </w:rPr>
        <w:t xml:space="preserve">. </w:t>
      </w:r>
      <w:r w:rsidR="00DA69B5" w:rsidRPr="00DA69B5">
        <w:rPr>
          <w:sz w:val="28"/>
          <w:szCs w:val="28"/>
        </w:rPr>
        <w:t>Petition and Cross-Petition for Review</w:t>
      </w:r>
    </w:p>
    <w:p w:rsidR="008A7E13" w:rsidRDefault="008A7E13" w:rsidP="007913E6">
      <w:pPr>
        <w:rPr>
          <w:b/>
          <w:sz w:val="28"/>
          <w:szCs w:val="28"/>
        </w:rPr>
      </w:pPr>
      <w:r w:rsidRPr="00FA5ABF">
        <w:rPr>
          <w:sz w:val="28"/>
          <w:szCs w:val="28"/>
        </w:rPr>
        <w:t>(a)</w:t>
      </w:r>
      <w:r w:rsidR="00FA5ABF" w:rsidRPr="00FA5ABF">
        <w:rPr>
          <w:sz w:val="28"/>
          <w:szCs w:val="28"/>
        </w:rPr>
        <w:t>–(</w:t>
      </w:r>
      <w:r w:rsidR="007C032A">
        <w:rPr>
          <w:sz w:val="28"/>
          <w:szCs w:val="28"/>
        </w:rPr>
        <w:t>e</w:t>
      </w:r>
      <w:r w:rsidR="00FA5ABF" w:rsidRPr="00FA5ABF">
        <w:rPr>
          <w:sz w:val="28"/>
          <w:szCs w:val="28"/>
        </w:rPr>
        <w:t>)</w:t>
      </w:r>
      <w:r w:rsidRPr="00FA5ABF">
        <w:rPr>
          <w:sz w:val="28"/>
          <w:szCs w:val="28"/>
        </w:rPr>
        <w:t xml:space="preserve"> [No Change]</w:t>
      </w:r>
    </w:p>
    <w:p w:rsidR="007C032A" w:rsidRPr="007C032A" w:rsidRDefault="007C032A" w:rsidP="007C032A">
      <w:pPr>
        <w:tabs>
          <w:tab w:val="left" w:pos="1410"/>
        </w:tabs>
        <w:rPr>
          <w:sz w:val="28"/>
          <w:szCs w:val="28"/>
        </w:rPr>
      </w:pPr>
      <w:r w:rsidRPr="007C032A">
        <w:rPr>
          <w:sz w:val="28"/>
          <w:szCs w:val="28"/>
        </w:rPr>
        <w:t>(f) Response to a Petition or Cross-Petition for Review; Reply.</w:t>
      </w:r>
    </w:p>
    <w:p w:rsidR="007C032A" w:rsidRPr="007C032A" w:rsidRDefault="007C032A" w:rsidP="007C032A">
      <w:pPr>
        <w:tabs>
          <w:tab w:val="left" w:pos="1410"/>
        </w:tabs>
        <w:rPr>
          <w:sz w:val="28"/>
          <w:szCs w:val="28"/>
        </w:rPr>
      </w:pPr>
      <w:r w:rsidRPr="007C032A">
        <w:rPr>
          <w:sz w:val="28"/>
          <w:szCs w:val="28"/>
        </w:rPr>
        <w:t>(1) Time and Place for Filing a Response; Extensions of Time.</w:t>
      </w:r>
    </w:p>
    <w:p w:rsidR="007C032A" w:rsidRPr="007C032A" w:rsidRDefault="007C032A" w:rsidP="007C032A">
      <w:pPr>
        <w:tabs>
          <w:tab w:val="left" w:pos="1410"/>
        </w:tabs>
        <w:rPr>
          <w:sz w:val="28"/>
          <w:szCs w:val="28"/>
        </w:rPr>
      </w:pPr>
      <w:r w:rsidRPr="007C032A">
        <w:rPr>
          <w:sz w:val="28"/>
          <w:szCs w:val="28"/>
        </w:rPr>
        <w:t>(A) No later than 30 days after a petition or cross-petition is served, a party opposing the petition or cross-petition may file a response in the appellate court. Rule 31.3(d) governs computation of the deadline for filing the response.</w:t>
      </w:r>
    </w:p>
    <w:p w:rsidR="007C032A" w:rsidRPr="007C032A" w:rsidRDefault="007C032A" w:rsidP="007C032A">
      <w:pPr>
        <w:tabs>
          <w:tab w:val="left" w:pos="1410"/>
        </w:tabs>
        <w:rPr>
          <w:sz w:val="28"/>
          <w:szCs w:val="28"/>
        </w:rPr>
      </w:pPr>
      <w:r w:rsidRPr="007C032A">
        <w:rPr>
          <w:sz w:val="28"/>
          <w:szCs w:val="28"/>
        </w:rPr>
        <w:t>(B) A party may file a motion with the appellate court for an extension of the time to file a response or reply in accordance with Rule 31.3(e).</w:t>
      </w:r>
    </w:p>
    <w:p w:rsidR="007C032A" w:rsidRPr="007C032A" w:rsidRDefault="007C032A" w:rsidP="007C032A">
      <w:pPr>
        <w:tabs>
          <w:tab w:val="left" w:pos="1410"/>
        </w:tabs>
        <w:rPr>
          <w:sz w:val="28"/>
          <w:szCs w:val="28"/>
        </w:rPr>
      </w:pPr>
      <w:r w:rsidRPr="007C032A">
        <w:rPr>
          <w:sz w:val="28"/>
          <w:szCs w:val="28"/>
        </w:rPr>
        <w:t>(2) Form and Length of Response. The response must not exceed 6,000 words if typed and 22 pages if handwritten, exclusive of an appendix, and must comply with the form requirements in subpart (c)(1). An appendix to a response must comply with the form and substantive requirements in section (d).</w:t>
      </w:r>
    </w:p>
    <w:p w:rsidR="00FA5ABF" w:rsidRDefault="007C032A" w:rsidP="007C032A">
      <w:pPr>
        <w:tabs>
          <w:tab w:val="left" w:pos="1410"/>
        </w:tabs>
        <w:rPr>
          <w:sz w:val="28"/>
          <w:szCs w:val="28"/>
        </w:rPr>
      </w:pPr>
      <w:r w:rsidRPr="007C032A">
        <w:rPr>
          <w:sz w:val="28"/>
          <w:szCs w:val="28"/>
        </w:rPr>
        <w:t xml:space="preserve">(3) Reply. No later than 10 days after a response is served, a party may file a reply. The reply is limited to matters addressed in the response and may not exceed 3,000 words if typed and 11 pages if handwritten. </w:t>
      </w:r>
      <w:r w:rsidRPr="007C032A">
        <w:rPr>
          <w:b/>
          <w:sz w:val="28"/>
          <w:szCs w:val="28"/>
          <w:u w:val="single"/>
        </w:rPr>
        <w:t xml:space="preserve">However, a </w:t>
      </w:r>
      <w:r>
        <w:rPr>
          <w:b/>
          <w:sz w:val="28"/>
          <w:szCs w:val="28"/>
          <w:u w:val="single"/>
        </w:rPr>
        <w:t>reply</w:t>
      </w:r>
      <w:r w:rsidRPr="007C032A">
        <w:rPr>
          <w:b/>
          <w:sz w:val="28"/>
          <w:szCs w:val="28"/>
          <w:u w:val="single"/>
        </w:rPr>
        <w:t xml:space="preserve"> in a capital case must not exceed </w:t>
      </w:r>
      <w:r w:rsidR="009604F1">
        <w:rPr>
          <w:b/>
          <w:sz w:val="28"/>
          <w:szCs w:val="28"/>
          <w:u w:val="single"/>
        </w:rPr>
        <w:t>6</w:t>
      </w:r>
      <w:r w:rsidRPr="007C032A">
        <w:rPr>
          <w:b/>
          <w:sz w:val="28"/>
          <w:szCs w:val="28"/>
          <w:u w:val="single"/>
        </w:rPr>
        <w:t xml:space="preserve">,000 words if typed or </w:t>
      </w:r>
      <w:r w:rsidR="009604F1">
        <w:rPr>
          <w:b/>
          <w:sz w:val="28"/>
          <w:szCs w:val="28"/>
          <w:u w:val="single"/>
        </w:rPr>
        <w:t>22</w:t>
      </w:r>
      <w:r w:rsidR="00DA69B5">
        <w:rPr>
          <w:b/>
          <w:sz w:val="28"/>
          <w:szCs w:val="28"/>
          <w:u w:val="single"/>
        </w:rPr>
        <w:t xml:space="preserve"> </w:t>
      </w:r>
      <w:r w:rsidRPr="007C032A">
        <w:rPr>
          <w:b/>
          <w:sz w:val="28"/>
          <w:szCs w:val="28"/>
          <w:u w:val="single"/>
        </w:rPr>
        <w:t>pages if handwritten.</w:t>
      </w:r>
      <w:r>
        <w:rPr>
          <w:sz w:val="28"/>
          <w:szCs w:val="28"/>
        </w:rPr>
        <w:t xml:space="preserve"> </w:t>
      </w:r>
      <w:r w:rsidR="00DA69B5">
        <w:rPr>
          <w:sz w:val="28"/>
          <w:szCs w:val="28"/>
        </w:rPr>
        <w:t xml:space="preserve"> </w:t>
      </w:r>
      <w:r w:rsidRPr="007C032A">
        <w:rPr>
          <w:sz w:val="28"/>
          <w:szCs w:val="28"/>
        </w:rPr>
        <w:t>It also must comply with the requirements in subpart (c)(1) and may not include an appendix.</w:t>
      </w:r>
    </w:p>
    <w:p w:rsidR="00DA69B5" w:rsidRPr="007C032A" w:rsidRDefault="00DA69B5" w:rsidP="007C032A">
      <w:pPr>
        <w:tabs>
          <w:tab w:val="left" w:pos="1410"/>
        </w:tabs>
        <w:rPr>
          <w:sz w:val="28"/>
          <w:szCs w:val="28"/>
        </w:rPr>
      </w:pPr>
    </w:p>
    <w:p w:rsidR="008A7E13" w:rsidRDefault="008A7E13" w:rsidP="008A7E13">
      <w:pPr>
        <w:jc w:val="center"/>
        <w:rPr>
          <w:b/>
          <w:sz w:val="28"/>
          <w:szCs w:val="28"/>
        </w:rPr>
      </w:pPr>
      <w:r w:rsidRPr="008F0798">
        <w:rPr>
          <w:b/>
          <w:sz w:val="28"/>
          <w:szCs w:val="28"/>
        </w:rPr>
        <w:t xml:space="preserve">APPENDIX </w:t>
      </w:r>
      <w:r w:rsidRPr="004C1204">
        <w:rPr>
          <w:b/>
          <w:sz w:val="28"/>
          <w:szCs w:val="28"/>
        </w:rPr>
        <w:t>B</w:t>
      </w:r>
    </w:p>
    <w:p w:rsidR="007913E6" w:rsidRDefault="008A7E13" w:rsidP="008A7E13">
      <w:pPr>
        <w:rPr>
          <w:sz w:val="28"/>
          <w:szCs w:val="28"/>
        </w:rPr>
      </w:pPr>
      <w:r w:rsidRPr="008F0798">
        <w:rPr>
          <w:sz w:val="28"/>
          <w:szCs w:val="28"/>
        </w:rPr>
        <w:t xml:space="preserve">Rule </w:t>
      </w:r>
      <w:r w:rsidR="00DA69B5">
        <w:t>32.16</w:t>
      </w:r>
      <w:r w:rsidRPr="008F0798">
        <w:rPr>
          <w:sz w:val="28"/>
          <w:szCs w:val="28"/>
        </w:rPr>
        <w:t xml:space="preserve">. </w:t>
      </w:r>
      <w:r w:rsidR="00DA69B5" w:rsidRPr="00DA69B5">
        <w:rPr>
          <w:sz w:val="28"/>
          <w:szCs w:val="28"/>
        </w:rPr>
        <w:t>Petition and Cross-Petition for Review</w:t>
      </w:r>
      <w:r w:rsidR="00DA69B5">
        <w:rPr>
          <w:sz w:val="28"/>
          <w:szCs w:val="28"/>
        </w:rPr>
        <w:t xml:space="preserve"> </w:t>
      </w:r>
    </w:p>
    <w:p w:rsidR="00DA69B5" w:rsidRDefault="00DA69B5" w:rsidP="00DA69B5">
      <w:pPr>
        <w:rPr>
          <w:b/>
          <w:sz w:val="28"/>
          <w:szCs w:val="28"/>
        </w:rPr>
      </w:pPr>
      <w:r w:rsidRPr="00FA5ABF">
        <w:rPr>
          <w:sz w:val="28"/>
          <w:szCs w:val="28"/>
        </w:rPr>
        <w:t>(a)–(</w:t>
      </w:r>
      <w:r>
        <w:rPr>
          <w:sz w:val="28"/>
          <w:szCs w:val="28"/>
        </w:rPr>
        <w:t>e</w:t>
      </w:r>
      <w:r w:rsidRPr="00FA5ABF">
        <w:rPr>
          <w:sz w:val="28"/>
          <w:szCs w:val="28"/>
        </w:rPr>
        <w:t>) [No Change]</w:t>
      </w:r>
    </w:p>
    <w:p w:rsidR="00DA69B5" w:rsidRPr="007C032A" w:rsidRDefault="00DA69B5" w:rsidP="00DA69B5">
      <w:pPr>
        <w:tabs>
          <w:tab w:val="left" w:pos="1410"/>
        </w:tabs>
        <w:rPr>
          <w:sz w:val="28"/>
          <w:szCs w:val="28"/>
        </w:rPr>
      </w:pPr>
      <w:r w:rsidRPr="007C032A">
        <w:rPr>
          <w:sz w:val="28"/>
          <w:szCs w:val="28"/>
        </w:rPr>
        <w:t>(f) Response to a Petition or Cross-Petition for Review; Reply.</w:t>
      </w:r>
    </w:p>
    <w:p w:rsidR="00DA69B5" w:rsidRPr="007C032A" w:rsidRDefault="00DA69B5" w:rsidP="00DA69B5">
      <w:pPr>
        <w:tabs>
          <w:tab w:val="left" w:pos="1410"/>
        </w:tabs>
        <w:rPr>
          <w:sz w:val="28"/>
          <w:szCs w:val="28"/>
        </w:rPr>
      </w:pPr>
      <w:r w:rsidRPr="007C032A">
        <w:rPr>
          <w:sz w:val="28"/>
          <w:szCs w:val="28"/>
        </w:rPr>
        <w:t>(1) Time and Place for Filing a Response; Extensions of Time.</w:t>
      </w:r>
    </w:p>
    <w:p w:rsidR="00DA69B5" w:rsidRPr="007C032A" w:rsidRDefault="00DA69B5" w:rsidP="00DA69B5">
      <w:pPr>
        <w:tabs>
          <w:tab w:val="left" w:pos="1410"/>
        </w:tabs>
        <w:rPr>
          <w:sz w:val="28"/>
          <w:szCs w:val="28"/>
        </w:rPr>
      </w:pPr>
      <w:r w:rsidRPr="007C032A">
        <w:rPr>
          <w:sz w:val="28"/>
          <w:szCs w:val="28"/>
        </w:rPr>
        <w:lastRenderedPageBreak/>
        <w:t>(A) No later than 30 days after a petition or cross-petition is served, a party opposing the petition or cross-petition may file a response in the appellate court. Rule 31.3(d) governs computation of the deadline for filing the response.</w:t>
      </w:r>
    </w:p>
    <w:p w:rsidR="00DA69B5" w:rsidRPr="007C032A" w:rsidRDefault="00DA69B5" w:rsidP="00DA69B5">
      <w:pPr>
        <w:tabs>
          <w:tab w:val="left" w:pos="1410"/>
        </w:tabs>
        <w:rPr>
          <w:sz w:val="28"/>
          <w:szCs w:val="28"/>
        </w:rPr>
      </w:pPr>
      <w:r w:rsidRPr="007C032A">
        <w:rPr>
          <w:sz w:val="28"/>
          <w:szCs w:val="28"/>
        </w:rPr>
        <w:t>(B) A party may file a motion with the appellate court for an extension of the time to file a response or reply in accordance with Rule 31.3(e).</w:t>
      </w:r>
    </w:p>
    <w:p w:rsidR="00DA69B5" w:rsidRPr="007C032A" w:rsidRDefault="00DA69B5" w:rsidP="00DA69B5">
      <w:pPr>
        <w:tabs>
          <w:tab w:val="left" w:pos="1410"/>
        </w:tabs>
        <w:rPr>
          <w:sz w:val="28"/>
          <w:szCs w:val="28"/>
        </w:rPr>
      </w:pPr>
      <w:r w:rsidRPr="007C032A">
        <w:rPr>
          <w:sz w:val="28"/>
          <w:szCs w:val="28"/>
        </w:rPr>
        <w:t>(2) Form and Length of Response. The response must not exceed 6,000 words if typed and 22 pages if handwritten, exclusive of an appendix, and must comply with the form requirements in subpart (c)(1). An appendix to a response must comply with the form and substantive requirements in section (d).</w:t>
      </w:r>
    </w:p>
    <w:p w:rsidR="00DA69B5" w:rsidRPr="007C032A" w:rsidRDefault="00DA69B5" w:rsidP="00DA69B5">
      <w:pPr>
        <w:tabs>
          <w:tab w:val="left" w:pos="1410"/>
        </w:tabs>
        <w:rPr>
          <w:sz w:val="28"/>
          <w:szCs w:val="28"/>
        </w:rPr>
      </w:pPr>
      <w:r w:rsidRPr="007C032A">
        <w:rPr>
          <w:sz w:val="28"/>
          <w:szCs w:val="28"/>
        </w:rPr>
        <w:t xml:space="preserve">(3) Reply. No later than 10 days after a response is served, a party may file a reply. The reply is limited to matters addressed in the response and may not exceed 3,000 words if typed </w:t>
      </w:r>
      <w:r w:rsidRPr="00DA69B5">
        <w:rPr>
          <w:sz w:val="28"/>
          <w:szCs w:val="28"/>
        </w:rPr>
        <w:t xml:space="preserve">and 11 pages if handwritten. However, a reply in a capital case must not exceed </w:t>
      </w:r>
      <w:r w:rsidR="009604F1">
        <w:rPr>
          <w:sz w:val="28"/>
          <w:szCs w:val="28"/>
        </w:rPr>
        <w:t>6</w:t>
      </w:r>
      <w:r w:rsidRPr="00DA69B5">
        <w:rPr>
          <w:sz w:val="28"/>
          <w:szCs w:val="28"/>
        </w:rPr>
        <w:t xml:space="preserve">,000 words if typed or </w:t>
      </w:r>
      <w:r w:rsidR="009604F1">
        <w:rPr>
          <w:sz w:val="28"/>
          <w:szCs w:val="28"/>
        </w:rPr>
        <w:t>22</w:t>
      </w:r>
      <w:r w:rsidRPr="00DA69B5">
        <w:rPr>
          <w:sz w:val="28"/>
          <w:szCs w:val="28"/>
        </w:rPr>
        <w:t xml:space="preserve"> pages if handwritten.  It also must comply with the requirements in subpart (c)(1) and may not include</w:t>
      </w:r>
      <w:r w:rsidRPr="007C032A">
        <w:rPr>
          <w:sz w:val="28"/>
          <w:szCs w:val="28"/>
        </w:rPr>
        <w:t xml:space="preserve"> an appendix.</w:t>
      </w:r>
    </w:p>
    <w:p w:rsidR="008A7E13" w:rsidRPr="004B4C02" w:rsidRDefault="008A7E13" w:rsidP="00DA69B5">
      <w:pPr>
        <w:rPr>
          <w:sz w:val="28"/>
          <w:szCs w:val="28"/>
        </w:rPr>
      </w:pPr>
    </w:p>
    <w:sectPr w:rsidR="008A7E13" w:rsidRPr="004B4C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346" w:rsidRDefault="009B2346" w:rsidP="005C157A">
      <w:pPr>
        <w:spacing w:after="0" w:line="240" w:lineRule="auto"/>
      </w:pPr>
      <w:r>
        <w:separator/>
      </w:r>
    </w:p>
    <w:p w:rsidR="00B664CC" w:rsidRDefault="00B664CC"/>
  </w:endnote>
  <w:endnote w:type="continuationSeparator" w:id="0">
    <w:p w:rsidR="009B2346" w:rsidRDefault="009B2346" w:rsidP="005C157A">
      <w:pPr>
        <w:spacing w:after="0" w:line="240" w:lineRule="auto"/>
      </w:pPr>
      <w:r>
        <w:continuationSeparator/>
      </w:r>
    </w:p>
    <w:p w:rsidR="00B664CC" w:rsidRDefault="00B66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22483"/>
      <w:docPartObj>
        <w:docPartGallery w:val="Page Numbers (Bottom of Page)"/>
        <w:docPartUnique/>
      </w:docPartObj>
    </w:sdtPr>
    <w:sdtEndPr>
      <w:rPr>
        <w:noProof/>
      </w:rPr>
    </w:sdtEndPr>
    <w:sdtContent>
      <w:p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C157A" w:rsidRDefault="005C157A">
    <w:pPr>
      <w:pStyle w:val="Footer"/>
    </w:pPr>
  </w:p>
  <w:p w:rsidR="00B664CC" w:rsidRDefault="00B66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346" w:rsidRDefault="009B2346" w:rsidP="005C157A">
      <w:pPr>
        <w:spacing w:after="0" w:line="240" w:lineRule="auto"/>
      </w:pPr>
      <w:r>
        <w:separator/>
      </w:r>
    </w:p>
    <w:p w:rsidR="00B664CC" w:rsidRDefault="00B664CC"/>
  </w:footnote>
  <w:footnote w:type="continuationSeparator" w:id="0">
    <w:p w:rsidR="009B2346" w:rsidRDefault="009B2346" w:rsidP="005C157A">
      <w:pPr>
        <w:spacing w:after="0" w:line="240" w:lineRule="auto"/>
      </w:pPr>
      <w:r>
        <w:continuationSeparator/>
      </w:r>
    </w:p>
    <w:p w:rsidR="00B664CC" w:rsidRDefault="00B664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E7FAF698"/>
    <w:lvl w:ilvl="0" w:tplc="60449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2513B"/>
    <w:rsid w:val="00031A0A"/>
    <w:rsid w:val="00053B9F"/>
    <w:rsid w:val="00061409"/>
    <w:rsid w:val="000740FE"/>
    <w:rsid w:val="0008574A"/>
    <w:rsid w:val="000929FE"/>
    <w:rsid w:val="00094C28"/>
    <w:rsid w:val="000C6E06"/>
    <w:rsid w:val="00122CA4"/>
    <w:rsid w:val="001321E3"/>
    <w:rsid w:val="00144AEC"/>
    <w:rsid w:val="00161C9E"/>
    <w:rsid w:val="00174E66"/>
    <w:rsid w:val="001B48AE"/>
    <w:rsid w:val="00235E34"/>
    <w:rsid w:val="00241435"/>
    <w:rsid w:val="00265931"/>
    <w:rsid w:val="002C44C3"/>
    <w:rsid w:val="002E5551"/>
    <w:rsid w:val="003722DE"/>
    <w:rsid w:val="00390416"/>
    <w:rsid w:val="00392504"/>
    <w:rsid w:val="003C6DDF"/>
    <w:rsid w:val="003D2360"/>
    <w:rsid w:val="00401309"/>
    <w:rsid w:val="00416091"/>
    <w:rsid w:val="00432159"/>
    <w:rsid w:val="00432319"/>
    <w:rsid w:val="004522CD"/>
    <w:rsid w:val="0045719D"/>
    <w:rsid w:val="00493056"/>
    <w:rsid w:val="004B4C02"/>
    <w:rsid w:val="004C1204"/>
    <w:rsid w:val="004C70EF"/>
    <w:rsid w:val="004D3D8B"/>
    <w:rsid w:val="004E1271"/>
    <w:rsid w:val="005019FE"/>
    <w:rsid w:val="00514892"/>
    <w:rsid w:val="005164F6"/>
    <w:rsid w:val="00582D65"/>
    <w:rsid w:val="005C157A"/>
    <w:rsid w:val="005D68C6"/>
    <w:rsid w:val="005E0963"/>
    <w:rsid w:val="005E65F9"/>
    <w:rsid w:val="005E744C"/>
    <w:rsid w:val="00604579"/>
    <w:rsid w:val="006221DF"/>
    <w:rsid w:val="00646D5E"/>
    <w:rsid w:val="00653C47"/>
    <w:rsid w:val="00692AB7"/>
    <w:rsid w:val="006B1715"/>
    <w:rsid w:val="006C01D1"/>
    <w:rsid w:val="006C28A3"/>
    <w:rsid w:val="006D4ACE"/>
    <w:rsid w:val="006D6ADF"/>
    <w:rsid w:val="007012BF"/>
    <w:rsid w:val="00721C02"/>
    <w:rsid w:val="00732ABD"/>
    <w:rsid w:val="007579FA"/>
    <w:rsid w:val="007913E6"/>
    <w:rsid w:val="007C032A"/>
    <w:rsid w:val="007E3517"/>
    <w:rsid w:val="007F3DA6"/>
    <w:rsid w:val="007F7B5E"/>
    <w:rsid w:val="0083270A"/>
    <w:rsid w:val="00842B3C"/>
    <w:rsid w:val="00845CC1"/>
    <w:rsid w:val="00885026"/>
    <w:rsid w:val="008960F1"/>
    <w:rsid w:val="008A7E13"/>
    <w:rsid w:val="00913EAA"/>
    <w:rsid w:val="00917593"/>
    <w:rsid w:val="00925D25"/>
    <w:rsid w:val="009604F1"/>
    <w:rsid w:val="00962AAA"/>
    <w:rsid w:val="00985E83"/>
    <w:rsid w:val="00990EFD"/>
    <w:rsid w:val="0099239F"/>
    <w:rsid w:val="00994E39"/>
    <w:rsid w:val="009A032C"/>
    <w:rsid w:val="009A546B"/>
    <w:rsid w:val="009B2346"/>
    <w:rsid w:val="009B3A4B"/>
    <w:rsid w:val="009B799C"/>
    <w:rsid w:val="009C0C7C"/>
    <w:rsid w:val="00A126D6"/>
    <w:rsid w:val="00A258DB"/>
    <w:rsid w:val="00A71842"/>
    <w:rsid w:val="00A92FA2"/>
    <w:rsid w:val="00AA0A99"/>
    <w:rsid w:val="00AE2CE8"/>
    <w:rsid w:val="00AE4264"/>
    <w:rsid w:val="00AF5FAC"/>
    <w:rsid w:val="00B05678"/>
    <w:rsid w:val="00B220B4"/>
    <w:rsid w:val="00B23523"/>
    <w:rsid w:val="00B40A19"/>
    <w:rsid w:val="00B45A89"/>
    <w:rsid w:val="00B55FCC"/>
    <w:rsid w:val="00B62AAE"/>
    <w:rsid w:val="00B664CC"/>
    <w:rsid w:val="00B66D3D"/>
    <w:rsid w:val="00B973E0"/>
    <w:rsid w:val="00BB6F39"/>
    <w:rsid w:val="00BE1856"/>
    <w:rsid w:val="00C12354"/>
    <w:rsid w:val="00C83DDA"/>
    <w:rsid w:val="00CB448C"/>
    <w:rsid w:val="00CC0A54"/>
    <w:rsid w:val="00CC431C"/>
    <w:rsid w:val="00CC58D3"/>
    <w:rsid w:val="00CD08C9"/>
    <w:rsid w:val="00D14B6C"/>
    <w:rsid w:val="00D4043C"/>
    <w:rsid w:val="00D50F57"/>
    <w:rsid w:val="00D52A6C"/>
    <w:rsid w:val="00D741BA"/>
    <w:rsid w:val="00DA69B5"/>
    <w:rsid w:val="00E10C74"/>
    <w:rsid w:val="00E170F6"/>
    <w:rsid w:val="00E35E6C"/>
    <w:rsid w:val="00E3718D"/>
    <w:rsid w:val="00E779FD"/>
    <w:rsid w:val="00EA1C1D"/>
    <w:rsid w:val="00EC18F2"/>
    <w:rsid w:val="00ED2BCB"/>
    <w:rsid w:val="00EF2F4F"/>
    <w:rsid w:val="00EF7065"/>
    <w:rsid w:val="00F05A4F"/>
    <w:rsid w:val="00F51F4F"/>
    <w:rsid w:val="00F8323C"/>
    <w:rsid w:val="00FA5ABF"/>
    <w:rsid w:val="00FB3031"/>
    <w:rsid w:val="00FB4F5F"/>
    <w:rsid w:val="00FC354A"/>
    <w:rsid w:val="00FD1E35"/>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375B"/>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A0A"/>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85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E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2749">
      <w:bodyDiv w:val="1"/>
      <w:marLeft w:val="0"/>
      <w:marRight w:val="0"/>
      <w:marTop w:val="0"/>
      <w:marBottom w:val="0"/>
      <w:divBdr>
        <w:top w:val="none" w:sz="0" w:space="0" w:color="auto"/>
        <w:left w:val="none" w:sz="0" w:space="0" w:color="auto"/>
        <w:bottom w:val="none" w:sz="0" w:space="0" w:color="auto"/>
        <w:right w:val="none" w:sz="0" w:space="0" w:color="auto"/>
      </w:divBdr>
      <w:divsChild>
        <w:div w:id="884759132">
          <w:marLeft w:val="0"/>
          <w:marRight w:val="0"/>
          <w:marTop w:val="0"/>
          <w:marBottom w:val="0"/>
          <w:divBdr>
            <w:top w:val="none" w:sz="0" w:space="0" w:color="3D3D3D"/>
            <w:left w:val="none" w:sz="0" w:space="0" w:color="3D3D3D"/>
            <w:bottom w:val="none" w:sz="0" w:space="0" w:color="3D3D3D"/>
            <w:right w:val="none" w:sz="0" w:space="0" w:color="3D3D3D"/>
          </w:divBdr>
          <w:divsChild>
            <w:div w:id="410780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373512">
      <w:bodyDiv w:val="1"/>
      <w:marLeft w:val="0"/>
      <w:marRight w:val="0"/>
      <w:marTop w:val="0"/>
      <w:marBottom w:val="0"/>
      <w:divBdr>
        <w:top w:val="none" w:sz="0" w:space="0" w:color="auto"/>
        <w:left w:val="none" w:sz="0" w:space="0" w:color="auto"/>
        <w:bottom w:val="none" w:sz="0" w:space="0" w:color="auto"/>
        <w:right w:val="none" w:sz="0" w:space="0" w:color="auto"/>
      </w:divBdr>
      <w:divsChild>
        <w:div w:id="353002747">
          <w:marLeft w:val="0"/>
          <w:marRight w:val="0"/>
          <w:marTop w:val="0"/>
          <w:marBottom w:val="0"/>
          <w:divBdr>
            <w:top w:val="none" w:sz="0" w:space="0" w:color="3D3D3D"/>
            <w:left w:val="none" w:sz="0" w:space="0" w:color="3D3D3D"/>
            <w:bottom w:val="none" w:sz="0" w:space="0" w:color="3D3D3D"/>
            <w:right w:val="none" w:sz="0" w:space="0" w:color="3D3D3D"/>
          </w:divBdr>
          <w:divsChild>
            <w:div w:id="2016640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0305388">
      <w:bodyDiv w:val="1"/>
      <w:marLeft w:val="0"/>
      <w:marRight w:val="0"/>
      <w:marTop w:val="0"/>
      <w:marBottom w:val="0"/>
      <w:divBdr>
        <w:top w:val="none" w:sz="0" w:space="0" w:color="auto"/>
        <w:left w:val="none" w:sz="0" w:space="0" w:color="auto"/>
        <w:bottom w:val="none" w:sz="0" w:space="0" w:color="auto"/>
        <w:right w:val="none" w:sz="0" w:space="0" w:color="auto"/>
      </w:divBdr>
      <w:divsChild>
        <w:div w:id="1249119551">
          <w:marLeft w:val="0"/>
          <w:marRight w:val="0"/>
          <w:marTop w:val="0"/>
          <w:marBottom w:val="0"/>
          <w:divBdr>
            <w:top w:val="none" w:sz="0" w:space="0" w:color="3D3D3D"/>
            <w:left w:val="none" w:sz="0" w:space="0" w:color="3D3D3D"/>
            <w:bottom w:val="none" w:sz="0" w:space="0" w:color="3D3D3D"/>
            <w:right w:val="none" w:sz="0" w:space="0" w:color="3D3D3D"/>
          </w:divBdr>
          <w:divsChild>
            <w:div w:id="36668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066875">
      <w:bodyDiv w:val="1"/>
      <w:marLeft w:val="0"/>
      <w:marRight w:val="0"/>
      <w:marTop w:val="0"/>
      <w:marBottom w:val="0"/>
      <w:divBdr>
        <w:top w:val="none" w:sz="0" w:space="0" w:color="auto"/>
        <w:left w:val="none" w:sz="0" w:space="0" w:color="auto"/>
        <w:bottom w:val="none" w:sz="0" w:space="0" w:color="auto"/>
        <w:right w:val="none" w:sz="0" w:space="0" w:color="auto"/>
      </w:divBdr>
      <w:divsChild>
        <w:div w:id="38629548">
          <w:marLeft w:val="0"/>
          <w:marRight w:val="0"/>
          <w:marTop w:val="0"/>
          <w:marBottom w:val="0"/>
          <w:divBdr>
            <w:top w:val="none" w:sz="0" w:space="0" w:color="3D3D3D"/>
            <w:left w:val="none" w:sz="0" w:space="0" w:color="3D3D3D"/>
            <w:bottom w:val="none" w:sz="0" w:space="0" w:color="3D3D3D"/>
            <w:right w:val="none" w:sz="0" w:space="0" w:color="3D3D3D"/>
          </w:divBdr>
          <w:divsChild>
            <w:div w:id="87831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197392">
      <w:bodyDiv w:val="1"/>
      <w:marLeft w:val="0"/>
      <w:marRight w:val="0"/>
      <w:marTop w:val="0"/>
      <w:marBottom w:val="0"/>
      <w:divBdr>
        <w:top w:val="none" w:sz="0" w:space="0" w:color="auto"/>
        <w:left w:val="none" w:sz="0" w:space="0" w:color="auto"/>
        <w:bottom w:val="none" w:sz="0" w:space="0" w:color="auto"/>
        <w:right w:val="none" w:sz="0" w:space="0" w:color="auto"/>
      </w:divBdr>
      <w:divsChild>
        <w:div w:id="1436486629">
          <w:marLeft w:val="0"/>
          <w:marRight w:val="0"/>
          <w:marTop w:val="0"/>
          <w:marBottom w:val="0"/>
          <w:divBdr>
            <w:top w:val="none" w:sz="0" w:space="0" w:color="3D3D3D"/>
            <w:left w:val="none" w:sz="0" w:space="0" w:color="3D3D3D"/>
            <w:bottom w:val="none" w:sz="0" w:space="0" w:color="3D3D3D"/>
            <w:right w:val="none" w:sz="0" w:space="0" w:color="3D3D3D"/>
          </w:divBdr>
          <w:divsChild>
            <w:div w:id="397090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5629-2A78-4212-9F6D-3D50A33F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Morrow, Kevin</cp:lastModifiedBy>
  <cp:revision>14</cp:revision>
  <dcterms:created xsi:type="dcterms:W3CDTF">2024-12-04T18:40:00Z</dcterms:created>
  <dcterms:modified xsi:type="dcterms:W3CDTF">2025-01-09T23:09:00Z</dcterms:modified>
</cp:coreProperties>
</file>