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A6BF65" w14:textId="77777777" w:rsidR="00AB35B2" w:rsidRDefault="00AB35B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hAnsi="Courier New" w:cs="Courier New"/>
          <w:color w:val="000000"/>
        </w:rPr>
      </w:pPr>
    </w:p>
    <w:p w14:paraId="4809775C" w14:textId="77777777" w:rsidR="00DF3FD0" w:rsidRPr="00CD5236" w:rsidRDefault="00CD5236" w:rsidP="008E4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CD5236">
        <w:rPr>
          <w:rFonts w:ascii="Times New Roman" w:hAnsi="Times New Roman"/>
          <w:b/>
          <w:bCs/>
          <w:color w:val="000000"/>
          <w:sz w:val="44"/>
          <w:szCs w:val="44"/>
        </w:rPr>
        <w:t>APPENDIX A</w:t>
      </w:r>
    </w:p>
    <w:p w14:paraId="2E34CD07" w14:textId="77777777" w:rsidR="00DF3FD0" w:rsidRPr="002157D7" w:rsidRDefault="00DF3FD0" w:rsidP="008E4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9"/>
        </w:rPr>
      </w:pPr>
    </w:p>
    <w:p w14:paraId="3AAA5FC2" w14:textId="77777777" w:rsidR="00CD5236" w:rsidRDefault="00CD5236" w:rsidP="008E4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9"/>
        </w:rPr>
      </w:pPr>
      <w:r>
        <w:rPr>
          <w:rFonts w:ascii="Times New Roman" w:hAnsi="Times New Roman"/>
          <w:b/>
          <w:bCs/>
          <w:color w:val="000000"/>
          <w:sz w:val="26"/>
          <w:szCs w:val="29"/>
        </w:rPr>
        <w:t xml:space="preserve">COMMISSION ON JUDICIAL PERFORMANCE REVIEW’S </w:t>
      </w:r>
    </w:p>
    <w:p w14:paraId="352863A1" w14:textId="77777777" w:rsidR="00CD5236" w:rsidRDefault="00CD5236" w:rsidP="008E4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9"/>
        </w:rPr>
      </w:pPr>
      <w:r>
        <w:rPr>
          <w:rFonts w:ascii="Times New Roman" w:hAnsi="Times New Roman"/>
          <w:b/>
          <w:bCs/>
          <w:color w:val="000000"/>
          <w:sz w:val="26"/>
          <w:szCs w:val="29"/>
        </w:rPr>
        <w:t>PROPOSED AMENDMENTS</w:t>
      </w:r>
    </w:p>
    <w:p w14:paraId="6982DC45" w14:textId="77777777" w:rsidR="00CD5236" w:rsidRDefault="00CD5236" w:rsidP="008E4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9"/>
        </w:rPr>
      </w:pPr>
      <w:r>
        <w:rPr>
          <w:rFonts w:ascii="Times New Roman" w:hAnsi="Times New Roman"/>
          <w:b/>
          <w:bCs/>
          <w:color w:val="000000"/>
          <w:sz w:val="26"/>
          <w:szCs w:val="29"/>
        </w:rPr>
        <w:t>to</w:t>
      </w:r>
    </w:p>
    <w:p w14:paraId="5C493987" w14:textId="77777777" w:rsidR="00097EE0" w:rsidRPr="002157D7" w:rsidRDefault="00097EE0" w:rsidP="008E4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9"/>
        </w:rPr>
      </w:pPr>
      <w:r w:rsidRPr="002157D7">
        <w:rPr>
          <w:rFonts w:ascii="Times New Roman" w:hAnsi="Times New Roman"/>
          <w:b/>
          <w:bCs/>
          <w:color w:val="000000"/>
          <w:sz w:val="26"/>
          <w:szCs w:val="29"/>
        </w:rPr>
        <w:t>RULES OF PROCEDURE FOR</w:t>
      </w:r>
    </w:p>
    <w:p w14:paraId="0030D08E" w14:textId="77777777" w:rsidR="00097EE0" w:rsidRPr="002157D7" w:rsidRDefault="00097EE0" w:rsidP="00097EE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9"/>
        </w:rPr>
      </w:pPr>
      <w:r w:rsidRPr="002157D7">
        <w:rPr>
          <w:rFonts w:ascii="Times New Roman" w:hAnsi="Times New Roman"/>
          <w:b/>
          <w:bCs/>
          <w:color w:val="000000"/>
          <w:sz w:val="26"/>
          <w:szCs w:val="29"/>
        </w:rPr>
        <w:t>JUDICIAL PERFORMANCE REVIEW</w:t>
      </w:r>
    </w:p>
    <w:p w14:paraId="6BBD8943" w14:textId="77777777" w:rsidR="000E0A49" w:rsidRDefault="00097EE0" w:rsidP="00CD5236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9"/>
        </w:rPr>
      </w:pPr>
      <w:r w:rsidRPr="002157D7">
        <w:rPr>
          <w:rFonts w:ascii="Times New Roman" w:hAnsi="Times New Roman"/>
          <w:b/>
          <w:bCs/>
          <w:color w:val="000000"/>
          <w:sz w:val="26"/>
          <w:szCs w:val="29"/>
        </w:rPr>
        <w:t>IN THE STATE OF ARIZONA</w:t>
      </w:r>
    </w:p>
    <w:p w14:paraId="6147B997" w14:textId="77777777" w:rsidR="00CD5236" w:rsidRPr="00CD5236" w:rsidRDefault="00CD5236" w:rsidP="000E0A49">
      <w:pPr>
        <w:shd w:val="clear" w:color="auto" w:fill="FFFFFF"/>
        <w:spacing w:after="36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9"/>
        </w:rPr>
      </w:pPr>
      <w:r>
        <w:rPr>
          <w:rFonts w:ascii="TimesNewRomanPSMT" w:hAnsi="TimesNewRomanPSMT" w:cs="TimesNewRomanPSMT"/>
          <w:sz w:val="28"/>
          <w:szCs w:val="28"/>
        </w:rPr>
        <w:t xml:space="preserve">(Additions are shown by </w:t>
      </w:r>
      <w:r w:rsidRPr="00CD5236">
        <w:rPr>
          <w:rFonts w:ascii="TimesNewRomanPSMT" w:hAnsi="TimesNewRomanPSMT" w:cs="TimesNewRomanPSMT"/>
          <w:sz w:val="28"/>
          <w:szCs w:val="28"/>
          <w:u w:val="single"/>
        </w:rPr>
        <w:t>underline</w:t>
      </w:r>
      <w:r>
        <w:rPr>
          <w:rFonts w:ascii="TimesNewRomanPSMT" w:hAnsi="TimesNewRomanPSMT" w:cs="TimesNewRomanPSMT"/>
          <w:sz w:val="28"/>
          <w:szCs w:val="28"/>
        </w:rPr>
        <w:t xml:space="preserve">; deletions are shown by </w:t>
      </w:r>
      <w:r w:rsidRPr="00CD5236">
        <w:rPr>
          <w:rFonts w:ascii="TimesNewRomanPSMT" w:hAnsi="TimesNewRomanPSMT" w:cs="TimesNewRomanPSMT"/>
          <w:strike/>
          <w:sz w:val="28"/>
          <w:szCs w:val="28"/>
        </w:rPr>
        <w:t>strikethrough</w:t>
      </w:r>
      <w:r>
        <w:rPr>
          <w:rFonts w:ascii="TimesNewRomanPSMT" w:hAnsi="TimesNewRomanPSMT" w:cs="TimesNewRomanPSMT"/>
          <w:sz w:val="28"/>
          <w:szCs w:val="28"/>
        </w:rPr>
        <w:t>)</w:t>
      </w:r>
    </w:p>
    <w:p w14:paraId="17A7AD73" w14:textId="77777777" w:rsidR="00097EE0" w:rsidRDefault="00097EE0" w:rsidP="00CD5236">
      <w:pPr>
        <w:pStyle w:val="Heading2"/>
        <w:widowControl/>
        <w:spacing w:line="240" w:lineRule="auto"/>
        <w:ind w:left="0"/>
        <w:rPr>
          <w:sz w:val="26"/>
          <w:szCs w:val="26"/>
        </w:rPr>
      </w:pPr>
      <w:r w:rsidRPr="002157D7">
        <w:rPr>
          <w:sz w:val="26"/>
          <w:szCs w:val="26"/>
        </w:rPr>
        <w:t xml:space="preserve">Rule 1. </w:t>
      </w:r>
      <w:r w:rsidR="00CD5236">
        <w:rPr>
          <w:sz w:val="26"/>
          <w:szCs w:val="26"/>
        </w:rPr>
        <w:t xml:space="preserve">through 4. </w:t>
      </w:r>
      <w:r w:rsidR="00CD5236" w:rsidRPr="00CD5236">
        <w:rPr>
          <w:b w:val="0"/>
          <w:bCs/>
          <w:sz w:val="26"/>
          <w:szCs w:val="26"/>
        </w:rPr>
        <w:t>[No changes]</w:t>
      </w:r>
    </w:p>
    <w:p w14:paraId="16B5D538" w14:textId="77777777" w:rsidR="00CD5236" w:rsidRPr="00CD5236" w:rsidRDefault="00CD5236" w:rsidP="00CD5236">
      <w:pPr>
        <w:spacing w:after="0" w:line="240" w:lineRule="auto"/>
      </w:pPr>
    </w:p>
    <w:p w14:paraId="58C180E9" w14:textId="77777777" w:rsidR="00097EE0" w:rsidRDefault="00097EE0" w:rsidP="00CD5236">
      <w:pPr>
        <w:pStyle w:val="Heading1"/>
        <w:keepNext/>
        <w:widowControl/>
        <w:ind w:left="0"/>
        <w:jc w:val="both"/>
        <w:rPr>
          <w:sz w:val="26"/>
          <w:szCs w:val="26"/>
        </w:rPr>
      </w:pPr>
      <w:bookmarkStart w:id="0" w:name="_bookmark7"/>
      <w:bookmarkStart w:id="1" w:name="_bookmark9"/>
      <w:bookmarkStart w:id="2" w:name="_bookmark12"/>
      <w:bookmarkStart w:id="3" w:name="_Hlk128747922"/>
      <w:bookmarkEnd w:id="0"/>
      <w:bookmarkEnd w:id="1"/>
      <w:bookmarkEnd w:id="2"/>
      <w:r w:rsidRPr="002157D7">
        <w:rPr>
          <w:sz w:val="26"/>
          <w:szCs w:val="26"/>
        </w:rPr>
        <w:t xml:space="preserve">Rule 5.  </w:t>
      </w:r>
      <w:bookmarkEnd w:id="3"/>
      <w:r w:rsidRPr="002157D7">
        <w:rPr>
          <w:sz w:val="26"/>
          <w:szCs w:val="26"/>
        </w:rPr>
        <w:t>Judicial Performance Review Process</w:t>
      </w:r>
    </w:p>
    <w:p w14:paraId="127B53FF" w14:textId="77777777" w:rsidR="00CD5236" w:rsidRPr="002157D7" w:rsidRDefault="00CD5236" w:rsidP="00CD5236">
      <w:pPr>
        <w:pStyle w:val="Heading1"/>
        <w:keepNext/>
        <w:widowControl/>
        <w:ind w:left="0"/>
        <w:jc w:val="both"/>
        <w:rPr>
          <w:sz w:val="26"/>
          <w:szCs w:val="26"/>
        </w:rPr>
      </w:pPr>
    </w:p>
    <w:p w14:paraId="20521FF3" w14:textId="77777777" w:rsidR="00CD5236" w:rsidRPr="002157D7" w:rsidRDefault="00097EE0" w:rsidP="00CD5236">
      <w:pPr>
        <w:pStyle w:val="Heading1"/>
        <w:keepNext/>
        <w:widowControl/>
        <w:ind w:left="-86" w:firstLine="446"/>
        <w:jc w:val="both"/>
        <w:rPr>
          <w:b w:val="0"/>
          <w:bCs w:val="0"/>
          <w:sz w:val="26"/>
          <w:szCs w:val="26"/>
        </w:rPr>
      </w:pPr>
      <w:r w:rsidRPr="002157D7">
        <w:rPr>
          <w:sz w:val="26"/>
          <w:szCs w:val="26"/>
        </w:rPr>
        <w:t>(a)</w:t>
      </w:r>
      <w:r w:rsidR="00553FC8" w:rsidRPr="00CD5236">
        <w:rPr>
          <w:b w:val="0"/>
          <w:bCs w:val="0"/>
          <w:sz w:val="26"/>
          <w:szCs w:val="26"/>
        </w:rPr>
        <w:t xml:space="preserve"> </w:t>
      </w:r>
      <w:r w:rsidR="00CD5236" w:rsidRPr="00CD5236">
        <w:rPr>
          <w:b w:val="0"/>
          <w:bCs w:val="0"/>
          <w:sz w:val="26"/>
          <w:szCs w:val="26"/>
        </w:rPr>
        <w:t>[No changes]</w:t>
      </w:r>
    </w:p>
    <w:p w14:paraId="09A07D9B" w14:textId="77777777" w:rsidR="00097EE0" w:rsidRPr="002157D7" w:rsidRDefault="00097EE0" w:rsidP="00CD5236">
      <w:pPr>
        <w:pStyle w:val="Heading1"/>
        <w:widowControl/>
        <w:ind w:left="0" w:firstLine="720"/>
        <w:jc w:val="both"/>
        <w:rPr>
          <w:b w:val="0"/>
          <w:bCs w:val="0"/>
          <w:sz w:val="26"/>
          <w:szCs w:val="26"/>
        </w:rPr>
      </w:pPr>
    </w:p>
    <w:p w14:paraId="6CFF4BFE" w14:textId="77777777" w:rsidR="00097EE0" w:rsidRDefault="00097EE0" w:rsidP="00CD5236">
      <w:pPr>
        <w:pStyle w:val="Heading1"/>
        <w:keepNext/>
        <w:widowControl/>
        <w:ind w:left="0" w:firstLine="360"/>
        <w:jc w:val="both"/>
        <w:rPr>
          <w:b w:val="0"/>
          <w:bCs w:val="0"/>
          <w:sz w:val="26"/>
          <w:szCs w:val="26"/>
        </w:rPr>
      </w:pPr>
      <w:r w:rsidRPr="002157D7">
        <w:rPr>
          <w:sz w:val="26"/>
          <w:szCs w:val="26"/>
        </w:rPr>
        <w:t>(b) Tools for Evaluating Performance.</w:t>
      </w:r>
      <w:r w:rsidRPr="002157D7">
        <w:rPr>
          <w:b w:val="0"/>
          <w:bCs w:val="0"/>
          <w:sz w:val="26"/>
          <w:szCs w:val="26"/>
        </w:rPr>
        <w:t xml:space="preserve"> </w:t>
      </w:r>
    </w:p>
    <w:p w14:paraId="19134151" w14:textId="77777777" w:rsidR="00CD5236" w:rsidRPr="002157D7" w:rsidRDefault="00CD5236" w:rsidP="00CD5236">
      <w:pPr>
        <w:pStyle w:val="Heading1"/>
        <w:keepNext/>
        <w:widowControl/>
        <w:ind w:left="0" w:firstLine="360"/>
        <w:jc w:val="both"/>
        <w:rPr>
          <w:b w:val="0"/>
          <w:bCs w:val="0"/>
          <w:sz w:val="26"/>
          <w:szCs w:val="26"/>
        </w:rPr>
      </w:pPr>
    </w:p>
    <w:p w14:paraId="12BD8596" w14:textId="77777777" w:rsidR="00097EE0" w:rsidRDefault="00097EE0" w:rsidP="00CD5236">
      <w:pPr>
        <w:pStyle w:val="Heading1"/>
        <w:widowControl/>
        <w:ind w:left="0" w:firstLine="720"/>
        <w:jc w:val="both"/>
        <w:rPr>
          <w:b w:val="0"/>
          <w:bCs w:val="0"/>
          <w:sz w:val="26"/>
          <w:szCs w:val="26"/>
        </w:rPr>
      </w:pPr>
      <w:r w:rsidRPr="002157D7">
        <w:rPr>
          <w:b w:val="0"/>
          <w:bCs w:val="0"/>
          <w:sz w:val="26"/>
          <w:szCs w:val="26"/>
        </w:rPr>
        <w:t xml:space="preserve">(1) </w:t>
      </w:r>
      <w:r w:rsidR="00CD5236" w:rsidRPr="00CD5236">
        <w:rPr>
          <w:b w:val="0"/>
          <w:bCs w:val="0"/>
          <w:sz w:val="26"/>
          <w:szCs w:val="26"/>
        </w:rPr>
        <w:t>through (4) [No changes]</w:t>
      </w:r>
    </w:p>
    <w:p w14:paraId="0BBA9813" w14:textId="77777777" w:rsidR="00CD5236" w:rsidRPr="002157D7" w:rsidRDefault="00CD5236" w:rsidP="00CD5236">
      <w:pPr>
        <w:pStyle w:val="Heading1"/>
        <w:widowControl/>
        <w:ind w:left="0" w:firstLine="720"/>
        <w:jc w:val="both"/>
        <w:rPr>
          <w:i/>
          <w:iCs/>
          <w:sz w:val="26"/>
          <w:szCs w:val="26"/>
        </w:rPr>
      </w:pPr>
    </w:p>
    <w:p w14:paraId="1068B672" w14:textId="77777777" w:rsidR="003F29D1" w:rsidRPr="002157D7" w:rsidRDefault="00097EE0" w:rsidP="00097EE0">
      <w:pPr>
        <w:pStyle w:val="Heading1"/>
        <w:widowControl/>
        <w:spacing w:after="120"/>
        <w:ind w:left="0" w:firstLine="720"/>
        <w:jc w:val="both"/>
        <w:rPr>
          <w:b w:val="0"/>
          <w:bCs w:val="0"/>
          <w:sz w:val="26"/>
          <w:szCs w:val="26"/>
        </w:rPr>
      </w:pPr>
      <w:r w:rsidRPr="002157D7">
        <w:rPr>
          <w:b w:val="0"/>
          <w:bCs w:val="0"/>
          <w:sz w:val="26"/>
          <w:szCs w:val="26"/>
        </w:rPr>
        <w:t>(</w:t>
      </w:r>
      <w:r w:rsidR="009B3736" w:rsidRPr="002157D7">
        <w:rPr>
          <w:b w:val="0"/>
          <w:bCs w:val="0"/>
          <w:sz w:val="26"/>
          <w:szCs w:val="26"/>
        </w:rPr>
        <w:t>5</w:t>
      </w:r>
      <w:r w:rsidRPr="002157D7">
        <w:rPr>
          <w:b w:val="0"/>
          <w:bCs w:val="0"/>
          <w:sz w:val="26"/>
          <w:szCs w:val="26"/>
        </w:rPr>
        <w:t xml:space="preserve">) </w:t>
      </w:r>
      <w:r w:rsidRPr="002157D7">
        <w:rPr>
          <w:b w:val="0"/>
          <w:bCs w:val="0"/>
          <w:i/>
          <w:iCs/>
          <w:sz w:val="26"/>
          <w:szCs w:val="26"/>
        </w:rPr>
        <w:t>Other Evaluation Tools</w:t>
      </w:r>
      <w:r w:rsidRPr="002157D7">
        <w:rPr>
          <w:b w:val="0"/>
          <w:bCs w:val="0"/>
          <w:sz w:val="26"/>
          <w:szCs w:val="26"/>
        </w:rPr>
        <w:t xml:space="preserve">. </w:t>
      </w:r>
    </w:p>
    <w:p w14:paraId="1C2BE6F8" w14:textId="77777777" w:rsidR="00097EE0" w:rsidRPr="00D3481F" w:rsidRDefault="003F29D1" w:rsidP="003F29D1">
      <w:pPr>
        <w:pStyle w:val="Heading1"/>
        <w:widowControl/>
        <w:spacing w:after="120"/>
        <w:ind w:left="720" w:firstLine="360"/>
        <w:jc w:val="both"/>
        <w:rPr>
          <w:b w:val="0"/>
          <w:bCs w:val="0"/>
          <w:sz w:val="26"/>
          <w:szCs w:val="26"/>
        </w:rPr>
      </w:pPr>
      <w:r w:rsidRPr="00D3481F">
        <w:rPr>
          <w:b w:val="0"/>
          <w:bCs w:val="0"/>
          <w:sz w:val="26"/>
          <w:szCs w:val="26"/>
          <w:u w:val="single"/>
        </w:rPr>
        <w:t xml:space="preserve">(A) </w:t>
      </w:r>
      <w:r w:rsidR="00097EE0" w:rsidRPr="00D3481F">
        <w:rPr>
          <w:b w:val="0"/>
          <w:bCs w:val="0"/>
          <w:sz w:val="26"/>
          <w:szCs w:val="26"/>
        </w:rPr>
        <w:t>To obtain additional, reliable information about whether a judge who is invited to the executive session under Rule 4(b)(2) meets the performance standards for retention, the Commission may consider the following:</w:t>
      </w:r>
    </w:p>
    <w:p w14:paraId="5B486A5F" w14:textId="77777777" w:rsidR="00097EE0" w:rsidRPr="00D3481F" w:rsidRDefault="00097EE0" w:rsidP="003F29D1">
      <w:pPr>
        <w:pStyle w:val="Heading1"/>
        <w:widowControl/>
        <w:spacing w:after="120"/>
        <w:ind w:left="1080" w:firstLine="360"/>
        <w:jc w:val="both"/>
        <w:rPr>
          <w:b w:val="0"/>
          <w:bCs w:val="0"/>
          <w:sz w:val="26"/>
          <w:szCs w:val="26"/>
        </w:rPr>
      </w:pPr>
      <w:r w:rsidRPr="00D3481F">
        <w:rPr>
          <w:b w:val="0"/>
          <w:bCs w:val="0"/>
          <w:sz w:val="26"/>
          <w:szCs w:val="26"/>
        </w:rPr>
        <w:t>(</w:t>
      </w:r>
      <w:r w:rsidRPr="00D3481F">
        <w:rPr>
          <w:b w:val="0"/>
          <w:bCs w:val="0"/>
          <w:strike/>
          <w:sz w:val="26"/>
          <w:szCs w:val="26"/>
        </w:rPr>
        <w:t>A</w:t>
      </w:r>
      <w:r w:rsidR="003F29D1" w:rsidRPr="00D3481F">
        <w:rPr>
          <w:b w:val="0"/>
          <w:bCs w:val="0"/>
          <w:sz w:val="26"/>
          <w:szCs w:val="26"/>
          <w:u w:val="single"/>
        </w:rPr>
        <w:t>i</w:t>
      </w:r>
      <w:r w:rsidRPr="00D3481F">
        <w:rPr>
          <w:b w:val="0"/>
          <w:bCs w:val="0"/>
          <w:sz w:val="26"/>
          <w:szCs w:val="26"/>
        </w:rPr>
        <w:t xml:space="preserve">) courtroom observation, including review of video and audio </w:t>
      </w:r>
      <w:proofErr w:type="gramStart"/>
      <w:r w:rsidRPr="00D3481F">
        <w:rPr>
          <w:b w:val="0"/>
          <w:bCs w:val="0"/>
          <w:sz w:val="26"/>
          <w:szCs w:val="26"/>
        </w:rPr>
        <w:t>recordings;</w:t>
      </w:r>
      <w:proofErr w:type="gramEnd"/>
    </w:p>
    <w:p w14:paraId="042593C9" w14:textId="77777777" w:rsidR="00097EE0" w:rsidRPr="00D3481F" w:rsidRDefault="00097EE0" w:rsidP="003F29D1">
      <w:pPr>
        <w:pStyle w:val="Heading1"/>
        <w:widowControl/>
        <w:spacing w:after="120"/>
        <w:ind w:left="1080" w:firstLine="360"/>
        <w:jc w:val="both"/>
        <w:rPr>
          <w:b w:val="0"/>
          <w:bCs w:val="0"/>
          <w:sz w:val="26"/>
          <w:szCs w:val="26"/>
        </w:rPr>
      </w:pPr>
      <w:r w:rsidRPr="00D3481F">
        <w:rPr>
          <w:b w:val="0"/>
          <w:bCs w:val="0"/>
          <w:sz w:val="26"/>
          <w:szCs w:val="26"/>
        </w:rPr>
        <w:t>(</w:t>
      </w:r>
      <w:r w:rsidRPr="00D3481F">
        <w:rPr>
          <w:b w:val="0"/>
          <w:bCs w:val="0"/>
          <w:strike/>
          <w:sz w:val="26"/>
          <w:szCs w:val="26"/>
        </w:rPr>
        <w:t>B</w:t>
      </w:r>
      <w:r w:rsidR="003F29D1" w:rsidRPr="00D3481F">
        <w:rPr>
          <w:b w:val="0"/>
          <w:bCs w:val="0"/>
          <w:sz w:val="26"/>
          <w:szCs w:val="26"/>
          <w:u w:val="single"/>
        </w:rPr>
        <w:t>ii</w:t>
      </w:r>
      <w:r w:rsidRPr="00D3481F">
        <w:rPr>
          <w:b w:val="0"/>
          <w:bCs w:val="0"/>
          <w:sz w:val="26"/>
          <w:szCs w:val="26"/>
        </w:rPr>
        <w:t xml:space="preserve">) the number of notices of change of </w:t>
      </w:r>
      <w:proofErr w:type="gramStart"/>
      <w:r w:rsidRPr="00D3481F">
        <w:rPr>
          <w:b w:val="0"/>
          <w:bCs w:val="0"/>
          <w:sz w:val="26"/>
          <w:szCs w:val="26"/>
        </w:rPr>
        <w:t>judge;</w:t>
      </w:r>
      <w:proofErr w:type="gramEnd"/>
    </w:p>
    <w:p w14:paraId="30A32E42" w14:textId="77777777" w:rsidR="00097EE0" w:rsidRPr="00D3481F" w:rsidRDefault="00097EE0" w:rsidP="003F29D1">
      <w:pPr>
        <w:pStyle w:val="Heading1"/>
        <w:widowControl/>
        <w:spacing w:after="120"/>
        <w:ind w:left="1080" w:firstLine="360"/>
        <w:jc w:val="both"/>
        <w:rPr>
          <w:b w:val="0"/>
          <w:bCs w:val="0"/>
          <w:sz w:val="26"/>
          <w:szCs w:val="26"/>
        </w:rPr>
      </w:pPr>
      <w:r w:rsidRPr="00D3481F">
        <w:rPr>
          <w:b w:val="0"/>
          <w:bCs w:val="0"/>
          <w:sz w:val="26"/>
          <w:szCs w:val="26"/>
        </w:rPr>
        <w:t>(</w:t>
      </w:r>
      <w:r w:rsidRPr="00D3481F">
        <w:rPr>
          <w:b w:val="0"/>
          <w:bCs w:val="0"/>
          <w:strike/>
          <w:sz w:val="26"/>
          <w:szCs w:val="26"/>
        </w:rPr>
        <w:t>C</w:t>
      </w:r>
      <w:r w:rsidR="003F29D1" w:rsidRPr="00D3481F">
        <w:rPr>
          <w:b w:val="0"/>
          <w:bCs w:val="0"/>
          <w:sz w:val="26"/>
          <w:szCs w:val="26"/>
          <w:u w:val="single"/>
        </w:rPr>
        <w:t>iii</w:t>
      </w:r>
      <w:r w:rsidRPr="00D3481F">
        <w:rPr>
          <w:b w:val="0"/>
          <w:bCs w:val="0"/>
          <w:sz w:val="26"/>
          <w:szCs w:val="26"/>
        </w:rPr>
        <w:t>)</w:t>
      </w:r>
      <w:r w:rsidRPr="00D3481F">
        <w:rPr>
          <w:sz w:val="26"/>
          <w:szCs w:val="26"/>
        </w:rPr>
        <w:t xml:space="preserve"> </w:t>
      </w:r>
      <w:r w:rsidRPr="00D3481F">
        <w:rPr>
          <w:b w:val="0"/>
          <w:bCs w:val="0"/>
          <w:sz w:val="26"/>
          <w:szCs w:val="26"/>
        </w:rPr>
        <w:t xml:space="preserve">review of written opinions or orders; or </w:t>
      </w:r>
    </w:p>
    <w:p w14:paraId="7F326234" w14:textId="77777777" w:rsidR="00097EE0" w:rsidRPr="00D3481F" w:rsidRDefault="00097EE0" w:rsidP="003F29D1">
      <w:pPr>
        <w:pStyle w:val="Heading1"/>
        <w:widowControl/>
        <w:spacing w:after="120"/>
        <w:ind w:left="1080" w:firstLine="360"/>
        <w:jc w:val="both"/>
        <w:rPr>
          <w:b w:val="0"/>
          <w:bCs w:val="0"/>
          <w:sz w:val="26"/>
          <w:szCs w:val="26"/>
        </w:rPr>
      </w:pPr>
      <w:r w:rsidRPr="00D3481F">
        <w:rPr>
          <w:b w:val="0"/>
          <w:bCs w:val="0"/>
          <w:sz w:val="26"/>
          <w:szCs w:val="26"/>
        </w:rPr>
        <w:t>(</w:t>
      </w:r>
      <w:r w:rsidRPr="00D3481F">
        <w:rPr>
          <w:b w:val="0"/>
          <w:bCs w:val="0"/>
          <w:strike/>
          <w:sz w:val="26"/>
          <w:szCs w:val="26"/>
        </w:rPr>
        <w:t>D</w:t>
      </w:r>
      <w:r w:rsidR="003F29D1" w:rsidRPr="00D3481F">
        <w:rPr>
          <w:b w:val="0"/>
          <w:bCs w:val="0"/>
          <w:sz w:val="26"/>
          <w:szCs w:val="26"/>
          <w:u w:val="single"/>
        </w:rPr>
        <w:t>iv</w:t>
      </w:r>
      <w:r w:rsidRPr="00D3481F">
        <w:rPr>
          <w:b w:val="0"/>
          <w:bCs w:val="0"/>
          <w:sz w:val="26"/>
          <w:szCs w:val="26"/>
        </w:rPr>
        <w:t xml:space="preserve">) case management statistics. </w:t>
      </w:r>
    </w:p>
    <w:p w14:paraId="4AEE68FD" w14:textId="77777777" w:rsidR="003F29D1" w:rsidRPr="00D3481F" w:rsidRDefault="003F29D1" w:rsidP="003F29D1">
      <w:pPr>
        <w:pStyle w:val="Heading1"/>
        <w:widowControl/>
        <w:spacing w:after="120"/>
        <w:ind w:left="720" w:firstLine="360"/>
        <w:jc w:val="both"/>
        <w:rPr>
          <w:b w:val="0"/>
          <w:bCs w:val="0"/>
          <w:sz w:val="26"/>
          <w:szCs w:val="26"/>
          <w:u w:val="single"/>
        </w:rPr>
      </w:pPr>
      <w:r w:rsidRPr="00D3481F">
        <w:rPr>
          <w:b w:val="0"/>
          <w:bCs w:val="0"/>
          <w:sz w:val="26"/>
          <w:szCs w:val="26"/>
          <w:u w:val="single"/>
        </w:rPr>
        <w:t xml:space="preserve">(B) </w:t>
      </w:r>
      <w:r w:rsidR="004E403B" w:rsidRPr="00D3481F">
        <w:rPr>
          <w:b w:val="0"/>
          <w:bCs w:val="0"/>
          <w:sz w:val="26"/>
          <w:szCs w:val="26"/>
          <w:u w:val="single"/>
        </w:rPr>
        <w:t>If</w:t>
      </w:r>
      <w:r w:rsidR="001C05DD" w:rsidRPr="00D3481F">
        <w:rPr>
          <w:b w:val="0"/>
          <w:bCs w:val="0"/>
          <w:sz w:val="26"/>
          <w:szCs w:val="26"/>
          <w:u w:val="single"/>
        </w:rPr>
        <w:t xml:space="preserve"> </w:t>
      </w:r>
      <w:r w:rsidR="00FB5B57" w:rsidRPr="00D3481F">
        <w:rPr>
          <w:b w:val="0"/>
          <w:bCs w:val="0"/>
          <w:sz w:val="26"/>
          <w:szCs w:val="26"/>
          <w:u w:val="single"/>
        </w:rPr>
        <w:t xml:space="preserve">consideration of </w:t>
      </w:r>
      <w:r w:rsidR="001C05DD" w:rsidRPr="00D3481F">
        <w:rPr>
          <w:b w:val="0"/>
          <w:bCs w:val="0"/>
          <w:sz w:val="26"/>
          <w:szCs w:val="26"/>
          <w:u w:val="single"/>
        </w:rPr>
        <w:t>any of these other evaluation tools</w:t>
      </w:r>
      <w:r w:rsidR="004E403B" w:rsidRPr="00D3481F">
        <w:rPr>
          <w:b w:val="0"/>
          <w:bCs w:val="0"/>
          <w:sz w:val="26"/>
          <w:szCs w:val="26"/>
          <w:u w:val="single"/>
        </w:rPr>
        <w:t xml:space="preserve"> </w:t>
      </w:r>
      <w:r w:rsidR="001C05DD" w:rsidRPr="00D3481F">
        <w:rPr>
          <w:b w:val="0"/>
          <w:bCs w:val="0"/>
          <w:sz w:val="26"/>
          <w:szCs w:val="26"/>
          <w:u w:val="single"/>
        </w:rPr>
        <w:t>may provide</w:t>
      </w:r>
      <w:r w:rsidR="004E403B" w:rsidRPr="00D3481F">
        <w:rPr>
          <w:b w:val="0"/>
          <w:bCs w:val="0"/>
          <w:sz w:val="26"/>
          <w:szCs w:val="26"/>
          <w:u w:val="single"/>
        </w:rPr>
        <w:t xml:space="preserve"> </w:t>
      </w:r>
      <w:r w:rsidR="00FB5B57" w:rsidRPr="00D3481F">
        <w:rPr>
          <w:b w:val="0"/>
          <w:bCs w:val="0"/>
          <w:sz w:val="26"/>
          <w:szCs w:val="26"/>
          <w:u w:val="single"/>
        </w:rPr>
        <w:t xml:space="preserve">the Commission with </w:t>
      </w:r>
      <w:r w:rsidR="004E403B" w:rsidRPr="00D3481F">
        <w:rPr>
          <w:b w:val="0"/>
          <w:bCs w:val="0"/>
          <w:sz w:val="26"/>
          <w:szCs w:val="26"/>
          <w:u w:val="single"/>
        </w:rPr>
        <w:t>information rel</w:t>
      </w:r>
      <w:r w:rsidR="001C05DD" w:rsidRPr="00D3481F">
        <w:rPr>
          <w:b w:val="0"/>
          <w:bCs w:val="0"/>
          <w:sz w:val="26"/>
          <w:szCs w:val="26"/>
          <w:u w:val="single"/>
        </w:rPr>
        <w:t>evant</w:t>
      </w:r>
      <w:r w:rsidR="004E403B" w:rsidRPr="00D3481F">
        <w:rPr>
          <w:b w:val="0"/>
          <w:bCs w:val="0"/>
          <w:sz w:val="26"/>
          <w:szCs w:val="26"/>
          <w:u w:val="single"/>
        </w:rPr>
        <w:t xml:space="preserve"> to the </w:t>
      </w:r>
      <w:r w:rsidR="001C05DD" w:rsidRPr="00D3481F">
        <w:rPr>
          <w:b w:val="0"/>
          <w:bCs w:val="0"/>
          <w:sz w:val="26"/>
          <w:szCs w:val="26"/>
          <w:u w:val="single"/>
        </w:rPr>
        <w:t>reason or reasons the judge has been invited to attend the executive session</w:t>
      </w:r>
      <w:r w:rsidRPr="00D3481F">
        <w:rPr>
          <w:b w:val="0"/>
          <w:bCs w:val="0"/>
          <w:sz w:val="26"/>
          <w:szCs w:val="26"/>
          <w:u w:val="single"/>
        </w:rPr>
        <w:t xml:space="preserve">, </w:t>
      </w:r>
      <w:bookmarkStart w:id="4" w:name="_Hlk187234857"/>
      <w:r w:rsidRPr="00D3481F">
        <w:rPr>
          <w:b w:val="0"/>
          <w:bCs w:val="0"/>
          <w:sz w:val="26"/>
          <w:szCs w:val="26"/>
          <w:u w:val="single"/>
        </w:rPr>
        <w:t xml:space="preserve">the Commission </w:t>
      </w:r>
      <w:r w:rsidR="001C05DD" w:rsidRPr="00D3481F">
        <w:rPr>
          <w:b w:val="0"/>
          <w:bCs w:val="0"/>
          <w:sz w:val="26"/>
          <w:szCs w:val="26"/>
          <w:u w:val="single"/>
        </w:rPr>
        <w:t>should, to the greatest extent possible,</w:t>
      </w:r>
      <w:r w:rsidRPr="00D3481F">
        <w:rPr>
          <w:b w:val="0"/>
          <w:bCs w:val="0"/>
          <w:sz w:val="26"/>
          <w:szCs w:val="26"/>
          <w:u w:val="single"/>
        </w:rPr>
        <w:t xml:space="preserve"> </w:t>
      </w:r>
      <w:r w:rsidR="001C05DD" w:rsidRPr="00D3481F">
        <w:rPr>
          <w:b w:val="0"/>
          <w:bCs w:val="0"/>
          <w:sz w:val="26"/>
          <w:szCs w:val="26"/>
          <w:u w:val="single"/>
        </w:rPr>
        <w:t>obtain</w:t>
      </w:r>
      <w:r w:rsidRPr="00D3481F">
        <w:rPr>
          <w:b w:val="0"/>
          <w:bCs w:val="0"/>
          <w:sz w:val="26"/>
          <w:szCs w:val="26"/>
          <w:u w:val="single"/>
        </w:rPr>
        <w:t xml:space="preserve"> this additional information</w:t>
      </w:r>
      <w:r w:rsidR="00FB5B57" w:rsidRPr="00D3481F">
        <w:rPr>
          <w:b w:val="0"/>
          <w:bCs w:val="0"/>
          <w:sz w:val="26"/>
          <w:szCs w:val="26"/>
          <w:u w:val="single"/>
        </w:rPr>
        <w:t xml:space="preserve"> and share it with the judge</w:t>
      </w:r>
      <w:r w:rsidRPr="00D3481F">
        <w:rPr>
          <w:b w:val="0"/>
          <w:bCs w:val="0"/>
          <w:sz w:val="26"/>
          <w:szCs w:val="26"/>
          <w:u w:val="single"/>
        </w:rPr>
        <w:t xml:space="preserve"> </w:t>
      </w:r>
      <w:r w:rsidR="001C05DD" w:rsidRPr="00D3481F">
        <w:rPr>
          <w:b w:val="0"/>
          <w:bCs w:val="0"/>
          <w:sz w:val="26"/>
          <w:szCs w:val="26"/>
          <w:u w:val="single"/>
        </w:rPr>
        <w:t xml:space="preserve">before the executive session at which the </w:t>
      </w:r>
      <w:r w:rsidRPr="00D3481F">
        <w:rPr>
          <w:b w:val="0"/>
          <w:bCs w:val="0"/>
          <w:sz w:val="26"/>
          <w:szCs w:val="26"/>
          <w:u w:val="single"/>
        </w:rPr>
        <w:t xml:space="preserve">judge </w:t>
      </w:r>
      <w:r w:rsidR="001C05DD" w:rsidRPr="00D3481F">
        <w:rPr>
          <w:b w:val="0"/>
          <w:bCs w:val="0"/>
          <w:sz w:val="26"/>
          <w:szCs w:val="26"/>
          <w:u w:val="single"/>
        </w:rPr>
        <w:t>has been invited to attend</w:t>
      </w:r>
      <w:r w:rsidRPr="00D3481F">
        <w:rPr>
          <w:b w:val="0"/>
          <w:bCs w:val="0"/>
          <w:sz w:val="26"/>
          <w:szCs w:val="26"/>
          <w:u w:val="single"/>
        </w:rPr>
        <w:t>.</w:t>
      </w:r>
      <w:bookmarkEnd w:id="4"/>
      <w:r w:rsidR="00D3481F" w:rsidRPr="00D3481F">
        <w:rPr>
          <w:b w:val="0"/>
          <w:bCs w:val="0"/>
          <w:sz w:val="26"/>
          <w:szCs w:val="26"/>
          <w:u w:val="single"/>
        </w:rPr>
        <w:t xml:space="preserve"> To the extent necessary to consider these evaluation tools, the Commission members may learn the identity of a judge after the judge has been invited to attend the executive session.</w:t>
      </w:r>
    </w:p>
    <w:p w14:paraId="373E94BE" w14:textId="77777777" w:rsidR="00097EE0" w:rsidRPr="00D3481F" w:rsidRDefault="00097EE0" w:rsidP="00D3481F">
      <w:pPr>
        <w:pStyle w:val="Heading1"/>
        <w:keepNext/>
        <w:widowControl/>
        <w:spacing w:after="240"/>
        <w:ind w:left="0" w:firstLine="360"/>
        <w:jc w:val="both"/>
        <w:rPr>
          <w:b w:val="0"/>
          <w:bCs w:val="0"/>
          <w:sz w:val="26"/>
          <w:szCs w:val="26"/>
        </w:rPr>
      </w:pPr>
      <w:r w:rsidRPr="002157D7">
        <w:rPr>
          <w:sz w:val="26"/>
          <w:szCs w:val="26"/>
        </w:rPr>
        <w:lastRenderedPageBreak/>
        <w:t>(c)</w:t>
      </w:r>
      <w:r w:rsidR="00D3481F">
        <w:rPr>
          <w:sz w:val="26"/>
          <w:szCs w:val="26"/>
        </w:rPr>
        <w:t xml:space="preserve"> </w:t>
      </w:r>
      <w:r w:rsidR="00D3481F">
        <w:rPr>
          <w:b w:val="0"/>
          <w:bCs w:val="0"/>
          <w:sz w:val="26"/>
          <w:szCs w:val="26"/>
        </w:rPr>
        <w:t>[No changes]</w:t>
      </w:r>
    </w:p>
    <w:p w14:paraId="76DD06E6" w14:textId="77777777" w:rsidR="00097EE0" w:rsidRPr="002157D7" w:rsidRDefault="00097EE0" w:rsidP="00744794">
      <w:pPr>
        <w:pStyle w:val="BodyText"/>
        <w:keepNext/>
        <w:widowControl/>
        <w:spacing w:after="240"/>
        <w:jc w:val="both"/>
        <w:rPr>
          <w:sz w:val="26"/>
          <w:szCs w:val="26"/>
        </w:rPr>
      </w:pPr>
      <w:r w:rsidRPr="002157D7">
        <w:rPr>
          <w:b/>
          <w:bCs/>
          <w:sz w:val="26"/>
          <w:szCs w:val="26"/>
        </w:rPr>
        <w:t xml:space="preserve">Rule 6.  </w:t>
      </w:r>
      <w:r w:rsidR="00D3481F">
        <w:rPr>
          <w:b/>
          <w:bCs/>
          <w:sz w:val="26"/>
          <w:szCs w:val="26"/>
        </w:rPr>
        <w:t>through 8</w:t>
      </w:r>
      <w:r w:rsidRPr="002157D7">
        <w:rPr>
          <w:b/>
          <w:bCs/>
          <w:sz w:val="26"/>
          <w:szCs w:val="26"/>
        </w:rPr>
        <w:t>.</w:t>
      </w:r>
      <w:r w:rsidR="00D3481F" w:rsidRPr="00D3481F">
        <w:rPr>
          <w:sz w:val="26"/>
          <w:szCs w:val="26"/>
        </w:rPr>
        <w:t xml:space="preserve"> [No changes]</w:t>
      </w:r>
    </w:p>
    <w:p w14:paraId="185EA982" w14:textId="77777777" w:rsidR="00097EE0" w:rsidRPr="002157D7" w:rsidRDefault="00097EE0" w:rsidP="00744794">
      <w:pPr>
        <w:keepNext/>
        <w:spacing w:after="240" w:line="240" w:lineRule="auto"/>
        <w:ind w:left="634" w:hanging="634"/>
        <w:jc w:val="both"/>
        <w:rPr>
          <w:rFonts w:ascii="Times New Roman" w:hAnsi="Times New Roman"/>
          <w:b/>
          <w:sz w:val="26"/>
          <w:szCs w:val="26"/>
        </w:rPr>
      </w:pPr>
      <w:bookmarkStart w:id="5" w:name="_bookmark22"/>
      <w:bookmarkEnd w:id="5"/>
      <w:r w:rsidRPr="002157D7">
        <w:rPr>
          <w:rFonts w:ascii="Times New Roman" w:hAnsi="Times New Roman"/>
          <w:b/>
          <w:bCs/>
          <w:sz w:val="26"/>
          <w:szCs w:val="26"/>
        </w:rPr>
        <w:t>Rule 9.</w:t>
      </w:r>
      <w:r w:rsidRPr="002157D7">
        <w:rPr>
          <w:rFonts w:ascii="Times New Roman" w:hAnsi="Times New Roman"/>
          <w:bCs/>
          <w:sz w:val="26"/>
          <w:szCs w:val="26"/>
        </w:rPr>
        <w:t xml:space="preserve">  </w:t>
      </w:r>
      <w:r w:rsidRPr="002157D7">
        <w:rPr>
          <w:rFonts w:ascii="Times New Roman" w:hAnsi="Times New Roman"/>
          <w:b/>
          <w:sz w:val="26"/>
          <w:szCs w:val="26"/>
        </w:rPr>
        <w:t>Commission Member Responsibilities</w:t>
      </w:r>
    </w:p>
    <w:p w14:paraId="02998EC3" w14:textId="77777777" w:rsidR="00097EE0" w:rsidRPr="00744794" w:rsidRDefault="00097EE0" w:rsidP="00744794">
      <w:pPr>
        <w:keepNext/>
        <w:spacing w:after="240" w:line="240" w:lineRule="auto"/>
        <w:ind w:firstLine="360"/>
        <w:jc w:val="both"/>
        <w:rPr>
          <w:sz w:val="26"/>
          <w:szCs w:val="26"/>
        </w:rPr>
      </w:pPr>
      <w:r w:rsidRPr="002157D7">
        <w:rPr>
          <w:rFonts w:ascii="Times New Roman" w:hAnsi="Times New Roman"/>
          <w:b/>
          <w:sz w:val="26"/>
          <w:szCs w:val="26"/>
        </w:rPr>
        <w:t xml:space="preserve">(a) </w:t>
      </w:r>
      <w:r w:rsidR="00744794" w:rsidRPr="00744794">
        <w:rPr>
          <w:rFonts w:ascii="Times New Roman" w:hAnsi="Times New Roman"/>
          <w:sz w:val="26"/>
          <w:szCs w:val="26"/>
        </w:rPr>
        <w:t>[No changes]</w:t>
      </w:r>
    </w:p>
    <w:p w14:paraId="58067A99" w14:textId="77777777" w:rsidR="00097EE0" w:rsidRPr="002157D7" w:rsidRDefault="00097EE0" w:rsidP="00744794">
      <w:pPr>
        <w:spacing w:after="24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2157D7">
        <w:rPr>
          <w:rFonts w:ascii="Times New Roman" w:hAnsi="Times New Roman"/>
          <w:b/>
          <w:bCs/>
          <w:sz w:val="26"/>
          <w:szCs w:val="26"/>
        </w:rPr>
        <w:t>(b) Judicial Member</w:t>
      </w:r>
      <w:r w:rsidRPr="002157D7">
        <w:rPr>
          <w:rFonts w:ascii="Times New Roman" w:hAnsi="Times New Roman"/>
          <w:sz w:val="26"/>
          <w:szCs w:val="26"/>
        </w:rPr>
        <w:t>.</w:t>
      </w:r>
    </w:p>
    <w:p w14:paraId="0B9A1C6D" w14:textId="77777777" w:rsidR="00097EE0" w:rsidRPr="002157D7" w:rsidRDefault="00097EE0" w:rsidP="00097EE0">
      <w:pPr>
        <w:spacing w:after="12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2157D7">
        <w:rPr>
          <w:rFonts w:ascii="Times New Roman" w:hAnsi="Times New Roman"/>
          <w:sz w:val="26"/>
          <w:szCs w:val="26"/>
        </w:rPr>
        <w:t xml:space="preserve">(1) A </w:t>
      </w:r>
      <w:bookmarkStart w:id="6" w:name="_Hlk187237699"/>
      <w:r w:rsidRPr="002157D7">
        <w:rPr>
          <w:rFonts w:ascii="Times New Roman" w:hAnsi="Times New Roman"/>
          <w:sz w:val="26"/>
          <w:szCs w:val="26"/>
        </w:rPr>
        <w:t>judicial member of the Commission is not eligible to participate in any matter concerning the judge’s own</w:t>
      </w:r>
      <w:r w:rsidRPr="002157D7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2157D7">
        <w:rPr>
          <w:rFonts w:ascii="Times New Roman" w:hAnsi="Times New Roman"/>
          <w:sz w:val="26"/>
          <w:szCs w:val="26"/>
        </w:rPr>
        <w:t>performance</w:t>
      </w:r>
      <w:bookmarkEnd w:id="6"/>
      <w:r w:rsidR="001E725A" w:rsidRPr="002157D7">
        <w:rPr>
          <w:rFonts w:ascii="Times New Roman" w:hAnsi="Times New Roman"/>
          <w:sz w:val="26"/>
          <w:szCs w:val="26"/>
        </w:rPr>
        <w:t xml:space="preserve"> </w:t>
      </w:r>
      <w:r w:rsidR="001E725A" w:rsidRPr="00744794">
        <w:rPr>
          <w:rFonts w:ascii="Times New Roman" w:hAnsi="Times New Roman"/>
          <w:sz w:val="26"/>
          <w:szCs w:val="26"/>
          <w:u w:val="single"/>
        </w:rPr>
        <w:t>except for the judicial member’s self-evaluation and conference team requirements under Rule 8</w:t>
      </w:r>
      <w:r w:rsidRPr="002157D7">
        <w:rPr>
          <w:rFonts w:ascii="Times New Roman" w:hAnsi="Times New Roman"/>
          <w:sz w:val="26"/>
          <w:szCs w:val="26"/>
        </w:rPr>
        <w:t>.</w:t>
      </w:r>
    </w:p>
    <w:p w14:paraId="324127BD" w14:textId="77777777" w:rsidR="00097EE0" w:rsidRPr="002157D7" w:rsidRDefault="00097EE0" w:rsidP="00097EE0">
      <w:pPr>
        <w:spacing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57D7">
        <w:rPr>
          <w:rFonts w:ascii="Times New Roman" w:hAnsi="Times New Roman"/>
          <w:sz w:val="26"/>
          <w:szCs w:val="26"/>
        </w:rPr>
        <w:t xml:space="preserve">(2) A </w:t>
      </w:r>
      <w:bookmarkStart w:id="7" w:name="_Hlk187237788"/>
      <w:r w:rsidRPr="002157D7">
        <w:rPr>
          <w:rFonts w:ascii="Times New Roman" w:hAnsi="Times New Roman"/>
          <w:sz w:val="26"/>
          <w:szCs w:val="26"/>
        </w:rPr>
        <w:t>judicial member of the Commission who receives an invitation under Rule 4(b)(2) is prohibited from participating as a Commission member</w:t>
      </w:r>
      <w:bookmarkEnd w:id="7"/>
      <w:r w:rsidR="001E725A" w:rsidRPr="002157D7">
        <w:rPr>
          <w:rFonts w:ascii="Times New Roman" w:hAnsi="Times New Roman"/>
          <w:sz w:val="26"/>
          <w:szCs w:val="26"/>
        </w:rPr>
        <w:t xml:space="preserve"> </w:t>
      </w:r>
      <w:r w:rsidR="001E725A" w:rsidRPr="00744794">
        <w:rPr>
          <w:rFonts w:ascii="Times New Roman" w:hAnsi="Times New Roman"/>
          <w:sz w:val="26"/>
          <w:szCs w:val="26"/>
          <w:u w:val="single"/>
        </w:rPr>
        <w:t>in the judicial performance review process</w:t>
      </w:r>
      <w:r w:rsidRPr="00744794">
        <w:rPr>
          <w:rFonts w:ascii="Times New Roman" w:hAnsi="Times New Roman"/>
          <w:sz w:val="26"/>
          <w:szCs w:val="26"/>
        </w:rPr>
        <w:t xml:space="preserve"> for the balance of the then-current</w:t>
      </w:r>
      <w:r w:rsidRPr="00744794">
        <w:rPr>
          <w:rFonts w:ascii="Times New Roman" w:hAnsi="Times New Roman"/>
          <w:spacing w:val="-19"/>
          <w:sz w:val="26"/>
          <w:szCs w:val="26"/>
        </w:rPr>
        <w:t xml:space="preserve"> </w:t>
      </w:r>
      <w:r w:rsidRPr="00744794">
        <w:rPr>
          <w:rFonts w:ascii="Times New Roman" w:hAnsi="Times New Roman"/>
          <w:sz w:val="26"/>
          <w:szCs w:val="26"/>
        </w:rPr>
        <w:t>cycle</w:t>
      </w:r>
      <w:r w:rsidR="001E725A" w:rsidRPr="00744794">
        <w:rPr>
          <w:rFonts w:ascii="Times New Roman" w:hAnsi="Times New Roman"/>
          <w:sz w:val="26"/>
          <w:szCs w:val="26"/>
        </w:rPr>
        <w:t xml:space="preserve"> </w:t>
      </w:r>
      <w:r w:rsidR="001E725A" w:rsidRPr="00744794">
        <w:rPr>
          <w:rFonts w:ascii="Times New Roman" w:hAnsi="Times New Roman"/>
          <w:sz w:val="26"/>
          <w:szCs w:val="26"/>
          <w:u w:val="single"/>
        </w:rPr>
        <w:t>but may participate in other Commission business or as a conference team member</w:t>
      </w:r>
      <w:r w:rsidRPr="002157D7">
        <w:rPr>
          <w:rFonts w:ascii="Times New Roman" w:hAnsi="Times New Roman"/>
          <w:sz w:val="26"/>
          <w:szCs w:val="26"/>
        </w:rPr>
        <w:t>.</w:t>
      </w:r>
    </w:p>
    <w:p w14:paraId="089E4299" w14:textId="77777777" w:rsidR="00097EE0" w:rsidRPr="00744794" w:rsidRDefault="00097EE0" w:rsidP="00097EE0">
      <w:pPr>
        <w:spacing w:after="24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2157D7">
        <w:rPr>
          <w:rFonts w:ascii="Times New Roman" w:hAnsi="Times New Roman"/>
          <w:b/>
          <w:bCs/>
          <w:sz w:val="26"/>
          <w:szCs w:val="26"/>
        </w:rPr>
        <w:t xml:space="preserve">(c) </w:t>
      </w:r>
      <w:r w:rsidR="00744794">
        <w:rPr>
          <w:rFonts w:ascii="Times New Roman" w:hAnsi="Times New Roman"/>
          <w:sz w:val="26"/>
          <w:szCs w:val="26"/>
        </w:rPr>
        <w:t>[No changes]</w:t>
      </w:r>
    </w:p>
    <w:p w14:paraId="3A6D9F41" w14:textId="77777777" w:rsidR="00097EE0" w:rsidRPr="002157D7" w:rsidRDefault="00097EE0" w:rsidP="00097EE0">
      <w:pPr>
        <w:pStyle w:val="Heading1"/>
        <w:keepNext/>
        <w:widowControl/>
        <w:spacing w:after="120"/>
        <w:ind w:left="0"/>
        <w:jc w:val="both"/>
        <w:rPr>
          <w:sz w:val="26"/>
          <w:szCs w:val="26"/>
        </w:rPr>
      </w:pPr>
      <w:r w:rsidRPr="002157D7">
        <w:rPr>
          <w:sz w:val="26"/>
          <w:szCs w:val="26"/>
        </w:rPr>
        <w:t>Rule 10.  Judge’s Rights and Responsibilities</w:t>
      </w:r>
    </w:p>
    <w:p w14:paraId="1A8358E2" w14:textId="77777777" w:rsidR="00097EE0" w:rsidRPr="00744794" w:rsidRDefault="00097EE0" w:rsidP="00744794">
      <w:pPr>
        <w:pStyle w:val="Heading1"/>
        <w:widowControl/>
        <w:spacing w:after="240"/>
        <w:ind w:left="0" w:firstLine="360"/>
        <w:jc w:val="both"/>
        <w:rPr>
          <w:b w:val="0"/>
          <w:bCs w:val="0"/>
          <w:sz w:val="26"/>
          <w:szCs w:val="26"/>
        </w:rPr>
      </w:pPr>
      <w:r w:rsidRPr="002157D7">
        <w:rPr>
          <w:sz w:val="26"/>
          <w:szCs w:val="26"/>
        </w:rPr>
        <w:t>(a) Cooperation.</w:t>
      </w:r>
      <w:r w:rsidRPr="002157D7">
        <w:rPr>
          <w:b w:val="0"/>
          <w:bCs w:val="0"/>
          <w:sz w:val="26"/>
          <w:szCs w:val="26"/>
        </w:rPr>
        <w:t xml:space="preserve"> A judge is expected to cooperate with</w:t>
      </w:r>
      <w:r w:rsidRPr="00744794">
        <w:rPr>
          <w:b w:val="0"/>
          <w:bCs w:val="0"/>
          <w:sz w:val="26"/>
          <w:szCs w:val="26"/>
        </w:rPr>
        <w:t xml:space="preserve"> </w:t>
      </w:r>
      <w:r w:rsidR="007953BE" w:rsidRPr="00744794">
        <w:rPr>
          <w:b w:val="0"/>
          <w:bCs w:val="0"/>
          <w:sz w:val="26"/>
          <w:szCs w:val="26"/>
          <w:u w:val="single"/>
        </w:rPr>
        <w:t xml:space="preserve">the </w:t>
      </w:r>
      <w:r w:rsidR="002B5F59" w:rsidRPr="00744794">
        <w:rPr>
          <w:b w:val="0"/>
          <w:bCs w:val="0"/>
          <w:sz w:val="26"/>
          <w:szCs w:val="26"/>
          <w:u w:val="single"/>
        </w:rPr>
        <w:t xml:space="preserve">Commission and the </w:t>
      </w:r>
      <w:r w:rsidR="007953BE" w:rsidRPr="00744794">
        <w:rPr>
          <w:b w:val="0"/>
          <w:bCs w:val="0"/>
          <w:sz w:val="26"/>
          <w:szCs w:val="26"/>
          <w:u w:val="single"/>
        </w:rPr>
        <w:t xml:space="preserve">judicial performance review </w:t>
      </w:r>
      <w:r w:rsidR="002B5F59" w:rsidRPr="00744794">
        <w:rPr>
          <w:b w:val="0"/>
          <w:bCs w:val="0"/>
          <w:sz w:val="26"/>
          <w:szCs w:val="26"/>
          <w:u w:val="single"/>
        </w:rPr>
        <w:t xml:space="preserve">and conference team </w:t>
      </w:r>
      <w:r w:rsidR="007953BE" w:rsidRPr="00744794">
        <w:rPr>
          <w:b w:val="0"/>
          <w:bCs w:val="0"/>
          <w:sz w:val="26"/>
          <w:szCs w:val="26"/>
          <w:u w:val="single"/>
        </w:rPr>
        <w:t>process</w:t>
      </w:r>
      <w:r w:rsidR="002B5F59" w:rsidRPr="00744794">
        <w:rPr>
          <w:b w:val="0"/>
          <w:bCs w:val="0"/>
          <w:sz w:val="26"/>
          <w:szCs w:val="26"/>
          <w:u w:val="single"/>
        </w:rPr>
        <w:t>es</w:t>
      </w:r>
      <w:r w:rsidR="007953BE" w:rsidRPr="00744794">
        <w:rPr>
          <w:b w:val="0"/>
          <w:bCs w:val="0"/>
          <w:sz w:val="26"/>
          <w:szCs w:val="26"/>
          <w:u w:val="single"/>
        </w:rPr>
        <w:t xml:space="preserve"> under Rule</w:t>
      </w:r>
      <w:r w:rsidR="002B5F59" w:rsidRPr="00744794">
        <w:rPr>
          <w:b w:val="0"/>
          <w:bCs w:val="0"/>
          <w:sz w:val="26"/>
          <w:szCs w:val="26"/>
          <w:u w:val="single"/>
        </w:rPr>
        <w:t>s</w:t>
      </w:r>
      <w:r w:rsidR="007953BE" w:rsidRPr="00744794">
        <w:rPr>
          <w:b w:val="0"/>
          <w:bCs w:val="0"/>
          <w:sz w:val="26"/>
          <w:szCs w:val="26"/>
          <w:u w:val="single"/>
        </w:rPr>
        <w:t xml:space="preserve"> 5</w:t>
      </w:r>
      <w:r w:rsidR="002B5F59" w:rsidRPr="00744794">
        <w:rPr>
          <w:b w:val="0"/>
          <w:bCs w:val="0"/>
          <w:sz w:val="26"/>
          <w:szCs w:val="26"/>
          <w:u w:val="single"/>
        </w:rPr>
        <w:t xml:space="preserve"> and 8, including </w:t>
      </w:r>
      <w:r w:rsidRPr="00744794">
        <w:rPr>
          <w:b w:val="0"/>
          <w:bCs w:val="0"/>
          <w:strike/>
          <w:sz w:val="26"/>
          <w:szCs w:val="26"/>
        </w:rPr>
        <w:t>and respond</w:t>
      </w:r>
      <w:r w:rsidR="002B5F59" w:rsidRPr="00744794">
        <w:rPr>
          <w:b w:val="0"/>
          <w:bCs w:val="0"/>
          <w:strike/>
          <w:sz w:val="26"/>
          <w:szCs w:val="26"/>
        </w:rPr>
        <w:t xml:space="preserve"> </w:t>
      </w:r>
      <w:r w:rsidR="002B5F59" w:rsidRPr="00744794">
        <w:rPr>
          <w:b w:val="0"/>
          <w:bCs w:val="0"/>
          <w:sz w:val="26"/>
          <w:szCs w:val="26"/>
          <w:u w:val="single"/>
        </w:rPr>
        <w:t>timely responding</w:t>
      </w:r>
      <w:r w:rsidRPr="00744794">
        <w:rPr>
          <w:b w:val="0"/>
          <w:bCs w:val="0"/>
          <w:sz w:val="26"/>
          <w:szCs w:val="26"/>
        </w:rPr>
        <w:t xml:space="preserve"> to communications from the Commission and Conference Team.</w:t>
      </w:r>
    </w:p>
    <w:p w14:paraId="3BF58887" w14:textId="77777777" w:rsidR="00097EE0" w:rsidRPr="002157D7" w:rsidRDefault="00097EE0" w:rsidP="00744794">
      <w:pPr>
        <w:pStyle w:val="Heading1"/>
        <w:widowControl/>
        <w:spacing w:after="240"/>
        <w:ind w:left="0" w:firstLine="360"/>
        <w:jc w:val="both"/>
        <w:rPr>
          <w:b w:val="0"/>
          <w:bCs w:val="0"/>
          <w:sz w:val="26"/>
          <w:szCs w:val="26"/>
        </w:rPr>
      </w:pPr>
      <w:r w:rsidRPr="002157D7">
        <w:rPr>
          <w:sz w:val="26"/>
          <w:szCs w:val="26"/>
        </w:rPr>
        <w:t xml:space="preserve">(b) </w:t>
      </w:r>
      <w:r w:rsidR="00744794">
        <w:rPr>
          <w:sz w:val="26"/>
          <w:szCs w:val="26"/>
        </w:rPr>
        <w:t xml:space="preserve"> through (c)</w:t>
      </w:r>
      <w:r w:rsidRPr="002157D7">
        <w:rPr>
          <w:b w:val="0"/>
          <w:bCs w:val="0"/>
          <w:sz w:val="26"/>
          <w:szCs w:val="26"/>
        </w:rPr>
        <w:t xml:space="preserve"> </w:t>
      </w:r>
      <w:r w:rsidR="00744794" w:rsidRPr="00744794">
        <w:rPr>
          <w:b w:val="0"/>
          <w:bCs w:val="0"/>
          <w:sz w:val="26"/>
          <w:szCs w:val="26"/>
        </w:rPr>
        <w:t>[No changes]</w:t>
      </w:r>
    </w:p>
    <w:p w14:paraId="5583863F" w14:textId="77777777" w:rsidR="00CC035E" w:rsidRPr="00744794" w:rsidRDefault="00097EE0" w:rsidP="00744794">
      <w:pPr>
        <w:pStyle w:val="Heading1"/>
        <w:widowControl/>
        <w:spacing w:after="240"/>
        <w:ind w:left="0" w:firstLine="360"/>
        <w:jc w:val="both"/>
        <w:rPr>
          <w:b w:val="0"/>
          <w:bCs w:val="0"/>
          <w:sz w:val="26"/>
          <w:szCs w:val="26"/>
          <w:u w:val="single"/>
        </w:rPr>
      </w:pPr>
      <w:bookmarkStart w:id="8" w:name="_Hlk143676600"/>
      <w:r w:rsidRPr="002157D7">
        <w:rPr>
          <w:sz w:val="26"/>
          <w:szCs w:val="26"/>
        </w:rPr>
        <w:t xml:space="preserve">(d) </w:t>
      </w:r>
      <w:r w:rsidRPr="00744794">
        <w:rPr>
          <w:sz w:val="26"/>
          <w:szCs w:val="26"/>
        </w:rPr>
        <w:t>Data Validity</w:t>
      </w:r>
      <w:r w:rsidRPr="00744794">
        <w:rPr>
          <w:b w:val="0"/>
          <w:bCs w:val="0"/>
          <w:sz w:val="26"/>
          <w:szCs w:val="26"/>
        </w:rPr>
        <w:t xml:space="preserve">. </w:t>
      </w:r>
      <w:r w:rsidR="00C54536" w:rsidRPr="00744794">
        <w:rPr>
          <w:b w:val="0"/>
          <w:bCs w:val="0"/>
          <w:sz w:val="26"/>
          <w:szCs w:val="26"/>
        </w:rPr>
        <w:t xml:space="preserve">To the extent possible, </w:t>
      </w:r>
      <w:r w:rsidR="00C54536" w:rsidRPr="00744794">
        <w:rPr>
          <w:b w:val="0"/>
          <w:bCs w:val="0"/>
          <w:sz w:val="26"/>
          <w:szCs w:val="26"/>
          <w:u w:val="single"/>
        </w:rPr>
        <w:t>t</w:t>
      </w:r>
      <w:r w:rsidRPr="00744794">
        <w:rPr>
          <w:b w:val="0"/>
          <w:bCs w:val="0"/>
          <w:sz w:val="26"/>
          <w:szCs w:val="26"/>
        </w:rPr>
        <w:t xml:space="preserve">he Commission is expected to use generally accepted statistical methods and techniques. If </w:t>
      </w:r>
      <w:r w:rsidRPr="00744794">
        <w:rPr>
          <w:b w:val="0"/>
          <w:bCs w:val="0"/>
          <w:strike/>
          <w:sz w:val="26"/>
          <w:szCs w:val="26"/>
        </w:rPr>
        <w:t xml:space="preserve">any </w:t>
      </w:r>
      <w:r w:rsidR="0076755A" w:rsidRPr="00744794">
        <w:rPr>
          <w:b w:val="0"/>
          <w:bCs w:val="0"/>
          <w:sz w:val="26"/>
          <w:szCs w:val="26"/>
          <w:u w:val="single"/>
        </w:rPr>
        <w:t xml:space="preserve">data or </w:t>
      </w:r>
      <w:r w:rsidRPr="00744794">
        <w:rPr>
          <w:b w:val="0"/>
          <w:bCs w:val="0"/>
          <w:sz w:val="26"/>
          <w:szCs w:val="26"/>
        </w:rPr>
        <w:t xml:space="preserve">information the Commission receives about a judge under Rule 5(c) was obtained or compiled in a manner </w:t>
      </w:r>
      <w:r w:rsidRPr="00744794">
        <w:rPr>
          <w:b w:val="0"/>
          <w:bCs w:val="0"/>
          <w:strike/>
          <w:sz w:val="26"/>
          <w:szCs w:val="26"/>
        </w:rPr>
        <w:t xml:space="preserve">inconsistent with generally accepted statistical methods and techniques or </w:t>
      </w:r>
      <w:r w:rsidRPr="00744794">
        <w:rPr>
          <w:b w:val="0"/>
          <w:bCs w:val="0"/>
          <w:sz w:val="26"/>
          <w:szCs w:val="26"/>
        </w:rPr>
        <w:t xml:space="preserve">the Commission deems </w:t>
      </w:r>
      <w:r w:rsidRPr="00744794">
        <w:rPr>
          <w:b w:val="0"/>
          <w:bCs w:val="0"/>
          <w:strike/>
          <w:sz w:val="26"/>
          <w:szCs w:val="26"/>
        </w:rPr>
        <w:t xml:space="preserve">it </w:t>
      </w:r>
      <w:r w:rsidRPr="00744794">
        <w:rPr>
          <w:b w:val="0"/>
          <w:bCs w:val="0"/>
          <w:sz w:val="26"/>
          <w:szCs w:val="26"/>
        </w:rPr>
        <w:t xml:space="preserve">unduly prejudicial or otherwise unreliable, the Commission must </w:t>
      </w:r>
      <w:r w:rsidR="009B3736" w:rsidRPr="00744794">
        <w:rPr>
          <w:b w:val="0"/>
          <w:bCs w:val="0"/>
          <w:sz w:val="26"/>
          <w:szCs w:val="26"/>
        </w:rPr>
        <w:t xml:space="preserve">prominently </w:t>
      </w:r>
      <w:r w:rsidRPr="00744794">
        <w:rPr>
          <w:b w:val="0"/>
          <w:bCs w:val="0"/>
          <w:sz w:val="26"/>
          <w:szCs w:val="26"/>
        </w:rPr>
        <w:t xml:space="preserve">disclose </w:t>
      </w:r>
      <w:r w:rsidRPr="00744794">
        <w:rPr>
          <w:b w:val="0"/>
          <w:bCs w:val="0"/>
          <w:strike/>
          <w:sz w:val="26"/>
          <w:szCs w:val="26"/>
        </w:rPr>
        <w:t xml:space="preserve">these facts and </w:t>
      </w:r>
      <w:r w:rsidR="0076755A" w:rsidRPr="00744794">
        <w:rPr>
          <w:b w:val="0"/>
          <w:bCs w:val="0"/>
          <w:sz w:val="26"/>
          <w:szCs w:val="26"/>
          <w:u w:val="single"/>
        </w:rPr>
        <w:t xml:space="preserve">such concerns and </w:t>
      </w:r>
      <w:r w:rsidRPr="00744794">
        <w:rPr>
          <w:b w:val="0"/>
          <w:bCs w:val="0"/>
          <w:sz w:val="26"/>
          <w:szCs w:val="26"/>
        </w:rPr>
        <w:t xml:space="preserve">the reasons </w:t>
      </w:r>
      <w:r w:rsidR="0076755A" w:rsidRPr="00744794">
        <w:rPr>
          <w:b w:val="0"/>
          <w:bCs w:val="0"/>
          <w:sz w:val="26"/>
          <w:szCs w:val="26"/>
          <w:u w:val="single"/>
        </w:rPr>
        <w:t xml:space="preserve">it deems </w:t>
      </w:r>
      <w:r w:rsidRPr="00744794">
        <w:rPr>
          <w:b w:val="0"/>
          <w:bCs w:val="0"/>
          <w:sz w:val="26"/>
          <w:szCs w:val="26"/>
        </w:rPr>
        <w:t xml:space="preserve">the data or other information </w:t>
      </w:r>
      <w:r w:rsidRPr="00744794">
        <w:rPr>
          <w:b w:val="0"/>
          <w:bCs w:val="0"/>
          <w:strike/>
          <w:sz w:val="26"/>
          <w:szCs w:val="26"/>
        </w:rPr>
        <w:t xml:space="preserve">is flawed </w:t>
      </w:r>
      <w:r w:rsidR="0076755A" w:rsidRPr="00744794">
        <w:rPr>
          <w:b w:val="0"/>
          <w:bCs w:val="0"/>
          <w:sz w:val="26"/>
          <w:szCs w:val="26"/>
          <w:u w:val="single"/>
        </w:rPr>
        <w:t xml:space="preserve">unduly prejudicial or otherwise unreliable </w:t>
      </w:r>
      <w:r w:rsidRPr="00744794">
        <w:rPr>
          <w:b w:val="0"/>
          <w:bCs w:val="0"/>
          <w:sz w:val="26"/>
          <w:szCs w:val="26"/>
        </w:rPr>
        <w:t>in its report under Rule 5(c)(1) and in any dissemination under Rule 7(b).</w:t>
      </w:r>
      <w:r w:rsidR="003441BE" w:rsidRPr="00744794">
        <w:rPr>
          <w:b w:val="0"/>
          <w:bCs w:val="0"/>
          <w:sz w:val="26"/>
          <w:szCs w:val="26"/>
        </w:rPr>
        <w:t xml:space="preserve">  </w:t>
      </w:r>
      <w:r w:rsidR="003441BE" w:rsidRPr="00744794">
        <w:rPr>
          <w:b w:val="0"/>
          <w:bCs w:val="0"/>
          <w:strike/>
          <w:sz w:val="26"/>
          <w:szCs w:val="26"/>
        </w:rPr>
        <w:t xml:space="preserve">The Commission may not </w:t>
      </w:r>
      <w:r w:rsidR="009B3736" w:rsidRPr="00744794">
        <w:rPr>
          <w:b w:val="0"/>
          <w:bCs w:val="0"/>
          <w:strike/>
          <w:sz w:val="26"/>
          <w:szCs w:val="26"/>
        </w:rPr>
        <w:t xml:space="preserve">publish </w:t>
      </w:r>
      <w:r w:rsidR="003441BE" w:rsidRPr="00744794">
        <w:rPr>
          <w:b w:val="0"/>
          <w:bCs w:val="0"/>
          <w:strike/>
          <w:sz w:val="26"/>
          <w:szCs w:val="26"/>
        </w:rPr>
        <w:t xml:space="preserve">statistical data about a judge that does not have an appropriate </w:t>
      </w:r>
      <w:r w:rsidR="0077034E" w:rsidRPr="00744794">
        <w:rPr>
          <w:b w:val="0"/>
          <w:bCs w:val="0"/>
          <w:strike/>
          <w:sz w:val="26"/>
          <w:szCs w:val="26"/>
        </w:rPr>
        <w:t xml:space="preserve">confidence </w:t>
      </w:r>
      <w:r w:rsidR="003441BE" w:rsidRPr="00744794">
        <w:rPr>
          <w:b w:val="0"/>
          <w:bCs w:val="0"/>
          <w:strike/>
          <w:sz w:val="26"/>
          <w:szCs w:val="26"/>
        </w:rPr>
        <w:t>level.</w:t>
      </w:r>
      <w:r w:rsidR="00744794">
        <w:rPr>
          <w:b w:val="0"/>
          <w:bCs w:val="0"/>
          <w:sz w:val="26"/>
          <w:szCs w:val="26"/>
          <w:u w:val="single"/>
        </w:rPr>
        <w:t xml:space="preserve"> The Commission may choose not to publish data about a judge that the Commission deems unreliable.</w:t>
      </w:r>
    </w:p>
    <w:bookmarkEnd w:id="8"/>
    <w:p w14:paraId="31C20B9C" w14:textId="77777777" w:rsidR="00097EE0" w:rsidRPr="002157D7" w:rsidRDefault="00097EE0" w:rsidP="00744794">
      <w:pPr>
        <w:pStyle w:val="Heading1"/>
        <w:widowControl/>
        <w:spacing w:after="240"/>
        <w:ind w:left="0" w:firstLine="360"/>
        <w:jc w:val="both"/>
        <w:rPr>
          <w:b w:val="0"/>
          <w:bCs w:val="0"/>
          <w:sz w:val="26"/>
          <w:szCs w:val="26"/>
        </w:rPr>
      </w:pPr>
      <w:r w:rsidRPr="002157D7">
        <w:rPr>
          <w:sz w:val="26"/>
          <w:szCs w:val="26"/>
        </w:rPr>
        <w:t xml:space="preserve">(e) </w:t>
      </w:r>
      <w:r w:rsidR="00744794">
        <w:rPr>
          <w:sz w:val="26"/>
          <w:szCs w:val="26"/>
        </w:rPr>
        <w:t xml:space="preserve"> through (f) </w:t>
      </w:r>
      <w:r w:rsidR="00744794">
        <w:rPr>
          <w:b w:val="0"/>
          <w:bCs w:val="0"/>
          <w:sz w:val="26"/>
          <w:szCs w:val="26"/>
        </w:rPr>
        <w:t>[No changes]</w:t>
      </w:r>
    </w:p>
    <w:p w14:paraId="7C4428A6" w14:textId="77777777" w:rsidR="00097EE0" w:rsidRPr="002157D7" w:rsidRDefault="00097EE0" w:rsidP="00097EE0">
      <w:pPr>
        <w:pStyle w:val="Heading1"/>
        <w:widowControl/>
        <w:spacing w:after="120"/>
        <w:ind w:left="0"/>
        <w:jc w:val="both"/>
        <w:rPr>
          <w:sz w:val="26"/>
          <w:szCs w:val="26"/>
        </w:rPr>
      </w:pPr>
      <w:r w:rsidRPr="002157D7">
        <w:rPr>
          <w:sz w:val="26"/>
          <w:szCs w:val="26"/>
        </w:rPr>
        <w:t xml:space="preserve">Rule 11. </w:t>
      </w:r>
      <w:r w:rsidR="00744794">
        <w:rPr>
          <w:sz w:val="26"/>
          <w:szCs w:val="26"/>
        </w:rPr>
        <w:t xml:space="preserve">through 14. </w:t>
      </w:r>
      <w:r w:rsidR="00744794">
        <w:rPr>
          <w:b w:val="0"/>
          <w:bCs w:val="0"/>
          <w:sz w:val="26"/>
          <w:szCs w:val="26"/>
        </w:rPr>
        <w:t>[No changes]</w:t>
      </w:r>
      <w:r w:rsidRPr="002157D7">
        <w:rPr>
          <w:sz w:val="26"/>
          <w:szCs w:val="26"/>
        </w:rPr>
        <w:t xml:space="preserve"> </w:t>
      </w:r>
    </w:p>
    <w:sectPr w:rsidR="00097EE0" w:rsidRPr="002157D7" w:rsidSect="008E4748">
      <w:footerReference w:type="default" r:id="rId6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82B5" w14:textId="77777777" w:rsidR="00D61EA4" w:rsidRDefault="00D61EA4">
      <w:pPr>
        <w:spacing w:after="0" w:line="240" w:lineRule="auto"/>
      </w:pPr>
      <w:r>
        <w:separator/>
      </w:r>
    </w:p>
  </w:endnote>
  <w:endnote w:type="continuationSeparator" w:id="0">
    <w:p w14:paraId="24144583" w14:textId="77777777" w:rsidR="00D61EA4" w:rsidRDefault="00D6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2798" w14:textId="77777777" w:rsidR="000E0A49" w:rsidRPr="000E0A49" w:rsidRDefault="000E0A49">
    <w:pPr>
      <w:pStyle w:val="Footer"/>
      <w:jc w:val="center"/>
      <w:rPr>
        <w:rFonts w:ascii="Times New Roman" w:hAnsi="Times New Roman"/>
        <w:sz w:val="24"/>
        <w:szCs w:val="24"/>
      </w:rPr>
    </w:pPr>
    <w:r w:rsidRPr="000E0A49">
      <w:rPr>
        <w:rFonts w:ascii="Times New Roman" w:hAnsi="Times New Roman"/>
        <w:sz w:val="24"/>
        <w:szCs w:val="24"/>
      </w:rPr>
      <w:t xml:space="preserve">- </w:t>
    </w:r>
    <w:r w:rsidRPr="000E0A49">
      <w:rPr>
        <w:rFonts w:ascii="Times New Roman" w:hAnsi="Times New Roman"/>
        <w:sz w:val="24"/>
        <w:szCs w:val="24"/>
      </w:rPr>
      <w:fldChar w:fldCharType="begin"/>
    </w:r>
    <w:r w:rsidRPr="000E0A49">
      <w:rPr>
        <w:rFonts w:ascii="Times New Roman" w:hAnsi="Times New Roman"/>
        <w:sz w:val="24"/>
        <w:szCs w:val="24"/>
      </w:rPr>
      <w:instrText xml:space="preserve"> PAGE   \* MERGEFORMAT </w:instrText>
    </w:r>
    <w:r w:rsidRPr="000E0A49">
      <w:rPr>
        <w:rFonts w:ascii="Times New Roman" w:hAnsi="Times New Roman"/>
        <w:sz w:val="24"/>
        <w:szCs w:val="24"/>
      </w:rPr>
      <w:fldChar w:fldCharType="separate"/>
    </w:r>
    <w:r w:rsidRPr="000E0A49">
      <w:rPr>
        <w:rFonts w:ascii="Times New Roman" w:hAnsi="Times New Roman"/>
        <w:noProof/>
        <w:sz w:val="24"/>
        <w:szCs w:val="24"/>
      </w:rPr>
      <w:t>2</w:t>
    </w:r>
    <w:r w:rsidRPr="000E0A49">
      <w:rPr>
        <w:rFonts w:ascii="Times New Roman" w:hAnsi="Times New Roman"/>
        <w:noProof/>
        <w:sz w:val="24"/>
        <w:szCs w:val="24"/>
      </w:rPr>
      <w:fldChar w:fldCharType="end"/>
    </w:r>
    <w:r w:rsidRPr="000E0A49">
      <w:rPr>
        <w:rFonts w:ascii="Times New Roman" w:hAnsi="Times New Roman"/>
        <w:noProof/>
        <w:sz w:val="24"/>
        <w:szCs w:val="24"/>
      </w:rPr>
      <w:t xml:space="preserve"> -</w:t>
    </w:r>
  </w:p>
  <w:p w14:paraId="0639E5FD" w14:textId="77777777" w:rsidR="00AB35B2" w:rsidRDefault="00AB35B2">
    <w:pPr>
      <w:pStyle w:val="Normal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A921" w14:textId="77777777" w:rsidR="00D61EA4" w:rsidRDefault="00D61EA4">
      <w:pPr>
        <w:spacing w:after="0" w:line="240" w:lineRule="auto"/>
      </w:pPr>
      <w:r>
        <w:separator/>
      </w:r>
    </w:p>
  </w:footnote>
  <w:footnote w:type="continuationSeparator" w:id="0">
    <w:p w14:paraId="3990CD9E" w14:textId="77777777" w:rsidR="00D61EA4" w:rsidRDefault="00D61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30B"/>
    <w:rsid w:val="00021A47"/>
    <w:rsid w:val="00097EE0"/>
    <w:rsid w:val="000A0BC5"/>
    <w:rsid w:val="000B434A"/>
    <w:rsid w:val="000E0A49"/>
    <w:rsid w:val="000E269F"/>
    <w:rsid w:val="000F3B0D"/>
    <w:rsid w:val="00135559"/>
    <w:rsid w:val="001C05DD"/>
    <w:rsid w:val="001E725A"/>
    <w:rsid w:val="002157D7"/>
    <w:rsid w:val="002317FD"/>
    <w:rsid w:val="002B5F59"/>
    <w:rsid w:val="003441BE"/>
    <w:rsid w:val="003B03C5"/>
    <w:rsid w:val="003F29D1"/>
    <w:rsid w:val="003F453A"/>
    <w:rsid w:val="00415083"/>
    <w:rsid w:val="00451B1F"/>
    <w:rsid w:val="0048242C"/>
    <w:rsid w:val="004A351A"/>
    <w:rsid w:val="004B5E1D"/>
    <w:rsid w:val="004B60C6"/>
    <w:rsid w:val="004E403B"/>
    <w:rsid w:val="004E4678"/>
    <w:rsid w:val="0052461E"/>
    <w:rsid w:val="00553FC8"/>
    <w:rsid w:val="00554D2E"/>
    <w:rsid w:val="00556FDB"/>
    <w:rsid w:val="00564516"/>
    <w:rsid w:val="005709D3"/>
    <w:rsid w:val="005769AE"/>
    <w:rsid w:val="005E3A36"/>
    <w:rsid w:val="005F02C9"/>
    <w:rsid w:val="006308E1"/>
    <w:rsid w:val="006C2637"/>
    <w:rsid w:val="006E2408"/>
    <w:rsid w:val="006F0AEF"/>
    <w:rsid w:val="006F5445"/>
    <w:rsid w:val="00744794"/>
    <w:rsid w:val="007557FF"/>
    <w:rsid w:val="00760209"/>
    <w:rsid w:val="0076755A"/>
    <w:rsid w:val="0077034E"/>
    <w:rsid w:val="007760CF"/>
    <w:rsid w:val="007918F0"/>
    <w:rsid w:val="007953BE"/>
    <w:rsid w:val="007C1EA1"/>
    <w:rsid w:val="007C27E1"/>
    <w:rsid w:val="00847A78"/>
    <w:rsid w:val="00870E9A"/>
    <w:rsid w:val="008A5909"/>
    <w:rsid w:val="008B35E9"/>
    <w:rsid w:val="008E4748"/>
    <w:rsid w:val="009205D1"/>
    <w:rsid w:val="00932990"/>
    <w:rsid w:val="009365CA"/>
    <w:rsid w:val="00982BBE"/>
    <w:rsid w:val="009B3736"/>
    <w:rsid w:val="009B66AF"/>
    <w:rsid w:val="00A31D8E"/>
    <w:rsid w:val="00AB35B2"/>
    <w:rsid w:val="00B0009C"/>
    <w:rsid w:val="00B55300"/>
    <w:rsid w:val="00B9298F"/>
    <w:rsid w:val="00C03068"/>
    <w:rsid w:val="00C15FC9"/>
    <w:rsid w:val="00C35521"/>
    <w:rsid w:val="00C54536"/>
    <w:rsid w:val="00C66559"/>
    <w:rsid w:val="00C66FF6"/>
    <w:rsid w:val="00C9021A"/>
    <w:rsid w:val="00CA6554"/>
    <w:rsid w:val="00CC035E"/>
    <w:rsid w:val="00CC2B1C"/>
    <w:rsid w:val="00CD5236"/>
    <w:rsid w:val="00CF27FB"/>
    <w:rsid w:val="00D154FF"/>
    <w:rsid w:val="00D231DC"/>
    <w:rsid w:val="00D3481F"/>
    <w:rsid w:val="00D47E93"/>
    <w:rsid w:val="00D61EA4"/>
    <w:rsid w:val="00D66D6E"/>
    <w:rsid w:val="00D80056"/>
    <w:rsid w:val="00D94E83"/>
    <w:rsid w:val="00DF3FD0"/>
    <w:rsid w:val="00ED6D2E"/>
    <w:rsid w:val="00F1250E"/>
    <w:rsid w:val="00F275A2"/>
    <w:rsid w:val="00F36BCF"/>
    <w:rsid w:val="00F6730B"/>
    <w:rsid w:val="00F76750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3E590"/>
  <w14:defaultImageDpi w14:val="0"/>
  <w15:docId w15:val="{9C2022E3-9D1B-4AB1-AABD-6525E9A7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97EE0"/>
    <w:pPr>
      <w:widowControl w:val="0"/>
      <w:autoSpaceDE w:val="0"/>
      <w:autoSpaceDN w:val="0"/>
      <w:spacing w:after="0" w:line="240" w:lineRule="auto"/>
      <w:ind w:left="1340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EE0"/>
    <w:pPr>
      <w:keepNext/>
      <w:widowControl w:val="0"/>
      <w:autoSpaceDE w:val="0"/>
      <w:autoSpaceDN w:val="0"/>
      <w:spacing w:after="0" w:line="276" w:lineRule="auto"/>
      <w:ind w:left="115"/>
      <w:jc w:val="both"/>
      <w:outlineLvl w:val="1"/>
    </w:pPr>
    <w:rPr>
      <w:rFonts w:ascii="Times New Roman" w:hAnsi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E0"/>
    <w:pPr>
      <w:keepNext/>
      <w:widowControl w:val="0"/>
      <w:autoSpaceDE w:val="0"/>
      <w:autoSpaceDN w:val="0"/>
      <w:spacing w:after="120" w:line="240" w:lineRule="auto"/>
      <w:ind w:left="630" w:hanging="630"/>
      <w:jc w:val="both"/>
      <w:outlineLvl w:val="2"/>
    </w:pPr>
    <w:rPr>
      <w:rFonts w:ascii="Times New Roman" w:hAnsi="Times New Roman"/>
      <w:b/>
      <w:color w:val="FF0000"/>
      <w:sz w:val="26"/>
      <w:szCs w:val="26"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02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02C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02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02C9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097EE0"/>
    <w:rPr>
      <w:rFonts w:ascii="Times New Roman" w:hAnsi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rsid w:val="00097EE0"/>
    <w:rPr>
      <w:rFonts w:ascii="Times New Roman" w:hAnsi="Times New Roman"/>
      <w:b/>
      <w:sz w:val="28"/>
      <w:szCs w:val="28"/>
    </w:rPr>
  </w:style>
  <w:style w:type="character" w:customStyle="1" w:styleId="Heading3Char">
    <w:name w:val="Heading 3 Char"/>
    <w:link w:val="Heading3"/>
    <w:uiPriority w:val="9"/>
    <w:rsid w:val="00097EE0"/>
    <w:rPr>
      <w:rFonts w:ascii="Times New Roman" w:hAnsi="Times New Roman"/>
      <w:b/>
      <w:color w:val="FF0000"/>
      <w:sz w:val="26"/>
      <w:szCs w:val="26"/>
      <w:u w:val="single"/>
    </w:rPr>
  </w:style>
  <w:style w:type="paragraph" w:styleId="ListParagraph">
    <w:name w:val="List Paragraph"/>
    <w:basedOn w:val="Normal"/>
    <w:uiPriority w:val="1"/>
    <w:qFormat/>
    <w:rsid w:val="00097EE0"/>
    <w:pPr>
      <w:ind w:left="720"/>
      <w:contextualSpacing/>
    </w:pPr>
    <w:rPr>
      <w:rFonts w:eastAsia="Calibri"/>
    </w:rPr>
  </w:style>
  <w:style w:type="paragraph" w:styleId="BodyText">
    <w:name w:val="Body Text"/>
    <w:basedOn w:val="Normal"/>
    <w:link w:val="BodyTextChar"/>
    <w:uiPriority w:val="1"/>
    <w:qFormat/>
    <w:rsid w:val="00097E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97EE0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097EE0"/>
    <w:pPr>
      <w:widowControl w:val="0"/>
      <w:autoSpaceDE w:val="0"/>
      <w:autoSpaceDN w:val="0"/>
      <w:spacing w:after="120" w:line="240" w:lineRule="auto"/>
      <w:ind w:left="1350" w:right="115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Order</vt:lpstr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Order</dc:title>
  <dc:subject/>
  <dc:creator>Rogers, John W</dc:creator>
  <cp:keywords/>
  <dc:description/>
  <cp:lastModifiedBy>McQueen, Amanda</cp:lastModifiedBy>
  <cp:revision>2</cp:revision>
  <cp:lastPrinted>2023-08-23T17:11:00Z</cp:lastPrinted>
  <dcterms:created xsi:type="dcterms:W3CDTF">2025-01-09T21:08:00Z</dcterms:created>
  <dcterms:modified xsi:type="dcterms:W3CDTF">2025-01-09T21:08:00Z</dcterms:modified>
  <cp:category>0CAPTION</cp:category>
</cp:coreProperties>
</file>