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30E3A" w14:textId="1DB8801B" w:rsidR="006A3C5F" w:rsidRDefault="00336D20" w:rsidP="00336D20">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D. Douglas Metcalf</w:t>
      </w:r>
      <w:r>
        <w:rPr>
          <w:rFonts w:ascii="Times New Roman" w:eastAsia="Times New Roman" w:hAnsi="Times New Roman" w:cs="Times New Roman"/>
          <w:kern w:val="0"/>
          <w:sz w:val="28"/>
          <w:szCs w:val="28"/>
          <w14:ligatures w14:val="none"/>
        </w:rPr>
        <w:br/>
        <w:t>Pima County Superior Court Judge</w:t>
      </w:r>
      <w:r>
        <w:rPr>
          <w:rFonts w:ascii="Times New Roman" w:eastAsia="Times New Roman" w:hAnsi="Times New Roman" w:cs="Times New Roman"/>
          <w:kern w:val="0"/>
          <w:sz w:val="28"/>
          <w:szCs w:val="28"/>
          <w14:ligatures w14:val="none"/>
        </w:rPr>
        <w:br/>
        <w:t xml:space="preserve">110 West Congress </w:t>
      </w:r>
      <w:r w:rsidR="00FC35AB">
        <w:rPr>
          <w:rFonts w:ascii="Times New Roman" w:eastAsia="Times New Roman" w:hAnsi="Times New Roman" w:cs="Times New Roman"/>
          <w:kern w:val="0"/>
          <w:sz w:val="28"/>
          <w:szCs w:val="28"/>
          <w14:ligatures w14:val="none"/>
        </w:rPr>
        <w:t>Street</w:t>
      </w:r>
      <w:r w:rsidR="00FC35AB">
        <w:rPr>
          <w:rFonts w:ascii="Times New Roman" w:eastAsia="Times New Roman" w:hAnsi="Times New Roman" w:cs="Times New Roman"/>
          <w:kern w:val="0"/>
          <w:sz w:val="28"/>
          <w:szCs w:val="28"/>
          <w14:ligatures w14:val="none"/>
        </w:rPr>
        <w:br/>
        <w:t>Tucson, AZ  85711</w:t>
      </w:r>
      <w:r w:rsidR="00FC35AB">
        <w:rPr>
          <w:rFonts w:ascii="Times New Roman" w:eastAsia="Times New Roman" w:hAnsi="Times New Roman" w:cs="Times New Roman"/>
          <w:kern w:val="0"/>
          <w:sz w:val="28"/>
          <w:szCs w:val="28"/>
          <w14:ligatures w14:val="none"/>
        </w:rPr>
        <w:br/>
        <w:t>Tel. (520) 724-3708</w:t>
      </w:r>
      <w:r w:rsidR="00FC35AB">
        <w:rPr>
          <w:rFonts w:ascii="Times New Roman" w:eastAsia="Times New Roman" w:hAnsi="Times New Roman" w:cs="Times New Roman"/>
          <w:kern w:val="0"/>
          <w:sz w:val="28"/>
          <w:szCs w:val="28"/>
          <w14:ligatures w14:val="none"/>
        </w:rPr>
        <w:br/>
        <w:t>Fax (520) 724-8136</w:t>
      </w:r>
    </w:p>
    <w:p w14:paraId="2890CFD7" w14:textId="77777777" w:rsidR="00336D20" w:rsidRDefault="00336D20" w:rsidP="00336D20">
      <w:pPr>
        <w:spacing w:after="0" w:line="240" w:lineRule="auto"/>
        <w:rPr>
          <w:rFonts w:ascii="Times New Roman" w:eastAsia="Times New Roman" w:hAnsi="Times New Roman" w:cs="Times New Roman"/>
          <w:kern w:val="0"/>
          <w:sz w:val="28"/>
          <w:szCs w:val="28"/>
          <w14:ligatures w14:val="none"/>
        </w:rPr>
      </w:pPr>
    </w:p>
    <w:p w14:paraId="5A5D3A78" w14:textId="77777777" w:rsidR="00336D20" w:rsidRDefault="00336D20" w:rsidP="00336D20">
      <w:pPr>
        <w:spacing w:after="0" w:line="240" w:lineRule="auto"/>
        <w:rPr>
          <w:rFonts w:ascii="Times New Roman" w:eastAsia="Times New Roman" w:hAnsi="Times New Roman" w:cs="Times New Roman"/>
          <w:kern w:val="0"/>
          <w:sz w:val="28"/>
          <w:szCs w:val="28"/>
          <w14:ligatures w14:val="none"/>
        </w:rPr>
      </w:pPr>
    </w:p>
    <w:p w14:paraId="195D37AF" w14:textId="77777777" w:rsidR="00336D20" w:rsidRDefault="00336D20" w:rsidP="00336D20">
      <w:pPr>
        <w:spacing w:after="0" w:line="240" w:lineRule="auto"/>
        <w:rPr>
          <w:rFonts w:ascii="Times New Roman" w:eastAsia="Times New Roman" w:hAnsi="Times New Roman" w:cs="Times New Roman"/>
          <w:kern w:val="0"/>
          <w:sz w:val="28"/>
          <w:szCs w:val="28"/>
          <w14:ligatures w14:val="none"/>
        </w:rPr>
      </w:pPr>
    </w:p>
    <w:p w14:paraId="0614B66A" w14:textId="77777777" w:rsidR="00336D20" w:rsidRDefault="00336D20" w:rsidP="00336D20">
      <w:pPr>
        <w:spacing w:after="0" w:line="240" w:lineRule="auto"/>
        <w:rPr>
          <w:rFonts w:ascii="Times New Roman" w:eastAsia="Times New Roman" w:hAnsi="Times New Roman" w:cs="Times New Roman"/>
          <w:kern w:val="0"/>
          <w:sz w:val="28"/>
          <w:szCs w:val="28"/>
          <w14:ligatures w14:val="none"/>
        </w:rPr>
      </w:pPr>
    </w:p>
    <w:p w14:paraId="0BC12E54" w14:textId="77777777" w:rsidR="00336D20" w:rsidRPr="006A3C5F" w:rsidRDefault="00336D20" w:rsidP="006A3C5F">
      <w:pPr>
        <w:spacing w:after="0" w:line="240" w:lineRule="auto"/>
        <w:jc w:val="both"/>
        <w:rPr>
          <w:rFonts w:ascii="Times New Roman" w:eastAsia="Times New Roman" w:hAnsi="Times New Roman" w:cs="Times New Roman"/>
          <w:kern w:val="0"/>
          <w:sz w:val="28"/>
          <w:szCs w:val="28"/>
          <w14:ligatures w14:val="none"/>
        </w:rPr>
      </w:pPr>
    </w:p>
    <w:p w14:paraId="426585DC" w14:textId="77777777" w:rsidR="006A3C5F" w:rsidRPr="006A3C5F" w:rsidRDefault="006A3C5F" w:rsidP="006A3C5F">
      <w:pPr>
        <w:keepNext/>
        <w:spacing w:after="0" w:line="240" w:lineRule="auto"/>
        <w:jc w:val="center"/>
        <w:outlineLvl w:val="0"/>
        <w:rPr>
          <w:rFonts w:ascii="Times New Roman" w:eastAsia="Times New Roman" w:hAnsi="Times New Roman" w:cs="Times New Roman"/>
          <w:b/>
          <w:bCs/>
          <w:kern w:val="0"/>
          <w:sz w:val="28"/>
          <w:szCs w:val="28"/>
          <w14:ligatures w14:val="none"/>
        </w:rPr>
      </w:pPr>
      <w:r w:rsidRPr="006A3C5F">
        <w:rPr>
          <w:rFonts w:ascii="Times New Roman" w:eastAsia="Times New Roman" w:hAnsi="Times New Roman" w:cs="Times New Roman"/>
          <w:b/>
          <w:bCs/>
          <w:kern w:val="0"/>
          <w:sz w:val="28"/>
          <w:szCs w:val="28"/>
          <w14:ligatures w14:val="none"/>
        </w:rPr>
        <w:t>IN THE SUPREME COURT</w:t>
      </w:r>
    </w:p>
    <w:p w14:paraId="4BCD2B01" w14:textId="77777777" w:rsidR="006A3C5F" w:rsidRPr="006A3C5F" w:rsidRDefault="006A3C5F" w:rsidP="006A3C5F">
      <w:pPr>
        <w:keepNext/>
        <w:spacing w:after="0" w:line="240" w:lineRule="auto"/>
        <w:jc w:val="center"/>
        <w:outlineLvl w:val="0"/>
        <w:rPr>
          <w:rFonts w:ascii="Times New Roman" w:eastAsia="Times New Roman" w:hAnsi="Times New Roman" w:cs="Times New Roman"/>
          <w:b/>
          <w:bCs/>
          <w:kern w:val="0"/>
          <w:sz w:val="28"/>
          <w:szCs w:val="28"/>
          <w14:ligatures w14:val="none"/>
        </w:rPr>
      </w:pPr>
      <w:r w:rsidRPr="006A3C5F">
        <w:rPr>
          <w:rFonts w:ascii="Times New Roman" w:eastAsia="Times New Roman" w:hAnsi="Times New Roman" w:cs="Times New Roman"/>
          <w:b/>
          <w:bCs/>
          <w:kern w:val="0"/>
          <w:sz w:val="28"/>
          <w:szCs w:val="28"/>
          <w14:ligatures w14:val="none"/>
        </w:rPr>
        <w:t>STATE OF ARIZONA</w:t>
      </w:r>
    </w:p>
    <w:p w14:paraId="18F7964A" w14:textId="77777777" w:rsidR="006A3C5F" w:rsidRPr="006A3C5F" w:rsidRDefault="006A3C5F" w:rsidP="006A3C5F">
      <w:pPr>
        <w:spacing w:after="0" w:line="240" w:lineRule="auto"/>
        <w:rPr>
          <w:rFonts w:ascii="Times New Roman" w:eastAsia="Times New Roman" w:hAnsi="Times New Roman" w:cs="Times New Roman"/>
          <w:kern w:val="0"/>
          <w:sz w:val="28"/>
          <w:szCs w:val="28"/>
          <w14:ligatures w14:val="none"/>
        </w:rPr>
      </w:pPr>
    </w:p>
    <w:p w14:paraId="6D4D4EF3" w14:textId="72576DD8" w:rsidR="006A3C5F" w:rsidRPr="006A3C5F" w:rsidRDefault="006A3C5F" w:rsidP="006A3C5F">
      <w:pPr>
        <w:widowControl w:val="0"/>
        <w:autoSpaceDE w:val="0"/>
        <w:autoSpaceDN w:val="0"/>
        <w:adjustRightInd w:val="0"/>
        <w:spacing w:after="0" w:line="240" w:lineRule="auto"/>
        <w:rPr>
          <w:rFonts w:ascii="Times New Roman" w:eastAsia="Times New Roman" w:hAnsi="Times New Roman" w:cs="Times New Roman"/>
          <w:color w:val="000000"/>
          <w:kern w:val="0"/>
          <w:sz w:val="28"/>
          <w:szCs w:val="28"/>
          <w14:ligatures w14:val="none"/>
        </w:rPr>
      </w:pPr>
      <w:r w:rsidRPr="006A3C5F">
        <w:rPr>
          <w:rFonts w:ascii="Times New Roman" w:eastAsia="Times New Roman" w:hAnsi="Times New Roman" w:cs="Times New Roman"/>
          <w:color w:val="000000"/>
          <w:kern w:val="0"/>
          <w:sz w:val="28"/>
          <w:szCs w:val="28"/>
          <w14:ligatures w14:val="none"/>
        </w:rPr>
        <w:t xml:space="preserve">In the Matter of                                   </w:t>
      </w:r>
      <w:r w:rsidR="00F97DC1">
        <w:rPr>
          <w:rFonts w:ascii="Times New Roman" w:eastAsia="Times New Roman" w:hAnsi="Times New Roman" w:cs="Times New Roman"/>
          <w:color w:val="000000"/>
          <w:kern w:val="0"/>
          <w:sz w:val="28"/>
          <w:szCs w:val="28"/>
          <w14:ligatures w14:val="none"/>
        </w:rPr>
        <w:t xml:space="preserve"> )</w:t>
      </w:r>
      <w:r w:rsidRPr="006A3C5F">
        <w:rPr>
          <w:rFonts w:ascii="Times New Roman" w:eastAsia="Times New Roman" w:hAnsi="Times New Roman" w:cs="Times New Roman"/>
          <w:color w:val="000000"/>
          <w:kern w:val="0"/>
          <w:sz w:val="28"/>
          <w:szCs w:val="28"/>
          <w14:ligatures w14:val="none"/>
        </w:rPr>
        <w:t xml:space="preserve">   </w:t>
      </w:r>
    </w:p>
    <w:p w14:paraId="49DAB7B6" w14:textId="77777777" w:rsidR="006A3C5F" w:rsidRPr="006A3C5F" w:rsidRDefault="006A3C5F" w:rsidP="006A3C5F">
      <w:pPr>
        <w:widowControl w:val="0"/>
        <w:autoSpaceDE w:val="0"/>
        <w:autoSpaceDN w:val="0"/>
        <w:adjustRightInd w:val="0"/>
        <w:spacing w:after="0" w:line="240" w:lineRule="auto"/>
        <w:rPr>
          <w:rFonts w:ascii="Times New Roman" w:eastAsia="Times New Roman" w:hAnsi="Times New Roman" w:cs="Times New Roman"/>
          <w:kern w:val="0"/>
          <w:sz w:val="28"/>
          <w:szCs w:val="28"/>
          <w14:ligatures w14:val="none"/>
        </w:rPr>
      </w:pPr>
      <w:r w:rsidRPr="006A3C5F">
        <w:rPr>
          <w:rFonts w:ascii="Times New Roman" w:eastAsia="Times New Roman" w:hAnsi="Times New Roman" w:cs="Times New Roman"/>
          <w:color w:val="000000"/>
          <w:kern w:val="0"/>
          <w:sz w:val="28"/>
          <w:szCs w:val="28"/>
          <w14:ligatures w14:val="none"/>
        </w:rPr>
        <w:t xml:space="preserve">                                                             )    Arizona Supreme Court No. R-20-____</w:t>
      </w:r>
    </w:p>
    <w:p w14:paraId="66C6AFA2" w14:textId="4A8F3ABA" w:rsidR="006A3C5F" w:rsidRPr="006A3C5F" w:rsidRDefault="00F97DC1" w:rsidP="006A3C5F">
      <w:pPr>
        <w:widowControl w:val="0"/>
        <w:autoSpaceDE w:val="0"/>
        <w:autoSpaceDN w:val="0"/>
        <w:adjustRightInd w:val="0"/>
        <w:spacing w:after="0" w:line="240" w:lineRule="auto"/>
        <w:rPr>
          <w:rFonts w:ascii="Times New Roman" w:eastAsia="Times New Roman" w:hAnsi="Times New Roman" w:cs="Times New Roman"/>
          <w:kern w:val="0"/>
          <w:sz w:val="28"/>
          <w:szCs w:val="28"/>
          <w14:ligatures w14:val="none"/>
        </w:rPr>
      </w:pPr>
      <w:r w:rsidRPr="00F97DC1">
        <w:rPr>
          <w:rFonts w:ascii="Times New Roman" w:eastAsia="Times New Roman" w:hAnsi="Times New Roman" w:cs="Times New Roman"/>
          <w:color w:val="000000"/>
          <w:kern w:val="0"/>
          <w:sz w:val="28"/>
          <w:szCs w:val="28"/>
          <w14:ligatures w14:val="none"/>
        </w:rPr>
        <w:t>ARIZONA RULES OF</w:t>
      </w:r>
      <w:r w:rsidR="00FC35AB">
        <w:rPr>
          <w:rFonts w:ascii="Times New Roman" w:eastAsia="Times New Roman" w:hAnsi="Times New Roman" w:cs="Times New Roman"/>
          <w:color w:val="000000"/>
          <w:kern w:val="0"/>
          <w:sz w:val="28"/>
          <w:szCs w:val="28"/>
          <w14:ligatures w14:val="none"/>
        </w:rPr>
        <w:t xml:space="preserve"> </w:t>
      </w:r>
      <w:r w:rsidR="006A3C5F" w:rsidRPr="006A3C5F">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14:ligatures w14:val="none"/>
        </w:rPr>
        <w:t xml:space="preserve">                     </w:t>
      </w:r>
      <w:r w:rsidR="006A3C5F" w:rsidRPr="006A3C5F">
        <w:rPr>
          <w:rFonts w:ascii="Times New Roman" w:eastAsia="Times New Roman" w:hAnsi="Times New Roman" w:cs="Times New Roman"/>
          <w:color w:val="000000"/>
          <w:kern w:val="0"/>
          <w:sz w:val="28"/>
          <w:szCs w:val="28"/>
          <w14:ligatures w14:val="none"/>
        </w:rPr>
        <w:t>)</w:t>
      </w:r>
    </w:p>
    <w:p w14:paraId="6F4CD6FB" w14:textId="64AD7187" w:rsidR="006A3C5F" w:rsidRPr="006A3C5F" w:rsidRDefault="00FC35AB" w:rsidP="006A3C5F">
      <w:pPr>
        <w:widowControl w:val="0"/>
        <w:autoSpaceDE w:val="0"/>
        <w:autoSpaceDN w:val="0"/>
        <w:adjustRightInd w:val="0"/>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PROCEDURE FOR             </w:t>
      </w:r>
      <w:r w:rsidR="006A3C5F" w:rsidRPr="006A3C5F">
        <w:rPr>
          <w:rFonts w:ascii="Times New Roman" w:eastAsia="Times New Roman" w:hAnsi="Times New Roman" w:cs="Times New Roman"/>
          <w:color w:val="000000"/>
          <w:kern w:val="0"/>
          <w:sz w:val="28"/>
          <w:szCs w:val="28"/>
          <w14:ligatures w14:val="none"/>
        </w:rPr>
        <w:t xml:space="preserve">               )</w:t>
      </w:r>
      <w:r w:rsidR="00F97DC1" w:rsidRPr="006A3C5F">
        <w:rPr>
          <w:rFonts w:ascii="Times New Roman" w:eastAsia="Times New Roman" w:hAnsi="Times New Roman" w:cs="Times New Roman"/>
          <w:color w:val="000000"/>
          <w:kern w:val="0"/>
          <w:sz w:val="28"/>
          <w:szCs w:val="28"/>
          <w14:ligatures w14:val="none"/>
        </w:rPr>
        <w:t xml:space="preserve">    </w:t>
      </w:r>
      <w:r w:rsidR="00F97DC1" w:rsidRPr="00F97DC1">
        <w:rPr>
          <w:rFonts w:ascii="Times New Roman" w:eastAsia="Times New Roman" w:hAnsi="Times New Roman" w:cs="Times New Roman"/>
          <w:b/>
          <w:bCs/>
          <w:color w:val="000000"/>
          <w:kern w:val="0"/>
          <w:sz w:val="28"/>
          <w:szCs w:val="28"/>
          <w14:ligatures w14:val="none"/>
        </w:rPr>
        <w:t xml:space="preserve">PETITION TO </w:t>
      </w:r>
      <w:r>
        <w:rPr>
          <w:rFonts w:ascii="Times New Roman" w:eastAsia="Times New Roman" w:hAnsi="Times New Roman" w:cs="Times New Roman"/>
          <w:b/>
          <w:bCs/>
          <w:color w:val="000000"/>
          <w:kern w:val="0"/>
          <w:sz w:val="28"/>
          <w:szCs w:val="28"/>
          <w14:ligatures w14:val="none"/>
        </w:rPr>
        <w:t xml:space="preserve">AMEND </w:t>
      </w:r>
      <w:r w:rsidR="00F97DC1" w:rsidRPr="00F97DC1">
        <w:rPr>
          <w:rFonts w:ascii="Times New Roman" w:eastAsia="Times New Roman" w:hAnsi="Times New Roman" w:cs="Times New Roman"/>
          <w:b/>
          <w:bCs/>
          <w:color w:val="000000"/>
          <w:kern w:val="0"/>
          <w:sz w:val="28"/>
          <w:szCs w:val="28"/>
          <w14:ligatures w14:val="none"/>
        </w:rPr>
        <w:t>ARIZONA</w:t>
      </w:r>
    </w:p>
    <w:p w14:paraId="71E0420F" w14:textId="5B227BE0" w:rsidR="006A3C5F" w:rsidRPr="006A3C5F" w:rsidRDefault="00FC35AB" w:rsidP="006A3C5F">
      <w:pPr>
        <w:widowControl w:val="0"/>
        <w:autoSpaceDE w:val="0"/>
        <w:autoSpaceDN w:val="0"/>
        <w:adjustRightInd w:val="0"/>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color w:val="000000"/>
          <w:kern w:val="0"/>
          <w:sz w:val="28"/>
          <w:szCs w:val="28"/>
          <w14:ligatures w14:val="none"/>
        </w:rPr>
        <w:t>SPECIAL ACTIONS 2(</w:t>
      </w:r>
      <w:r w:rsidR="009E4828">
        <w:rPr>
          <w:rFonts w:ascii="Times New Roman" w:eastAsia="Times New Roman" w:hAnsi="Times New Roman" w:cs="Times New Roman"/>
          <w:color w:val="000000"/>
          <w:kern w:val="0"/>
          <w:sz w:val="28"/>
          <w:szCs w:val="28"/>
          <w14:ligatures w14:val="none"/>
        </w:rPr>
        <w:t>b</w:t>
      </w:r>
      <w:r>
        <w:rPr>
          <w:rFonts w:ascii="Times New Roman" w:eastAsia="Times New Roman" w:hAnsi="Times New Roman" w:cs="Times New Roman"/>
          <w:color w:val="000000"/>
          <w:kern w:val="0"/>
          <w:sz w:val="28"/>
          <w:szCs w:val="28"/>
          <w14:ligatures w14:val="none"/>
        </w:rPr>
        <w:t>)(1)</w:t>
      </w:r>
      <w:r w:rsidR="006A3C5F" w:rsidRPr="006A3C5F">
        <w:rPr>
          <w:rFonts w:ascii="Times New Roman" w:eastAsia="Times New Roman" w:hAnsi="Times New Roman" w:cs="Times New Roman"/>
          <w:color w:val="000000"/>
          <w:kern w:val="0"/>
          <w:sz w:val="28"/>
          <w:szCs w:val="28"/>
          <w14:ligatures w14:val="none"/>
        </w:rPr>
        <w:t xml:space="preserve">             )</w:t>
      </w:r>
      <w:r w:rsidR="00F97DC1">
        <w:rPr>
          <w:rFonts w:ascii="Times New Roman" w:eastAsia="Times New Roman" w:hAnsi="Times New Roman" w:cs="Times New Roman"/>
          <w:color w:val="000000"/>
          <w:kern w:val="0"/>
          <w:sz w:val="28"/>
          <w:szCs w:val="28"/>
          <w14:ligatures w14:val="none"/>
        </w:rPr>
        <w:t xml:space="preserve">   </w:t>
      </w:r>
      <w:r w:rsidR="00F97DC1" w:rsidRPr="00F97DC1">
        <w:rPr>
          <w:rFonts w:ascii="Times New Roman" w:eastAsia="Times New Roman" w:hAnsi="Times New Roman" w:cs="Times New Roman"/>
          <w:color w:val="000000"/>
          <w:kern w:val="0"/>
          <w:sz w:val="28"/>
          <w:szCs w:val="28"/>
          <w14:ligatures w14:val="none"/>
        </w:rPr>
        <w:t xml:space="preserve"> </w:t>
      </w:r>
      <w:r w:rsidR="00F97DC1" w:rsidRPr="00F97DC1">
        <w:rPr>
          <w:rFonts w:ascii="Times New Roman" w:eastAsia="Times New Roman" w:hAnsi="Times New Roman" w:cs="Times New Roman"/>
          <w:b/>
          <w:bCs/>
          <w:color w:val="000000"/>
          <w:kern w:val="0"/>
          <w:sz w:val="28"/>
          <w:szCs w:val="28"/>
          <w14:ligatures w14:val="none"/>
        </w:rPr>
        <w:t xml:space="preserve">RULE OF </w:t>
      </w:r>
      <w:r>
        <w:rPr>
          <w:rFonts w:ascii="Times New Roman" w:eastAsia="Times New Roman" w:hAnsi="Times New Roman" w:cs="Times New Roman"/>
          <w:b/>
          <w:bCs/>
          <w:color w:val="000000"/>
          <w:kern w:val="0"/>
          <w:sz w:val="28"/>
          <w:szCs w:val="28"/>
          <w14:ligatures w14:val="none"/>
        </w:rPr>
        <w:t>PROCEDURE FOR</w:t>
      </w:r>
    </w:p>
    <w:p w14:paraId="4353226D" w14:textId="5B8654FB" w:rsidR="006A3C5F" w:rsidRPr="006A3C5F" w:rsidRDefault="006A3C5F" w:rsidP="006A3C5F">
      <w:pPr>
        <w:widowControl w:val="0"/>
        <w:autoSpaceDE w:val="0"/>
        <w:autoSpaceDN w:val="0"/>
        <w:adjustRightInd w:val="0"/>
        <w:spacing w:after="0" w:line="240" w:lineRule="auto"/>
        <w:rPr>
          <w:rFonts w:ascii="Times New Roman" w:eastAsia="Times New Roman" w:hAnsi="Times New Roman" w:cs="Times New Roman"/>
          <w:color w:val="000000"/>
          <w:kern w:val="0"/>
          <w:sz w:val="28"/>
          <w:szCs w:val="28"/>
          <w14:ligatures w14:val="none"/>
        </w:rPr>
      </w:pPr>
      <w:r w:rsidRPr="006A3C5F">
        <w:rPr>
          <w:rFonts w:ascii="Times New Roman" w:eastAsia="Times New Roman" w:hAnsi="Times New Roman" w:cs="Times New Roman"/>
          <w:color w:val="000000"/>
          <w:kern w:val="0"/>
          <w:sz w:val="28"/>
          <w:szCs w:val="28"/>
          <w14:ligatures w14:val="none"/>
        </w:rPr>
        <w:t xml:space="preserve">                                                             </w:t>
      </w:r>
      <w:r w:rsidR="00F97DC1">
        <w:rPr>
          <w:rFonts w:ascii="Times New Roman" w:eastAsia="Times New Roman" w:hAnsi="Times New Roman" w:cs="Times New Roman"/>
          <w:color w:val="000000"/>
          <w:kern w:val="0"/>
          <w:sz w:val="28"/>
          <w:szCs w:val="28"/>
          <w14:ligatures w14:val="none"/>
        </w:rPr>
        <w:t xml:space="preserve">)    </w:t>
      </w:r>
      <w:r w:rsidR="00FC35AB">
        <w:rPr>
          <w:rFonts w:ascii="Times New Roman" w:eastAsia="Times New Roman" w:hAnsi="Times New Roman" w:cs="Times New Roman"/>
          <w:b/>
          <w:bCs/>
          <w:color w:val="000000"/>
          <w:kern w:val="0"/>
          <w:sz w:val="28"/>
          <w:szCs w:val="28"/>
          <w14:ligatures w14:val="none"/>
        </w:rPr>
        <w:t>SPECIAL ACTIONS 2(b)(1)</w:t>
      </w:r>
    </w:p>
    <w:p w14:paraId="675C7581" w14:textId="4BB2E689" w:rsidR="006A3C5F" w:rsidRPr="006A3C5F" w:rsidRDefault="006A3C5F" w:rsidP="006A3C5F">
      <w:pPr>
        <w:widowControl w:val="0"/>
        <w:autoSpaceDE w:val="0"/>
        <w:autoSpaceDN w:val="0"/>
        <w:adjustRightInd w:val="0"/>
        <w:spacing w:after="0" w:line="240" w:lineRule="auto"/>
        <w:rPr>
          <w:rFonts w:ascii="Times New Roman" w:eastAsia="Times New Roman" w:hAnsi="Times New Roman" w:cs="Times New Roman"/>
          <w:kern w:val="0"/>
          <w:sz w:val="28"/>
          <w:szCs w:val="28"/>
          <w14:ligatures w14:val="none"/>
        </w:rPr>
      </w:pPr>
      <w:r w:rsidRPr="006A3C5F">
        <w:rPr>
          <w:rFonts w:ascii="Times New Roman" w:eastAsia="Times New Roman" w:hAnsi="Times New Roman" w:cs="Times New Roman"/>
          <w:color w:val="000000"/>
          <w:kern w:val="0"/>
          <w:sz w:val="28"/>
          <w:szCs w:val="28"/>
          <w14:ligatures w14:val="none"/>
        </w:rPr>
        <w:t xml:space="preserve">                                                             )    </w:t>
      </w:r>
    </w:p>
    <w:p w14:paraId="745A1EE4" w14:textId="036A8B34" w:rsidR="006A3C5F" w:rsidRPr="006A3C5F" w:rsidRDefault="006A3C5F" w:rsidP="006A3C5F">
      <w:pPr>
        <w:spacing w:after="0" w:line="240" w:lineRule="auto"/>
        <w:rPr>
          <w:rFonts w:ascii="Times New Roman" w:eastAsia="Times New Roman" w:hAnsi="Times New Roman" w:cs="Times New Roman"/>
          <w:kern w:val="0"/>
          <w:sz w:val="28"/>
          <w:szCs w:val="28"/>
          <w14:ligatures w14:val="none"/>
        </w:rPr>
      </w:pPr>
      <w:r w:rsidRPr="006A3C5F">
        <w:rPr>
          <w:rFonts w:ascii="Times New Roman" w:eastAsia="Times New Roman" w:hAnsi="Times New Roman" w:cs="Times New Roman"/>
          <w:color w:val="000000"/>
          <w:kern w:val="0"/>
          <w:sz w:val="28"/>
          <w:szCs w:val="28"/>
          <w14:ligatures w14:val="none"/>
        </w:rPr>
        <w:t>______________________________)</w:t>
      </w:r>
    </w:p>
    <w:p w14:paraId="406014DA" w14:textId="77777777" w:rsidR="006A3C5F" w:rsidRPr="006A3C5F" w:rsidRDefault="006A3C5F" w:rsidP="006A3C5F">
      <w:pPr>
        <w:spacing w:after="0" w:line="240" w:lineRule="auto"/>
        <w:rPr>
          <w:rFonts w:ascii="Times New Roman" w:eastAsia="Times New Roman" w:hAnsi="Times New Roman" w:cs="Times New Roman"/>
          <w:kern w:val="0"/>
          <w:sz w:val="28"/>
          <w:szCs w:val="28"/>
          <w14:ligatures w14:val="none"/>
        </w:rPr>
      </w:pPr>
    </w:p>
    <w:p w14:paraId="410CCB22" w14:textId="77777777" w:rsidR="006A3C5F" w:rsidRPr="006A3C5F" w:rsidRDefault="006A3C5F" w:rsidP="006A3C5F">
      <w:pPr>
        <w:spacing w:after="0" w:line="240" w:lineRule="auto"/>
        <w:jc w:val="both"/>
        <w:rPr>
          <w:rFonts w:ascii="Times New Roman" w:eastAsia="Times New Roman" w:hAnsi="Times New Roman" w:cs="Times New Roman"/>
          <w:kern w:val="0"/>
          <w:sz w:val="28"/>
          <w:szCs w:val="28"/>
          <w14:ligatures w14:val="none"/>
        </w:rPr>
      </w:pPr>
    </w:p>
    <w:p w14:paraId="13B49EE2" w14:textId="77777777" w:rsidR="006A3C5F" w:rsidRPr="006A3C5F" w:rsidRDefault="006A3C5F" w:rsidP="006A3C5F">
      <w:pPr>
        <w:spacing w:after="0" w:line="240" w:lineRule="auto"/>
        <w:jc w:val="center"/>
        <w:rPr>
          <w:rFonts w:ascii="Times New Roman" w:eastAsia="Times New Roman" w:hAnsi="Times New Roman" w:cs="Times New Roman"/>
          <w:kern w:val="0"/>
          <w:sz w:val="28"/>
          <w:szCs w:val="28"/>
          <w14:ligatures w14:val="none"/>
        </w:rPr>
      </w:pPr>
    </w:p>
    <w:p w14:paraId="133FF675" w14:textId="4D7A7788" w:rsidR="006A3C5F" w:rsidRPr="006A3C5F" w:rsidRDefault="006A3C5F" w:rsidP="009E4828">
      <w:pPr>
        <w:tabs>
          <w:tab w:val="left" w:pos="711"/>
        </w:tabs>
        <w:spacing w:after="0" w:line="480" w:lineRule="auto"/>
        <w:rPr>
          <w:rFonts w:ascii="Times New Roman" w:eastAsia="Times New Roman" w:hAnsi="Times New Roman" w:cs="Times New Roman"/>
          <w:kern w:val="0"/>
          <w:sz w:val="28"/>
          <w:szCs w:val="28"/>
          <w14:ligatures w14:val="none"/>
        </w:rPr>
      </w:pPr>
      <w:r w:rsidRPr="006A3C5F">
        <w:rPr>
          <w:rFonts w:ascii="Times New Roman" w:eastAsia="Times New Roman" w:hAnsi="Times New Roman" w:cs="Times New Roman"/>
          <w:kern w:val="0"/>
          <w:sz w:val="28"/>
          <w:szCs w:val="28"/>
          <w14:ligatures w14:val="none"/>
        </w:rPr>
        <w:tab/>
        <w:t xml:space="preserve">Pursuant to Rule 28, Rules of the Supreme Court, </w:t>
      </w:r>
      <w:r w:rsidR="00BF3E77">
        <w:rPr>
          <w:rFonts w:ascii="Times New Roman" w:eastAsia="Times New Roman" w:hAnsi="Times New Roman" w:cs="Times New Roman"/>
          <w:kern w:val="0"/>
          <w:sz w:val="28"/>
          <w:szCs w:val="28"/>
          <w14:ligatures w14:val="none"/>
        </w:rPr>
        <w:t xml:space="preserve">and </w:t>
      </w:r>
      <w:r w:rsidR="0089606C">
        <w:rPr>
          <w:rFonts w:ascii="Times New Roman" w:eastAsia="Times New Roman" w:hAnsi="Times New Roman" w:cs="Times New Roman"/>
          <w:kern w:val="0"/>
          <w:sz w:val="28"/>
          <w:szCs w:val="28"/>
          <w14:ligatures w14:val="none"/>
        </w:rPr>
        <w:t xml:space="preserve">in my individual capacity as a superior court judge, </w:t>
      </w:r>
      <w:r w:rsidR="00BF3E77">
        <w:rPr>
          <w:rFonts w:ascii="Times New Roman" w:eastAsia="Times New Roman" w:hAnsi="Times New Roman" w:cs="Times New Roman"/>
          <w:kern w:val="0"/>
          <w:sz w:val="28"/>
          <w:szCs w:val="28"/>
          <w14:ligatures w14:val="none"/>
        </w:rPr>
        <w:t xml:space="preserve">I </w:t>
      </w:r>
      <w:r w:rsidR="00FC35AB">
        <w:rPr>
          <w:rFonts w:ascii="Times New Roman" w:eastAsia="Times New Roman" w:hAnsi="Times New Roman" w:cs="Times New Roman"/>
          <w:kern w:val="0"/>
          <w:sz w:val="28"/>
          <w:szCs w:val="28"/>
          <w14:ligatures w14:val="none"/>
        </w:rPr>
        <w:t>petition the Supreme Court to amend new</w:t>
      </w:r>
      <w:r w:rsidR="000E7756">
        <w:rPr>
          <w:rFonts w:ascii="Times New Roman" w:eastAsia="Times New Roman" w:hAnsi="Times New Roman" w:cs="Times New Roman"/>
          <w:kern w:val="0"/>
          <w:sz w:val="28"/>
          <w:szCs w:val="28"/>
          <w14:ligatures w14:val="none"/>
        </w:rPr>
        <w:t>ly enacted</w:t>
      </w:r>
      <w:r w:rsidR="00FC35AB">
        <w:rPr>
          <w:rFonts w:ascii="Times New Roman" w:eastAsia="Times New Roman" w:hAnsi="Times New Roman" w:cs="Times New Roman"/>
          <w:kern w:val="0"/>
          <w:sz w:val="28"/>
          <w:szCs w:val="28"/>
          <w14:ligatures w14:val="none"/>
        </w:rPr>
        <w:t xml:space="preserve"> Special Action Rule 2(b)(1) by returning the language that special action relief cannot be had in an </w:t>
      </w:r>
      <w:r w:rsidR="006066FD">
        <w:rPr>
          <w:rFonts w:ascii="Times New Roman" w:eastAsia="Times New Roman" w:hAnsi="Times New Roman" w:cs="Times New Roman"/>
          <w:kern w:val="0"/>
          <w:sz w:val="28"/>
          <w:szCs w:val="28"/>
          <w14:ligatures w14:val="none"/>
        </w:rPr>
        <w:t>O</w:t>
      </w:r>
      <w:r w:rsidR="00FC35AB">
        <w:rPr>
          <w:rFonts w:ascii="Times New Roman" w:eastAsia="Times New Roman" w:hAnsi="Times New Roman" w:cs="Times New Roman"/>
          <w:kern w:val="0"/>
          <w:sz w:val="28"/>
          <w:szCs w:val="28"/>
          <w14:ligatures w14:val="none"/>
        </w:rPr>
        <w:t xml:space="preserve">riginal </w:t>
      </w:r>
      <w:r w:rsidR="006066FD">
        <w:rPr>
          <w:rFonts w:ascii="Times New Roman" w:eastAsia="Times New Roman" w:hAnsi="Times New Roman" w:cs="Times New Roman"/>
          <w:kern w:val="0"/>
          <w:sz w:val="28"/>
          <w:szCs w:val="28"/>
          <w14:ligatures w14:val="none"/>
        </w:rPr>
        <w:t>S</w:t>
      </w:r>
      <w:r w:rsidR="00FC35AB">
        <w:rPr>
          <w:rFonts w:ascii="Times New Roman" w:eastAsia="Times New Roman" w:hAnsi="Times New Roman" w:cs="Times New Roman"/>
          <w:kern w:val="0"/>
          <w:sz w:val="28"/>
          <w:szCs w:val="28"/>
          <w14:ligatures w14:val="none"/>
        </w:rPr>
        <w:t xml:space="preserve">pecial </w:t>
      </w:r>
      <w:r w:rsidR="006066FD">
        <w:rPr>
          <w:rFonts w:ascii="Times New Roman" w:eastAsia="Times New Roman" w:hAnsi="Times New Roman" w:cs="Times New Roman"/>
          <w:kern w:val="0"/>
          <w:sz w:val="28"/>
          <w:szCs w:val="28"/>
          <w14:ligatures w14:val="none"/>
        </w:rPr>
        <w:t>A</w:t>
      </w:r>
      <w:r w:rsidR="00FC35AB">
        <w:rPr>
          <w:rFonts w:ascii="Times New Roman" w:eastAsia="Times New Roman" w:hAnsi="Times New Roman" w:cs="Times New Roman"/>
          <w:kern w:val="0"/>
          <w:sz w:val="28"/>
          <w:szCs w:val="28"/>
          <w14:ligatures w14:val="none"/>
        </w:rPr>
        <w:t xml:space="preserve">ction if there is an equally plain, speedy, and adequate remedy </w:t>
      </w:r>
      <w:r w:rsidR="00643B30">
        <w:rPr>
          <w:rFonts w:ascii="Times New Roman" w:eastAsia="Times New Roman" w:hAnsi="Times New Roman" w:cs="Times New Roman"/>
          <w:kern w:val="0"/>
          <w:sz w:val="28"/>
          <w:szCs w:val="28"/>
          <w14:ligatures w14:val="none"/>
        </w:rPr>
        <w:t>by</w:t>
      </w:r>
      <w:r w:rsidR="00FC35AB">
        <w:rPr>
          <w:rFonts w:ascii="Times New Roman" w:eastAsia="Times New Roman" w:hAnsi="Times New Roman" w:cs="Times New Roman"/>
          <w:kern w:val="0"/>
          <w:sz w:val="28"/>
          <w:szCs w:val="28"/>
          <w14:ligatures w14:val="none"/>
        </w:rPr>
        <w:t xml:space="preserve"> law.  While the Court retained this language for </w:t>
      </w:r>
      <w:r w:rsidR="006066FD">
        <w:rPr>
          <w:rFonts w:ascii="Times New Roman" w:eastAsia="Times New Roman" w:hAnsi="Times New Roman" w:cs="Times New Roman"/>
          <w:kern w:val="0"/>
          <w:sz w:val="28"/>
          <w:szCs w:val="28"/>
          <w14:ligatures w14:val="none"/>
        </w:rPr>
        <w:t>A</w:t>
      </w:r>
      <w:r w:rsidR="00FC35AB">
        <w:rPr>
          <w:rFonts w:ascii="Times New Roman" w:eastAsia="Times New Roman" w:hAnsi="Times New Roman" w:cs="Times New Roman"/>
          <w:kern w:val="0"/>
          <w:sz w:val="28"/>
          <w:szCs w:val="28"/>
          <w14:ligatures w14:val="none"/>
        </w:rPr>
        <w:t xml:space="preserve">ppellate </w:t>
      </w:r>
      <w:r w:rsidR="006066FD">
        <w:rPr>
          <w:rFonts w:ascii="Times New Roman" w:eastAsia="Times New Roman" w:hAnsi="Times New Roman" w:cs="Times New Roman"/>
          <w:kern w:val="0"/>
          <w:sz w:val="28"/>
          <w:szCs w:val="28"/>
          <w14:ligatures w14:val="none"/>
        </w:rPr>
        <w:t>S</w:t>
      </w:r>
      <w:r w:rsidR="00FC35AB">
        <w:rPr>
          <w:rFonts w:ascii="Times New Roman" w:eastAsia="Times New Roman" w:hAnsi="Times New Roman" w:cs="Times New Roman"/>
          <w:kern w:val="0"/>
          <w:sz w:val="28"/>
          <w:szCs w:val="28"/>
          <w14:ligatures w14:val="none"/>
        </w:rPr>
        <w:t xml:space="preserve">pecial </w:t>
      </w:r>
      <w:r w:rsidR="006066FD">
        <w:rPr>
          <w:rFonts w:ascii="Times New Roman" w:eastAsia="Times New Roman" w:hAnsi="Times New Roman" w:cs="Times New Roman"/>
          <w:kern w:val="0"/>
          <w:sz w:val="28"/>
          <w:szCs w:val="28"/>
          <w14:ligatures w14:val="none"/>
        </w:rPr>
        <w:t>A</w:t>
      </w:r>
      <w:r w:rsidR="00FC35AB">
        <w:rPr>
          <w:rFonts w:ascii="Times New Roman" w:eastAsia="Times New Roman" w:hAnsi="Times New Roman" w:cs="Times New Roman"/>
          <w:kern w:val="0"/>
          <w:sz w:val="28"/>
          <w:szCs w:val="28"/>
          <w14:ligatures w14:val="none"/>
        </w:rPr>
        <w:t xml:space="preserve">ctions in the new rules, it did not do so for </w:t>
      </w:r>
      <w:r w:rsidR="006066FD">
        <w:rPr>
          <w:rFonts w:ascii="Times New Roman" w:eastAsia="Times New Roman" w:hAnsi="Times New Roman" w:cs="Times New Roman"/>
          <w:kern w:val="0"/>
          <w:sz w:val="28"/>
          <w:szCs w:val="28"/>
          <w14:ligatures w14:val="none"/>
        </w:rPr>
        <w:t>O</w:t>
      </w:r>
      <w:r w:rsidR="00FC35AB">
        <w:rPr>
          <w:rFonts w:ascii="Times New Roman" w:eastAsia="Times New Roman" w:hAnsi="Times New Roman" w:cs="Times New Roman"/>
          <w:kern w:val="0"/>
          <w:sz w:val="28"/>
          <w:szCs w:val="28"/>
          <w14:ligatures w14:val="none"/>
        </w:rPr>
        <w:t xml:space="preserve">riginal </w:t>
      </w:r>
      <w:r w:rsidR="006066FD">
        <w:rPr>
          <w:rFonts w:ascii="Times New Roman" w:eastAsia="Times New Roman" w:hAnsi="Times New Roman" w:cs="Times New Roman"/>
          <w:kern w:val="0"/>
          <w:sz w:val="28"/>
          <w:szCs w:val="28"/>
          <w14:ligatures w14:val="none"/>
        </w:rPr>
        <w:t>S</w:t>
      </w:r>
      <w:r w:rsidR="00FC35AB">
        <w:rPr>
          <w:rFonts w:ascii="Times New Roman" w:eastAsia="Times New Roman" w:hAnsi="Times New Roman" w:cs="Times New Roman"/>
          <w:kern w:val="0"/>
          <w:sz w:val="28"/>
          <w:szCs w:val="28"/>
          <w14:ligatures w14:val="none"/>
        </w:rPr>
        <w:t xml:space="preserve">pecial </w:t>
      </w:r>
      <w:r w:rsidR="006066FD">
        <w:rPr>
          <w:rFonts w:ascii="Times New Roman" w:eastAsia="Times New Roman" w:hAnsi="Times New Roman" w:cs="Times New Roman"/>
          <w:kern w:val="0"/>
          <w:sz w:val="28"/>
          <w:szCs w:val="28"/>
          <w14:ligatures w14:val="none"/>
        </w:rPr>
        <w:t>A</w:t>
      </w:r>
      <w:r w:rsidR="00FC35AB">
        <w:rPr>
          <w:rFonts w:ascii="Times New Roman" w:eastAsia="Times New Roman" w:hAnsi="Times New Roman" w:cs="Times New Roman"/>
          <w:kern w:val="0"/>
          <w:sz w:val="28"/>
          <w:szCs w:val="28"/>
          <w14:ligatures w14:val="none"/>
        </w:rPr>
        <w:t xml:space="preserve">ctions.  </w:t>
      </w:r>
      <w:r w:rsidR="000E7756">
        <w:rPr>
          <w:rFonts w:ascii="Times New Roman" w:eastAsia="Times New Roman" w:hAnsi="Times New Roman" w:cs="Times New Roman"/>
          <w:kern w:val="0"/>
          <w:sz w:val="28"/>
          <w:szCs w:val="28"/>
          <w14:ligatures w14:val="none"/>
        </w:rPr>
        <w:t xml:space="preserve">Without that provision, </w:t>
      </w:r>
      <w:r w:rsidR="00E66BD1">
        <w:rPr>
          <w:rFonts w:ascii="Times New Roman" w:eastAsia="Times New Roman" w:hAnsi="Times New Roman" w:cs="Times New Roman"/>
          <w:kern w:val="0"/>
          <w:sz w:val="28"/>
          <w:szCs w:val="28"/>
          <w14:ligatures w14:val="none"/>
        </w:rPr>
        <w:t>a p</w:t>
      </w:r>
      <w:r w:rsidR="006066FD">
        <w:rPr>
          <w:rFonts w:ascii="Times New Roman" w:eastAsia="Times New Roman" w:hAnsi="Times New Roman" w:cs="Times New Roman"/>
          <w:kern w:val="0"/>
          <w:sz w:val="28"/>
          <w:szCs w:val="28"/>
          <w14:ligatures w14:val="none"/>
        </w:rPr>
        <w:t>arty</w:t>
      </w:r>
      <w:r w:rsidR="00E66BD1">
        <w:rPr>
          <w:rFonts w:ascii="Times New Roman" w:eastAsia="Times New Roman" w:hAnsi="Times New Roman" w:cs="Times New Roman"/>
          <w:kern w:val="0"/>
          <w:sz w:val="28"/>
          <w:szCs w:val="28"/>
          <w14:ligatures w14:val="none"/>
        </w:rPr>
        <w:t xml:space="preserve"> could attempt to use </w:t>
      </w:r>
      <w:r w:rsidR="000E7756">
        <w:rPr>
          <w:rFonts w:ascii="Times New Roman" w:eastAsia="Times New Roman" w:hAnsi="Times New Roman" w:cs="Times New Roman"/>
          <w:kern w:val="0"/>
          <w:sz w:val="28"/>
          <w:szCs w:val="28"/>
          <w14:ligatures w14:val="none"/>
        </w:rPr>
        <w:t xml:space="preserve">an </w:t>
      </w:r>
      <w:r w:rsidR="006066FD">
        <w:rPr>
          <w:rFonts w:ascii="Times New Roman" w:eastAsia="Times New Roman" w:hAnsi="Times New Roman" w:cs="Times New Roman"/>
          <w:kern w:val="0"/>
          <w:sz w:val="28"/>
          <w:szCs w:val="28"/>
          <w14:ligatures w14:val="none"/>
        </w:rPr>
        <w:t>O</w:t>
      </w:r>
      <w:r w:rsidR="000E7756">
        <w:rPr>
          <w:rFonts w:ascii="Times New Roman" w:eastAsia="Times New Roman" w:hAnsi="Times New Roman" w:cs="Times New Roman"/>
          <w:kern w:val="0"/>
          <w:sz w:val="28"/>
          <w:szCs w:val="28"/>
          <w14:ligatures w14:val="none"/>
        </w:rPr>
        <w:t xml:space="preserve">riginal </w:t>
      </w:r>
      <w:r w:rsidR="006066FD">
        <w:rPr>
          <w:rFonts w:ascii="Times New Roman" w:eastAsia="Times New Roman" w:hAnsi="Times New Roman" w:cs="Times New Roman"/>
          <w:kern w:val="0"/>
          <w:sz w:val="28"/>
          <w:szCs w:val="28"/>
          <w14:ligatures w14:val="none"/>
        </w:rPr>
        <w:t>S</w:t>
      </w:r>
      <w:r w:rsidR="000E7756">
        <w:rPr>
          <w:rFonts w:ascii="Times New Roman" w:eastAsia="Times New Roman" w:hAnsi="Times New Roman" w:cs="Times New Roman"/>
          <w:kern w:val="0"/>
          <w:sz w:val="28"/>
          <w:szCs w:val="28"/>
          <w14:ligatures w14:val="none"/>
        </w:rPr>
        <w:t xml:space="preserve">pecial </w:t>
      </w:r>
      <w:r w:rsidR="006066FD">
        <w:rPr>
          <w:rFonts w:ascii="Times New Roman" w:eastAsia="Times New Roman" w:hAnsi="Times New Roman" w:cs="Times New Roman"/>
          <w:kern w:val="0"/>
          <w:sz w:val="28"/>
          <w:szCs w:val="28"/>
          <w14:ligatures w14:val="none"/>
        </w:rPr>
        <w:t>A</w:t>
      </w:r>
      <w:r w:rsidR="000E7756">
        <w:rPr>
          <w:rFonts w:ascii="Times New Roman" w:eastAsia="Times New Roman" w:hAnsi="Times New Roman" w:cs="Times New Roman"/>
          <w:kern w:val="0"/>
          <w:sz w:val="28"/>
          <w:szCs w:val="28"/>
          <w14:ligatures w14:val="none"/>
        </w:rPr>
        <w:t xml:space="preserve">ction </w:t>
      </w:r>
      <w:r w:rsidR="00E66BD1">
        <w:rPr>
          <w:rFonts w:ascii="Times New Roman" w:eastAsia="Times New Roman" w:hAnsi="Times New Roman" w:cs="Times New Roman"/>
          <w:kern w:val="0"/>
          <w:sz w:val="28"/>
          <w:szCs w:val="28"/>
          <w14:ligatures w14:val="none"/>
        </w:rPr>
        <w:t xml:space="preserve">to </w:t>
      </w:r>
      <w:r w:rsidR="000E7756">
        <w:rPr>
          <w:rFonts w:ascii="Times New Roman" w:eastAsia="Times New Roman" w:hAnsi="Times New Roman" w:cs="Times New Roman"/>
          <w:kern w:val="0"/>
          <w:sz w:val="28"/>
          <w:szCs w:val="28"/>
          <w14:ligatures w14:val="none"/>
        </w:rPr>
        <w:t>bypass the require</w:t>
      </w:r>
      <w:r w:rsidR="00E66BD1">
        <w:rPr>
          <w:rFonts w:ascii="Times New Roman" w:eastAsia="Times New Roman" w:hAnsi="Times New Roman" w:cs="Times New Roman"/>
          <w:kern w:val="0"/>
          <w:sz w:val="28"/>
          <w:szCs w:val="28"/>
          <w14:ligatures w14:val="none"/>
        </w:rPr>
        <w:t xml:space="preserve">ments </w:t>
      </w:r>
      <w:r w:rsidR="000E7756">
        <w:rPr>
          <w:rFonts w:ascii="Times New Roman" w:eastAsia="Times New Roman" w:hAnsi="Times New Roman" w:cs="Times New Roman"/>
          <w:kern w:val="0"/>
          <w:sz w:val="28"/>
          <w:szCs w:val="28"/>
          <w14:ligatures w14:val="none"/>
        </w:rPr>
        <w:t xml:space="preserve">of </w:t>
      </w:r>
      <w:r w:rsidR="00E66BD1">
        <w:rPr>
          <w:rFonts w:ascii="Times New Roman" w:eastAsia="Times New Roman" w:hAnsi="Times New Roman" w:cs="Times New Roman"/>
          <w:kern w:val="0"/>
          <w:sz w:val="28"/>
          <w:szCs w:val="28"/>
          <w14:ligatures w14:val="none"/>
        </w:rPr>
        <w:t xml:space="preserve">a statute such as </w:t>
      </w:r>
      <w:r w:rsidR="000E7756">
        <w:rPr>
          <w:rFonts w:ascii="Times New Roman" w:eastAsia="Times New Roman" w:hAnsi="Times New Roman" w:cs="Times New Roman"/>
          <w:kern w:val="0"/>
          <w:sz w:val="28"/>
          <w:szCs w:val="28"/>
          <w14:ligatures w14:val="none"/>
        </w:rPr>
        <w:t xml:space="preserve">the Administrative </w:t>
      </w:r>
      <w:r w:rsidR="000E7756">
        <w:rPr>
          <w:rFonts w:ascii="Times New Roman" w:eastAsia="Times New Roman" w:hAnsi="Times New Roman" w:cs="Times New Roman"/>
          <w:kern w:val="0"/>
          <w:sz w:val="28"/>
          <w:szCs w:val="28"/>
          <w14:ligatures w14:val="none"/>
        </w:rPr>
        <w:lastRenderedPageBreak/>
        <w:t>Procedures Act</w:t>
      </w:r>
      <w:r w:rsidR="00E66BD1">
        <w:rPr>
          <w:rFonts w:ascii="Times New Roman" w:eastAsia="Times New Roman" w:hAnsi="Times New Roman" w:cs="Times New Roman"/>
          <w:kern w:val="0"/>
          <w:sz w:val="28"/>
          <w:szCs w:val="28"/>
          <w14:ligatures w14:val="none"/>
        </w:rPr>
        <w:t xml:space="preserve"> </w:t>
      </w:r>
      <w:r w:rsidR="004726F4">
        <w:rPr>
          <w:rFonts w:ascii="Times New Roman" w:eastAsia="Times New Roman" w:hAnsi="Times New Roman" w:cs="Times New Roman"/>
          <w:kern w:val="0"/>
          <w:sz w:val="28"/>
          <w:szCs w:val="28"/>
          <w14:ligatures w14:val="none"/>
        </w:rPr>
        <w:t>when seeking review of a decision by an administrative agency</w:t>
      </w:r>
      <w:r w:rsidR="000E7756">
        <w:rPr>
          <w:rFonts w:ascii="Times New Roman" w:eastAsia="Times New Roman" w:hAnsi="Times New Roman" w:cs="Times New Roman"/>
          <w:kern w:val="0"/>
          <w:sz w:val="28"/>
          <w:szCs w:val="28"/>
          <w14:ligatures w14:val="none"/>
        </w:rPr>
        <w:t>.</w:t>
      </w:r>
      <w:r w:rsidR="00D54DB7">
        <w:rPr>
          <w:rFonts w:ascii="Times New Roman" w:eastAsia="Times New Roman" w:hAnsi="Times New Roman" w:cs="Times New Roman"/>
          <w:kern w:val="0"/>
          <w:sz w:val="28"/>
          <w:szCs w:val="28"/>
          <w14:ligatures w14:val="none"/>
        </w:rPr>
        <w:t xml:space="preserve">  The proposed language is included in attached Exhibit A.</w:t>
      </w:r>
    </w:p>
    <w:p w14:paraId="17DE9C61" w14:textId="77777777" w:rsidR="006A3C5F" w:rsidRPr="006A3C5F" w:rsidRDefault="006A3C5F" w:rsidP="009E4828">
      <w:pPr>
        <w:numPr>
          <w:ilvl w:val="0"/>
          <w:numId w:val="1"/>
        </w:numPr>
        <w:tabs>
          <w:tab w:val="left" w:pos="720"/>
        </w:tabs>
        <w:spacing w:after="0" w:line="240" w:lineRule="auto"/>
        <w:ind w:hanging="1080"/>
        <w:rPr>
          <w:rFonts w:ascii="Times New Roman" w:eastAsia="Times New Roman" w:hAnsi="Times New Roman" w:cs="Times New Roman"/>
          <w:b/>
          <w:bCs/>
          <w:kern w:val="0"/>
          <w:sz w:val="28"/>
          <w:szCs w:val="28"/>
          <w14:ligatures w14:val="none"/>
        </w:rPr>
      </w:pPr>
      <w:r w:rsidRPr="006A3C5F">
        <w:rPr>
          <w:rFonts w:ascii="Times New Roman" w:eastAsia="Times New Roman" w:hAnsi="Times New Roman" w:cs="Times New Roman"/>
          <w:b/>
          <w:bCs/>
          <w:kern w:val="0"/>
          <w:sz w:val="28"/>
          <w:szCs w:val="28"/>
          <w14:ligatures w14:val="none"/>
        </w:rPr>
        <w:t>INTRODUCTION AND BACKGROUND</w:t>
      </w:r>
    </w:p>
    <w:p w14:paraId="08436885" w14:textId="5B920F89" w:rsidR="000E7756" w:rsidRDefault="006A3C5F" w:rsidP="009E4828">
      <w:pPr>
        <w:tabs>
          <w:tab w:val="left" w:pos="720"/>
        </w:tabs>
        <w:autoSpaceDE w:val="0"/>
        <w:autoSpaceDN w:val="0"/>
        <w:adjustRightInd w:val="0"/>
        <w:spacing w:before="240" w:after="0" w:line="480" w:lineRule="auto"/>
        <w:rPr>
          <w:rFonts w:ascii="Times New Roman" w:eastAsia="Times New Roman" w:hAnsi="Times New Roman" w:cs="Times New Roman"/>
          <w:kern w:val="0"/>
          <w:sz w:val="28"/>
          <w:szCs w:val="28"/>
          <w14:ligatures w14:val="none"/>
        </w:rPr>
      </w:pPr>
      <w:r w:rsidRPr="006A3C5F">
        <w:rPr>
          <w:rFonts w:ascii="Times New Roman" w:eastAsia="Times New Roman" w:hAnsi="Times New Roman" w:cs="Times New Roman"/>
          <w:kern w:val="0"/>
          <w:sz w:val="28"/>
          <w:szCs w:val="28"/>
          <w14:ligatures w14:val="none"/>
        </w:rPr>
        <w:tab/>
      </w:r>
      <w:r w:rsidR="00744C53">
        <w:rPr>
          <w:rFonts w:ascii="Times New Roman" w:eastAsia="Times New Roman" w:hAnsi="Times New Roman" w:cs="Times New Roman"/>
          <w:kern w:val="0"/>
          <w:sz w:val="28"/>
          <w:szCs w:val="28"/>
          <w14:ligatures w14:val="none"/>
        </w:rPr>
        <w:t xml:space="preserve">This Court </w:t>
      </w:r>
      <w:r w:rsidR="000E7756">
        <w:rPr>
          <w:rFonts w:ascii="Times New Roman" w:eastAsia="Times New Roman" w:hAnsi="Times New Roman" w:cs="Times New Roman"/>
          <w:kern w:val="0"/>
          <w:sz w:val="28"/>
          <w:szCs w:val="28"/>
          <w14:ligatures w14:val="none"/>
        </w:rPr>
        <w:t>recently re-wrote the Special Action Rules effective January 1, 2025.  Arizona Sup. Ct. No. R-23-0055.  Among other changes, the new rules differentiate between special actions</w:t>
      </w:r>
      <w:r w:rsidR="00E0351A">
        <w:rPr>
          <w:rFonts w:ascii="Times New Roman" w:eastAsia="Times New Roman" w:hAnsi="Times New Roman" w:cs="Times New Roman"/>
          <w:kern w:val="0"/>
          <w:sz w:val="28"/>
          <w:szCs w:val="28"/>
          <w14:ligatures w14:val="none"/>
        </w:rPr>
        <w:t xml:space="preserve"> that</w:t>
      </w:r>
      <w:r w:rsidR="000E7756">
        <w:rPr>
          <w:rFonts w:ascii="Times New Roman" w:eastAsia="Times New Roman" w:hAnsi="Times New Roman" w:cs="Times New Roman"/>
          <w:kern w:val="0"/>
          <w:sz w:val="28"/>
          <w:szCs w:val="28"/>
          <w14:ligatures w14:val="none"/>
        </w:rPr>
        <w:t xml:space="preserve"> initiate</w:t>
      </w:r>
      <w:r w:rsidR="00E0351A">
        <w:rPr>
          <w:rFonts w:ascii="Times New Roman" w:eastAsia="Times New Roman" w:hAnsi="Times New Roman" w:cs="Times New Roman"/>
          <w:kern w:val="0"/>
          <w:sz w:val="28"/>
          <w:szCs w:val="28"/>
          <w14:ligatures w14:val="none"/>
        </w:rPr>
        <w:t xml:space="preserve"> a court proceeding (generally in the Superior Court)</w:t>
      </w:r>
      <w:r w:rsidR="000E7756">
        <w:rPr>
          <w:rFonts w:ascii="Times New Roman" w:eastAsia="Times New Roman" w:hAnsi="Times New Roman" w:cs="Times New Roman"/>
          <w:kern w:val="0"/>
          <w:sz w:val="28"/>
          <w:szCs w:val="28"/>
          <w14:ligatures w14:val="none"/>
        </w:rPr>
        <w:t xml:space="preserve">, known as Original Special Actions, and special actions to review a decision of a lower court, known as Appellate Special Actions.  </w:t>
      </w:r>
      <w:r w:rsidR="004726F4">
        <w:rPr>
          <w:rFonts w:ascii="Times New Roman" w:eastAsia="Times New Roman" w:hAnsi="Times New Roman" w:cs="Times New Roman"/>
          <w:i/>
          <w:iCs/>
          <w:kern w:val="0"/>
          <w:sz w:val="28"/>
          <w:szCs w:val="28"/>
          <w14:ligatures w14:val="none"/>
        </w:rPr>
        <w:t xml:space="preserve">See </w:t>
      </w:r>
      <w:r w:rsidR="000E7756">
        <w:rPr>
          <w:rFonts w:ascii="Times New Roman" w:eastAsia="Times New Roman" w:hAnsi="Times New Roman" w:cs="Times New Roman"/>
          <w:kern w:val="0"/>
          <w:sz w:val="28"/>
          <w:szCs w:val="28"/>
          <w14:ligatures w14:val="none"/>
        </w:rPr>
        <w:t>Special Actions Rule 2.</w:t>
      </w:r>
    </w:p>
    <w:p w14:paraId="2ADA7286" w14:textId="3C6B6098" w:rsidR="00F44E00" w:rsidRDefault="00F44E00" w:rsidP="009E4828">
      <w:pPr>
        <w:tabs>
          <w:tab w:val="left" w:pos="720"/>
        </w:tabs>
        <w:autoSpaceDE w:val="0"/>
        <w:autoSpaceDN w:val="0"/>
        <w:adjustRightInd w:val="0"/>
        <w:spacing w:after="0" w:line="48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t xml:space="preserve">The </w:t>
      </w:r>
      <w:r w:rsidR="0089606C">
        <w:rPr>
          <w:rFonts w:ascii="Times New Roman" w:eastAsia="Times New Roman" w:hAnsi="Times New Roman" w:cs="Times New Roman"/>
          <w:kern w:val="0"/>
          <w:sz w:val="28"/>
          <w:szCs w:val="28"/>
          <w14:ligatures w14:val="none"/>
        </w:rPr>
        <w:t xml:space="preserve">former </w:t>
      </w:r>
      <w:r>
        <w:rPr>
          <w:rFonts w:ascii="Times New Roman" w:eastAsia="Times New Roman" w:hAnsi="Times New Roman" w:cs="Times New Roman"/>
          <w:kern w:val="0"/>
          <w:sz w:val="28"/>
          <w:szCs w:val="28"/>
          <w14:ligatures w14:val="none"/>
        </w:rPr>
        <w:t>Special Actions Rules provided that “the special action shall not be available where there is an equally plain, speedy, and adequate remedy by appeal.”  This standard applied to all special actions.</w:t>
      </w:r>
    </w:p>
    <w:p w14:paraId="18BE4055" w14:textId="77E3B969" w:rsidR="00443B26" w:rsidRDefault="000E7756" w:rsidP="009E4828">
      <w:pPr>
        <w:tabs>
          <w:tab w:val="left" w:pos="720"/>
        </w:tabs>
        <w:autoSpaceDE w:val="0"/>
        <w:autoSpaceDN w:val="0"/>
        <w:adjustRightInd w:val="0"/>
        <w:spacing w:after="0" w:line="48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t xml:space="preserve">The new Special Actions Rules retain the requirement that a court will generally not accept special action jurisdiction for an Appellate </w:t>
      </w:r>
      <w:r w:rsidR="00F44E00">
        <w:rPr>
          <w:rFonts w:ascii="Times New Roman" w:eastAsia="Times New Roman" w:hAnsi="Times New Roman" w:cs="Times New Roman"/>
          <w:kern w:val="0"/>
          <w:sz w:val="28"/>
          <w:szCs w:val="28"/>
          <w14:ligatures w14:val="none"/>
        </w:rPr>
        <w:t>Special</w:t>
      </w:r>
      <w:r>
        <w:rPr>
          <w:rFonts w:ascii="Times New Roman" w:eastAsia="Times New Roman" w:hAnsi="Times New Roman" w:cs="Times New Roman"/>
          <w:kern w:val="0"/>
          <w:sz w:val="28"/>
          <w:szCs w:val="28"/>
          <w14:ligatures w14:val="none"/>
        </w:rPr>
        <w:t xml:space="preserve"> Action if </w:t>
      </w:r>
      <w:r w:rsidR="00F44E00">
        <w:rPr>
          <w:rFonts w:ascii="Times New Roman" w:eastAsia="Times New Roman" w:hAnsi="Times New Roman" w:cs="Times New Roman"/>
          <w:kern w:val="0"/>
          <w:sz w:val="28"/>
          <w:szCs w:val="28"/>
          <w14:ligatures w14:val="none"/>
        </w:rPr>
        <w:t xml:space="preserve">there is an equally plain, speedy, and adequate remedy by appeal.  However, </w:t>
      </w:r>
      <w:r w:rsidR="004C496B">
        <w:rPr>
          <w:rFonts w:ascii="Times New Roman" w:eastAsia="Times New Roman" w:hAnsi="Times New Roman" w:cs="Times New Roman"/>
          <w:kern w:val="0"/>
          <w:sz w:val="28"/>
          <w:szCs w:val="28"/>
          <w14:ligatures w14:val="none"/>
        </w:rPr>
        <w:t xml:space="preserve">the new rules do </w:t>
      </w:r>
      <w:r w:rsidR="00F44E00">
        <w:rPr>
          <w:rFonts w:ascii="Times New Roman" w:eastAsia="Times New Roman" w:hAnsi="Times New Roman" w:cs="Times New Roman"/>
          <w:kern w:val="0"/>
          <w:sz w:val="28"/>
          <w:szCs w:val="28"/>
          <w14:ligatures w14:val="none"/>
        </w:rPr>
        <w:t xml:space="preserve">not retain that language for Original Special Actions.  Thus, </w:t>
      </w:r>
      <w:r w:rsidR="00E66BD1">
        <w:rPr>
          <w:rFonts w:ascii="Times New Roman" w:eastAsia="Times New Roman" w:hAnsi="Times New Roman" w:cs="Times New Roman"/>
          <w:kern w:val="0"/>
          <w:sz w:val="28"/>
          <w:szCs w:val="28"/>
          <w14:ligatures w14:val="none"/>
        </w:rPr>
        <w:t xml:space="preserve">a person could attempt to </w:t>
      </w:r>
      <w:r w:rsidR="004C496B">
        <w:rPr>
          <w:rFonts w:ascii="Times New Roman" w:eastAsia="Times New Roman" w:hAnsi="Times New Roman" w:cs="Times New Roman"/>
          <w:kern w:val="0"/>
          <w:sz w:val="28"/>
          <w:szCs w:val="28"/>
          <w14:ligatures w14:val="none"/>
        </w:rPr>
        <w:t>fil</w:t>
      </w:r>
      <w:r w:rsidR="00E66BD1">
        <w:rPr>
          <w:rFonts w:ascii="Times New Roman" w:eastAsia="Times New Roman" w:hAnsi="Times New Roman" w:cs="Times New Roman"/>
          <w:kern w:val="0"/>
          <w:sz w:val="28"/>
          <w:szCs w:val="28"/>
          <w14:ligatures w14:val="none"/>
        </w:rPr>
        <w:t>e</w:t>
      </w:r>
      <w:r w:rsidR="004C496B">
        <w:rPr>
          <w:rFonts w:ascii="Times New Roman" w:eastAsia="Times New Roman" w:hAnsi="Times New Roman" w:cs="Times New Roman"/>
          <w:kern w:val="0"/>
          <w:sz w:val="28"/>
          <w:szCs w:val="28"/>
          <w14:ligatures w14:val="none"/>
        </w:rPr>
        <w:t xml:space="preserve"> an Original Special Action in the Superior Court seeking relief from an administrative agency even if there was a remedy by law, such as the Administrative Procedures Act, A.R.S. § 12-901 </w:t>
      </w:r>
      <w:r w:rsidR="004C496B">
        <w:rPr>
          <w:rFonts w:ascii="Times New Roman" w:eastAsia="Times New Roman" w:hAnsi="Times New Roman" w:cs="Times New Roman"/>
          <w:i/>
          <w:iCs/>
          <w:kern w:val="0"/>
          <w:sz w:val="28"/>
          <w:szCs w:val="28"/>
          <w14:ligatures w14:val="none"/>
        </w:rPr>
        <w:t>et seq.</w:t>
      </w:r>
      <w:r w:rsidR="00443B26">
        <w:rPr>
          <w:rFonts w:ascii="Times New Roman" w:eastAsia="Times New Roman" w:hAnsi="Times New Roman" w:cs="Times New Roman"/>
          <w:kern w:val="0"/>
          <w:sz w:val="28"/>
          <w:szCs w:val="28"/>
          <w14:ligatures w14:val="none"/>
        </w:rPr>
        <w:t xml:space="preserve">  Another example of a </w:t>
      </w:r>
      <w:r w:rsidR="00443B26">
        <w:rPr>
          <w:rFonts w:ascii="Times New Roman" w:eastAsia="Times New Roman" w:hAnsi="Times New Roman" w:cs="Times New Roman"/>
          <w:kern w:val="0"/>
          <w:sz w:val="28"/>
          <w:szCs w:val="28"/>
          <w14:ligatures w14:val="none"/>
        </w:rPr>
        <w:lastRenderedPageBreak/>
        <w:t xml:space="preserve">statutory administrative appeal is </w:t>
      </w:r>
      <w:r w:rsidR="00443B26" w:rsidRPr="00443B26">
        <w:rPr>
          <w:rFonts w:ascii="Times New Roman" w:eastAsia="Times New Roman" w:hAnsi="Times New Roman" w:cs="Times New Roman"/>
          <w:kern w:val="0"/>
          <w:sz w:val="28"/>
          <w:szCs w:val="28"/>
          <w14:ligatures w14:val="none"/>
        </w:rPr>
        <w:t>A.R.S. § 15-543, which allows a public-school teacher to appeal his dismissal to the Superior Court.</w:t>
      </w:r>
      <w:r w:rsidR="00443B26">
        <w:rPr>
          <w:rFonts w:ascii="Times New Roman" w:eastAsia="Times New Roman" w:hAnsi="Times New Roman" w:cs="Times New Roman"/>
          <w:kern w:val="0"/>
          <w:sz w:val="28"/>
          <w:szCs w:val="28"/>
          <w14:ligatures w14:val="none"/>
        </w:rPr>
        <w:t xml:space="preserve">  There are no doubt others.</w:t>
      </w:r>
    </w:p>
    <w:p w14:paraId="5DD371C0" w14:textId="0D864F59" w:rsidR="004C496B" w:rsidRPr="00F0398E" w:rsidRDefault="004C496B" w:rsidP="009E4828">
      <w:pPr>
        <w:tabs>
          <w:tab w:val="left" w:pos="720"/>
        </w:tabs>
        <w:autoSpaceDE w:val="0"/>
        <w:autoSpaceDN w:val="0"/>
        <w:adjustRightInd w:val="0"/>
        <w:spacing w:after="0" w:line="48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t>While the</w:t>
      </w:r>
      <w:r w:rsidR="00E66BD1">
        <w:rPr>
          <w:rFonts w:ascii="Times New Roman" w:eastAsia="Times New Roman" w:hAnsi="Times New Roman" w:cs="Times New Roman"/>
          <w:kern w:val="0"/>
          <w:sz w:val="28"/>
          <w:szCs w:val="28"/>
          <w14:ligatures w14:val="none"/>
        </w:rPr>
        <w:t xml:space="preserve"> statute providing for a </w:t>
      </w:r>
      <w:r>
        <w:rPr>
          <w:rFonts w:ascii="Times New Roman" w:eastAsia="Times New Roman" w:hAnsi="Times New Roman" w:cs="Times New Roman"/>
          <w:kern w:val="0"/>
          <w:sz w:val="28"/>
          <w:szCs w:val="28"/>
          <w14:ligatures w14:val="none"/>
        </w:rPr>
        <w:t>legal remed</w:t>
      </w:r>
      <w:r w:rsidR="00E66BD1">
        <w:rPr>
          <w:rFonts w:ascii="Times New Roman" w:eastAsia="Times New Roman" w:hAnsi="Times New Roman" w:cs="Times New Roman"/>
          <w:kern w:val="0"/>
          <w:sz w:val="28"/>
          <w:szCs w:val="28"/>
          <w14:ligatures w14:val="none"/>
        </w:rPr>
        <w:t xml:space="preserve">y </w:t>
      </w:r>
      <w:r w:rsidR="006066FD">
        <w:rPr>
          <w:rFonts w:ascii="Times New Roman" w:eastAsia="Times New Roman" w:hAnsi="Times New Roman" w:cs="Times New Roman"/>
          <w:kern w:val="0"/>
          <w:sz w:val="28"/>
          <w:szCs w:val="28"/>
          <w14:ligatures w14:val="none"/>
        </w:rPr>
        <w:t xml:space="preserve">generally </w:t>
      </w:r>
      <w:r w:rsidR="00E66BD1">
        <w:rPr>
          <w:rFonts w:ascii="Times New Roman" w:eastAsia="Times New Roman" w:hAnsi="Times New Roman" w:cs="Times New Roman"/>
          <w:kern w:val="0"/>
          <w:sz w:val="28"/>
          <w:szCs w:val="28"/>
          <w14:ligatures w14:val="none"/>
        </w:rPr>
        <w:t>include</w:t>
      </w:r>
      <w:r w:rsidR="00643B30">
        <w:rPr>
          <w:rFonts w:ascii="Times New Roman" w:eastAsia="Times New Roman" w:hAnsi="Times New Roman" w:cs="Times New Roman"/>
          <w:kern w:val="0"/>
          <w:sz w:val="28"/>
          <w:szCs w:val="28"/>
          <w14:ligatures w14:val="none"/>
        </w:rPr>
        <w:t>s</w:t>
      </w:r>
      <w:r w:rsidR="00E66BD1">
        <w:rPr>
          <w:rFonts w:ascii="Times New Roman" w:eastAsia="Times New Roman" w:hAnsi="Times New Roman" w:cs="Times New Roman"/>
          <w:kern w:val="0"/>
          <w:sz w:val="28"/>
          <w:szCs w:val="28"/>
          <w14:ligatures w14:val="none"/>
        </w:rPr>
        <w:t xml:space="preserve"> an exclusivity provision</w:t>
      </w:r>
      <w:r>
        <w:rPr>
          <w:rFonts w:ascii="Times New Roman" w:eastAsia="Times New Roman" w:hAnsi="Times New Roman" w:cs="Times New Roman"/>
          <w:kern w:val="0"/>
          <w:sz w:val="28"/>
          <w:szCs w:val="28"/>
          <w14:ligatures w14:val="none"/>
        </w:rPr>
        <w:t>,</w:t>
      </w:r>
      <w:r w:rsidR="00E66BD1">
        <w:rPr>
          <w:rStyle w:val="FootnoteReference"/>
          <w:rFonts w:ascii="Times New Roman" w:eastAsia="Times New Roman" w:hAnsi="Times New Roman" w:cs="Times New Roman"/>
          <w:kern w:val="0"/>
          <w:sz w:val="28"/>
          <w:szCs w:val="28"/>
          <w14:ligatures w14:val="none"/>
        </w:rPr>
        <w:footnoteReference w:id="1"/>
      </w:r>
      <w:r>
        <w:rPr>
          <w:rFonts w:ascii="Times New Roman" w:eastAsia="Times New Roman" w:hAnsi="Times New Roman" w:cs="Times New Roman"/>
          <w:kern w:val="0"/>
          <w:sz w:val="28"/>
          <w:szCs w:val="28"/>
          <w14:ligatures w14:val="none"/>
        </w:rPr>
        <w:t xml:space="preserve"> </w:t>
      </w:r>
      <w:r w:rsidR="00D54DB7" w:rsidRPr="00D54DB7">
        <w:rPr>
          <w:rFonts w:ascii="Times New Roman" w:eastAsia="Times New Roman" w:hAnsi="Times New Roman" w:cs="Times New Roman"/>
          <w:kern w:val="0"/>
          <w:sz w:val="28"/>
          <w:szCs w:val="28"/>
          <w14:ligatures w14:val="none"/>
        </w:rPr>
        <w:t>the new Special Action Rules</w:t>
      </w:r>
      <w:r>
        <w:rPr>
          <w:rFonts w:ascii="Times New Roman" w:eastAsia="Times New Roman" w:hAnsi="Times New Roman" w:cs="Times New Roman"/>
          <w:kern w:val="0"/>
          <w:sz w:val="28"/>
          <w:szCs w:val="28"/>
          <w14:ligatures w14:val="none"/>
        </w:rPr>
        <w:t xml:space="preserve"> create ambiguity and </w:t>
      </w:r>
      <w:r w:rsidR="00E0351A">
        <w:rPr>
          <w:rFonts w:ascii="Times New Roman" w:eastAsia="Times New Roman" w:hAnsi="Times New Roman" w:cs="Times New Roman"/>
          <w:kern w:val="0"/>
          <w:sz w:val="28"/>
          <w:szCs w:val="28"/>
          <w14:ligatures w14:val="none"/>
        </w:rPr>
        <w:t xml:space="preserve">the potential for mischief </w:t>
      </w:r>
      <w:r w:rsidR="00E66BD1">
        <w:rPr>
          <w:rFonts w:ascii="Times New Roman" w:eastAsia="Times New Roman" w:hAnsi="Times New Roman" w:cs="Times New Roman"/>
          <w:kern w:val="0"/>
          <w:sz w:val="28"/>
          <w:szCs w:val="28"/>
          <w14:ligatures w14:val="none"/>
        </w:rPr>
        <w:t xml:space="preserve">because </w:t>
      </w:r>
      <w:r w:rsidR="00D54DB7">
        <w:rPr>
          <w:rFonts w:ascii="Times New Roman" w:eastAsia="Times New Roman" w:hAnsi="Times New Roman" w:cs="Times New Roman"/>
          <w:kern w:val="0"/>
          <w:sz w:val="28"/>
          <w:szCs w:val="28"/>
          <w14:ligatures w14:val="none"/>
        </w:rPr>
        <w:t>Rul</w:t>
      </w:r>
      <w:r w:rsidR="00173EF4">
        <w:rPr>
          <w:rFonts w:ascii="Times New Roman" w:eastAsia="Times New Roman" w:hAnsi="Times New Roman" w:cs="Times New Roman"/>
          <w:kern w:val="0"/>
          <w:sz w:val="28"/>
          <w:szCs w:val="28"/>
          <w14:ligatures w14:val="none"/>
        </w:rPr>
        <w:t>e</w:t>
      </w:r>
      <w:r w:rsidR="00D54DB7">
        <w:rPr>
          <w:rFonts w:ascii="Times New Roman" w:eastAsia="Times New Roman" w:hAnsi="Times New Roman" w:cs="Times New Roman"/>
          <w:kern w:val="0"/>
          <w:sz w:val="28"/>
          <w:szCs w:val="28"/>
          <w14:ligatures w14:val="none"/>
        </w:rPr>
        <w:t xml:space="preserve"> 2(b)(1) does </w:t>
      </w:r>
      <w:r>
        <w:rPr>
          <w:rFonts w:ascii="Times New Roman" w:eastAsia="Times New Roman" w:hAnsi="Times New Roman" w:cs="Times New Roman"/>
          <w:kern w:val="0"/>
          <w:sz w:val="28"/>
          <w:szCs w:val="28"/>
          <w14:ligatures w14:val="none"/>
        </w:rPr>
        <w:t xml:space="preserve">not contain language </w:t>
      </w:r>
      <w:r w:rsidR="00E66BD1">
        <w:rPr>
          <w:rFonts w:ascii="Times New Roman" w:eastAsia="Times New Roman" w:hAnsi="Times New Roman" w:cs="Times New Roman"/>
          <w:kern w:val="0"/>
          <w:sz w:val="28"/>
          <w:szCs w:val="28"/>
          <w14:ligatures w14:val="none"/>
        </w:rPr>
        <w:t xml:space="preserve">making clear </w:t>
      </w:r>
      <w:r>
        <w:rPr>
          <w:rFonts w:ascii="Times New Roman" w:eastAsia="Times New Roman" w:hAnsi="Times New Roman" w:cs="Times New Roman"/>
          <w:kern w:val="0"/>
          <w:sz w:val="28"/>
          <w:szCs w:val="28"/>
          <w14:ligatures w14:val="none"/>
        </w:rPr>
        <w:t>that the legal remedy must be used when available.</w:t>
      </w:r>
      <w:r w:rsidR="0089606C">
        <w:rPr>
          <w:rFonts w:ascii="Times New Roman" w:eastAsia="Times New Roman" w:hAnsi="Times New Roman" w:cs="Times New Roman"/>
          <w:kern w:val="0"/>
          <w:sz w:val="28"/>
          <w:szCs w:val="28"/>
          <w14:ligatures w14:val="none"/>
        </w:rPr>
        <w:t xml:space="preserve">  At the same time, </w:t>
      </w:r>
      <w:r w:rsidR="00443B26">
        <w:rPr>
          <w:rFonts w:ascii="Times New Roman" w:eastAsia="Times New Roman" w:hAnsi="Times New Roman" w:cs="Times New Roman"/>
          <w:kern w:val="0"/>
          <w:sz w:val="28"/>
          <w:szCs w:val="28"/>
          <w14:ligatures w14:val="none"/>
        </w:rPr>
        <w:t xml:space="preserve">because </w:t>
      </w:r>
      <w:r w:rsidR="0089606C">
        <w:rPr>
          <w:rFonts w:ascii="Times New Roman" w:eastAsia="Times New Roman" w:hAnsi="Times New Roman" w:cs="Times New Roman"/>
          <w:kern w:val="0"/>
          <w:sz w:val="28"/>
          <w:szCs w:val="28"/>
          <w14:ligatures w14:val="none"/>
        </w:rPr>
        <w:t xml:space="preserve">special actions are constitutionally based, </w:t>
      </w:r>
      <w:r w:rsidR="00F0398E">
        <w:rPr>
          <w:rFonts w:ascii="Times New Roman" w:eastAsia="Times New Roman" w:hAnsi="Times New Roman" w:cs="Times New Roman"/>
          <w:i/>
          <w:iCs/>
          <w:kern w:val="0"/>
          <w:sz w:val="28"/>
          <w:szCs w:val="28"/>
          <w14:ligatures w14:val="none"/>
        </w:rPr>
        <w:t xml:space="preserve">see </w:t>
      </w:r>
      <w:r w:rsidR="00F0398E">
        <w:rPr>
          <w:rFonts w:ascii="Times New Roman" w:eastAsia="Times New Roman" w:hAnsi="Times New Roman" w:cs="Times New Roman"/>
          <w:kern w:val="0"/>
          <w:sz w:val="28"/>
          <w:szCs w:val="28"/>
          <w14:ligatures w14:val="none"/>
        </w:rPr>
        <w:t xml:space="preserve">Art. 6 § 18, Ariz. Const., </w:t>
      </w:r>
      <w:r w:rsidR="00443B26">
        <w:rPr>
          <w:rFonts w:ascii="Times New Roman" w:eastAsia="Times New Roman" w:hAnsi="Times New Roman" w:cs="Times New Roman"/>
          <w:kern w:val="0"/>
          <w:sz w:val="28"/>
          <w:szCs w:val="28"/>
          <w14:ligatures w14:val="none"/>
        </w:rPr>
        <w:t xml:space="preserve">a </w:t>
      </w:r>
      <w:r w:rsidR="00F0398E">
        <w:rPr>
          <w:rFonts w:ascii="Times New Roman" w:eastAsia="Times New Roman" w:hAnsi="Times New Roman" w:cs="Times New Roman"/>
          <w:kern w:val="0"/>
          <w:sz w:val="28"/>
          <w:szCs w:val="28"/>
          <w14:ligatures w14:val="none"/>
        </w:rPr>
        <w:t xml:space="preserve">potential conflict </w:t>
      </w:r>
      <w:r w:rsidR="006066FD">
        <w:rPr>
          <w:rFonts w:ascii="Times New Roman" w:eastAsia="Times New Roman" w:hAnsi="Times New Roman" w:cs="Times New Roman"/>
          <w:kern w:val="0"/>
          <w:sz w:val="28"/>
          <w:szCs w:val="28"/>
          <w14:ligatures w14:val="none"/>
        </w:rPr>
        <w:t xml:space="preserve">may </w:t>
      </w:r>
      <w:r w:rsidR="00443B26">
        <w:rPr>
          <w:rFonts w:ascii="Times New Roman" w:eastAsia="Times New Roman" w:hAnsi="Times New Roman" w:cs="Times New Roman"/>
          <w:kern w:val="0"/>
          <w:sz w:val="28"/>
          <w:szCs w:val="28"/>
          <w14:ligatures w14:val="none"/>
        </w:rPr>
        <w:t xml:space="preserve">occur </w:t>
      </w:r>
      <w:r w:rsidR="00F0398E">
        <w:rPr>
          <w:rFonts w:ascii="Times New Roman" w:eastAsia="Times New Roman" w:hAnsi="Times New Roman" w:cs="Times New Roman"/>
          <w:kern w:val="0"/>
          <w:sz w:val="28"/>
          <w:szCs w:val="28"/>
          <w14:ligatures w14:val="none"/>
        </w:rPr>
        <w:t xml:space="preserve">as to whether a </w:t>
      </w:r>
      <w:r w:rsidR="00443B26">
        <w:rPr>
          <w:rFonts w:ascii="Times New Roman" w:eastAsia="Times New Roman" w:hAnsi="Times New Roman" w:cs="Times New Roman"/>
          <w:kern w:val="0"/>
          <w:sz w:val="28"/>
          <w:szCs w:val="28"/>
          <w14:ligatures w14:val="none"/>
        </w:rPr>
        <w:t xml:space="preserve">party could pursue a </w:t>
      </w:r>
      <w:r w:rsidR="00F0398E">
        <w:rPr>
          <w:rFonts w:ascii="Times New Roman" w:eastAsia="Times New Roman" w:hAnsi="Times New Roman" w:cs="Times New Roman"/>
          <w:kern w:val="0"/>
          <w:sz w:val="28"/>
          <w:szCs w:val="28"/>
          <w14:ligatures w14:val="none"/>
        </w:rPr>
        <w:t>special action notwithstanding a statute to the contrary</w:t>
      </w:r>
      <w:r w:rsidR="00173EF4">
        <w:rPr>
          <w:rFonts w:ascii="Times New Roman" w:eastAsia="Times New Roman" w:hAnsi="Times New Roman" w:cs="Times New Roman"/>
          <w:kern w:val="0"/>
          <w:sz w:val="28"/>
          <w:szCs w:val="28"/>
          <w14:ligatures w14:val="none"/>
        </w:rPr>
        <w:t>, since the</w:t>
      </w:r>
      <w:r w:rsidR="00E0351A">
        <w:rPr>
          <w:rFonts w:ascii="Times New Roman" w:eastAsia="Times New Roman" w:hAnsi="Times New Roman" w:cs="Times New Roman"/>
          <w:kern w:val="0"/>
          <w:sz w:val="28"/>
          <w:szCs w:val="28"/>
          <w14:ligatures w14:val="none"/>
        </w:rPr>
        <w:t xml:space="preserve"> special action rules no longer prohibit special actions where </w:t>
      </w:r>
      <w:r w:rsidR="00D342A0">
        <w:rPr>
          <w:rFonts w:ascii="Times New Roman" w:eastAsia="Times New Roman" w:hAnsi="Times New Roman" w:cs="Times New Roman"/>
          <w:kern w:val="0"/>
          <w:sz w:val="28"/>
          <w:szCs w:val="28"/>
          <w14:ligatures w14:val="none"/>
        </w:rPr>
        <w:t xml:space="preserve">a </w:t>
      </w:r>
      <w:r w:rsidR="00E0351A" w:rsidRPr="00E0351A">
        <w:rPr>
          <w:rFonts w:ascii="Times New Roman" w:eastAsia="Times New Roman" w:hAnsi="Times New Roman" w:cs="Times New Roman"/>
          <w:kern w:val="0"/>
          <w:sz w:val="28"/>
          <w:szCs w:val="28"/>
          <w14:ligatures w14:val="none"/>
        </w:rPr>
        <w:t xml:space="preserve">plain, speedy and adequate remedy at law </w:t>
      </w:r>
      <w:r w:rsidR="00E0351A">
        <w:rPr>
          <w:rFonts w:ascii="Times New Roman" w:eastAsia="Times New Roman" w:hAnsi="Times New Roman" w:cs="Times New Roman"/>
          <w:kern w:val="0"/>
          <w:sz w:val="28"/>
          <w:szCs w:val="28"/>
          <w14:ligatures w14:val="none"/>
        </w:rPr>
        <w:t>exists</w:t>
      </w:r>
      <w:r w:rsidR="00F0398E">
        <w:rPr>
          <w:rFonts w:ascii="Times New Roman" w:eastAsia="Times New Roman" w:hAnsi="Times New Roman" w:cs="Times New Roman"/>
          <w:kern w:val="0"/>
          <w:sz w:val="28"/>
          <w:szCs w:val="28"/>
          <w14:ligatures w14:val="none"/>
        </w:rPr>
        <w:t>.</w:t>
      </w:r>
    </w:p>
    <w:p w14:paraId="628C354F" w14:textId="1314EBD1" w:rsidR="00643B30" w:rsidRPr="00643B30" w:rsidRDefault="00643B30" w:rsidP="00643B30">
      <w:pPr>
        <w:tabs>
          <w:tab w:val="left" w:pos="720"/>
        </w:tabs>
        <w:autoSpaceDE w:val="0"/>
        <w:autoSpaceDN w:val="0"/>
        <w:adjustRightInd w:val="0"/>
        <w:spacing w:after="0" w:line="480" w:lineRule="auto"/>
        <w:ind w:firstLine="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At the same time, case law </w:t>
      </w:r>
      <w:r w:rsidR="00F0398E">
        <w:rPr>
          <w:rFonts w:ascii="Times New Roman" w:eastAsia="Times New Roman" w:hAnsi="Times New Roman" w:cs="Times New Roman"/>
          <w:kern w:val="0"/>
          <w:sz w:val="28"/>
          <w:szCs w:val="28"/>
          <w14:ligatures w14:val="none"/>
        </w:rPr>
        <w:t xml:space="preserve">has </w:t>
      </w:r>
      <w:r>
        <w:rPr>
          <w:rFonts w:ascii="Times New Roman" w:eastAsia="Times New Roman" w:hAnsi="Times New Roman" w:cs="Times New Roman"/>
          <w:kern w:val="0"/>
          <w:sz w:val="28"/>
          <w:szCs w:val="28"/>
          <w14:ligatures w14:val="none"/>
        </w:rPr>
        <w:t xml:space="preserve">developed around special actions </w:t>
      </w:r>
      <w:r w:rsidR="00BF3E77">
        <w:rPr>
          <w:rFonts w:ascii="Times New Roman" w:eastAsia="Times New Roman" w:hAnsi="Times New Roman" w:cs="Times New Roman"/>
          <w:kern w:val="0"/>
          <w:sz w:val="28"/>
          <w:szCs w:val="28"/>
          <w14:ligatures w14:val="none"/>
        </w:rPr>
        <w:t xml:space="preserve">holding </w:t>
      </w:r>
      <w:r>
        <w:rPr>
          <w:rFonts w:ascii="Times New Roman" w:eastAsia="Times New Roman" w:hAnsi="Times New Roman" w:cs="Times New Roman"/>
          <w:kern w:val="0"/>
          <w:sz w:val="28"/>
          <w:szCs w:val="28"/>
          <w14:ligatures w14:val="none"/>
        </w:rPr>
        <w:t>that a party c</w:t>
      </w:r>
      <w:r w:rsidR="00F0398E">
        <w:rPr>
          <w:rFonts w:ascii="Times New Roman" w:eastAsia="Times New Roman" w:hAnsi="Times New Roman" w:cs="Times New Roman"/>
          <w:kern w:val="0"/>
          <w:sz w:val="28"/>
          <w:szCs w:val="28"/>
          <w14:ligatures w14:val="none"/>
        </w:rPr>
        <w:t xml:space="preserve">annot </w:t>
      </w:r>
      <w:r>
        <w:rPr>
          <w:rFonts w:ascii="Times New Roman" w:eastAsia="Times New Roman" w:hAnsi="Times New Roman" w:cs="Times New Roman"/>
          <w:kern w:val="0"/>
          <w:sz w:val="28"/>
          <w:szCs w:val="28"/>
          <w14:ligatures w14:val="none"/>
        </w:rPr>
        <w:t xml:space="preserve">seek special action relief in the Superior Court if </w:t>
      </w:r>
      <w:r w:rsidR="002B30F3">
        <w:rPr>
          <w:rFonts w:ascii="Times New Roman" w:eastAsia="Times New Roman" w:hAnsi="Times New Roman" w:cs="Times New Roman"/>
          <w:kern w:val="0"/>
          <w:sz w:val="28"/>
          <w:szCs w:val="28"/>
          <w14:ligatures w14:val="none"/>
        </w:rPr>
        <w:t xml:space="preserve">an </w:t>
      </w:r>
      <w:r w:rsidRPr="00643B30">
        <w:rPr>
          <w:rFonts w:ascii="Times New Roman" w:eastAsia="Times New Roman" w:hAnsi="Times New Roman" w:cs="Times New Roman"/>
          <w:kern w:val="0"/>
          <w:sz w:val="28"/>
          <w:szCs w:val="28"/>
          <w14:ligatures w14:val="none"/>
        </w:rPr>
        <w:t>equally plain, speedy, and adequate remedy exist</w:t>
      </w:r>
      <w:r w:rsidR="002B30F3">
        <w:rPr>
          <w:rFonts w:ascii="Times New Roman" w:eastAsia="Times New Roman" w:hAnsi="Times New Roman" w:cs="Times New Roman"/>
          <w:kern w:val="0"/>
          <w:sz w:val="28"/>
          <w:szCs w:val="28"/>
          <w14:ligatures w14:val="none"/>
        </w:rPr>
        <w:t>ed</w:t>
      </w:r>
      <w:r w:rsidRPr="00643B30">
        <w:rPr>
          <w:rFonts w:ascii="Times New Roman" w:eastAsia="Times New Roman" w:hAnsi="Times New Roman" w:cs="Times New Roman"/>
          <w:kern w:val="0"/>
          <w:sz w:val="28"/>
          <w:szCs w:val="28"/>
          <w14:ligatures w14:val="none"/>
        </w:rPr>
        <w:t xml:space="preserve"> at law</w:t>
      </w:r>
      <w:r>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i/>
          <w:iCs/>
          <w:kern w:val="0"/>
          <w:sz w:val="28"/>
          <w:szCs w:val="28"/>
          <w14:ligatures w14:val="none"/>
        </w:rPr>
        <w:t xml:space="preserve">See e.g. </w:t>
      </w:r>
      <w:r w:rsidRPr="00643B30">
        <w:rPr>
          <w:rFonts w:ascii="Times New Roman" w:eastAsia="Times New Roman" w:hAnsi="Times New Roman" w:cs="Times New Roman"/>
          <w:i/>
          <w:iCs/>
          <w:kern w:val="0"/>
          <w:sz w:val="28"/>
          <w:szCs w:val="28"/>
          <w14:ligatures w14:val="none"/>
        </w:rPr>
        <w:t>Rhodes v. Clark</w:t>
      </w:r>
      <w:r w:rsidRPr="00643B30">
        <w:rPr>
          <w:rFonts w:ascii="Times New Roman" w:eastAsia="Times New Roman" w:hAnsi="Times New Roman" w:cs="Times New Roman"/>
          <w:kern w:val="0"/>
          <w:sz w:val="28"/>
          <w:szCs w:val="28"/>
          <w14:ligatures w14:val="none"/>
        </w:rPr>
        <w:t>, 92 Ariz. 31, 34–35, 373 P.2d 348, 350 (1962)</w:t>
      </w:r>
      <w:r>
        <w:rPr>
          <w:rFonts w:ascii="Times New Roman" w:eastAsia="Times New Roman" w:hAnsi="Times New Roman" w:cs="Times New Roman"/>
          <w:kern w:val="0"/>
          <w:sz w:val="28"/>
          <w:szCs w:val="28"/>
          <w14:ligatures w14:val="none"/>
        </w:rPr>
        <w:t xml:space="preserve"> (“</w:t>
      </w:r>
      <w:r w:rsidRPr="00643B30">
        <w:rPr>
          <w:rFonts w:ascii="Times New Roman" w:eastAsia="Times New Roman" w:hAnsi="Times New Roman" w:cs="Times New Roman"/>
          <w:kern w:val="0"/>
          <w:sz w:val="28"/>
          <w:szCs w:val="28"/>
          <w14:ligatures w14:val="none"/>
        </w:rPr>
        <w:t xml:space="preserve">A writ of mandamus </w:t>
      </w:r>
      <w:r>
        <w:rPr>
          <w:rFonts w:ascii="Times New Roman" w:eastAsia="Times New Roman" w:hAnsi="Times New Roman" w:cs="Times New Roman"/>
          <w:kern w:val="0"/>
          <w:sz w:val="28"/>
          <w:szCs w:val="28"/>
          <w14:ligatures w14:val="none"/>
        </w:rPr>
        <w:t xml:space="preserve">… </w:t>
      </w:r>
      <w:r w:rsidRPr="00643B30">
        <w:rPr>
          <w:rFonts w:ascii="Times New Roman" w:eastAsia="Times New Roman" w:hAnsi="Times New Roman" w:cs="Times New Roman"/>
          <w:kern w:val="0"/>
          <w:sz w:val="28"/>
          <w:szCs w:val="28"/>
          <w14:ligatures w14:val="none"/>
        </w:rPr>
        <w:t>will lie only where no other plain, speedy and adequate remedy at law</w:t>
      </w:r>
      <w:r>
        <w:rPr>
          <w:rFonts w:ascii="Times New Roman" w:eastAsia="Times New Roman" w:hAnsi="Times New Roman" w:cs="Times New Roman"/>
          <w:kern w:val="0"/>
          <w:sz w:val="28"/>
          <w:szCs w:val="28"/>
          <w14:ligatures w14:val="none"/>
        </w:rPr>
        <w:t xml:space="preserve"> [exists</w:t>
      </w:r>
      <w:r w:rsidR="002B30F3">
        <w:rPr>
          <w:rFonts w:ascii="Times New Roman" w:eastAsia="Times New Roman" w:hAnsi="Times New Roman" w:cs="Times New Roman"/>
          <w:kern w:val="0"/>
          <w:sz w:val="28"/>
          <w:szCs w:val="28"/>
          <w14:ligatures w14:val="none"/>
        </w:rPr>
        <w:t xml:space="preserve">].”).  It is unclear, or at least </w:t>
      </w:r>
      <w:r w:rsidR="002B30F3">
        <w:rPr>
          <w:rFonts w:ascii="Times New Roman" w:eastAsia="Times New Roman" w:hAnsi="Times New Roman" w:cs="Times New Roman"/>
          <w:kern w:val="0"/>
          <w:sz w:val="28"/>
          <w:szCs w:val="28"/>
          <w14:ligatures w14:val="none"/>
        </w:rPr>
        <w:lastRenderedPageBreak/>
        <w:t>potentially unclear, whether this case law survives the amended rule.</w:t>
      </w:r>
      <w:r w:rsidR="00F0398E">
        <w:rPr>
          <w:rFonts w:ascii="Times New Roman" w:eastAsia="Times New Roman" w:hAnsi="Times New Roman" w:cs="Times New Roman"/>
          <w:kern w:val="0"/>
          <w:sz w:val="28"/>
          <w:szCs w:val="28"/>
          <w14:ligatures w14:val="none"/>
        </w:rPr>
        <w:t xml:space="preserve">  </w:t>
      </w:r>
      <w:r w:rsidR="006066FD">
        <w:rPr>
          <w:rFonts w:ascii="Times New Roman" w:eastAsia="Times New Roman" w:hAnsi="Times New Roman" w:cs="Times New Roman"/>
          <w:kern w:val="0"/>
          <w:sz w:val="28"/>
          <w:szCs w:val="28"/>
          <w14:ligatures w14:val="none"/>
        </w:rPr>
        <w:t>If the case law does survive, it should</w:t>
      </w:r>
      <w:r w:rsidR="00173EF4">
        <w:rPr>
          <w:rFonts w:ascii="Times New Roman" w:eastAsia="Times New Roman" w:hAnsi="Times New Roman" w:cs="Times New Roman"/>
          <w:kern w:val="0"/>
          <w:sz w:val="28"/>
          <w:szCs w:val="28"/>
          <w14:ligatures w14:val="none"/>
        </w:rPr>
        <w:t xml:space="preserve"> match the rule with no daylight between them</w:t>
      </w:r>
      <w:r w:rsidR="006066FD">
        <w:rPr>
          <w:rFonts w:ascii="Times New Roman" w:eastAsia="Times New Roman" w:hAnsi="Times New Roman" w:cs="Times New Roman"/>
          <w:kern w:val="0"/>
          <w:sz w:val="28"/>
          <w:szCs w:val="28"/>
          <w14:ligatures w14:val="none"/>
        </w:rPr>
        <w:t>.</w:t>
      </w:r>
    </w:p>
    <w:p w14:paraId="30EA105A" w14:textId="0E240128" w:rsidR="00F8575D" w:rsidRDefault="004726F4" w:rsidP="009E4828">
      <w:pPr>
        <w:tabs>
          <w:tab w:val="left" w:pos="720"/>
        </w:tabs>
        <w:autoSpaceDE w:val="0"/>
        <w:autoSpaceDN w:val="0"/>
        <w:adjustRightInd w:val="0"/>
        <w:spacing w:after="0" w:line="48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t>There are several reasons why a party may seek a</w:t>
      </w:r>
      <w:r w:rsidR="00F0398E">
        <w:rPr>
          <w:rFonts w:ascii="Times New Roman" w:eastAsia="Times New Roman" w:hAnsi="Times New Roman" w:cs="Times New Roman"/>
          <w:kern w:val="0"/>
          <w:sz w:val="28"/>
          <w:szCs w:val="28"/>
          <w14:ligatures w14:val="none"/>
        </w:rPr>
        <w:t xml:space="preserve"> special action </w:t>
      </w:r>
      <w:r>
        <w:rPr>
          <w:rFonts w:ascii="Times New Roman" w:eastAsia="Times New Roman" w:hAnsi="Times New Roman" w:cs="Times New Roman"/>
          <w:kern w:val="0"/>
          <w:sz w:val="28"/>
          <w:szCs w:val="28"/>
          <w14:ligatures w14:val="none"/>
        </w:rPr>
        <w:t xml:space="preserve">remedy against an administrative agency instead of pursuing a statutory appeal.  First, unlike a statutory appeal, there is a right to a jury trial </w:t>
      </w:r>
      <w:r w:rsidR="00443B26">
        <w:rPr>
          <w:rFonts w:ascii="Times New Roman" w:eastAsia="Times New Roman" w:hAnsi="Times New Roman" w:cs="Times New Roman"/>
          <w:kern w:val="0"/>
          <w:sz w:val="28"/>
          <w:szCs w:val="28"/>
          <w14:ligatures w14:val="none"/>
        </w:rPr>
        <w:t>in</w:t>
      </w:r>
      <w:r>
        <w:rPr>
          <w:rFonts w:ascii="Times New Roman" w:eastAsia="Times New Roman" w:hAnsi="Times New Roman" w:cs="Times New Roman"/>
          <w:kern w:val="0"/>
          <w:sz w:val="28"/>
          <w:szCs w:val="28"/>
          <w14:ligatures w14:val="none"/>
        </w:rPr>
        <w:t xml:space="preserve"> an original special action.  </w:t>
      </w:r>
      <w:r>
        <w:rPr>
          <w:rFonts w:ascii="Times New Roman" w:eastAsia="Times New Roman" w:hAnsi="Times New Roman" w:cs="Times New Roman"/>
          <w:i/>
          <w:iCs/>
          <w:kern w:val="0"/>
          <w:sz w:val="28"/>
          <w:szCs w:val="28"/>
          <w14:ligatures w14:val="none"/>
        </w:rPr>
        <w:t xml:space="preserve">See </w:t>
      </w:r>
      <w:r>
        <w:rPr>
          <w:rFonts w:ascii="Times New Roman" w:eastAsia="Times New Roman" w:hAnsi="Times New Roman" w:cs="Times New Roman"/>
          <w:kern w:val="0"/>
          <w:sz w:val="28"/>
          <w:szCs w:val="28"/>
          <w14:ligatures w14:val="none"/>
        </w:rPr>
        <w:t xml:space="preserve">Special Action Rule 7(h).  Second, unlike a statutory appeal, there is no </w:t>
      </w:r>
      <w:r w:rsidR="00BF3E77">
        <w:rPr>
          <w:rFonts w:ascii="Times New Roman" w:eastAsia="Times New Roman" w:hAnsi="Times New Roman" w:cs="Times New Roman"/>
          <w:kern w:val="0"/>
          <w:sz w:val="28"/>
          <w:szCs w:val="28"/>
          <w14:ligatures w14:val="none"/>
        </w:rPr>
        <w:t xml:space="preserve">short deadline to </w:t>
      </w:r>
      <w:r>
        <w:rPr>
          <w:rFonts w:ascii="Times New Roman" w:eastAsia="Times New Roman" w:hAnsi="Times New Roman" w:cs="Times New Roman"/>
          <w:kern w:val="0"/>
          <w:sz w:val="28"/>
          <w:szCs w:val="28"/>
          <w14:ligatures w14:val="none"/>
        </w:rPr>
        <w:t>fil</w:t>
      </w:r>
      <w:r w:rsidR="00BF3E77">
        <w:rPr>
          <w:rFonts w:ascii="Times New Roman" w:eastAsia="Times New Roman" w:hAnsi="Times New Roman" w:cs="Times New Roman"/>
          <w:kern w:val="0"/>
          <w:sz w:val="28"/>
          <w:szCs w:val="28"/>
          <w14:ligatures w14:val="none"/>
        </w:rPr>
        <w:t>e</w:t>
      </w:r>
      <w:r>
        <w:rPr>
          <w:rFonts w:ascii="Times New Roman" w:eastAsia="Times New Roman" w:hAnsi="Times New Roman" w:cs="Times New Roman"/>
          <w:kern w:val="0"/>
          <w:sz w:val="28"/>
          <w:szCs w:val="28"/>
          <w14:ligatures w14:val="none"/>
        </w:rPr>
        <w:t xml:space="preserve"> a special action.  </w:t>
      </w:r>
      <w:r w:rsidR="00D54DB7">
        <w:rPr>
          <w:rFonts w:ascii="Times New Roman" w:eastAsia="Times New Roman" w:hAnsi="Times New Roman" w:cs="Times New Roman"/>
          <w:kern w:val="0"/>
          <w:sz w:val="28"/>
          <w:szCs w:val="28"/>
          <w14:ligatures w14:val="none"/>
        </w:rPr>
        <w:t>Third, the remedies for a special action may be broader than those available by appeal.  Fourth</w:t>
      </w:r>
      <w:r>
        <w:rPr>
          <w:rFonts w:ascii="Times New Roman" w:eastAsia="Times New Roman" w:hAnsi="Times New Roman" w:cs="Times New Roman"/>
          <w:kern w:val="0"/>
          <w:sz w:val="28"/>
          <w:szCs w:val="28"/>
          <w14:ligatures w14:val="none"/>
        </w:rPr>
        <w:t>, there are instances where a statutory appeal is not an adequate remedy, such as when an agency is acting outside its jurisdiction, where the right to a special action should be preserved.</w:t>
      </w:r>
      <w:r w:rsidR="00F8575D">
        <w:rPr>
          <w:rFonts w:ascii="Times New Roman" w:eastAsia="Times New Roman" w:hAnsi="Times New Roman" w:cs="Times New Roman"/>
          <w:kern w:val="0"/>
          <w:sz w:val="28"/>
          <w:szCs w:val="28"/>
          <w14:ligatures w14:val="none"/>
        </w:rPr>
        <w:t xml:space="preserve">  </w:t>
      </w:r>
      <w:r w:rsidR="00E52BAF">
        <w:rPr>
          <w:rFonts w:ascii="Times New Roman" w:eastAsia="Times New Roman" w:hAnsi="Times New Roman" w:cs="Times New Roman"/>
          <w:i/>
          <w:iCs/>
          <w:kern w:val="0"/>
          <w:sz w:val="28"/>
          <w:szCs w:val="28"/>
          <w14:ligatures w14:val="none"/>
        </w:rPr>
        <w:t xml:space="preserve">See e.g. </w:t>
      </w:r>
      <w:r w:rsidR="00F8575D" w:rsidRPr="00F8575D">
        <w:rPr>
          <w:rFonts w:ascii="Times New Roman" w:eastAsia="Times New Roman" w:hAnsi="Times New Roman" w:cs="Times New Roman"/>
          <w:i/>
          <w:iCs/>
          <w:kern w:val="0"/>
          <w:sz w:val="28"/>
          <w:szCs w:val="28"/>
          <w14:ligatures w14:val="none"/>
        </w:rPr>
        <w:t>Rosenberg v. Ariz</w:t>
      </w:r>
      <w:r w:rsidR="00F8575D">
        <w:rPr>
          <w:rFonts w:ascii="Times New Roman" w:eastAsia="Times New Roman" w:hAnsi="Times New Roman" w:cs="Times New Roman"/>
          <w:i/>
          <w:iCs/>
          <w:kern w:val="0"/>
          <w:sz w:val="28"/>
          <w:szCs w:val="28"/>
          <w14:ligatures w14:val="none"/>
        </w:rPr>
        <w:t>. B</w:t>
      </w:r>
      <w:r w:rsidR="00F8575D" w:rsidRPr="00F8575D">
        <w:rPr>
          <w:rFonts w:ascii="Times New Roman" w:eastAsia="Times New Roman" w:hAnsi="Times New Roman" w:cs="Times New Roman"/>
          <w:i/>
          <w:iCs/>
          <w:kern w:val="0"/>
          <w:sz w:val="28"/>
          <w:szCs w:val="28"/>
          <w14:ligatures w14:val="none"/>
        </w:rPr>
        <w:t>d. of Regents</w:t>
      </w:r>
      <w:r w:rsidR="00F8575D" w:rsidRPr="00F8575D">
        <w:rPr>
          <w:rFonts w:ascii="Times New Roman" w:eastAsia="Times New Roman" w:hAnsi="Times New Roman" w:cs="Times New Roman"/>
          <w:kern w:val="0"/>
          <w:sz w:val="28"/>
          <w:szCs w:val="28"/>
          <w14:ligatures w14:val="none"/>
        </w:rPr>
        <w:t>, 118 Ariz. 489, 493, 578 P.2d 168, 172 (1978)</w:t>
      </w:r>
      <w:r w:rsidR="00F8575D">
        <w:rPr>
          <w:rFonts w:ascii="Times New Roman" w:eastAsia="Times New Roman" w:hAnsi="Times New Roman" w:cs="Times New Roman"/>
          <w:kern w:val="0"/>
          <w:sz w:val="28"/>
          <w:szCs w:val="28"/>
          <w14:ligatures w14:val="none"/>
        </w:rPr>
        <w:t xml:space="preserve"> (“</w:t>
      </w:r>
      <w:r w:rsidR="00F8575D" w:rsidRPr="00F8575D">
        <w:rPr>
          <w:rFonts w:ascii="Times New Roman" w:eastAsia="Times New Roman" w:hAnsi="Times New Roman" w:cs="Times New Roman"/>
          <w:kern w:val="0"/>
          <w:sz w:val="28"/>
          <w:szCs w:val="28"/>
          <w14:ligatures w14:val="none"/>
        </w:rPr>
        <w:t>Common law extraordinary writs may be used to attack the jurisdiction of the agency where there is no plain, speedy and adequate remedy at law.</w:t>
      </w:r>
      <w:r w:rsidR="00F8575D">
        <w:rPr>
          <w:rFonts w:ascii="Times New Roman" w:eastAsia="Times New Roman" w:hAnsi="Times New Roman" w:cs="Times New Roman"/>
          <w:kern w:val="0"/>
          <w:sz w:val="28"/>
          <w:szCs w:val="28"/>
          <w14:ligatures w14:val="none"/>
        </w:rPr>
        <w:t>”).</w:t>
      </w:r>
    </w:p>
    <w:p w14:paraId="2CA69D01" w14:textId="4375F875" w:rsidR="00F8575D" w:rsidRDefault="00F8575D" w:rsidP="009E4828">
      <w:pPr>
        <w:tabs>
          <w:tab w:val="left" w:pos="720"/>
        </w:tabs>
        <w:autoSpaceDE w:val="0"/>
        <w:autoSpaceDN w:val="0"/>
        <w:adjustRightInd w:val="0"/>
        <w:spacing w:after="0" w:line="48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t>If the Supreme Court returns the “</w:t>
      </w:r>
      <w:r w:rsidRPr="00F8575D">
        <w:rPr>
          <w:rFonts w:ascii="Times New Roman" w:eastAsia="Times New Roman" w:hAnsi="Times New Roman" w:cs="Times New Roman"/>
          <w:kern w:val="0"/>
          <w:sz w:val="28"/>
          <w:szCs w:val="28"/>
          <w14:ligatures w14:val="none"/>
        </w:rPr>
        <w:t>plain, speedy and adequate remedy at law</w:t>
      </w:r>
      <w:r>
        <w:rPr>
          <w:rFonts w:ascii="Times New Roman" w:eastAsia="Times New Roman" w:hAnsi="Times New Roman" w:cs="Times New Roman"/>
          <w:kern w:val="0"/>
          <w:sz w:val="28"/>
          <w:szCs w:val="28"/>
          <w14:ligatures w14:val="none"/>
        </w:rPr>
        <w:t xml:space="preserve">” requirement to Original Special Actions, it should not increase the number of special actions, but rather make clear that a party cannot pursue a special action if there is an </w:t>
      </w:r>
      <w:r w:rsidR="00A652B0">
        <w:rPr>
          <w:rFonts w:ascii="Times New Roman" w:eastAsia="Times New Roman" w:hAnsi="Times New Roman" w:cs="Times New Roman"/>
          <w:kern w:val="0"/>
          <w:sz w:val="28"/>
          <w:szCs w:val="28"/>
          <w14:ligatures w14:val="none"/>
        </w:rPr>
        <w:t>adequate</w:t>
      </w:r>
      <w:r>
        <w:rPr>
          <w:rFonts w:ascii="Times New Roman" w:eastAsia="Times New Roman" w:hAnsi="Times New Roman" w:cs="Times New Roman"/>
          <w:kern w:val="0"/>
          <w:sz w:val="28"/>
          <w:szCs w:val="28"/>
          <w14:ligatures w14:val="none"/>
        </w:rPr>
        <w:t xml:space="preserve"> remedy by appeal.</w:t>
      </w:r>
    </w:p>
    <w:p w14:paraId="66B065FF" w14:textId="40E0B58E" w:rsidR="00A652B0" w:rsidRPr="00F8575D" w:rsidRDefault="00A652B0" w:rsidP="00E0351A">
      <w:pPr>
        <w:keepNext/>
        <w:keepLines/>
        <w:numPr>
          <w:ilvl w:val="0"/>
          <w:numId w:val="1"/>
        </w:numPr>
        <w:tabs>
          <w:tab w:val="left" w:pos="720"/>
        </w:tabs>
        <w:spacing w:after="0" w:line="240" w:lineRule="auto"/>
        <w:ind w:hanging="1080"/>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lastRenderedPageBreak/>
        <w:t>PROPOSED LANGUAGE</w:t>
      </w:r>
    </w:p>
    <w:p w14:paraId="1E821D3F" w14:textId="782D2B04" w:rsidR="00F8575D" w:rsidRDefault="00A652B0" w:rsidP="00E0351A">
      <w:pPr>
        <w:keepNext/>
        <w:keepLines/>
        <w:tabs>
          <w:tab w:val="left" w:pos="720"/>
        </w:tabs>
        <w:autoSpaceDE w:val="0"/>
        <w:autoSpaceDN w:val="0"/>
        <w:adjustRightInd w:val="0"/>
        <w:spacing w:before="240" w:after="0" w:line="48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t xml:space="preserve">The </w:t>
      </w:r>
      <w:r w:rsidRPr="00A652B0">
        <w:rPr>
          <w:rFonts w:ascii="Times New Roman" w:eastAsia="Times New Roman" w:hAnsi="Times New Roman" w:cs="Times New Roman"/>
          <w:kern w:val="0"/>
          <w:sz w:val="28"/>
          <w:szCs w:val="28"/>
          <w14:ligatures w14:val="none"/>
        </w:rPr>
        <w:t>“</w:t>
      </w:r>
      <w:r w:rsidRPr="00F8575D">
        <w:rPr>
          <w:rFonts w:ascii="Times New Roman" w:eastAsia="Times New Roman" w:hAnsi="Times New Roman" w:cs="Times New Roman"/>
          <w:kern w:val="0"/>
          <w:sz w:val="28"/>
          <w:szCs w:val="28"/>
          <w14:ligatures w14:val="none"/>
        </w:rPr>
        <w:t>plain, speedy and adequate remedy at law</w:t>
      </w:r>
      <w:r>
        <w:rPr>
          <w:rFonts w:ascii="Times New Roman" w:eastAsia="Times New Roman" w:hAnsi="Times New Roman" w:cs="Times New Roman"/>
          <w:kern w:val="0"/>
          <w:sz w:val="28"/>
          <w:szCs w:val="28"/>
          <w14:ligatures w14:val="none"/>
        </w:rPr>
        <w:t>” language can be returned to the Special Action Rules by amending Rule 2(b)(1) as follows</w:t>
      </w:r>
      <w:r w:rsidR="009E4828">
        <w:rPr>
          <w:rFonts w:ascii="Times New Roman" w:eastAsia="Times New Roman" w:hAnsi="Times New Roman" w:cs="Times New Roman"/>
          <w:kern w:val="0"/>
          <w:sz w:val="28"/>
          <w:szCs w:val="28"/>
          <w14:ligatures w14:val="none"/>
        </w:rPr>
        <w:t xml:space="preserve">.  The amendment is shown in </w:t>
      </w:r>
      <w:r w:rsidR="009E4828" w:rsidRPr="009E4828">
        <w:rPr>
          <w:rFonts w:ascii="Times New Roman" w:eastAsia="Times New Roman" w:hAnsi="Times New Roman" w:cs="Times New Roman"/>
          <w:b/>
          <w:bCs/>
          <w:kern w:val="0"/>
          <w:sz w:val="28"/>
          <w:szCs w:val="28"/>
          <w:u w:val="double"/>
          <w14:ligatures w14:val="none"/>
        </w:rPr>
        <w:t>bold with double underline</w:t>
      </w:r>
      <w:r>
        <w:rPr>
          <w:rFonts w:ascii="Times New Roman" w:eastAsia="Times New Roman" w:hAnsi="Times New Roman" w:cs="Times New Roman"/>
          <w:kern w:val="0"/>
          <w:sz w:val="28"/>
          <w:szCs w:val="28"/>
          <w14:ligatures w14:val="none"/>
        </w:rPr>
        <w:t>:</w:t>
      </w:r>
    </w:p>
    <w:p w14:paraId="6243468A" w14:textId="502F41AB" w:rsidR="009E4828" w:rsidRPr="00D54DB7" w:rsidRDefault="009E4828" w:rsidP="00E0351A">
      <w:pPr>
        <w:tabs>
          <w:tab w:val="left" w:pos="720"/>
        </w:tabs>
        <w:autoSpaceDE w:val="0"/>
        <w:autoSpaceDN w:val="0"/>
        <w:adjustRightInd w:val="0"/>
        <w:spacing w:after="0" w:line="480" w:lineRule="auto"/>
        <w:ind w:left="720" w:right="720"/>
        <w:rPr>
          <w:rFonts w:ascii="Times New Roman" w:eastAsia="Times New Roman" w:hAnsi="Times New Roman" w:cs="Times New Roman"/>
          <w:kern w:val="0"/>
          <w:sz w:val="28"/>
          <w:szCs w:val="28"/>
          <w14:ligatures w14:val="none"/>
        </w:rPr>
      </w:pPr>
      <w:r w:rsidRPr="00D54DB7">
        <w:rPr>
          <w:rFonts w:ascii="Times New Roman" w:eastAsia="Times New Roman" w:hAnsi="Times New Roman" w:cs="Times New Roman"/>
          <w:i/>
          <w:iCs/>
          <w:kern w:val="0"/>
          <w:sz w:val="28"/>
          <w:szCs w:val="28"/>
          <w14:ligatures w14:val="none"/>
        </w:rPr>
        <w:t>Original Special Actions.</w:t>
      </w:r>
      <w:r w:rsidRPr="00D54DB7">
        <w:rPr>
          <w:rFonts w:ascii="Times New Roman" w:eastAsia="Times New Roman" w:hAnsi="Times New Roman" w:cs="Times New Roman"/>
          <w:kern w:val="0"/>
          <w:sz w:val="28"/>
          <w:szCs w:val="28"/>
          <w14:ligatures w14:val="none"/>
        </w:rPr>
        <w:t xml:space="preserve"> An original special action begins a case in court. It does not request review of an earlier decision of a court. A party seeks original special action relief by filing a complaint. With few exceptions, jurisdiction is mandatory in original special actions.  </w:t>
      </w:r>
      <w:r w:rsidRPr="00D54DB7">
        <w:rPr>
          <w:rFonts w:ascii="Times New Roman" w:eastAsia="Times New Roman" w:hAnsi="Times New Roman" w:cs="Times New Roman"/>
          <w:b/>
          <w:bCs/>
          <w:kern w:val="0"/>
          <w:sz w:val="28"/>
          <w:szCs w:val="28"/>
          <w:u w:val="double"/>
          <w14:ligatures w14:val="none"/>
        </w:rPr>
        <w:t xml:space="preserve">A party cannot seek original special action </w:t>
      </w:r>
      <w:r w:rsidR="00D342A0">
        <w:rPr>
          <w:rFonts w:ascii="Times New Roman" w:eastAsia="Times New Roman" w:hAnsi="Times New Roman" w:cs="Times New Roman"/>
          <w:b/>
          <w:bCs/>
          <w:kern w:val="0"/>
          <w:sz w:val="28"/>
          <w:szCs w:val="28"/>
          <w:u w:val="double"/>
          <w14:ligatures w14:val="none"/>
        </w:rPr>
        <w:t xml:space="preserve">relief </w:t>
      </w:r>
      <w:r w:rsidRPr="00D54DB7">
        <w:rPr>
          <w:rFonts w:ascii="Times New Roman" w:eastAsia="Times New Roman" w:hAnsi="Times New Roman" w:cs="Times New Roman"/>
          <w:b/>
          <w:bCs/>
          <w:kern w:val="0"/>
          <w:sz w:val="28"/>
          <w:szCs w:val="28"/>
          <w:u w:val="double"/>
          <w14:ligatures w14:val="none"/>
        </w:rPr>
        <w:t>if an equally plain, speedy, and adequate remedy exists at law.</w:t>
      </w:r>
    </w:p>
    <w:p w14:paraId="1FC6C9D2" w14:textId="77777777" w:rsidR="00072FE8" w:rsidRPr="00072FE8" w:rsidRDefault="00072FE8" w:rsidP="00072FE8">
      <w:pPr>
        <w:keepNext/>
        <w:spacing w:after="0" w:line="480" w:lineRule="auto"/>
        <w:jc w:val="center"/>
        <w:rPr>
          <w:rFonts w:ascii="Times New Roman" w:eastAsia="Times New Roman" w:hAnsi="Times New Roman" w:cs="Times New Roman"/>
          <w:b/>
          <w:kern w:val="0"/>
          <w:sz w:val="28"/>
          <w:szCs w:val="28"/>
          <w14:ligatures w14:val="none"/>
        </w:rPr>
      </w:pPr>
      <w:r w:rsidRPr="00072FE8">
        <w:rPr>
          <w:rFonts w:ascii="Times New Roman" w:eastAsia="Times New Roman" w:hAnsi="Times New Roman" w:cs="Times New Roman"/>
          <w:b/>
          <w:kern w:val="0"/>
          <w:sz w:val="28"/>
          <w:szCs w:val="28"/>
          <w14:ligatures w14:val="none"/>
        </w:rPr>
        <w:t>CONCLUSION</w:t>
      </w:r>
    </w:p>
    <w:p w14:paraId="28394034" w14:textId="4EAD5A08" w:rsidR="00072FE8" w:rsidRPr="00072FE8" w:rsidRDefault="00E52BAF" w:rsidP="00E52BAF">
      <w:pPr>
        <w:keepNext/>
        <w:spacing w:after="0" w:line="480" w:lineRule="auto"/>
        <w:ind w:firstLine="720"/>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I </w:t>
      </w:r>
      <w:r w:rsidR="00072FE8" w:rsidRPr="00072FE8">
        <w:rPr>
          <w:rFonts w:ascii="Times New Roman" w:eastAsia="Times New Roman" w:hAnsi="Times New Roman" w:cs="Times New Roman"/>
          <w:bCs/>
          <w:kern w:val="0"/>
          <w:sz w:val="28"/>
          <w:szCs w:val="28"/>
          <w14:ligatures w14:val="none"/>
        </w:rPr>
        <w:t xml:space="preserve">respectfully request that the Court consider this Petition and proposed rule change at its earliest convenience.  </w:t>
      </w:r>
      <w:r>
        <w:rPr>
          <w:rFonts w:ascii="Times New Roman" w:eastAsia="Times New Roman" w:hAnsi="Times New Roman" w:cs="Times New Roman"/>
          <w:bCs/>
          <w:kern w:val="0"/>
          <w:sz w:val="28"/>
          <w:szCs w:val="28"/>
          <w14:ligatures w14:val="none"/>
        </w:rPr>
        <w:t>I</w:t>
      </w:r>
      <w:r w:rsidR="007933A8">
        <w:rPr>
          <w:rFonts w:ascii="Times New Roman" w:eastAsia="Times New Roman" w:hAnsi="Times New Roman" w:cs="Times New Roman"/>
          <w:bCs/>
          <w:kern w:val="0"/>
          <w:sz w:val="28"/>
          <w:szCs w:val="28"/>
          <w14:ligatures w14:val="none"/>
        </w:rPr>
        <w:t xml:space="preserve"> </w:t>
      </w:r>
      <w:r w:rsidR="00072FE8" w:rsidRPr="00072FE8">
        <w:rPr>
          <w:rFonts w:ascii="Times New Roman" w:eastAsia="Times New Roman" w:hAnsi="Times New Roman" w:cs="Times New Roman"/>
          <w:bCs/>
          <w:kern w:val="0"/>
          <w:sz w:val="28"/>
          <w:szCs w:val="28"/>
          <w14:ligatures w14:val="none"/>
        </w:rPr>
        <w:t xml:space="preserve">additionally request that </w:t>
      </w:r>
      <w:r w:rsidR="00F97DC1">
        <w:rPr>
          <w:rFonts w:ascii="Times New Roman" w:eastAsia="Times New Roman" w:hAnsi="Times New Roman" w:cs="Times New Roman"/>
          <w:bCs/>
          <w:kern w:val="0"/>
          <w:sz w:val="28"/>
          <w:szCs w:val="28"/>
          <w14:ligatures w14:val="none"/>
        </w:rPr>
        <w:t xml:space="preserve">the Court </w:t>
      </w:r>
      <w:r w:rsidR="00072FE8" w:rsidRPr="00072FE8">
        <w:rPr>
          <w:rFonts w:ascii="Times New Roman" w:eastAsia="Times New Roman" w:hAnsi="Times New Roman" w:cs="Times New Roman"/>
          <w:bCs/>
          <w:kern w:val="0"/>
          <w:sz w:val="28"/>
          <w:szCs w:val="28"/>
          <w14:ligatures w14:val="none"/>
        </w:rPr>
        <w:t>circulate</w:t>
      </w:r>
      <w:r w:rsidR="00F97DC1">
        <w:rPr>
          <w:rFonts w:ascii="Times New Roman" w:eastAsia="Times New Roman" w:hAnsi="Times New Roman" w:cs="Times New Roman"/>
          <w:bCs/>
          <w:kern w:val="0"/>
          <w:sz w:val="28"/>
          <w:szCs w:val="28"/>
          <w14:ligatures w14:val="none"/>
        </w:rPr>
        <w:t xml:space="preserve"> the </w:t>
      </w:r>
      <w:r w:rsidR="00443B26">
        <w:rPr>
          <w:rFonts w:ascii="Times New Roman" w:eastAsia="Times New Roman" w:hAnsi="Times New Roman" w:cs="Times New Roman"/>
          <w:bCs/>
          <w:kern w:val="0"/>
          <w:sz w:val="28"/>
          <w:szCs w:val="28"/>
          <w14:ligatures w14:val="none"/>
        </w:rPr>
        <w:t>P</w:t>
      </w:r>
      <w:r w:rsidR="00F97DC1">
        <w:rPr>
          <w:rFonts w:ascii="Times New Roman" w:eastAsia="Times New Roman" w:hAnsi="Times New Roman" w:cs="Times New Roman"/>
          <w:bCs/>
          <w:kern w:val="0"/>
          <w:sz w:val="28"/>
          <w:szCs w:val="28"/>
          <w14:ligatures w14:val="none"/>
        </w:rPr>
        <w:t xml:space="preserve">etition </w:t>
      </w:r>
      <w:r w:rsidR="00072FE8" w:rsidRPr="00072FE8">
        <w:rPr>
          <w:rFonts w:ascii="Times New Roman" w:eastAsia="Times New Roman" w:hAnsi="Times New Roman" w:cs="Times New Roman"/>
          <w:bCs/>
          <w:kern w:val="0"/>
          <w:sz w:val="28"/>
          <w:szCs w:val="28"/>
          <w14:ligatures w14:val="none"/>
        </w:rPr>
        <w:t>for public comment until May 1, 202</w:t>
      </w:r>
      <w:r>
        <w:rPr>
          <w:rFonts w:ascii="Times New Roman" w:eastAsia="Times New Roman" w:hAnsi="Times New Roman" w:cs="Times New Roman"/>
          <w:bCs/>
          <w:kern w:val="0"/>
          <w:sz w:val="28"/>
          <w:szCs w:val="28"/>
          <w14:ligatures w14:val="none"/>
        </w:rPr>
        <w:t>5</w:t>
      </w:r>
      <w:r w:rsidR="00072FE8" w:rsidRPr="00072FE8">
        <w:rPr>
          <w:rFonts w:ascii="Times New Roman" w:eastAsia="Times New Roman" w:hAnsi="Times New Roman" w:cs="Times New Roman"/>
          <w:bCs/>
          <w:kern w:val="0"/>
          <w:sz w:val="28"/>
          <w:szCs w:val="28"/>
          <w14:ligatures w14:val="none"/>
        </w:rPr>
        <w:t xml:space="preserve">, and </w:t>
      </w:r>
      <w:r w:rsidR="00F97DC1">
        <w:rPr>
          <w:rFonts w:ascii="Times New Roman" w:eastAsia="Times New Roman" w:hAnsi="Times New Roman" w:cs="Times New Roman"/>
          <w:bCs/>
          <w:kern w:val="0"/>
          <w:sz w:val="28"/>
          <w:szCs w:val="28"/>
          <w14:ligatures w14:val="none"/>
        </w:rPr>
        <w:t xml:space="preserve">then </w:t>
      </w:r>
      <w:r w:rsidR="00072FE8" w:rsidRPr="00072FE8">
        <w:rPr>
          <w:rFonts w:ascii="Times New Roman" w:eastAsia="Times New Roman" w:hAnsi="Times New Roman" w:cs="Times New Roman"/>
          <w:bCs/>
          <w:kern w:val="0"/>
          <w:sz w:val="28"/>
          <w:szCs w:val="28"/>
          <w14:ligatures w14:val="none"/>
        </w:rPr>
        <w:t>adopt the proposed rule</w:t>
      </w:r>
      <w:r w:rsidR="00072FE8">
        <w:rPr>
          <w:rFonts w:ascii="Times New Roman" w:eastAsia="Times New Roman" w:hAnsi="Times New Roman" w:cs="Times New Roman"/>
          <w:bCs/>
          <w:kern w:val="0"/>
          <w:sz w:val="28"/>
          <w:szCs w:val="28"/>
          <w14:ligatures w14:val="none"/>
        </w:rPr>
        <w:t>s</w:t>
      </w:r>
      <w:r w:rsidR="00072FE8" w:rsidRPr="00072FE8">
        <w:rPr>
          <w:rFonts w:ascii="Times New Roman" w:eastAsia="Times New Roman" w:hAnsi="Times New Roman" w:cs="Times New Roman"/>
          <w:bCs/>
          <w:kern w:val="0"/>
          <w:sz w:val="28"/>
          <w:szCs w:val="28"/>
          <w14:ligatures w14:val="none"/>
        </w:rPr>
        <w:t xml:space="preserve"> as presented, or as modified in light of comments received from the public, with an effective date of January 1, 202</w:t>
      </w:r>
      <w:r w:rsidR="006066FD">
        <w:rPr>
          <w:rFonts w:ascii="Times New Roman" w:eastAsia="Times New Roman" w:hAnsi="Times New Roman" w:cs="Times New Roman"/>
          <w:bCs/>
          <w:kern w:val="0"/>
          <w:sz w:val="28"/>
          <w:szCs w:val="28"/>
          <w14:ligatures w14:val="none"/>
        </w:rPr>
        <w:t>6</w:t>
      </w:r>
      <w:r w:rsidR="00072FE8" w:rsidRPr="00072FE8">
        <w:rPr>
          <w:rFonts w:ascii="Times New Roman" w:eastAsia="Times New Roman" w:hAnsi="Times New Roman" w:cs="Times New Roman"/>
          <w:bCs/>
          <w:kern w:val="0"/>
          <w:sz w:val="28"/>
          <w:szCs w:val="28"/>
          <w14:ligatures w14:val="none"/>
        </w:rPr>
        <w:t>.</w:t>
      </w:r>
    </w:p>
    <w:p w14:paraId="3760C63C" w14:textId="39C04156" w:rsidR="00072FE8" w:rsidRPr="00072FE8" w:rsidRDefault="00072FE8" w:rsidP="00E0351A">
      <w:pPr>
        <w:spacing w:after="0" w:line="240" w:lineRule="auto"/>
        <w:ind w:firstLine="720"/>
        <w:jc w:val="both"/>
        <w:rPr>
          <w:rFonts w:ascii="Times New Roman" w:eastAsia="Times New Roman" w:hAnsi="Times New Roman" w:cs="Times New Roman"/>
          <w:kern w:val="0"/>
          <w:sz w:val="28"/>
          <w:szCs w:val="28"/>
          <w14:ligatures w14:val="none"/>
        </w:rPr>
      </w:pPr>
      <w:r w:rsidRPr="00072FE8">
        <w:rPr>
          <w:rFonts w:ascii="Times New Roman" w:eastAsia="Times New Roman" w:hAnsi="Times New Roman" w:cs="Times New Roman"/>
          <w:kern w:val="0"/>
          <w:sz w:val="28"/>
          <w:szCs w:val="28"/>
          <w14:ligatures w14:val="none"/>
        </w:rPr>
        <w:t xml:space="preserve">DATED this </w:t>
      </w:r>
      <w:r w:rsidR="002C1858">
        <w:rPr>
          <w:rFonts w:ascii="Times New Roman" w:eastAsia="Times New Roman" w:hAnsi="Times New Roman" w:cs="Times New Roman"/>
          <w:kern w:val="0"/>
          <w:sz w:val="28"/>
          <w:szCs w:val="28"/>
          <w14:ligatures w14:val="none"/>
        </w:rPr>
        <w:t>7</w:t>
      </w:r>
      <w:r w:rsidR="002C1858" w:rsidRPr="002C1858">
        <w:rPr>
          <w:rFonts w:ascii="Times New Roman" w:eastAsia="Times New Roman" w:hAnsi="Times New Roman" w:cs="Times New Roman"/>
          <w:kern w:val="0"/>
          <w:sz w:val="28"/>
          <w:szCs w:val="28"/>
          <w:vertAlign w:val="superscript"/>
          <w14:ligatures w14:val="none"/>
        </w:rPr>
        <w:t>th</w:t>
      </w:r>
      <w:r w:rsidR="002C1858">
        <w:rPr>
          <w:rFonts w:ascii="Times New Roman" w:eastAsia="Times New Roman" w:hAnsi="Times New Roman" w:cs="Times New Roman"/>
          <w:kern w:val="0"/>
          <w:sz w:val="28"/>
          <w:szCs w:val="28"/>
          <w14:ligatures w14:val="none"/>
        </w:rPr>
        <w:t xml:space="preserve"> </w:t>
      </w:r>
      <w:r w:rsidRPr="00072FE8">
        <w:rPr>
          <w:rFonts w:ascii="Times New Roman" w:eastAsia="Times New Roman" w:hAnsi="Times New Roman" w:cs="Times New Roman"/>
          <w:kern w:val="0"/>
          <w:sz w:val="28"/>
          <w:szCs w:val="28"/>
          <w14:ligatures w14:val="none"/>
        </w:rPr>
        <w:t>day of</w:t>
      </w:r>
      <w:r w:rsidR="002C1858">
        <w:rPr>
          <w:rFonts w:ascii="Times New Roman" w:eastAsia="Times New Roman" w:hAnsi="Times New Roman" w:cs="Times New Roman"/>
          <w:kern w:val="0"/>
          <w:sz w:val="28"/>
          <w:szCs w:val="28"/>
          <w14:ligatures w14:val="none"/>
        </w:rPr>
        <w:t xml:space="preserve"> January</w:t>
      </w:r>
      <w:r w:rsidRPr="00072FE8">
        <w:rPr>
          <w:rFonts w:ascii="Times New Roman" w:eastAsia="Times New Roman" w:hAnsi="Times New Roman" w:cs="Times New Roman"/>
          <w:kern w:val="0"/>
          <w:sz w:val="28"/>
          <w:szCs w:val="28"/>
          <w14:ligatures w14:val="none"/>
        </w:rPr>
        <w:t>, 20</w:t>
      </w:r>
      <w:r w:rsidR="00E52BAF">
        <w:rPr>
          <w:rFonts w:ascii="Times New Roman" w:eastAsia="Times New Roman" w:hAnsi="Times New Roman" w:cs="Times New Roman"/>
          <w:kern w:val="0"/>
          <w:sz w:val="28"/>
          <w:szCs w:val="28"/>
          <w14:ligatures w14:val="none"/>
        </w:rPr>
        <w:t>25</w:t>
      </w:r>
      <w:r w:rsidRPr="00072FE8">
        <w:rPr>
          <w:rFonts w:ascii="Times New Roman" w:eastAsia="Times New Roman" w:hAnsi="Times New Roman" w:cs="Times New Roman"/>
          <w:kern w:val="0"/>
          <w:sz w:val="28"/>
          <w:szCs w:val="28"/>
          <w14:ligatures w14:val="none"/>
        </w:rPr>
        <w:t>.</w:t>
      </w:r>
    </w:p>
    <w:p w14:paraId="16A1C03E" w14:textId="77777777" w:rsidR="00072FE8" w:rsidRDefault="00072FE8" w:rsidP="00072FE8">
      <w:pPr>
        <w:spacing w:after="0" w:line="240" w:lineRule="auto"/>
        <w:jc w:val="both"/>
        <w:rPr>
          <w:rFonts w:ascii="Times New Roman" w:eastAsia="Times New Roman" w:hAnsi="Times New Roman" w:cs="Times New Roman"/>
          <w:kern w:val="0"/>
          <w:sz w:val="28"/>
          <w:szCs w:val="28"/>
          <w14:ligatures w14:val="none"/>
        </w:rPr>
      </w:pPr>
    </w:p>
    <w:p w14:paraId="299148BA" w14:textId="3088EC6D" w:rsidR="00072FE8" w:rsidRPr="00D54DB7" w:rsidRDefault="00072FE8" w:rsidP="00072FE8">
      <w:pPr>
        <w:spacing w:after="0" w:line="240" w:lineRule="auto"/>
        <w:jc w:val="both"/>
        <w:rPr>
          <w:rFonts w:ascii="Times New Roman" w:eastAsia="Times New Roman" w:hAnsi="Times New Roman" w:cs="Times New Roman"/>
          <w:iCs/>
          <w:kern w:val="0"/>
          <w:sz w:val="28"/>
          <w:szCs w:val="28"/>
          <w:u w:val="single"/>
          <w14:ligatures w14:val="none"/>
        </w:rPr>
      </w:pPr>
      <w:r w:rsidRPr="00072FE8">
        <w:rPr>
          <w:rFonts w:ascii="Times New Roman" w:eastAsia="Times New Roman" w:hAnsi="Times New Roman" w:cs="Times New Roman"/>
          <w:kern w:val="0"/>
          <w:sz w:val="28"/>
          <w:szCs w:val="28"/>
          <w14:ligatures w14:val="none"/>
        </w:rPr>
        <w:tab/>
      </w:r>
      <w:r w:rsidRPr="00072FE8">
        <w:rPr>
          <w:rFonts w:ascii="Times New Roman" w:eastAsia="Times New Roman" w:hAnsi="Times New Roman" w:cs="Times New Roman"/>
          <w:kern w:val="0"/>
          <w:sz w:val="28"/>
          <w:szCs w:val="28"/>
          <w14:ligatures w14:val="none"/>
        </w:rPr>
        <w:tab/>
      </w:r>
      <w:r w:rsidRPr="00072FE8">
        <w:rPr>
          <w:rFonts w:ascii="Times New Roman" w:eastAsia="Times New Roman" w:hAnsi="Times New Roman" w:cs="Times New Roman"/>
          <w:kern w:val="0"/>
          <w:sz w:val="28"/>
          <w:szCs w:val="28"/>
          <w14:ligatures w14:val="none"/>
        </w:rPr>
        <w:tab/>
      </w:r>
      <w:r w:rsidRPr="00E0351A">
        <w:rPr>
          <w:rFonts w:ascii="Times New Roman" w:eastAsia="Times New Roman" w:hAnsi="Times New Roman" w:cs="Times New Roman"/>
          <w:i/>
          <w:kern w:val="0"/>
          <w:sz w:val="28"/>
          <w:szCs w:val="28"/>
          <w14:ligatures w14:val="none"/>
        </w:rPr>
        <w:t>_____</w:t>
      </w:r>
      <w:r w:rsidR="00E0351A">
        <w:rPr>
          <w:rFonts w:ascii="Times New Roman" w:eastAsia="Times New Roman" w:hAnsi="Times New Roman" w:cs="Times New Roman"/>
          <w:i/>
          <w:kern w:val="0"/>
          <w:sz w:val="28"/>
          <w:szCs w:val="28"/>
          <w14:ligatures w14:val="none"/>
        </w:rPr>
        <w:tab/>
      </w:r>
      <w:r w:rsidR="00E0351A">
        <w:rPr>
          <w:rFonts w:ascii="Times New Roman" w:eastAsia="Times New Roman" w:hAnsi="Times New Roman" w:cs="Times New Roman"/>
          <w:i/>
          <w:kern w:val="0"/>
          <w:sz w:val="28"/>
          <w:szCs w:val="28"/>
          <w:u w:val="single"/>
          <w14:ligatures w14:val="none"/>
        </w:rPr>
        <w:t>/</w:t>
      </w:r>
      <w:r w:rsidRPr="00D54DB7">
        <w:rPr>
          <w:rFonts w:ascii="Times New Roman" w:eastAsia="Times New Roman" w:hAnsi="Times New Roman" w:cs="Times New Roman"/>
          <w:i/>
          <w:kern w:val="0"/>
          <w:sz w:val="28"/>
          <w:szCs w:val="28"/>
          <w:u w:val="single"/>
          <w14:ligatures w14:val="none"/>
        </w:rPr>
        <w:t>s/</w:t>
      </w:r>
      <w:r w:rsidR="00E0351A">
        <w:rPr>
          <w:rFonts w:ascii="Times New Roman" w:eastAsia="Times New Roman" w:hAnsi="Times New Roman" w:cs="Times New Roman"/>
          <w:i/>
          <w:kern w:val="0"/>
          <w:sz w:val="28"/>
          <w:szCs w:val="28"/>
          <w:u w:val="single"/>
          <w14:ligatures w14:val="none"/>
        </w:rPr>
        <w:tab/>
      </w:r>
      <w:r w:rsidR="00E52BAF" w:rsidRPr="00D54DB7">
        <w:rPr>
          <w:rFonts w:ascii="Times New Roman" w:eastAsia="Times New Roman" w:hAnsi="Times New Roman" w:cs="Times New Roman"/>
          <w:i/>
          <w:kern w:val="0"/>
          <w:sz w:val="28"/>
          <w:szCs w:val="28"/>
          <w:u w:val="single"/>
          <w14:ligatures w14:val="none"/>
        </w:rPr>
        <w:t>D. Douglas Metcal</w:t>
      </w:r>
      <w:r w:rsidR="00D54DB7">
        <w:rPr>
          <w:rFonts w:ascii="Times New Roman" w:eastAsia="Times New Roman" w:hAnsi="Times New Roman" w:cs="Times New Roman"/>
          <w:i/>
          <w:kern w:val="0"/>
          <w:sz w:val="28"/>
          <w:szCs w:val="28"/>
          <w:u w:val="single"/>
          <w14:ligatures w14:val="none"/>
        </w:rPr>
        <w:t>f</w:t>
      </w:r>
      <w:r w:rsidR="00173EF4">
        <w:rPr>
          <w:rFonts w:ascii="Times New Roman" w:eastAsia="Times New Roman" w:hAnsi="Times New Roman" w:cs="Times New Roman"/>
          <w:i/>
          <w:kern w:val="0"/>
          <w:sz w:val="28"/>
          <w:szCs w:val="28"/>
          <w:u w:val="single"/>
          <w14:ligatures w14:val="none"/>
        </w:rPr>
        <w:tab/>
      </w:r>
      <w:r w:rsidR="00173EF4">
        <w:rPr>
          <w:rFonts w:ascii="Times New Roman" w:eastAsia="Times New Roman" w:hAnsi="Times New Roman" w:cs="Times New Roman"/>
          <w:i/>
          <w:kern w:val="0"/>
          <w:sz w:val="28"/>
          <w:szCs w:val="28"/>
          <w:u w:val="single"/>
          <w14:ligatures w14:val="none"/>
        </w:rPr>
        <w:tab/>
      </w:r>
    </w:p>
    <w:p w14:paraId="42308D5E" w14:textId="7F317596" w:rsidR="00E52BAF" w:rsidRDefault="00E52BAF" w:rsidP="00072FE8">
      <w:pPr>
        <w:spacing w:after="0" w:line="240" w:lineRule="auto"/>
        <w:jc w:val="both"/>
        <w:rPr>
          <w:rFonts w:ascii="Times New Roman" w:eastAsia="Times New Roman" w:hAnsi="Times New Roman" w:cs="Times New Roman"/>
          <w:iCs/>
          <w:kern w:val="0"/>
          <w:sz w:val="28"/>
          <w:szCs w:val="28"/>
          <w14:ligatures w14:val="none"/>
        </w:rPr>
      </w:pPr>
      <w:r>
        <w:rPr>
          <w:rFonts w:ascii="Times New Roman" w:eastAsia="Times New Roman" w:hAnsi="Times New Roman" w:cs="Times New Roman"/>
          <w:iCs/>
          <w:kern w:val="0"/>
          <w:sz w:val="28"/>
          <w:szCs w:val="28"/>
          <w14:ligatures w14:val="none"/>
        </w:rPr>
        <w:tab/>
      </w:r>
      <w:r>
        <w:rPr>
          <w:rFonts w:ascii="Times New Roman" w:eastAsia="Times New Roman" w:hAnsi="Times New Roman" w:cs="Times New Roman"/>
          <w:iCs/>
          <w:kern w:val="0"/>
          <w:sz w:val="28"/>
          <w:szCs w:val="28"/>
          <w14:ligatures w14:val="none"/>
        </w:rPr>
        <w:tab/>
      </w:r>
      <w:r>
        <w:rPr>
          <w:rFonts w:ascii="Times New Roman" w:eastAsia="Times New Roman" w:hAnsi="Times New Roman" w:cs="Times New Roman"/>
          <w:iCs/>
          <w:kern w:val="0"/>
          <w:sz w:val="28"/>
          <w:szCs w:val="28"/>
          <w14:ligatures w14:val="none"/>
        </w:rPr>
        <w:tab/>
      </w:r>
      <w:r>
        <w:rPr>
          <w:rFonts w:ascii="Times New Roman" w:eastAsia="Times New Roman" w:hAnsi="Times New Roman" w:cs="Times New Roman"/>
          <w:iCs/>
          <w:kern w:val="0"/>
          <w:sz w:val="28"/>
          <w:szCs w:val="28"/>
          <w14:ligatures w14:val="none"/>
        </w:rPr>
        <w:tab/>
      </w:r>
      <w:r>
        <w:rPr>
          <w:rFonts w:ascii="Times New Roman" w:eastAsia="Times New Roman" w:hAnsi="Times New Roman" w:cs="Times New Roman"/>
          <w:iCs/>
          <w:kern w:val="0"/>
          <w:sz w:val="28"/>
          <w:szCs w:val="28"/>
          <w14:ligatures w14:val="none"/>
        </w:rPr>
        <w:tab/>
        <w:t>D. Douglas Metcalf</w:t>
      </w:r>
    </w:p>
    <w:p w14:paraId="53D454E1" w14:textId="0F5D0910" w:rsidR="00E52BAF" w:rsidRDefault="00E52BAF" w:rsidP="00072FE8">
      <w:pPr>
        <w:spacing w:after="0" w:line="240" w:lineRule="auto"/>
        <w:jc w:val="both"/>
        <w:rPr>
          <w:rFonts w:ascii="Times New Roman" w:eastAsia="Times New Roman" w:hAnsi="Times New Roman" w:cs="Times New Roman"/>
          <w:iCs/>
          <w:kern w:val="0"/>
          <w:sz w:val="28"/>
          <w:szCs w:val="28"/>
          <w14:ligatures w14:val="none"/>
        </w:rPr>
      </w:pPr>
      <w:r>
        <w:rPr>
          <w:rFonts w:ascii="Times New Roman" w:eastAsia="Times New Roman" w:hAnsi="Times New Roman" w:cs="Times New Roman"/>
          <w:iCs/>
          <w:kern w:val="0"/>
          <w:sz w:val="28"/>
          <w:szCs w:val="28"/>
          <w14:ligatures w14:val="none"/>
        </w:rPr>
        <w:tab/>
      </w:r>
      <w:r>
        <w:rPr>
          <w:rFonts w:ascii="Times New Roman" w:eastAsia="Times New Roman" w:hAnsi="Times New Roman" w:cs="Times New Roman"/>
          <w:iCs/>
          <w:kern w:val="0"/>
          <w:sz w:val="28"/>
          <w:szCs w:val="28"/>
          <w14:ligatures w14:val="none"/>
        </w:rPr>
        <w:tab/>
      </w:r>
      <w:r>
        <w:rPr>
          <w:rFonts w:ascii="Times New Roman" w:eastAsia="Times New Roman" w:hAnsi="Times New Roman" w:cs="Times New Roman"/>
          <w:iCs/>
          <w:kern w:val="0"/>
          <w:sz w:val="28"/>
          <w:szCs w:val="28"/>
          <w14:ligatures w14:val="none"/>
        </w:rPr>
        <w:tab/>
      </w:r>
      <w:r>
        <w:rPr>
          <w:rFonts w:ascii="Times New Roman" w:eastAsia="Times New Roman" w:hAnsi="Times New Roman" w:cs="Times New Roman"/>
          <w:iCs/>
          <w:kern w:val="0"/>
          <w:sz w:val="28"/>
          <w:szCs w:val="28"/>
          <w14:ligatures w14:val="none"/>
        </w:rPr>
        <w:tab/>
      </w:r>
      <w:r>
        <w:rPr>
          <w:rFonts w:ascii="Times New Roman" w:eastAsia="Times New Roman" w:hAnsi="Times New Roman" w:cs="Times New Roman"/>
          <w:iCs/>
          <w:kern w:val="0"/>
          <w:sz w:val="28"/>
          <w:szCs w:val="28"/>
          <w14:ligatures w14:val="none"/>
        </w:rPr>
        <w:tab/>
        <w:t>Judge of the Superior Court</w:t>
      </w:r>
    </w:p>
    <w:p w14:paraId="5F4548E3" w14:textId="77777777" w:rsidR="00D54DB7" w:rsidRDefault="00D54DB7" w:rsidP="00072FE8">
      <w:pPr>
        <w:spacing w:after="0" w:line="240" w:lineRule="auto"/>
        <w:jc w:val="both"/>
        <w:rPr>
          <w:rFonts w:ascii="Times New Roman" w:eastAsia="Times New Roman" w:hAnsi="Times New Roman" w:cs="Times New Roman"/>
          <w:iCs/>
          <w:kern w:val="0"/>
          <w:sz w:val="28"/>
          <w:szCs w:val="28"/>
          <w14:ligatures w14:val="none"/>
        </w:rPr>
      </w:pPr>
    </w:p>
    <w:p w14:paraId="1F60C4D1" w14:textId="5E6B3D99" w:rsidR="00D54DB7" w:rsidRDefault="00D54DB7">
      <w:pPr>
        <w:rPr>
          <w:rFonts w:ascii="Times New Roman" w:eastAsia="Times New Roman" w:hAnsi="Times New Roman" w:cs="Times New Roman"/>
          <w:iCs/>
          <w:kern w:val="0"/>
          <w:sz w:val="28"/>
          <w:szCs w:val="28"/>
          <w14:ligatures w14:val="none"/>
        </w:rPr>
      </w:pPr>
      <w:r>
        <w:rPr>
          <w:rFonts w:ascii="Times New Roman" w:eastAsia="Times New Roman" w:hAnsi="Times New Roman" w:cs="Times New Roman"/>
          <w:iCs/>
          <w:kern w:val="0"/>
          <w:sz w:val="28"/>
          <w:szCs w:val="28"/>
          <w14:ligatures w14:val="none"/>
        </w:rPr>
        <w:br w:type="page"/>
      </w:r>
    </w:p>
    <w:p w14:paraId="5326FC7C" w14:textId="1BA4CA72" w:rsidR="00D54DB7" w:rsidRPr="00D54DB7" w:rsidRDefault="00D54DB7" w:rsidP="00D54DB7">
      <w:pPr>
        <w:spacing w:after="0" w:line="480" w:lineRule="auto"/>
        <w:jc w:val="center"/>
        <w:rPr>
          <w:rFonts w:ascii="Times New Roman" w:eastAsia="Times New Roman" w:hAnsi="Times New Roman" w:cs="Times New Roman"/>
          <w:b/>
          <w:bCs/>
          <w:iCs/>
          <w:kern w:val="0"/>
          <w:sz w:val="28"/>
          <w:szCs w:val="28"/>
          <w:u w:val="single"/>
          <w14:ligatures w14:val="none"/>
        </w:rPr>
      </w:pPr>
      <w:r w:rsidRPr="00D54DB7">
        <w:rPr>
          <w:rFonts w:ascii="Times New Roman" w:eastAsia="Times New Roman" w:hAnsi="Times New Roman" w:cs="Times New Roman"/>
          <w:b/>
          <w:bCs/>
          <w:iCs/>
          <w:kern w:val="0"/>
          <w:sz w:val="28"/>
          <w:szCs w:val="28"/>
          <w:u w:val="single"/>
          <w14:ligatures w14:val="none"/>
        </w:rPr>
        <w:lastRenderedPageBreak/>
        <w:t>Exhibit A</w:t>
      </w:r>
    </w:p>
    <w:p w14:paraId="5BC4940E" w14:textId="251B4DAE" w:rsidR="00D54DB7" w:rsidRPr="00D54DB7" w:rsidRDefault="00D54DB7" w:rsidP="002C1858">
      <w:pPr>
        <w:spacing w:after="0" w:line="48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The proposed amendment to Special Action Rule 2(b)(1) is shown in </w:t>
      </w:r>
      <w:proofErr w:type="gramStart"/>
      <w:r w:rsidRPr="00D54DB7">
        <w:rPr>
          <w:rFonts w:ascii="Times New Roman" w:eastAsia="Times New Roman" w:hAnsi="Times New Roman" w:cs="Times New Roman"/>
          <w:b/>
          <w:bCs/>
          <w:kern w:val="0"/>
          <w:sz w:val="28"/>
          <w:szCs w:val="28"/>
          <w:u w:val="double"/>
          <w14:ligatures w14:val="none"/>
        </w:rPr>
        <w:t>bold</w:t>
      </w:r>
      <w:proofErr w:type="gramEnd"/>
      <w:r w:rsidRPr="00D54DB7">
        <w:rPr>
          <w:rFonts w:ascii="Times New Roman" w:eastAsia="Times New Roman" w:hAnsi="Times New Roman" w:cs="Times New Roman"/>
          <w:b/>
          <w:bCs/>
          <w:kern w:val="0"/>
          <w:sz w:val="28"/>
          <w:szCs w:val="28"/>
          <w:u w:val="double"/>
          <w14:ligatures w14:val="none"/>
        </w:rPr>
        <w:t xml:space="preserve"> and underline</w:t>
      </w:r>
      <w:r>
        <w:rPr>
          <w:rFonts w:ascii="Times New Roman" w:eastAsia="Times New Roman" w:hAnsi="Times New Roman" w:cs="Times New Roman"/>
          <w:kern w:val="0"/>
          <w:sz w:val="28"/>
          <w:szCs w:val="28"/>
          <w14:ligatures w14:val="none"/>
        </w:rPr>
        <w:t xml:space="preserve"> as follows:</w:t>
      </w:r>
    </w:p>
    <w:p w14:paraId="74AB1932" w14:textId="37CF66CB" w:rsidR="00D54DB7" w:rsidRPr="00D54DB7" w:rsidRDefault="00D54DB7" w:rsidP="00D54DB7">
      <w:pPr>
        <w:spacing w:after="0" w:line="480" w:lineRule="auto"/>
        <w:ind w:left="720" w:right="720"/>
        <w:jc w:val="both"/>
        <w:rPr>
          <w:rFonts w:ascii="Times New Roman" w:eastAsia="Times New Roman" w:hAnsi="Times New Roman" w:cs="Times New Roman"/>
          <w:iCs/>
          <w:kern w:val="0"/>
          <w:sz w:val="28"/>
          <w:szCs w:val="28"/>
          <w14:ligatures w14:val="none"/>
        </w:rPr>
      </w:pPr>
      <w:r w:rsidRPr="00D54DB7">
        <w:rPr>
          <w:rFonts w:ascii="Times New Roman" w:eastAsia="Times New Roman" w:hAnsi="Times New Roman" w:cs="Times New Roman"/>
          <w:i/>
          <w:iCs/>
          <w:kern w:val="0"/>
          <w:sz w:val="28"/>
          <w:szCs w:val="28"/>
          <w14:ligatures w14:val="none"/>
        </w:rPr>
        <w:t>Original Special Actions.</w:t>
      </w:r>
      <w:r w:rsidRPr="00D54DB7">
        <w:rPr>
          <w:rFonts w:ascii="Times New Roman" w:eastAsia="Times New Roman" w:hAnsi="Times New Roman" w:cs="Times New Roman"/>
          <w:iCs/>
          <w:kern w:val="0"/>
          <w:sz w:val="28"/>
          <w:szCs w:val="28"/>
          <w14:ligatures w14:val="none"/>
        </w:rPr>
        <w:t xml:space="preserve"> An original special action begins a case in court. It does not request review of an earlier decision of a court. A party seeks original special action relief by filing a complaint. With few exceptions, jurisdiction is mandatory in original special actions.  </w:t>
      </w:r>
      <w:r w:rsidRPr="00D54DB7">
        <w:rPr>
          <w:rFonts w:ascii="Times New Roman" w:eastAsia="Times New Roman" w:hAnsi="Times New Roman" w:cs="Times New Roman"/>
          <w:b/>
          <w:bCs/>
          <w:iCs/>
          <w:kern w:val="0"/>
          <w:sz w:val="28"/>
          <w:szCs w:val="28"/>
          <w:u w:val="double"/>
          <w14:ligatures w14:val="none"/>
        </w:rPr>
        <w:t xml:space="preserve">A party cannot seek original special action </w:t>
      </w:r>
      <w:r w:rsidR="00D342A0">
        <w:rPr>
          <w:rFonts w:ascii="Times New Roman" w:eastAsia="Times New Roman" w:hAnsi="Times New Roman" w:cs="Times New Roman"/>
          <w:b/>
          <w:bCs/>
          <w:iCs/>
          <w:kern w:val="0"/>
          <w:sz w:val="28"/>
          <w:szCs w:val="28"/>
          <w:u w:val="double"/>
          <w14:ligatures w14:val="none"/>
        </w:rPr>
        <w:t xml:space="preserve">relief </w:t>
      </w:r>
      <w:r w:rsidRPr="00D54DB7">
        <w:rPr>
          <w:rFonts w:ascii="Times New Roman" w:eastAsia="Times New Roman" w:hAnsi="Times New Roman" w:cs="Times New Roman"/>
          <w:b/>
          <w:bCs/>
          <w:iCs/>
          <w:kern w:val="0"/>
          <w:sz w:val="28"/>
          <w:szCs w:val="28"/>
          <w:u w:val="double"/>
          <w14:ligatures w14:val="none"/>
        </w:rPr>
        <w:t>if an equally plain, speedy, and adequate remedy exists at law.</w:t>
      </w:r>
    </w:p>
    <w:sectPr w:rsidR="00D54DB7" w:rsidRPr="00D54DB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ECB4E" w14:textId="77777777" w:rsidR="00233AF3" w:rsidRDefault="00233AF3" w:rsidP="00233AF3">
      <w:pPr>
        <w:spacing w:after="0" w:line="240" w:lineRule="auto"/>
      </w:pPr>
      <w:r>
        <w:separator/>
      </w:r>
    </w:p>
  </w:endnote>
  <w:endnote w:type="continuationSeparator" w:id="0">
    <w:p w14:paraId="30182B08" w14:textId="77777777" w:rsidR="00233AF3" w:rsidRDefault="00233AF3" w:rsidP="0023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4449954"/>
      <w:docPartObj>
        <w:docPartGallery w:val="Page Numbers (Bottom of Page)"/>
        <w:docPartUnique/>
      </w:docPartObj>
    </w:sdtPr>
    <w:sdtEndPr>
      <w:rPr>
        <w:rFonts w:ascii="Times New Roman" w:hAnsi="Times New Roman" w:cs="Times New Roman"/>
        <w:noProof/>
        <w:sz w:val="28"/>
        <w:szCs w:val="28"/>
      </w:rPr>
    </w:sdtEndPr>
    <w:sdtContent>
      <w:p w14:paraId="720888EA" w14:textId="0FEDA28B" w:rsidR="00233AF3" w:rsidRPr="00233AF3" w:rsidRDefault="00233AF3">
        <w:pPr>
          <w:pStyle w:val="Footer"/>
          <w:jc w:val="center"/>
          <w:rPr>
            <w:rFonts w:ascii="Times New Roman" w:hAnsi="Times New Roman" w:cs="Times New Roman"/>
            <w:sz w:val="28"/>
            <w:szCs w:val="28"/>
          </w:rPr>
        </w:pPr>
        <w:r w:rsidRPr="00233AF3">
          <w:rPr>
            <w:rFonts w:ascii="Times New Roman" w:hAnsi="Times New Roman" w:cs="Times New Roman"/>
            <w:sz w:val="28"/>
            <w:szCs w:val="28"/>
          </w:rPr>
          <w:fldChar w:fldCharType="begin"/>
        </w:r>
        <w:r w:rsidRPr="00233AF3">
          <w:rPr>
            <w:rFonts w:ascii="Times New Roman" w:hAnsi="Times New Roman" w:cs="Times New Roman"/>
            <w:sz w:val="28"/>
            <w:szCs w:val="28"/>
          </w:rPr>
          <w:instrText xml:space="preserve"> PAGE   \* MERGEFORMAT </w:instrText>
        </w:r>
        <w:r w:rsidRPr="00233AF3">
          <w:rPr>
            <w:rFonts w:ascii="Times New Roman" w:hAnsi="Times New Roman" w:cs="Times New Roman"/>
            <w:sz w:val="28"/>
            <w:szCs w:val="28"/>
          </w:rPr>
          <w:fldChar w:fldCharType="separate"/>
        </w:r>
        <w:r w:rsidRPr="00233AF3">
          <w:rPr>
            <w:rFonts w:ascii="Times New Roman" w:hAnsi="Times New Roman" w:cs="Times New Roman"/>
            <w:noProof/>
            <w:sz w:val="28"/>
            <w:szCs w:val="28"/>
          </w:rPr>
          <w:t>2</w:t>
        </w:r>
        <w:r w:rsidRPr="00233AF3">
          <w:rPr>
            <w:rFonts w:ascii="Times New Roman" w:hAnsi="Times New Roman" w:cs="Times New Roman"/>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AD809" w14:textId="77777777" w:rsidR="00233AF3" w:rsidRDefault="00233AF3" w:rsidP="00233AF3">
      <w:pPr>
        <w:spacing w:after="0" w:line="240" w:lineRule="auto"/>
      </w:pPr>
      <w:r>
        <w:separator/>
      </w:r>
    </w:p>
  </w:footnote>
  <w:footnote w:type="continuationSeparator" w:id="0">
    <w:p w14:paraId="0E23D516" w14:textId="77777777" w:rsidR="00233AF3" w:rsidRDefault="00233AF3" w:rsidP="00233AF3">
      <w:pPr>
        <w:spacing w:after="0" w:line="240" w:lineRule="auto"/>
      </w:pPr>
      <w:r>
        <w:continuationSeparator/>
      </w:r>
    </w:p>
  </w:footnote>
  <w:footnote w:id="1">
    <w:p w14:paraId="466766BF" w14:textId="0D3792A2" w:rsidR="00E66BD1" w:rsidRPr="00E66BD1" w:rsidRDefault="00E66BD1">
      <w:pPr>
        <w:pStyle w:val="FootnoteText"/>
        <w:rPr>
          <w:rFonts w:ascii="Times New Roman" w:hAnsi="Times New Roman" w:cs="Times New Roman"/>
          <w:sz w:val="28"/>
          <w:szCs w:val="28"/>
        </w:rPr>
      </w:pPr>
      <w:r w:rsidRPr="00E66BD1">
        <w:rPr>
          <w:rStyle w:val="FootnoteReference"/>
          <w:rFonts w:ascii="Times New Roman" w:hAnsi="Times New Roman" w:cs="Times New Roman"/>
          <w:sz w:val="28"/>
          <w:szCs w:val="28"/>
        </w:rPr>
        <w:footnoteRef/>
      </w:r>
      <w:r>
        <w:rPr>
          <w:rFonts w:ascii="Times New Roman" w:hAnsi="Times New Roman" w:cs="Times New Roman"/>
          <w:sz w:val="28"/>
          <w:szCs w:val="28"/>
        </w:rPr>
        <w:tab/>
        <w:t>For example, the APA has an exclusive remedy provision as follows:  “</w:t>
      </w:r>
      <w:r w:rsidRPr="00E66BD1">
        <w:rPr>
          <w:rFonts w:ascii="Times New Roman" w:hAnsi="Times New Roman" w:cs="Times New Roman"/>
          <w:sz w:val="28"/>
          <w:szCs w:val="28"/>
        </w:rPr>
        <w:t>Unless review is sought of an administrative decision within the time and in the manner provided in this article, the parties to the proceeding before the administrative agency shall be barred from obtaining judicial review of the decision.</w:t>
      </w:r>
      <w:r>
        <w:rPr>
          <w:rFonts w:ascii="Times New Roman" w:hAnsi="Times New Roman" w:cs="Times New Roman"/>
          <w:sz w:val="28"/>
          <w:szCs w:val="28"/>
        </w:rPr>
        <w:t xml:space="preserve">”  </w:t>
      </w:r>
      <w:r w:rsidRPr="00E66BD1">
        <w:rPr>
          <w:rFonts w:ascii="Times New Roman" w:hAnsi="Times New Roman" w:cs="Times New Roman"/>
          <w:sz w:val="28"/>
          <w:szCs w:val="28"/>
        </w:rPr>
        <w:t>A.R.S. § 12-902</w:t>
      </w:r>
      <w:r>
        <w:rPr>
          <w:rFonts w:ascii="Times New Roman" w:hAnsi="Times New Roman" w:cs="Times New Roman"/>
          <w:sz w:val="28"/>
          <w:szCs w:val="28"/>
        </w:rPr>
        <w:t>(B).</w:t>
      </w:r>
      <w:r w:rsidR="00443B26">
        <w:rPr>
          <w:rFonts w:ascii="Times New Roman" w:hAnsi="Times New Roman" w:cs="Times New Roman"/>
          <w:sz w:val="28"/>
          <w:szCs w:val="28"/>
        </w:rPr>
        <w:t xml:space="preserve">  Likewise, </w:t>
      </w:r>
      <w:r w:rsidR="00443B26" w:rsidRPr="00443B26">
        <w:rPr>
          <w:rFonts w:ascii="Times New Roman" w:hAnsi="Times New Roman" w:cs="Times New Roman"/>
          <w:sz w:val="28"/>
          <w:szCs w:val="28"/>
        </w:rPr>
        <w:t>A.R.S. § 15-543</w:t>
      </w:r>
      <w:r w:rsidR="00443B26">
        <w:rPr>
          <w:rFonts w:ascii="Times New Roman" w:hAnsi="Times New Roman" w:cs="Times New Roman"/>
          <w:sz w:val="28"/>
          <w:szCs w:val="28"/>
        </w:rPr>
        <w:t xml:space="preserve"> provides that the decision of the governing board is final unless the teacher files an appeal within 30 days.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3A4C54"/>
    <w:multiLevelType w:val="hybridMultilevel"/>
    <w:tmpl w:val="6208209E"/>
    <w:lvl w:ilvl="0" w:tplc="5A2CCA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87150D"/>
    <w:multiLevelType w:val="hybridMultilevel"/>
    <w:tmpl w:val="6208209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59403906"/>
    <w:multiLevelType w:val="hybridMultilevel"/>
    <w:tmpl w:val="77F8EBDE"/>
    <w:lvl w:ilvl="0" w:tplc="E2F68FA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B61E1D"/>
    <w:multiLevelType w:val="hybridMultilevel"/>
    <w:tmpl w:val="3B4E91EA"/>
    <w:lvl w:ilvl="0" w:tplc="8B00119E">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5C2968BA"/>
    <w:multiLevelType w:val="hybridMultilevel"/>
    <w:tmpl w:val="006A3A22"/>
    <w:lvl w:ilvl="0" w:tplc="AEFEB400">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5D7C49"/>
    <w:multiLevelType w:val="hybridMultilevel"/>
    <w:tmpl w:val="13E0D2FA"/>
    <w:lvl w:ilvl="0" w:tplc="5386B916">
      <w:start w:val="1"/>
      <w:numFmt w:val="upperRoman"/>
      <w:lvlText w:val="%1."/>
      <w:lvlJc w:val="left"/>
      <w:pPr>
        <w:tabs>
          <w:tab w:val="num" w:pos="1080"/>
        </w:tabs>
        <w:ind w:left="1080" w:hanging="7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2508172">
    <w:abstractNumId w:val="5"/>
  </w:num>
  <w:num w:numId="2" w16cid:durableId="1017928465">
    <w:abstractNumId w:val="0"/>
  </w:num>
  <w:num w:numId="3" w16cid:durableId="1291283369">
    <w:abstractNumId w:val="1"/>
  </w:num>
  <w:num w:numId="4" w16cid:durableId="1638797347">
    <w:abstractNumId w:val="4"/>
  </w:num>
  <w:num w:numId="5" w16cid:durableId="897975957">
    <w:abstractNumId w:val="3"/>
  </w:num>
  <w:num w:numId="6" w16cid:durableId="507335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5F"/>
    <w:rsid w:val="000522DB"/>
    <w:rsid w:val="00072FE8"/>
    <w:rsid w:val="000949FD"/>
    <w:rsid w:val="000B1040"/>
    <w:rsid w:val="000B3A1D"/>
    <w:rsid w:val="000E7756"/>
    <w:rsid w:val="00173EF4"/>
    <w:rsid w:val="001762D7"/>
    <w:rsid w:val="00196BD4"/>
    <w:rsid w:val="00233AF3"/>
    <w:rsid w:val="002540B3"/>
    <w:rsid w:val="00282318"/>
    <w:rsid w:val="002840D8"/>
    <w:rsid w:val="002976D9"/>
    <w:rsid w:val="002B1DF4"/>
    <w:rsid w:val="002B30F3"/>
    <w:rsid w:val="002C1858"/>
    <w:rsid w:val="00336D20"/>
    <w:rsid w:val="00347370"/>
    <w:rsid w:val="00414F4C"/>
    <w:rsid w:val="00443B26"/>
    <w:rsid w:val="004726F4"/>
    <w:rsid w:val="004966D6"/>
    <w:rsid w:val="004C2786"/>
    <w:rsid w:val="004C496B"/>
    <w:rsid w:val="0058022D"/>
    <w:rsid w:val="00600D62"/>
    <w:rsid w:val="006066FD"/>
    <w:rsid w:val="00616555"/>
    <w:rsid w:val="006168EA"/>
    <w:rsid w:val="0063381C"/>
    <w:rsid w:val="00643B30"/>
    <w:rsid w:val="00660C00"/>
    <w:rsid w:val="006A3C5F"/>
    <w:rsid w:val="00714ACA"/>
    <w:rsid w:val="00715C95"/>
    <w:rsid w:val="00744C53"/>
    <w:rsid w:val="007933A8"/>
    <w:rsid w:val="007B1055"/>
    <w:rsid w:val="00847B91"/>
    <w:rsid w:val="00850C55"/>
    <w:rsid w:val="00880C34"/>
    <w:rsid w:val="0089606C"/>
    <w:rsid w:val="008B7E6C"/>
    <w:rsid w:val="0092424E"/>
    <w:rsid w:val="0094386A"/>
    <w:rsid w:val="009E4828"/>
    <w:rsid w:val="00A115E9"/>
    <w:rsid w:val="00A652B0"/>
    <w:rsid w:val="00A756D1"/>
    <w:rsid w:val="00B25E15"/>
    <w:rsid w:val="00B3723D"/>
    <w:rsid w:val="00B54B9B"/>
    <w:rsid w:val="00B70C05"/>
    <w:rsid w:val="00B7384C"/>
    <w:rsid w:val="00B86C10"/>
    <w:rsid w:val="00BB531C"/>
    <w:rsid w:val="00BF3E77"/>
    <w:rsid w:val="00BF580B"/>
    <w:rsid w:val="00C61557"/>
    <w:rsid w:val="00C942FE"/>
    <w:rsid w:val="00CA7209"/>
    <w:rsid w:val="00CD4B13"/>
    <w:rsid w:val="00D342A0"/>
    <w:rsid w:val="00D54DB7"/>
    <w:rsid w:val="00D800ED"/>
    <w:rsid w:val="00DD04CF"/>
    <w:rsid w:val="00E0351A"/>
    <w:rsid w:val="00E52BAF"/>
    <w:rsid w:val="00E66BD1"/>
    <w:rsid w:val="00EE0E1E"/>
    <w:rsid w:val="00EE3EC0"/>
    <w:rsid w:val="00F0398E"/>
    <w:rsid w:val="00F44E00"/>
    <w:rsid w:val="00F8575D"/>
    <w:rsid w:val="00F97DC1"/>
    <w:rsid w:val="00FC35AB"/>
    <w:rsid w:val="00FF3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AD462D"/>
  <w15:chartTrackingRefBased/>
  <w15:docId w15:val="{4728EE87-8932-4EE9-A715-7E0C0E36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2318"/>
    <w:rPr>
      <w:color w:val="0563C1" w:themeColor="hyperlink"/>
      <w:u w:val="single"/>
    </w:rPr>
  </w:style>
  <w:style w:type="character" w:styleId="UnresolvedMention">
    <w:name w:val="Unresolved Mention"/>
    <w:basedOn w:val="DefaultParagraphFont"/>
    <w:uiPriority w:val="99"/>
    <w:semiHidden/>
    <w:unhideWhenUsed/>
    <w:rsid w:val="00282318"/>
    <w:rPr>
      <w:color w:val="605E5C"/>
      <w:shd w:val="clear" w:color="auto" w:fill="E1DFDD"/>
    </w:rPr>
  </w:style>
  <w:style w:type="paragraph" w:styleId="ListParagraph">
    <w:name w:val="List Paragraph"/>
    <w:basedOn w:val="Normal"/>
    <w:uiPriority w:val="34"/>
    <w:qFormat/>
    <w:rsid w:val="002540B3"/>
    <w:pPr>
      <w:ind w:left="720"/>
      <w:contextualSpacing/>
    </w:pPr>
  </w:style>
  <w:style w:type="paragraph" w:styleId="Header">
    <w:name w:val="header"/>
    <w:basedOn w:val="Normal"/>
    <w:link w:val="HeaderChar"/>
    <w:uiPriority w:val="99"/>
    <w:unhideWhenUsed/>
    <w:rsid w:val="00233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AF3"/>
  </w:style>
  <w:style w:type="paragraph" w:styleId="Footer">
    <w:name w:val="footer"/>
    <w:basedOn w:val="Normal"/>
    <w:link w:val="FooterChar"/>
    <w:uiPriority w:val="99"/>
    <w:unhideWhenUsed/>
    <w:rsid w:val="00233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AF3"/>
  </w:style>
  <w:style w:type="paragraph" w:styleId="FootnoteText">
    <w:name w:val="footnote text"/>
    <w:basedOn w:val="Normal"/>
    <w:link w:val="FootnoteTextChar"/>
    <w:uiPriority w:val="99"/>
    <w:semiHidden/>
    <w:unhideWhenUsed/>
    <w:rsid w:val="00E66B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6BD1"/>
    <w:rPr>
      <w:sz w:val="20"/>
      <w:szCs w:val="20"/>
    </w:rPr>
  </w:style>
  <w:style w:type="character" w:styleId="FootnoteReference">
    <w:name w:val="footnote reference"/>
    <w:basedOn w:val="DefaultParagraphFont"/>
    <w:uiPriority w:val="99"/>
    <w:semiHidden/>
    <w:unhideWhenUsed/>
    <w:rsid w:val="00E66B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965238">
      <w:bodyDiv w:val="1"/>
      <w:marLeft w:val="0"/>
      <w:marRight w:val="0"/>
      <w:marTop w:val="0"/>
      <w:marBottom w:val="0"/>
      <w:divBdr>
        <w:top w:val="none" w:sz="0" w:space="0" w:color="auto"/>
        <w:left w:val="none" w:sz="0" w:space="0" w:color="auto"/>
        <w:bottom w:val="none" w:sz="0" w:space="0" w:color="auto"/>
        <w:right w:val="none" w:sz="0" w:space="0" w:color="auto"/>
      </w:divBdr>
      <w:divsChild>
        <w:div w:id="785808290">
          <w:marLeft w:val="0"/>
          <w:marRight w:val="0"/>
          <w:marTop w:val="0"/>
          <w:marBottom w:val="0"/>
          <w:divBdr>
            <w:top w:val="none" w:sz="0" w:space="0" w:color="3D3D3D"/>
            <w:left w:val="none" w:sz="0" w:space="0" w:color="3D3D3D"/>
            <w:bottom w:val="none" w:sz="0" w:space="0" w:color="3D3D3D"/>
            <w:right w:val="none" w:sz="0" w:space="0" w:color="3D3D3D"/>
          </w:divBdr>
          <w:divsChild>
            <w:div w:id="19691611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12316762">
      <w:bodyDiv w:val="1"/>
      <w:marLeft w:val="0"/>
      <w:marRight w:val="0"/>
      <w:marTop w:val="0"/>
      <w:marBottom w:val="0"/>
      <w:divBdr>
        <w:top w:val="none" w:sz="0" w:space="0" w:color="auto"/>
        <w:left w:val="none" w:sz="0" w:space="0" w:color="auto"/>
        <w:bottom w:val="none" w:sz="0" w:space="0" w:color="auto"/>
        <w:right w:val="none" w:sz="0" w:space="0" w:color="auto"/>
      </w:divBdr>
      <w:divsChild>
        <w:div w:id="1733581601">
          <w:marLeft w:val="0"/>
          <w:marRight w:val="0"/>
          <w:marTop w:val="0"/>
          <w:marBottom w:val="0"/>
          <w:divBdr>
            <w:top w:val="none" w:sz="0" w:space="0" w:color="3D3D3D"/>
            <w:left w:val="none" w:sz="0" w:space="0" w:color="3D3D3D"/>
            <w:bottom w:val="none" w:sz="0" w:space="0" w:color="3D3D3D"/>
            <w:right w:val="none" w:sz="0" w:space="0" w:color="3D3D3D"/>
          </w:divBdr>
          <w:divsChild>
            <w:div w:id="149403016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97321114">
      <w:bodyDiv w:val="1"/>
      <w:marLeft w:val="0"/>
      <w:marRight w:val="0"/>
      <w:marTop w:val="0"/>
      <w:marBottom w:val="0"/>
      <w:divBdr>
        <w:top w:val="none" w:sz="0" w:space="0" w:color="auto"/>
        <w:left w:val="none" w:sz="0" w:space="0" w:color="auto"/>
        <w:bottom w:val="none" w:sz="0" w:space="0" w:color="auto"/>
        <w:right w:val="none" w:sz="0" w:space="0" w:color="auto"/>
      </w:divBdr>
      <w:divsChild>
        <w:div w:id="133379551">
          <w:marLeft w:val="0"/>
          <w:marRight w:val="0"/>
          <w:marTop w:val="0"/>
          <w:marBottom w:val="0"/>
          <w:divBdr>
            <w:top w:val="none" w:sz="0" w:space="0" w:color="3D3D3D"/>
            <w:left w:val="none" w:sz="0" w:space="0" w:color="3D3D3D"/>
            <w:bottom w:val="none" w:sz="0" w:space="0" w:color="3D3D3D"/>
            <w:right w:val="none" w:sz="0" w:space="0" w:color="3D3D3D"/>
          </w:divBdr>
          <w:divsChild>
            <w:div w:id="4608115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29576034">
      <w:bodyDiv w:val="1"/>
      <w:marLeft w:val="0"/>
      <w:marRight w:val="0"/>
      <w:marTop w:val="0"/>
      <w:marBottom w:val="0"/>
      <w:divBdr>
        <w:top w:val="none" w:sz="0" w:space="0" w:color="auto"/>
        <w:left w:val="none" w:sz="0" w:space="0" w:color="auto"/>
        <w:bottom w:val="none" w:sz="0" w:space="0" w:color="auto"/>
        <w:right w:val="none" w:sz="0" w:space="0" w:color="auto"/>
      </w:divBdr>
      <w:divsChild>
        <w:div w:id="22026127">
          <w:marLeft w:val="0"/>
          <w:marRight w:val="0"/>
          <w:marTop w:val="0"/>
          <w:marBottom w:val="0"/>
          <w:divBdr>
            <w:top w:val="none" w:sz="0" w:space="0" w:color="3D3D3D"/>
            <w:left w:val="none" w:sz="0" w:space="0" w:color="3D3D3D"/>
            <w:bottom w:val="none" w:sz="0" w:space="0" w:color="3D3D3D"/>
            <w:right w:val="none" w:sz="0" w:space="0" w:color="3D3D3D"/>
          </w:divBdr>
          <w:divsChild>
            <w:div w:id="6478299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1733488">
      <w:bodyDiv w:val="1"/>
      <w:marLeft w:val="0"/>
      <w:marRight w:val="0"/>
      <w:marTop w:val="0"/>
      <w:marBottom w:val="0"/>
      <w:divBdr>
        <w:top w:val="none" w:sz="0" w:space="0" w:color="auto"/>
        <w:left w:val="none" w:sz="0" w:space="0" w:color="auto"/>
        <w:bottom w:val="none" w:sz="0" w:space="0" w:color="auto"/>
        <w:right w:val="none" w:sz="0" w:space="0" w:color="auto"/>
      </w:divBdr>
      <w:divsChild>
        <w:div w:id="1211958395">
          <w:marLeft w:val="0"/>
          <w:marRight w:val="0"/>
          <w:marTop w:val="0"/>
          <w:marBottom w:val="0"/>
          <w:divBdr>
            <w:top w:val="none" w:sz="0" w:space="0" w:color="3D3D3D"/>
            <w:left w:val="none" w:sz="0" w:space="0" w:color="3D3D3D"/>
            <w:bottom w:val="none" w:sz="0" w:space="0" w:color="3D3D3D"/>
            <w:right w:val="none" w:sz="0" w:space="0" w:color="3D3D3D"/>
          </w:divBdr>
          <w:divsChild>
            <w:div w:id="16645495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F31D9-8023-442B-B847-D4355C67D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6</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Metcalf, D. Douglas</dc:creator>
  <cp:keywords/>
  <dc:description/>
  <cp:lastModifiedBy>Metcalf, D. Douglas</cp:lastModifiedBy>
  <cp:revision>9</cp:revision>
  <cp:lastPrinted>2025-01-07T20:52:00Z</cp:lastPrinted>
  <dcterms:created xsi:type="dcterms:W3CDTF">2024-12-13T22:34:00Z</dcterms:created>
  <dcterms:modified xsi:type="dcterms:W3CDTF">2025-01-07T21:02:00Z</dcterms:modified>
</cp:coreProperties>
</file>