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2B5E" w14:textId="77777777" w:rsidR="00CB085A" w:rsidRDefault="00CB085A" w:rsidP="00CB085A">
      <w:pPr>
        <w:jc w:val="both"/>
        <w:rPr>
          <w:color w:val="000000" w:themeColor="text1"/>
          <w:sz w:val="28"/>
          <w:szCs w:val="28"/>
        </w:rPr>
      </w:pPr>
      <w:r w:rsidRPr="00900AD8">
        <w:rPr>
          <w:color w:val="000000" w:themeColor="text1"/>
          <w:sz w:val="28"/>
          <w:szCs w:val="28"/>
        </w:rPr>
        <w:t>Sara J. Agne</w:t>
      </w:r>
    </w:p>
    <w:p w14:paraId="58D88364" w14:textId="0E5D8266" w:rsidR="00C4661C" w:rsidRPr="00900AD8" w:rsidRDefault="00C4661C" w:rsidP="00CB085A">
      <w:pPr>
        <w:jc w:val="both"/>
        <w:rPr>
          <w:color w:val="000000" w:themeColor="text1"/>
          <w:sz w:val="28"/>
          <w:szCs w:val="28"/>
        </w:rPr>
      </w:pPr>
      <w:r>
        <w:rPr>
          <w:color w:val="000000" w:themeColor="text1"/>
          <w:sz w:val="28"/>
          <w:szCs w:val="28"/>
        </w:rPr>
        <w:t>Chair, Task Force on the Arizona Tax Court Rules of Practice</w:t>
      </w:r>
    </w:p>
    <w:p w14:paraId="64268AB7" w14:textId="155F5B79" w:rsidR="00CB085A" w:rsidRPr="00900AD8" w:rsidRDefault="00323CBF" w:rsidP="00CB085A">
      <w:pPr>
        <w:jc w:val="both"/>
        <w:rPr>
          <w:color w:val="000000" w:themeColor="text1"/>
          <w:sz w:val="28"/>
          <w:szCs w:val="28"/>
        </w:rPr>
      </w:pPr>
      <w:r w:rsidRPr="00900AD8">
        <w:rPr>
          <w:color w:val="000000" w:themeColor="text1"/>
          <w:sz w:val="28"/>
          <w:szCs w:val="28"/>
        </w:rPr>
        <w:t>Presiding Judge, Arizona Tax Court</w:t>
      </w:r>
    </w:p>
    <w:p w14:paraId="01C106C1" w14:textId="77777777" w:rsidR="00CB085A" w:rsidRPr="00900AD8" w:rsidRDefault="00CB085A" w:rsidP="00CB085A">
      <w:pPr>
        <w:jc w:val="both"/>
        <w:rPr>
          <w:color w:val="000000" w:themeColor="text1"/>
          <w:sz w:val="28"/>
          <w:szCs w:val="28"/>
        </w:rPr>
      </w:pPr>
      <w:r w:rsidRPr="00900AD8">
        <w:rPr>
          <w:color w:val="000000" w:themeColor="text1"/>
          <w:sz w:val="28"/>
          <w:szCs w:val="28"/>
        </w:rPr>
        <w:t>101 W. Jefferson Street</w:t>
      </w:r>
    </w:p>
    <w:p w14:paraId="652CD2FB" w14:textId="77777777" w:rsidR="00CB085A" w:rsidRPr="00900AD8" w:rsidRDefault="00CB085A" w:rsidP="00CB085A">
      <w:pPr>
        <w:jc w:val="both"/>
        <w:rPr>
          <w:color w:val="000000" w:themeColor="text1"/>
          <w:sz w:val="28"/>
          <w:szCs w:val="28"/>
        </w:rPr>
      </w:pPr>
      <w:r w:rsidRPr="00900AD8">
        <w:rPr>
          <w:color w:val="000000" w:themeColor="text1"/>
          <w:sz w:val="28"/>
          <w:szCs w:val="28"/>
        </w:rPr>
        <w:t>Phoenix, AZ  85003</w:t>
      </w:r>
    </w:p>
    <w:p w14:paraId="03A6E239" w14:textId="77777777" w:rsidR="00CB085A" w:rsidRPr="00900AD8" w:rsidRDefault="00CB085A" w:rsidP="00CB085A">
      <w:pPr>
        <w:jc w:val="both"/>
        <w:rPr>
          <w:color w:val="000000" w:themeColor="text1"/>
          <w:sz w:val="28"/>
          <w:szCs w:val="28"/>
        </w:rPr>
      </w:pPr>
      <w:r w:rsidRPr="00900AD8">
        <w:rPr>
          <w:color w:val="000000" w:themeColor="text1"/>
          <w:sz w:val="28"/>
          <w:szCs w:val="28"/>
        </w:rPr>
        <w:t>Telephone: 602-506-8288</w:t>
      </w:r>
    </w:p>
    <w:p w14:paraId="34415290" w14:textId="77777777" w:rsidR="00CB085A" w:rsidRPr="00900AD8" w:rsidRDefault="00CB085A" w:rsidP="00CB085A">
      <w:pPr>
        <w:jc w:val="both"/>
        <w:rPr>
          <w:color w:val="000000" w:themeColor="text1"/>
          <w:sz w:val="28"/>
          <w:szCs w:val="28"/>
        </w:rPr>
      </w:pPr>
      <w:r w:rsidRPr="00900AD8">
        <w:rPr>
          <w:color w:val="000000" w:themeColor="text1"/>
          <w:sz w:val="28"/>
          <w:szCs w:val="28"/>
        </w:rPr>
        <w:t>Facsimile: 602-372-5817</w:t>
      </w:r>
    </w:p>
    <w:p w14:paraId="329624F8" w14:textId="77777777" w:rsidR="009C3B71" w:rsidRPr="00900AD8" w:rsidRDefault="009C3B71">
      <w:pPr>
        <w:jc w:val="both"/>
        <w:rPr>
          <w:color w:val="000000" w:themeColor="text1"/>
          <w:sz w:val="28"/>
          <w:szCs w:val="28"/>
        </w:rPr>
      </w:pPr>
    </w:p>
    <w:p w14:paraId="00E570F4" w14:textId="77777777" w:rsidR="00C41CA7" w:rsidRPr="00900AD8" w:rsidRDefault="00C41CA7">
      <w:pPr>
        <w:jc w:val="both"/>
        <w:rPr>
          <w:color w:val="000000" w:themeColor="text1"/>
          <w:sz w:val="28"/>
          <w:szCs w:val="28"/>
        </w:rPr>
      </w:pPr>
    </w:p>
    <w:p w14:paraId="56E396EF" w14:textId="77777777" w:rsidR="00E40858" w:rsidRDefault="00E40858">
      <w:pPr>
        <w:pStyle w:val="Heading1"/>
        <w:spacing w:line="240" w:lineRule="auto"/>
        <w:rPr>
          <w:rFonts w:ascii="Times New Roman" w:hAnsi="Times New Roman"/>
          <w:bCs/>
          <w:color w:val="000000" w:themeColor="text1"/>
          <w:sz w:val="28"/>
          <w:szCs w:val="28"/>
        </w:rPr>
      </w:pPr>
    </w:p>
    <w:p w14:paraId="5F591E17" w14:textId="77777777" w:rsidR="00E40858" w:rsidRDefault="00E40858">
      <w:pPr>
        <w:pStyle w:val="Heading1"/>
        <w:spacing w:line="240" w:lineRule="auto"/>
        <w:rPr>
          <w:rFonts w:ascii="Times New Roman" w:hAnsi="Times New Roman"/>
          <w:bCs/>
          <w:color w:val="000000" w:themeColor="text1"/>
          <w:sz w:val="28"/>
          <w:szCs w:val="28"/>
        </w:rPr>
      </w:pPr>
    </w:p>
    <w:p w14:paraId="66ED683F" w14:textId="77777777" w:rsidR="00E40858" w:rsidRDefault="00E40858">
      <w:pPr>
        <w:pStyle w:val="Heading1"/>
        <w:spacing w:line="240" w:lineRule="auto"/>
        <w:rPr>
          <w:rFonts w:ascii="Times New Roman" w:hAnsi="Times New Roman"/>
          <w:bCs/>
          <w:color w:val="000000" w:themeColor="text1"/>
          <w:sz w:val="28"/>
          <w:szCs w:val="28"/>
        </w:rPr>
      </w:pPr>
    </w:p>
    <w:p w14:paraId="719FA1E4" w14:textId="77777777" w:rsidR="00E40858" w:rsidRDefault="00E40858">
      <w:pPr>
        <w:pStyle w:val="Heading1"/>
        <w:spacing w:line="240" w:lineRule="auto"/>
        <w:rPr>
          <w:rFonts w:ascii="Times New Roman" w:hAnsi="Times New Roman"/>
          <w:bCs/>
          <w:color w:val="000000" w:themeColor="text1"/>
          <w:sz w:val="28"/>
          <w:szCs w:val="28"/>
        </w:rPr>
      </w:pPr>
    </w:p>
    <w:p w14:paraId="7D2AE1D5" w14:textId="3CC5216A"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IN THE SUPREME COURT</w:t>
      </w:r>
    </w:p>
    <w:p w14:paraId="71269420" w14:textId="77777777"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STATE OF ARIZONA</w:t>
      </w:r>
    </w:p>
    <w:p w14:paraId="700D7CA5" w14:textId="0BD23108" w:rsidR="001451DE" w:rsidRPr="00900AD8"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8110D0" w:rsidRPr="00900AD8" w14:paraId="55EA8BCE" w14:textId="77777777" w:rsidTr="008110D0">
        <w:tc>
          <w:tcPr>
            <w:tcW w:w="4675" w:type="dxa"/>
            <w:tcBorders>
              <w:top w:val="nil"/>
              <w:left w:val="nil"/>
            </w:tcBorders>
          </w:tcPr>
          <w:p w14:paraId="6CD5886A" w14:textId="77777777" w:rsidR="008110D0" w:rsidRPr="00900AD8" w:rsidRDefault="008110D0" w:rsidP="001451DE">
            <w:pPr>
              <w:rPr>
                <w:color w:val="000000" w:themeColor="text1"/>
                <w:sz w:val="28"/>
                <w:szCs w:val="28"/>
              </w:rPr>
            </w:pPr>
            <w:r w:rsidRPr="00900AD8">
              <w:rPr>
                <w:color w:val="000000" w:themeColor="text1"/>
                <w:sz w:val="28"/>
                <w:szCs w:val="28"/>
              </w:rPr>
              <w:t xml:space="preserve">In the Matter of </w:t>
            </w:r>
          </w:p>
          <w:p w14:paraId="4E5EE401" w14:textId="328BFE73" w:rsidR="008110D0" w:rsidRPr="00900AD8" w:rsidRDefault="008110D0" w:rsidP="001451DE">
            <w:pPr>
              <w:rPr>
                <w:color w:val="000000" w:themeColor="text1"/>
                <w:sz w:val="28"/>
                <w:szCs w:val="28"/>
              </w:rPr>
            </w:pPr>
          </w:p>
          <w:p w14:paraId="3FAD5925" w14:textId="77777777" w:rsidR="00323CBF" w:rsidRPr="00900AD8" w:rsidRDefault="00323CBF" w:rsidP="001451DE">
            <w:pPr>
              <w:rPr>
                <w:color w:val="000000" w:themeColor="text1"/>
                <w:sz w:val="28"/>
                <w:szCs w:val="28"/>
              </w:rPr>
            </w:pPr>
          </w:p>
          <w:p w14:paraId="1A7059BC" w14:textId="77777777" w:rsidR="00323CBF" w:rsidRPr="00900AD8" w:rsidRDefault="008110D0" w:rsidP="001451DE">
            <w:pPr>
              <w:rPr>
                <w:color w:val="000000" w:themeColor="text1"/>
                <w:sz w:val="28"/>
                <w:szCs w:val="28"/>
              </w:rPr>
            </w:pPr>
            <w:r w:rsidRPr="00900AD8">
              <w:rPr>
                <w:color w:val="000000" w:themeColor="text1"/>
                <w:sz w:val="28"/>
                <w:szCs w:val="28"/>
              </w:rPr>
              <w:t xml:space="preserve">ARIZONA </w:t>
            </w:r>
            <w:r w:rsidR="00323CBF" w:rsidRPr="00900AD8">
              <w:rPr>
                <w:color w:val="000000" w:themeColor="text1"/>
                <w:sz w:val="28"/>
                <w:szCs w:val="28"/>
              </w:rPr>
              <w:t xml:space="preserve">TAX COURT </w:t>
            </w:r>
          </w:p>
          <w:p w14:paraId="29B69D27" w14:textId="6093A00F" w:rsidR="008110D0" w:rsidRPr="00900AD8" w:rsidRDefault="00323CBF" w:rsidP="001451DE">
            <w:pPr>
              <w:rPr>
                <w:color w:val="000000" w:themeColor="text1"/>
                <w:sz w:val="28"/>
                <w:szCs w:val="28"/>
              </w:rPr>
            </w:pPr>
            <w:r w:rsidRPr="00900AD8">
              <w:rPr>
                <w:color w:val="000000" w:themeColor="text1"/>
                <w:sz w:val="28"/>
                <w:szCs w:val="28"/>
              </w:rPr>
              <w:t>RULES OF PRACTICE</w:t>
            </w:r>
          </w:p>
          <w:p w14:paraId="6B603AFA" w14:textId="77777777" w:rsidR="008110D0" w:rsidRPr="00900AD8" w:rsidRDefault="008110D0" w:rsidP="001451DE">
            <w:pPr>
              <w:rPr>
                <w:color w:val="000000" w:themeColor="text1"/>
                <w:sz w:val="28"/>
                <w:szCs w:val="28"/>
              </w:rPr>
            </w:pPr>
          </w:p>
          <w:p w14:paraId="0C5ED28D" w14:textId="77777777" w:rsidR="008110D0" w:rsidRPr="00900AD8" w:rsidRDefault="008110D0" w:rsidP="001451DE">
            <w:pPr>
              <w:rPr>
                <w:color w:val="000000" w:themeColor="text1"/>
                <w:sz w:val="28"/>
                <w:szCs w:val="28"/>
              </w:rPr>
            </w:pPr>
          </w:p>
          <w:p w14:paraId="5F33240C" w14:textId="77777777" w:rsidR="00323CBF" w:rsidRPr="00900AD8" w:rsidRDefault="00323CBF" w:rsidP="001451DE">
            <w:pPr>
              <w:rPr>
                <w:color w:val="000000" w:themeColor="text1"/>
                <w:sz w:val="28"/>
                <w:szCs w:val="28"/>
              </w:rPr>
            </w:pPr>
          </w:p>
          <w:p w14:paraId="7905455A" w14:textId="77777777" w:rsidR="00323CBF" w:rsidRPr="00900AD8" w:rsidRDefault="00323CBF" w:rsidP="001451DE">
            <w:pPr>
              <w:rPr>
                <w:color w:val="000000" w:themeColor="text1"/>
                <w:sz w:val="28"/>
                <w:szCs w:val="28"/>
              </w:rPr>
            </w:pPr>
          </w:p>
          <w:p w14:paraId="534C89EF" w14:textId="47FABBD9" w:rsidR="00323CBF" w:rsidRPr="00900AD8" w:rsidRDefault="00323CBF" w:rsidP="001451DE">
            <w:pPr>
              <w:rPr>
                <w:color w:val="000000" w:themeColor="text1"/>
                <w:sz w:val="28"/>
                <w:szCs w:val="28"/>
              </w:rPr>
            </w:pPr>
          </w:p>
        </w:tc>
        <w:tc>
          <w:tcPr>
            <w:tcW w:w="4675" w:type="dxa"/>
            <w:tcBorders>
              <w:top w:val="nil"/>
              <w:bottom w:val="nil"/>
              <w:right w:val="nil"/>
            </w:tcBorders>
          </w:tcPr>
          <w:p w14:paraId="3B9016B1" w14:textId="1917D177" w:rsidR="008110D0" w:rsidRPr="00900AD8" w:rsidRDefault="008110D0" w:rsidP="001451DE">
            <w:pPr>
              <w:rPr>
                <w:color w:val="000000" w:themeColor="text1"/>
                <w:sz w:val="28"/>
                <w:szCs w:val="28"/>
              </w:rPr>
            </w:pPr>
            <w:r w:rsidRPr="00900AD8">
              <w:rPr>
                <w:color w:val="000000" w:themeColor="text1"/>
                <w:sz w:val="28"/>
                <w:szCs w:val="28"/>
              </w:rPr>
              <w:t>Arizona Supreme Court No. R-2</w:t>
            </w:r>
            <w:r w:rsidR="00B35AAC" w:rsidRPr="00900AD8">
              <w:rPr>
                <w:color w:val="000000" w:themeColor="text1"/>
                <w:sz w:val="28"/>
                <w:szCs w:val="28"/>
              </w:rPr>
              <w:t>3</w:t>
            </w:r>
            <w:r w:rsidRPr="00900AD8">
              <w:rPr>
                <w:color w:val="000000" w:themeColor="text1"/>
                <w:sz w:val="28"/>
                <w:szCs w:val="28"/>
              </w:rPr>
              <w:t>-</w:t>
            </w:r>
            <w:r w:rsidR="00E96302">
              <w:rPr>
                <w:color w:val="000000" w:themeColor="text1"/>
                <w:sz w:val="28"/>
                <w:szCs w:val="28"/>
              </w:rPr>
              <w:t>0016</w:t>
            </w:r>
          </w:p>
          <w:p w14:paraId="5E67039A" w14:textId="1095D619" w:rsidR="008110D0" w:rsidRPr="00900AD8" w:rsidRDefault="008110D0" w:rsidP="001451DE">
            <w:pPr>
              <w:rPr>
                <w:color w:val="000000" w:themeColor="text1"/>
                <w:sz w:val="28"/>
                <w:szCs w:val="28"/>
              </w:rPr>
            </w:pPr>
          </w:p>
          <w:p w14:paraId="36F7F397" w14:textId="77777777" w:rsidR="006F1AB6" w:rsidRPr="00900AD8" w:rsidRDefault="006F1AB6" w:rsidP="001451DE">
            <w:pPr>
              <w:rPr>
                <w:color w:val="000000" w:themeColor="text1"/>
                <w:sz w:val="28"/>
                <w:szCs w:val="28"/>
              </w:rPr>
            </w:pPr>
          </w:p>
          <w:p w14:paraId="79C1490B" w14:textId="77777777" w:rsidR="008110D0" w:rsidRDefault="00323CBF" w:rsidP="00E96302">
            <w:pPr>
              <w:rPr>
                <w:color w:val="000000" w:themeColor="text1"/>
                <w:sz w:val="28"/>
                <w:szCs w:val="28"/>
              </w:rPr>
            </w:pPr>
            <w:r w:rsidRPr="00900AD8">
              <w:rPr>
                <w:color w:val="000000" w:themeColor="text1"/>
                <w:sz w:val="28"/>
                <w:szCs w:val="28"/>
              </w:rPr>
              <w:t xml:space="preserve"> </w:t>
            </w:r>
            <w:r w:rsidR="00C4661C">
              <w:rPr>
                <w:color w:val="000000" w:themeColor="text1"/>
                <w:sz w:val="28"/>
                <w:szCs w:val="28"/>
              </w:rPr>
              <w:t>TASK FORCE</w:t>
            </w:r>
            <w:r w:rsidR="00891749">
              <w:rPr>
                <w:color w:val="000000" w:themeColor="text1"/>
                <w:sz w:val="28"/>
                <w:szCs w:val="28"/>
              </w:rPr>
              <w:t xml:space="preserve"> </w:t>
            </w:r>
            <w:r w:rsidR="00E96302">
              <w:rPr>
                <w:color w:val="000000" w:themeColor="text1"/>
                <w:sz w:val="28"/>
                <w:szCs w:val="28"/>
              </w:rPr>
              <w:t>REPLY</w:t>
            </w:r>
          </w:p>
          <w:p w14:paraId="5F478E8C" w14:textId="77777777" w:rsidR="00C4661C" w:rsidRDefault="00C4661C" w:rsidP="00E96302">
            <w:pPr>
              <w:rPr>
                <w:color w:val="000000" w:themeColor="text1"/>
                <w:sz w:val="28"/>
                <w:szCs w:val="28"/>
              </w:rPr>
            </w:pPr>
          </w:p>
          <w:p w14:paraId="3A547A74" w14:textId="2737A517" w:rsidR="00C4661C" w:rsidRPr="00900AD8" w:rsidRDefault="00C4661C" w:rsidP="00E96302">
            <w:pPr>
              <w:rPr>
                <w:color w:val="000000" w:themeColor="text1"/>
                <w:sz w:val="28"/>
                <w:szCs w:val="28"/>
              </w:rPr>
            </w:pPr>
            <w:r>
              <w:rPr>
                <w:color w:val="000000" w:themeColor="text1"/>
                <w:sz w:val="28"/>
                <w:szCs w:val="28"/>
              </w:rPr>
              <w:t>(December 2024 Rules Agenda)</w:t>
            </w:r>
          </w:p>
        </w:tc>
      </w:tr>
    </w:tbl>
    <w:p w14:paraId="1E06EAF2" w14:textId="77777777" w:rsidR="006F1AB6" w:rsidRDefault="006F1AB6" w:rsidP="00782F11">
      <w:pPr>
        <w:pStyle w:val="BodyText"/>
        <w:rPr>
          <w:b/>
          <w:bCs/>
          <w:color w:val="000000" w:themeColor="text1"/>
          <w:szCs w:val="28"/>
        </w:rPr>
      </w:pPr>
    </w:p>
    <w:p w14:paraId="77C9F887" w14:textId="197D95D7" w:rsidR="001A3658" w:rsidRPr="00900AD8" w:rsidRDefault="00891749" w:rsidP="00C4661C">
      <w:pPr>
        <w:pStyle w:val="BodyText"/>
        <w:jc w:val="center"/>
        <w:rPr>
          <w:b/>
          <w:bCs/>
          <w:color w:val="000000" w:themeColor="text1"/>
          <w:szCs w:val="28"/>
        </w:rPr>
      </w:pPr>
      <w:r>
        <w:rPr>
          <w:b/>
          <w:bCs/>
          <w:color w:val="000000" w:themeColor="text1"/>
          <w:szCs w:val="28"/>
        </w:rPr>
        <w:t>REPLY IN SUPPORT OF</w:t>
      </w:r>
      <w:r w:rsidR="00E96302">
        <w:rPr>
          <w:b/>
          <w:bCs/>
          <w:color w:val="000000" w:themeColor="text1"/>
          <w:szCs w:val="28"/>
        </w:rPr>
        <w:t xml:space="preserve"> </w:t>
      </w:r>
      <w:r w:rsidR="00C4661C">
        <w:rPr>
          <w:b/>
          <w:bCs/>
          <w:color w:val="000000" w:themeColor="text1"/>
          <w:szCs w:val="28"/>
        </w:rPr>
        <w:t xml:space="preserve">SUPPLEMENTAL </w:t>
      </w:r>
      <w:r w:rsidR="00C41CA7" w:rsidRPr="00900AD8">
        <w:rPr>
          <w:b/>
          <w:bCs/>
          <w:color w:val="000000" w:themeColor="text1"/>
          <w:szCs w:val="28"/>
        </w:rPr>
        <w:t xml:space="preserve">PETITION </w:t>
      </w:r>
      <w:r w:rsidR="00A61FF5" w:rsidRPr="00900AD8">
        <w:rPr>
          <w:b/>
          <w:bCs/>
          <w:color w:val="000000" w:themeColor="text1"/>
          <w:szCs w:val="28"/>
        </w:rPr>
        <w:t xml:space="preserve">TO </w:t>
      </w:r>
      <w:r w:rsidR="00C4661C">
        <w:rPr>
          <w:b/>
          <w:bCs/>
          <w:color w:val="000000" w:themeColor="text1"/>
          <w:szCs w:val="28"/>
        </w:rPr>
        <w:t>ABROGATE AND REPLACE</w:t>
      </w:r>
      <w:r w:rsidR="00E66A0A" w:rsidRPr="00900AD8">
        <w:rPr>
          <w:b/>
          <w:bCs/>
          <w:color w:val="000000" w:themeColor="text1"/>
          <w:szCs w:val="28"/>
        </w:rPr>
        <w:t xml:space="preserve"> </w:t>
      </w:r>
      <w:r w:rsidR="00323CBF" w:rsidRPr="00900AD8">
        <w:rPr>
          <w:b/>
          <w:bCs/>
          <w:color w:val="000000" w:themeColor="text1"/>
          <w:szCs w:val="28"/>
        </w:rPr>
        <w:t>THE ARIZONA TAX COURT RULES OF PRACTICE</w:t>
      </w:r>
    </w:p>
    <w:p w14:paraId="1A503880" w14:textId="77777777" w:rsidR="00695322" w:rsidRPr="00900AD8" w:rsidRDefault="00695322" w:rsidP="00E66A0A">
      <w:pPr>
        <w:pStyle w:val="BodyText"/>
        <w:rPr>
          <w:color w:val="000000" w:themeColor="text1"/>
          <w:szCs w:val="28"/>
        </w:rPr>
      </w:pPr>
    </w:p>
    <w:p w14:paraId="129437E1" w14:textId="47A1DEA5" w:rsidR="003D73E0" w:rsidRDefault="00716C66" w:rsidP="00BF4500">
      <w:pPr>
        <w:pStyle w:val="BodyText"/>
        <w:tabs>
          <w:tab w:val="left" w:pos="711"/>
        </w:tabs>
        <w:spacing w:line="480" w:lineRule="auto"/>
        <w:jc w:val="both"/>
        <w:rPr>
          <w:color w:val="000000" w:themeColor="text1"/>
          <w:szCs w:val="28"/>
        </w:rPr>
      </w:pPr>
      <w:r w:rsidRPr="00900AD8">
        <w:rPr>
          <w:color w:val="000000" w:themeColor="text1"/>
          <w:szCs w:val="28"/>
        </w:rPr>
        <w:tab/>
      </w:r>
      <w:r w:rsidR="00C41CA7" w:rsidRPr="00900AD8">
        <w:rPr>
          <w:color w:val="000000" w:themeColor="text1"/>
          <w:szCs w:val="28"/>
        </w:rPr>
        <w:t>Pursuant to Rule 28</w:t>
      </w:r>
      <w:r w:rsidR="00C55B9E">
        <w:rPr>
          <w:color w:val="000000" w:themeColor="text1"/>
          <w:szCs w:val="28"/>
        </w:rPr>
        <w:t>(e)(5)</w:t>
      </w:r>
      <w:r w:rsidR="00C41CA7" w:rsidRPr="00900AD8">
        <w:rPr>
          <w:color w:val="000000" w:themeColor="text1"/>
          <w:szCs w:val="28"/>
        </w:rPr>
        <w:t>, Rules of the Supreme Court</w:t>
      </w:r>
      <w:r w:rsidR="0029218E" w:rsidRPr="00900AD8">
        <w:rPr>
          <w:color w:val="000000" w:themeColor="text1"/>
          <w:szCs w:val="28"/>
        </w:rPr>
        <w:t xml:space="preserve"> of Arizona</w:t>
      </w:r>
      <w:r w:rsidR="00C41CA7" w:rsidRPr="00900AD8">
        <w:rPr>
          <w:color w:val="000000" w:themeColor="text1"/>
          <w:szCs w:val="28"/>
        </w:rPr>
        <w:t>,</w:t>
      </w:r>
      <w:r w:rsidR="00C4661C">
        <w:rPr>
          <w:color w:val="000000" w:themeColor="text1"/>
          <w:szCs w:val="28"/>
        </w:rPr>
        <w:t xml:space="preserve"> and this Court’s August 19, 2024, Order,</w:t>
      </w:r>
      <w:r w:rsidR="00C41CA7" w:rsidRPr="00900AD8">
        <w:rPr>
          <w:color w:val="000000" w:themeColor="text1"/>
          <w:szCs w:val="28"/>
        </w:rPr>
        <w:t xml:space="preserve"> </w:t>
      </w:r>
      <w:r w:rsidR="009107A9" w:rsidRPr="00900AD8">
        <w:rPr>
          <w:color w:val="000000" w:themeColor="text1"/>
          <w:szCs w:val="28"/>
        </w:rPr>
        <w:t xml:space="preserve">the </w:t>
      </w:r>
      <w:r w:rsidR="001966BD" w:rsidRPr="00900AD8">
        <w:rPr>
          <w:color w:val="000000" w:themeColor="text1"/>
          <w:szCs w:val="28"/>
        </w:rPr>
        <w:t>Honorable Sara</w:t>
      </w:r>
      <w:r w:rsidR="00E40858">
        <w:rPr>
          <w:color w:val="000000" w:themeColor="text1"/>
          <w:szCs w:val="28"/>
        </w:rPr>
        <w:t xml:space="preserve"> J.</w:t>
      </w:r>
      <w:r w:rsidR="001966BD" w:rsidRPr="00900AD8">
        <w:rPr>
          <w:color w:val="000000" w:themeColor="text1"/>
          <w:szCs w:val="28"/>
        </w:rPr>
        <w:t xml:space="preserve"> Agne</w:t>
      </w:r>
      <w:r w:rsidR="00E40858">
        <w:rPr>
          <w:color w:val="000000" w:themeColor="text1"/>
          <w:szCs w:val="28"/>
        </w:rPr>
        <w:t>, presiding judge of the Arizona Tax Court</w:t>
      </w:r>
      <w:r w:rsidR="00C4661C">
        <w:rPr>
          <w:color w:val="000000" w:themeColor="text1"/>
          <w:szCs w:val="28"/>
        </w:rPr>
        <w:t>, and Chair of the Task Force on the Arizona Tax Court Rules of Practice (“Task Force”)</w:t>
      </w:r>
      <w:r w:rsidR="00E40858">
        <w:rPr>
          <w:color w:val="000000" w:themeColor="text1"/>
          <w:szCs w:val="28"/>
        </w:rPr>
        <w:t>,</w:t>
      </w:r>
      <w:r w:rsidR="00C4661C">
        <w:rPr>
          <w:color w:val="000000" w:themeColor="text1"/>
          <w:szCs w:val="28"/>
        </w:rPr>
        <w:t xml:space="preserve"> files this Reply.</w:t>
      </w:r>
      <w:r w:rsidR="00A81227">
        <w:rPr>
          <w:color w:val="000000" w:themeColor="text1"/>
          <w:szCs w:val="28"/>
        </w:rPr>
        <w:t xml:space="preserve"> </w:t>
      </w:r>
      <w:r w:rsidR="00C4661C">
        <w:rPr>
          <w:color w:val="000000" w:themeColor="text1"/>
          <w:szCs w:val="28"/>
        </w:rPr>
        <w:t xml:space="preserve">The Task Force replies to comments received on its Supplemental Petition, filed August 19, 2024, which </w:t>
      </w:r>
      <w:r w:rsidR="00E93C24">
        <w:rPr>
          <w:color w:val="000000" w:themeColor="text1"/>
          <w:szCs w:val="28"/>
        </w:rPr>
        <w:t xml:space="preserve">petition seeks </w:t>
      </w:r>
      <w:r w:rsidR="00E93C24">
        <w:rPr>
          <w:color w:val="000000" w:themeColor="text1"/>
          <w:szCs w:val="28"/>
        </w:rPr>
        <w:lastRenderedPageBreak/>
        <w:t xml:space="preserve">the abrogation of </w:t>
      </w:r>
      <w:r w:rsidR="00E40858">
        <w:rPr>
          <w:color w:val="000000" w:themeColor="text1"/>
          <w:szCs w:val="28"/>
        </w:rPr>
        <w:t>the</w:t>
      </w:r>
      <w:r w:rsidR="00E93C24">
        <w:rPr>
          <w:color w:val="000000" w:themeColor="text1"/>
          <w:szCs w:val="28"/>
        </w:rPr>
        <w:t xml:space="preserve"> current</w:t>
      </w:r>
      <w:r w:rsidR="00E40858">
        <w:rPr>
          <w:color w:val="000000" w:themeColor="text1"/>
          <w:szCs w:val="28"/>
        </w:rPr>
        <w:t xml:space="preserve"> Arizona Tax Court Rules of Practice</w:t>
      </w:r>
      <w:r w:rsidR="00F0477F">
        <w:rPr>
          <w:color w:val="000000" w:themeColor="text1"/>
          <w:szCs w:val="28"/>
        </w:rPr>
        <w:t xml:space="preserve"> (“Tax Court Rules”)</w:t>
      </w:r>
      <w:r w:rsidR="003A4671">
        <w:rPr>
          <w:color w:val="000000" w:themeColor="text1"/>
          <w:szCs w:val="28"/>
        </w:rPr>
        <w:t>, followed by</w:t>
      </w:r>
      <w:r w:rsidR="00E93C24">
        <w:rPr>
          <w:color w:val="000000" w:themeColor="text1"/>
          <w:szCs w:val="28"/>
        </w:rPr>
        <w:t xml:space="preserve"> their replacement with the rules proposed by the Supplemental Petition</w:t>
      </w:r>
      <w:r w:rsidR="00A53016">
        <w:rPr>
          <w:color w:val="000000" w:themeColor="text1"/>
          <w:szCs w:val="28"/>
        </w:rPr>
        <w:t>, as modified and appended here</w:t>
      </w:r>
      <w:r w:rsidR="00C41CA7" w:rsidRPr="00900AD8">
        <w:rPr>
          <w:color w:val="000000" w:themeColor="text1"/>
          <w:szCs w:val="28"/>
        </w:rPr>
        <w:t xml:space="preserve">. </w:t>
      </w:r>
    </w:p>
    <w:p w14:paraId="51926F21" w14:textId="72D64042" w:rsidR="00E93C24" w:rsidRDefault="00E93C24" w:rsidP="00BF4500">
      <w:pPr>
        <w:pStyle w:val="BodyText"/>
        <w:tabs>
          <w:tab w:val="left" w:pos="711"/>
        </w:tabs>
        <w:spacing w:line="480" w:lineRule="auto"/>
        <w:jc w:val="both"/>
        <w:rPr>
          <w:color w:val="000000" w:themeColor="text1"/>
          <w:szCs w:val="28"/>
        </w:rPr>
      </w:pPr>
      <w:r>
        <w:rPr>
          <w:color w:val="000000" w:themeColor="text1"/>
          <w:szCs w:val="28"/>
        </w:rPr>
        <w:tab/>
        <w:t>The two considered comments received on the Supplemental Petition represent stakeholders that have been involved in this restyling effort almost since its inception. Indeed, the Clerk of the Superior Court for Maricopa County (“Clerk”) and the State Bar of Arizona were the commenters on the original petition filed January 9, 2023.</w:t>
      </w:r>
    </w:p>
    <w:p w14:paraId="091CFB5B" w14:textId="61BC3464" w:rsidR="00E93C24" w:rsidRDefault="00E93C24" w:rsidP="00BF4500">
      <w:pPr>
        <w:pStyle w:val="BodyText"/>
        <w:tabs>
          <w:tab w:val="left" w:pos="711"/>
        </w:tabs>
        <w:spacing w:line="480" w:lineRule="auto"/>
        <w:jc w:val="both"/>
        <w:rPr>
          <w:color w:val="000000" w:themeColor="text1"/>
          <w:szCs w:val="28"/>
        </w:rPr>
      </w:pPr>
      <w:r>
        <w:rPr>
          <w:color w:val="000000" w:themeColor="text1"/>
          <w:szCs w:val="28"/>
        </w:rPr>
        <w:tab/>
      </w:r>
      <w:r w:rsidR="00CD1B7F">
        <w:rPr>
          <w:color w:val="000000" w:themeColor="text1"/>
          <w:szCs w:val="28"/>
        </w:rPr>
        <w:t xml:space="preserve">In </w:t>
      </w:r>
      <w:r w:rsidR="003A4671">
        <w:rPr>
          <w:color w:val="000000" w:themeColor="text1"/>
          <w:szCs w:val="28"/>
        </w:rPr>
        <w:t>his</w:t>
      </w:r>
      <w:r w:rsidR="00CD1B7F">
        <w:rPr>
          <w:color w:val="000000" w:themeColor="text1"/>
          <w:szCs w:val="28"/>
        </w:rPr>
        <w:t xml:space="preserve"> comment on the Supplemental Petition</w:t>
      </w:r>
      <w:r>
        <w:rPr>
          <w:color w:val="000000" w:themeColor="text1"/>
          <w:szCs w:val="28"/>
        </w:rPr>
        <w:t>, the Clerk</w:t>
      </w:r>
      <w:r w:rsidR="0088742A">
        <w:rPr>
          <w:color w:val="000000" w:themeColor="text1"/>
          <w:szCs w:val="28"/>
        </w:rPr>
        <w:t xml:space="preserve"> proposed changes to Rule 10(b) (“Transferring Files; Fees”) regarding cases transferred to the Tax Court, and the Task Force saw fit to adopt those changes in full in the version appended to this Reply. As the Clerk’s Comment notes, the Clerk’s General Counsel</w:t>
      </w:r>
      <w:r w:rsidR="003A4671">
        <w:rPr>
          <w:color w:val="000000" w:themeColor="text1"/>
          <w:szCs w:val="28"/>
        </w:rPr>
        <w:t xml:space="preserve"> (Ms. Jessica J. Fotinos)</w:t>
      </w:r>
      <w:r w:rsidR="0088742A">
        <w:rPr>
          <w:color w:val="000000" w:themeColor="text1"/>
          <w:szCs w:val="28"/>
        </w:rPr>
        <w:t xml:space="preserve">, </w:t>
      </w:r>
      <w:r w:rsidR="003A4671">
        <w:rPr>
          <w:color w:val="000000" w:themeColor="text1"/>
          <w:szCs w:val="28"/>
        </w:rPr>
        <w:t>who is</w:t>
      </w:r>
      <w:r w:rsidR="0088742A">
        <w:rPr>
          <w:color w:val="000000" w:themeColor="text1"/>
          <w:szCs w:val="28"/>
        </w:rPr>
        <w:t xml:space="preserve"> a member of the Task Force as well as the Civil Practice and Procedure Committee of the State Bar of Arizona,</w:t>
      </w:r>
      <w:r w:rsidR="009D4FB5">
        <w:rPr>
          <w:rStyle w:val="FootnoteReference"/>
          <w:color w:val="000000" w:themeColor="text1"/>
          <w:szCs w:val="28"/>
        </w:rPr>
        <w:footnoteReference w:id="1"/>
      </w:r>
      <w:r w:rsidR="0088742A">
        <w:rPr>
          <w:color w:val="000000" w:themeColor="text1"/>
          <w:szCs w:val="28"/>
        </w:rPr>
        <w:t xml:space="preserve"> worked with members of that State Bar committee</w:t>
      </w:r>
      <w:r w:rsidR="009D4FB5">
        <w:rPr>
          <w:color w:val="000000" w:themeColor="text1"/>
          <w:szCs w:val="28"/>
        </w:rPr>
        <w:t xml:space="preserve"> to build in language regarding notice to Tax Court case parties regarding receipt of cases files and applicable fees and surcharges. The Clerk also proposed language that generally tracks A.R.S. § 12-407 (on changes of venue)—regarding the consequences if those fees and surcharges are not paid.</w:t>
      </w:r>
    </w:p>
    <w:p w14:paraId="6300D94D" w14:textId="5965AF5A" w:rsidR="009D4FB5" w:rsidRPr="008A7B57" w:rsidRDefault="009D4FB5" w:rsidP="009B67DA">
      <w:pPr>
        <w:pStyle w:val="BodyText"/>
        <w:tabs>
          <w:tab w:val="left" w:pos="711"/>
        </w:tabs>
        <w:spacing w:line="480" w:lineRule="auto"/>
        <w:jc w:val="both"/>
        <w:rPr>
          <w:color w:val="000000" w:themeColor="text1"/>
          <w:szCs w:val="28"/>
        </w:rPr>
      </w:pPr>
      <w:r>
        <w:rPr>
          <w:color w:val="000000" w:themeColor="text1"/>
          <w:szCs w:val="28"/>
        </w:rPr>
        <w:lastRenderedPageBreak/>
        <w:tab/>
        <w:t xml:space="preserve">As it did for the </w:t>
      </w:r>
      <w:r w:rsidR="004B0E53">
        <w:rPr>
          <w:color w:val="000000" w:themeColor="text1"/>
          <w:szCs w:val="28"/>
        </w:rPr>
        <w:t xml:space="preserve">initial comment of the </w:t>
      </w:r>
      <w:r>
        <w:rPr>
          <w:color w:val="000000" w:themeColor="text1"/>
          <w:szCs w:val="28"/>
        </w:rPr>
        <w:t>State Bar of Arizona</w:t>
      </w:r>
      <w:r w:rsidR="004B0E53">
        <w:rPr>
          <w:color w:val="000000" w:themeColor="text1"/>
          <w:szCs w:val="28"/>
        </w:rPr>
        <w:t xml:space="preserve"> on the petition filed January 9, 2023, the</w:t>
      </w:r>
      <w:r>
        <w:rPr>
          <w:color w:val="000000" w:themeColor="text1"/>
          <w:szCs w:val="28"/>
        </w:rPr>
        <w:t xml:space="preserve"> Civil Practice and Procedure Committee generated the other comment on the Supplemental Petition. The chair of a subcommittee of that group</w:t>
      </w:r>
      <w:r w:rsidR="00F34719">
        <w:rPr>
          <w:color w:val="000000" w:themeColor="text1"/>
          <w:szCs w:val="28"/>
        </w:rPr>
        <w:t xml:space="preserve"> (Mr. John P. Ager)</w:t>
      </w:r>
      <w:r>
        <w:rPr>
          <w:color w:val="000000" w:themeColor="text1"/>
          <w:szCs w:val="28"/>
        </w:rPr>
        <w:t xml:space="preserve"> filed the comment</w:t>
      </w:r>
      <w:r w:rsidR="006455E9">
        <w:rPr>
          <w:color w:val="000000" w:themeColor="text1"/>
          <w:szCs w:val="28"/>
        </w:rPr>
        <w:t>,</w:t>
      </w:r>
      <w:r>
        <w:rPr>
          <w:color w:val="000000" w:themeColor="text1"/>
          <w:szCs w:val="28"/>
        </w:rPr>
        <w:t xml:space="preserve"> </w:t>
      </w:r>
      <w:r w:rsidR="006455E9">
        <w:rPr>
          <w:color w:val="000000" w:themeColor="text1"/>
          <w:szCs w:val="28"/>
        </w:rPr>
        <w:t>given that</w:t>
      </w:r>
      <w:r>
        <w:rPr>
          <w:color w:val="000000" w:themeColor="text1"/>
          <w:szCs w:val="28"/>
        </w:rPr>
        <w:t xml:space="preserve"> State</w:t>
      </w:r>
      <w:r w:rsidR="00A53016">
        <w:rPr>
          <w:color w:val="000000" w:themeColor="text1"/>
          <w:szCs w:val="28"/>
        </w:rPr>
        <w:t>-</w:t>
      </w:r>
      <w:r>
        <w:rPr>
          <w:color w:val="000000" w:themeColor="text1"/>
          <w:szCs w:val="28"/>
        </w:rPr>
        <w:t xml:space="preserve">Bar approval processes </w:t>
      </w:r>
      <w:r w:rsidR="004B0E53">
        <w:rPr>
          <w:color w:val="000000" w:themeColor="text1"/>
          <w:szCs w:val="28"/>
        </w:rPr>
        <w:t>typically</w:t>
      </w:r>
      <w:r>
        <w:rPr>
          <w:color w:val="000000" w:themeColor="text1"/>
          <w:szCs w:val="28"/>
        </w:rPr>
        <w:t xml:space="preserve"> </w:t>
      </w:r>
      <w:r w:rsidR="003A3790">
        <w:rPr>
          <w:color w:val="000000" w:themeColor="text1"/>
          <w:szCs w:val="28"/>
        </w:rPr>
        <w:t>are</w:t>
      </w:r>
      <w:r>
        <w:rPr>
          <w:color w:val="000000" w:themeColor="text1"/>
          <w:szCs w:val="28"/>
        </w:rPr>
        <w:t xml:space="preserve"> of a length that can </w:t>
      </w:r>
      <w:r w:rsidR="003A3790">
        <w:rPr>
          <w:color w:val="000000" w:themeColor="text1"/>
          <w:szCs w:val="28"/>
        </w:rPr>
        <w:t xml:space="preserve">practically </w:t>
      </w:r>
      <w:r>
        <w:rPr>
          <w:color w:val="000000" w:themeColor="text1"/>
          <w:szCs w:val="28"/>
        </w:rPr>
        <w:t xml:space="preserve">prohibit comments during </w:t>
      </w:r>
      <w:r w:rsidRPr="008A7B57">
        <w:rPr>
          <w:color w:val="000000" w:themeColor="text1"/>
          <w:szCs w:val="28"/>
        </w:rPr>
        <w:t>expedited periods like the one granted on the Supplemental Petition.</w:t>
      </w:r>
    </w:p>
    <w:p w14:paraId="119B4F9B" w14:textId="77777777" w:rsidR="003A4671" w:rsidRDefault="00441F72" w:rsidP="008A7B57">
      <w:pPr>
        <w:spacing w:line="480" w:lineRule="auto"/>
        <w:ind w:firstLine="720"/>
        <w:jc w:val="both"/>
        <w:rPr>
          <w:sz w:val="28"/>
          <w:szCs w:val="28"/>
        </w:rPr>
      </w:pPr>
      <w:r w:rsidRPr="008A7B57">
        <w:rPr>
          <w:color w:val="000000" w:themeColor="text1"/>
          <w:sz w:val="28"/>
          <w:szCs w:val="28"/>
        </w:rPr>
        <w:t>In its adoption of the Clerk’s proposed changes for Rule 10(b), the Task Force</w:t>
      </w:r>
      <w:r w:rsidR="00F34719" w:rsidRPr="008A7B57">
        <w:rPr>
          <w:color w:val="000000" w:themeColor="text1"/>
          <w:sz w:val="28"/>
          <w:szCs w:val="28"/>
        </w:rPr>
        <w:t xml:space="preserve"> fully addressed the first issue noted in Mr. Ager’s filing, </w:t>
      </w:r>
      <w:r w:rsidR="008A7B57" w:rsidRPr="008A7B57">
        <w:rPr>
          <w:color w:val="000000" w:themeColor="text1"/>
          <w:sz w:val="28"/>
          <w:szCs w:val="28"/>
        </w:rPr>
        <w:t>that it was “</w:t>
      </w:r>
      <w:r w:rsidR="008A7B57" w:rsidRPr="008A7B57">
        <w:rPr>
          <w:sz w:val="28"/>
          <w:szCs w:val="28"/>
        </w:rPr>
        <w:t xml:space="preserve">unclear from the rules how and when the parties are to be made aware of the amount of </w:t>
      </w:r>
      <w:r w:rsidR="008A7B57">
        <w:rPr>
          <w:sz w:val="28"/>
          <w:szCs w:val="28"/>
        </w:rPr>
        <w:t>. . . [applicable surcharges and]</w:t>
      </w:r>
      <w:r w:rsidR="008A7B57" w:rsidRPr="008A7B57">
        <w:rPr>
          <w:sz w:val="28"/>
          <w:szCs w:val="28"/>
        </w:rPr>
        <w:t xml:space="preserve"> fees.</w:t>
      </w:r>
      <w:r w:rsidR="008A7B57">
        <w:rPr>
          <w:sz w:val="28"/>
          <w:szCs w:val="28"/>
        </w:rPr>
        <w:t xml:space="preserve">” </w:t>
      </w:r>
    </w:p>
    <w:p w14:paraId="5ADD81A2" w14:textId="58E4D8EC" w:rsidR="008A7B57" w:rsidRDefault="008A7B57" w:rsidP="008A7B57">
      <w:pPr>
        <w:spacing w:line="480" w:lineRule="auto"/>
        <w:ind w:firstLine="720"/>
        <w:jc w:val="both"/>
        <w:rPr>
          <w:sz w:val="28"/>
          <w:szCs w:val="28"/>
        </w:rPr>
      </w:pPr>
      <w:r>
        <w:rPr>
          <w:sz w:val="28"/>
          <w:szCs w:val="28"/>
        </w:rPr>
        <w:t>The Task Force, however, respectfully declined to make any changes in response to the second issue noted</w:t>
      </w:r>
      <w:r w:rsidR="00710989">
        <w:rPr>
          <w:sz w:val="28"/>
          <w:szCs w:val="28"/>
        </w:rPr>
        <w:t xml:space="preserve"> in Mr. Ager’s filing, which expressed concern that Rule 14(c) seemed to assume that all issues would be resolved on appeal of a Tax Court decision, when they may not be.</w:t>
      </w:r>
      <w:r w:rsidR="00CD1B7F">
        <w:rPr>
          <w:sz w:val="28"/>
          <w:szCs w:val="28"/>
        </w:rPr>
        <w:t xml:space="preserve"> Upon review of Rule 14 </w:t>
      </w:r>
      <w:proofErr w:type="gramStart"/>
      <w:r w:rsidR="00CD1B7F">
        <w:rPr>
          <w:sz w:val="28"/>
          <w:szCs w:val="28"/>
        </w:rPr>
        <w:t>as a whole at</w:t>
      </w:r>
      <w:proofErr w:type="gramEnd"/>
      <w:r w:rsidR="00CD1B7F">
        <w:rPr>
          <w:sz w:val="28"/>
          <w:szCs w:val="28"/>
        </w:rPr>
        <w:t xml:space="preserve"> its October 28, 2024, meeting, the Task Force determined that</w:t>
      </w:r>
      <w:r w:rsidR="004E1EA8">
        <w:rPr>
          <w:sz w:val="28"/>
          <w:szCs w:val="28"/>
        </w:rPr>
        <w:t xml:space="preserve"> Rule 14(d)</w:t>
      </w:r>
      <w:r w:rsidR="00F03224">
        <w:rPr>
          <w:sz w:val="28"/>
          <w:szCs w:val="28"/>
        </w:rPr>
        <w:t xml:space="preserve"> (“Issues Not Resolved on Appeal”) appropriately  addresses the instances where</w:t>
      </w:r>
      <w:r w:rsidR="00084480">
        <w:rPr>
          <w:sz w:val="28"/>
          <w:szCs w:val="28"/>
        </w:rPr>
        <w:t xml:space="preserve"> not all issues are resolved on appeal. Reading Rule </w:t>
      </w:r>
      <w:proofErr w:type="gramStart"/>
      <w:r w:rsidR="00084480">
        <w:rPr>
          <w:sz w:val="28"/>
          <w:szCs w:val="28"/>
        </w:rPr>
        <w:t>14 as a whole, then</w:t>
      </w:r>
      <w:proofErr w:type="gramEnd"/>
      <w:r w:rsidR="00084480">
        <w:rPr>
          <w:sz w:val="28"/>
          <w:szCs w:val="28"/>
        </w:rPr>
        <w:t>, Rule 14(c)</w:t>
      </w:r>
      <w:r w:rsidR="00A32A88">
        <w:rPr>
          <w:sz w:val="28"/>
          <w:szCs w:val="28"/>
        </w:rPr>
        <w:t xml:space="preserve"> (“Dismissal Calendar”) is the provision that</w:t>
      </w:r>
      <w:r w:rsidR="00084480">
        <w:rPr>
          <w:sz w:val="28"/>
          <w:szCs w:val="28"/>
        </w:rPr>
        <w:t xml:space="preserve"> addresses those instances where all issues </w:t>
      </w:r>
      <w:r w:rsidR="00084480">
        <w:rPr>
          <w:i/>
          <w:iCs/>
          <w:sz w:val="28"/>
          <w:szCs w:val="28"/>
        </w:rPr>
        <w:t>are</w:t>
      </w:r>
      <w:r w:rsidR="00084480">
        <w:rPr>
          <w:sz w:val="28"/>
          <w:szCs w:val="28"/>
        </w:rPr>
        <w:t xml:space="preserve"> resolved on appeal.</w:t>
      </w:r>
    </w:p>
    <w:p w14:paraId="0E2F66F6" w14:textId="35922692" w:rsidR="000A0337" w:rsidRDefault="000A0337" w:rsidP="008A7B57">
      <w:pPr>
        <w:spacing w:line="480" w:lineRule="auto"/>
        <w:ind w:firstLine="720"/>
        <w:jc w:val="both"/>
        <w:rPr>
          <w:sz w:val="28"/>
          <w:szCs w:val="28"/>
        </w:rPr>
      </w:pPr>
      <w:r>
        <w:rPr>
          <w:sz w:val="28"/>
          <w:szCs w:val="28"/>
        </w:rPr>
        <w:lastRenderedPageBreak/>
        <w:t>The Task Force then discussed and adopted many, but not all, of the stylistic changes proposed by Mr. Ager’s filing. A blackline is filed as Appendix B</w:t>
      </w:r>
      <w:r w:rsidR="00073404">
        <w:rPr>
          <w:sz w:val="28"/>
          <w:szCs w:val="28"/>
        </w:rPr>
        <w:t xml:space="preserve"> to show all changes adopted to the rules filed with the Supplemental Petition. Appendix A is a clean version, with the exception that the blackline version of the Uniform Interrogatories for Use in Property Tax Disputes filed with the Supplemental Petition remains shown in both Appendix A and Appendix B.</w:t>
      </w:r>
    </w:p>
    <w:p w14:paraId="163FBAFD" w14:textId="39555E9B" w:rsidR="00441F72" w:rsidRDefault="00073404" w:rsidP="00073404">
      <w:pPr>
        <w:spacing w:line="480" w:lineRule="auto"/>
        <w:ind w:firstLine="720"/>
        <w:jc w:val="both"/>
        <w:rPr>
          <w:sz w:val="28"/>
          <w:szCs w:val="28"/>
        </w:rPr>
      </w:pPr>
      <w:r>
        <w:rPr>
          <w:sz w:val="28"/>
          <w:szCs w:val="28"/>
        </w:rPr>
        <w:t>To address a final issue outstanding from the Supplemental Petition, the Task Force notes that no public comments were filed on the issue regarding Civil Rule 68 (Offer of Judgment) and Tax Court Rule 2, as raised on pages 7 and 8 of the Supplemental Petition. The Task Force discussed this issue at some length at what is expected to be its final public meeting, but ultimately resolved that the issue might be addressed in a future rule change petition by interested parties, if at all.</w:t>
      </w:r>
    </w:p>
    <w:p w14:paraId="12B461B4" w14:textId="15BB1A45" w:rsidR="00073404" w:rsidRDefault="00073404" w:rsidP="00073404">
      <w:pPr>
        <w:spacing w:line="480" w:lineRule="auto"/>
        <w:ind w:firstLine="720"/>
        <w:jc w:val="both"/>
        <w:rPr>
          <w:sz w:val="28"/>
          <w:szCs w:val="28"/>
        </w:rPr>
      </w:pPr>
      <w:r>
        <w:rPr>
          <w:sz w:val="28"/>
          <w:szCs w:val="28"/>
        </w:rPr>
        <w:t>///</w:t>
      </w:r>
    </w:p>
    <w:p w14:paraId="7626F164" w14:textId="7B58D542" w:rsidR="00073404" w:rsidRDefault="00073404" w:rsidP="00073404">
      <w:pPr>
        <w:spacing w:line="480" w:lineRule="auto"/>
        <w:ind w:firstLine="720"/>
        <w:jc w:val="both"/>
        <w:rPr>
          <w:sz w:val="28"/>
          <w:szCs w:val="28"/>
        </w:rPr>
      </w:pPr>
      <w:r>
        <w:rPr>
          <w:sz w:val="28"/>
          <w:szCs w:val="28"/>
        </w:rPr>
        <w:t>///</w:t>
      </w:r>
    </w:p>
    <w:p w14:paraId="3308B2C4" w14:textId="3C0F3692" w:rsidR="00073404" w:rsidRPr="00073404" w:rsidRDefault="00073404" w:rsidP="00073404">
      <w:pPr>
        <w:spacing w:line="480" w:lineRule="auto"/>
        <w:ind w:firstLine="720"/>
        <w:jc w:val="both"/>
        <w:rPr>
          <w:sz w:val="28"/>
          <w:szCs w:val="28"/>
        </w:rPr>
      </w:pPr>
      <w:r>
        <w:rPr>
          <w:sz w:val="28"/>
          <w:szCs w:val="28"/>
        </w:rPr>
        <w:t>///</w:t>
      </w:r>
    </w:p>
    <w:p w14:paraId="53AABD6F" w14:textId="75B2C7D8" w:rsidR="009B67DA" w:rsidRDefault="009D4FB5" w:rsidP="009B67DA">
      <w:pPr>
        <w:pStyle w:val="BodyText"/>
        <w:tabs>
          <w:tab w:val="left" w:pos="711"/>
        </w:tabs>
        <w:spacing w:line="480" w:lineRule="auto"/>
        <w:jc w:val="both"/>
        <w:rPr>
          <w:color w:val="000000" w:themeColor="text1"/>
          <w:szCs w:val="28"/>
        </w:rPr>
      </w:pPr>
      <w:r w:rsidRPr="008A7B57">
        <w:rPr>
          <w:szCs w:val="28"/>
        </w:rPr>
        <w:tab/>
      </w:r>
      <w:r w:rsidR="00073404">
        <w:rPr>
          <w:szCs w:val="28"/>
        </w:rPr>
        <w:t>The Task Force is grateful for the opportunity to reply in support of its work and for the Court’s expedited consideration. It</w:t>
      </w:r>
      <w:r w:rsidR="00E93C24" w:rsidRPr="008A7B57">
        <w:rPr>
          <w:szCs w:val="28"/>
        </w:rPr>
        <w:t xml:space="preserve"> respectfully requests that the Court </w:t>
      </w:r>
      <w:proofErr w:type="gramStart"/>
      <w:r w:rsidR="00E93C24" w:rsidRPr="008A7B57">
        <w:rPr>
          <w:szCs w:val="28"/>
        </w:rPr>
        <w:t>continue on</w:t>
      </w:r>
      <w:proofErr w:type="gramEnd"/>
      <w:r w:rsidR="00E93C24" w:rsidRPr="008A7B57">
        <w:rPr>
          <w:szCs w:val="28"/>
        </w:rPr>
        <w:t xml:space="preserve"> its previously</w:t>
      </w:r>
      <w:r w:rsidR="00E93C24">
        <w:rPr>
          <w:szCs w:val="28"/>
        </w:rPr>
        <w:t xml:space="preserve"> ordered course </w:t>
      </w:r>
      <w:r w:rsidR="00E93C24" w:rsidRPr="00120EF3">
        <w:rPr>
          <w:szCs w:val="28"/>
        </w:rPr>
        <w:t>to consider th</w:t>
      </w:r>
      <w:r w:rsidR="00E93C24">
        <w:rPr>
          <w:szCs w:val="28"/>
        </w:rPr>
        <w:t>e</w:t>
      </w:r>
      <w:r w:rsidR="00E93C24" w:rsidRPr="00120EF3">
        <w:rPr>
          <w:szCs w:val="28"/>
        </w:rPr>
        <w:t xml:space="preserve"> Supplement Petition,</w:t>
      </w:r>
      <w:r w:rsidR="00E93C24">
        <w:rPr>
          <w:szCs w:val="28"/>
        </w:rPr>
        <w:t xml:space="preserve"> the</w:t>
      </w:r>
      <w:r w:rsidR="00E93C24" w:rsidRPr="00120EF3">
        <w:rPr>
          <w:szCs w:val="28"/>
        </w:rPr>
        <w:t xml:space="preserve"> comments</w:t>
      </w:r>
      <w:r w:rsidR="00E93C24">
        <w:rPr>
          <w:szCs w:val="28"/>
        </w:rPr>
        <w:t xml:space="preserve"> received, and this</w:t>
      </w:r>
      <w:r w:rsidR="00E93C24" w:rsidRPr="00120EF3">
        <w:rPr>
          <w:szCs w:val="28"/>
        </w:rPr>
        <w:t xml:space="preserve"> Reply</w:t>
      </w:r>
      <w:r w:rsidR="00E93C24">
        <w:rPr>
          <w:szCs w:val="28"/>
        </w:rPr>
        <w:t xml:space="preserve"> and the appendices thereto</w:t>
      </w:r>
      <w:r w:rsidR="00E93C24" w:rsidRPr="00120EF3">
        <w:rPr>
          <w:szCs w:val="28"/>
        </w:rPr>
        <w:t>, at its December 2024 Rules Agenda</w:t>
      </w:r>
      <w:r w:rsidR="00E93C24">
        <w:rPr>
          <w:szCs w:val="28"/>
        </w:rPr>
        <w:t xml:space="preserve">, and that it consider adopting the proposed rules appended here, with </w:t>
      </w:r>
      <w:r w:rsidR="00E93C24">
        <w:rPr>
          <w:szCs w:val="28"/>
        </w:rPr>
        <w:lastRenderedPageBreak/>
        <w:t>an effective date of January 1, 2025, if feasible, or one in due course as the Court may determine.</w:t>
      </w:r>
    </w:p>
    <w:p w14:paraId="13CD3151" w14:textId="04528155" w:rsidR="00BF4500" w:rsidRPr="00900AD8" w:rsidRDefault="00C41CA7" w:rsidP="009B67DA">
      <w:pPr>
        <w:pStyle w:val="BodyText"/>
        <w:tabs>
          <w:tab w:val="left" w:pos="711"/>
        </w:tabs>
        <w:spacing w:line="480" w:lineRule="auto"/>
        <w:jc w:val="both"/>
        <w:rPr>
          <w:color w:val="000000" w:themeColor="text1"/>
          <w:szCs w:val="28"/>
        </w:rPr>
      </w:pPr>
      <w:r w:rsidRPr="00900AD8">
        <w:rPr>
          <w:bCs/>
          <w:color w:val="000000" w:themeColor="text1"/>
          <w:szCs w:val="28"/>
        </w:rPr>
        <w:t xml:space="preserve">            </w:t>
      </w:r>
      <w:r w:rsidR="00BF4500" w:rsidRPr="00900AD8">
        <w:rPr>
          <w:bCs/>
          <w:color w:val="000000" w:themeColor="text1"/>
          <w:szCs w:val="28"/>
        </w:rPr>
        <w:t xml:space="preserve">            </w:t>
      </w:r>
      <w:r w:rsidR="00BF4500" w:rsidRPr="00900AD8">
        <w:rPr>
          <w:color w:val="000000" w:themeColor="text1"/>
          <w:szCs w:val="28"/>
        </w:rPr>
        <w:t xml:space="preserve">DATED this </w:t>
      </w:r>
      <w:r w:rsidR="00E93C24">
        <w:rPr>
          <w:color w:val="000000" w:themeColor="text1"/>
          <w:szCs w:val="28"/>
        </w:rPr>
        <w:t>4</w:t>
      </w:r>
      <w:r w:rsidR="009B67DA">
        <w:rPr>
          <w:color w:val="000000" w:themeColor="text1"/>
          <w:szCs w:val="28"/>
        </w:rPr>
        <w:t>th</w:t>
      </w:r>
      <w:r w:rsidR="00BF4500" w:rsidRPr="00900AD8">
        <w:rPr>
          <w:color w:val="000000" w:themeColor="text1"/>
          <w:szCs w:val="28"/>
        </w:rPr>
        <w:t xml:space="preserve"> day of </w:t>
      </w:r>
      <w:r w:rsidR="009B67DA">
        <w:rPr>
          <w:color w:val="000000" w:themeColor="text1"/>
          <w:szCs w:val="28"/>
        </w:rPr>
        <w:t>November</w:t>
      </w:r>
      <w:r w:rsidR="00BF4500" w:rsidRPr="00900AD8">
        <w:rPr>
          <w:color w:val="000000" w:themeColor="text1"/>
          <w:szCs w:val="28"/>
        </w:rPr>
        <w:t>, 202</w:t>
      </w:r>
      <w:r w:rsidR="00E93C24">
        <w:rPr>
          <w:color w:val="000000" w:themeColor="text1"/>
          <w:szCs w:val="28"/>
        </w:rPr>
        <w:t>4</w:t>
      </w:r>
      <w:r w:rsidR="00BF4500" w:rsidRPr="00900AD8">
        <w:rPr>
          <w:color w:val="000000" w:themeColor="text1"/>
          <w:szCs w:val="28"/>
        </w:rPr>
        <w:t>.</w:t>
      </w:r>
    </w:p>
    <w:p w14:paraId="41E9B835" w14:textId="77777777" w:rsidR="00BF4500" w:rsidRPr="00900AD8" w:rsidRDefault="00BF4500" w:rsidP="00BF4500">
      <w:pPr>
        <w:spacing w:before="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i/>
          <w:color w:val="000000" w:themeColor="text1"/>
          <w:sz w:val="28"/>
          <w:szCs w:val="28"/>
        </w:rPr>
        <w:t>_/s/ Sara J. Agne_____</w:t>
      </w:r>
      <w:r w:rsidRPr="00900AD8">
        <w:rPr>
          <w:color w:val="000000" w:themeColor="text1"/>
          <w:sz w:val="28"/>
          <w:szCs w:val="28"/>
        </w:rPr>
        <w:t>__________</w:t>
      </w:r>
    </w:p>
    <w:p w14:paraId="3E4CA38B" w14:textId="77777777" w:rsidR="00BF4500" w:rsidRPr="00900AD8" w:rsidRDefault="00BF4500" w:rsidP="00E93C24">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t>Sara J. Agne</w:t>
      </w:r>
    </w:p>
    <w:p w14:paraId="28BA504E" w14:textId="38FAD0F0" w:rsidR="00E93C24" w:rsidRDefault="00BF4500" w:rsidP="00E93C24">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00E93C24">
        <w:rPr>
          <w:color w:val="000000" w:themeColor="text1"/>
          <w:sz w:val="28"/>
          <w:szCs w:val="28"/>
        </w:rPr>
        <w:t>Task Force Chair</w:t>
      </w:r>
    </w:p>
    <w:p w14:paraId="1D2AE09E" w14:textId="5E637632" w:rsidR="00BF4500" w:rsidRPr="00900AD8" w:rsidRDefault="00323CBF" w:rsidP="00E93C24">
      <w:pPr>
        <w:ind w:left="2160" w:firstLine="720"/>
        <w:jc w:val="both"/>
        <w:rPr>
          <w:color w:val="000000" w:themeColor="text1"/>
          <w:sz w:val="28"/>
          <w:szCs w:val="28"/>
        </w:rPr>
      </w:pPr>
      <w:r w:rsidRPr="00900AD8">
        <w:rPr>
          <w:color w:val="000000" w:themeColor="text1"/>
          <w:sz w:val="28"/>
          <w:szCs w:val="28"/>
        </w:rPr>
        <w:t>Presiding Judge</w:t>
      </w:r>
      <w:r w:rsidR="00BF4500" w:rsidRPr="00900AD8">
        <w:rPr>
          <w:color w:val="000000" w:themeColor="text1"/>
          <w:sz w:val="28"/>
          <w:szCs w:val="28"/>
        </w:rPr>
        <w:t>, A</w:t>
      </w:r>
      <w:r w:rsidRPr="00900AD8">
        <w:rPr>
          <w:color w:val="000000" w:themeColor="text1"/>
          <w:sz w:val="28"/>
          <w:szCs w:val="28"/>
        </w:rPr>
        <w:t>rizona Tax Court</w:t>
      </w:r>
    </w:p>
    <w:p w14:paraId="370877B6" w14:textId="7C54901E" w:rsidR="004D5499" w:rsidRPr="009B67DA" w:rsidRDefault="00E66A0A" w:rsidP="009B67DA">
      <w:pPr>
        <w:rPr>
          <w:color w:val="000000" w:themeColor="text1"/>
          <w:sz w:val="28"/>
          <w:szCs w:val="28"/>
        </w:rPr>
      </w:pPr>
      <w:r w:rsidRPr="00900AD8">
        <w:rPr>
          <w:color w:val="000000" w:themeColor="text1"/>
          <w:sz w:val="28"/>
          <w:szCs w:val="28"/>
          <w:u w:val="single"/>
        </w:rPr>
        <w:t xml:space="preserve"> </w:t>
      </w:r>
    </w:p>
    <w:sectPr w:rsidR="004D5499" w:rsidRPr="009B67DA"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98988" w14:textId="77777777" w:rsidR="00F37275" w:rsidRDefault="00F37275">
      <w:r>
        <w:separator/>
      </w:r>
    </w:p>
  </w:endnote>
  <w:endnote w:type="continuationSeparator" w:id="0">
    <w:p w14:paraId="0DA5BBB9" w14:textId="77777777" w:rsidR="00F37275" w:rsidRDefault="00F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7D84" w14:textId="77777777" w:rsidR="00F37275" w:rsidRDefault="00F37275">
      <w:r>
        <w:separator/>
      </w:r>
    </w:p>
  </w:footnote>
  <w:footnote w:type="continuationSeparator" w:id="0">
    <w:p w14:paraId="1D7AB3DB" w14:textId="77777777" w:rsidR="00F37275" w:rsidRDefault="00F37275">
      <w:r>
        <w:continuationSeparator/>
      </w:r>
    </w:p>
  </w:footnote>
  <w:footnote w:id="1">
    <w:p w14:paraId="23EA2E04" w14:textId="462271A4" w:rsidR="009D4FB5" w:rsidRPr="009D4FB5" w:rsidRDefault="009D4FB5">
      <w:pPr>
        <w:pStyle w:val="FootnoteText"/>
        <w:rPr>
          <w:sz w:val="28"/>
          <w:szCs w:val="28"/>
        </w:rPr>
      </w:pPr>
      <w:r w:rsidRPr="009D4FB5">
        <w:rPr>
          <w:rStyle w:val="FootnoteReference"/>
          <w:sz w:val="28"/>
          <w:szCs w:val="28"/>
        </w:rPr>
        <w:footnoteRef/>
      </w:r>
      <w:r w:rsidRPr="009D4FB5">
        <w:rPr>
          <w:sz w:val="28"/>
          <w:szCs w:val="28"/>
        </w:rPr>
        <w:t xml:space="preserve"> The Chair</w:t>
      </w:r>
      <w:r w:rsidR="00A24DA9">
        <w:rPr>
          <w:sz w:val="28"/>
          <w:szCs w:val="28"/>
        </w:rPr>
        <w:t xml:space="preserve"> </w:t>
      </w:r>
      <w:r w:rsidRPr="009D4FB5">
        <w:rPr>
          <w:sz w:val="28"/>
          <w:szCs w:val="28"/>
        </w:rPr>
        <w:t>undersigned</w:t>
      </w:r>
      <w:r w:rsidR="006455E9">
        <w:rPr>
          <w:sz w:val="28"/>
          <w:szCs w:val="28"/>
        </w:rPr>
        <w:t xml:space="preserve"> </w:t>
      </w:r>
      <w:r w:rsidRPr="009D4FB5">
        <w:rPr>
          <w:sz w:val="28"/>
          <w:szCs w:val="28"/>
        </w:rPr>
        <w:t>also</w:t>
      </w:r>
      <w:r w:rsidR="006455E9">
        <w:rPr>
          <w:sz w:val="28"/>
          <w:szCs w:val="28"/>
        </w:rPr>
        <w:t xml:space="preserve"> is</w:t>
      </w:r>
      <w:r w:rsidRPr="009D4FB5">
        <w:rPr>
          <w:sz w:val="28"/>
          <w:szCs w:val="28"/>
        </w:rPr>
        <w:t xml:space="preserve"> a member of the Civil Practice and Procedure Committee of the State Bar of Arizona.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637963">
    <w:abstractNumId w:val="4"/>
  </w:num>
  <w:num w:numId="2" w16cid:durableId="1156414821">
    <w:abstractNumId w:val="9"/>
  </w:num>
  <w:num w:numId="3" w16cid:durableId="979530036">
    <w:abstractNumId w:val="12"/>
  </w:num>
  <w:num w:numId="4" w16cid:durableId="51929032">
    <w:abstractNumId w:val="1"/>
  </w:num>
  <w:num w:numId="5" w16cid:durableId="2132356216">
    <w:abstractNumId w:val="13"/>
  </w:num>
  <w:num w:numId="6" w16cid:durableId="706413915">
    <w:abstractNumId w:val="10"/>
  </w:num>
  <w:num w:numId="7" w16cid:durableId="1168054269">
    <w:abstractNumId w:val="5"/>
  </w:num>
  <w:num w:numId="8" w16cid:durableId="1143962861">
    <w:abstractNumId w:val="8"/>
  </w:num>
  <w:num w:numId="9" w16cid:durableId="627322406">
    <w:abstractNumId w:val="7"/>
  </w:num>
  <w:num w:numId="10" w16cid:durableId="121316220">
    <w:abstractNumId w:val="14"/>
  </w:num>
  <w:num w:numId="11" w16cid:durableId="1747994092">
    <w:abstractNumId w:val="2"/>
  </w:num>
  <w:num w:numId="12" w16cid:durableId="739981299">
    <w:abstractNumId w:val="6"/>
  </w:num>
  <w:num w:numId="13" w16cid:durableId="1033309515">
    <w:abstractNumId w:val="3"/>
  </w:num>
  <w:num w:numId="14" w16cid:durableId="1007050902">
    <w:abstractNumId w:val="11"/>
  </w:num>
  <w:num w:numId="15" w16cid:durableId="39616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050F5"/>
    <w:rsid w:val="00010DBC"/>
    <w:rsid w:val="00014F13"/>
    <w:rsid w:val="00016835"/>
    <w:rsid w:val="0002547F"/>
    <w:rsid w:val="000409A2"/>
    <w:rsid w:val="00041FC5"/>
    <w:rsid w:val="0004337F"/>
    <w:rsid w:val="000476BF"/>
    <w:rsid w:val="00054594"/>
    <w:rsid w:val="00062089"/>
    <w:rsid w:val="00063A90"/>
    <w:rsid w:val="00064955"/>
    <w:rsid w:val="00070435"/>
    <w:rsid w:val="000710A2"/>
    <w:rsid w:val="00073404"/>
    <w:rsid w:val="00084480"/>
    <w:rsid w:val="00094B58"/>
    <w:rsid w:val="000A0337"/>
    <w:rsid w:val="000A717F"/>
    <w:rsid w:val="000B2CEB"/>
    <w:rsid w:val="000B659A"/>
    <w:rsid w:val="000B7448"/>
    <w:rsid w:val="000C0E99"/>
    <w:rsid w:val="000C0EDF"/>
    <w:rsid w:val="000C5CB0"/>
    <w:rsid w:val="000D0999"/>
    <w:rsid w:val="000E08B7"/>
    <w:rsid w:val="000E37DB"/>
    <w:rsid w:val="000E3B3A"/>
    <w:rsid w:val="000E7EE1"/>
    <w:rsid w:val="000F7DEC"/>
    <w:rsid w:val="00101F9C"/>
    <w:rsid w:val="00112975"/>
    <w:rsid w:val="00114090"/>
    <w:rsid w:val="00120C0B"/>
    <w:rsid w:val="001220E0"/>
    <w:rsid w:val="001239F6"/>
    <w:rsid w:val="00130FC7"/>
    <w:rsid w:val="00135C63"/>
    <w:rsid w:val="0014152E"/>
    <w:rsid w:val="001451DE"/>
    <w:rsid w:val="001464F3"/>
    <w:rsid w:val="00156144"/>
    <w:rsid w:val="0016454E"/>
    <w:rsid w:val="00164DE3"/>
    <w:rsid w:val="00171E26"/>
    <w:rsid w:val="00171F82"/>
    <w:rsid w:val="00194284"/>
    <w:rsid w:val="001966BD"/>
    <w:rsid w:val="001A07C4"/>
    <w:rsid w:val="001A3658"/>
    <w:rsid w:val="001A7EF9"/>
    <w:rsid w:val="001B030F"/>
    <w:rsid w:val="001B3B17"/>
    <w:rsid w:val="001B6095"/>
    <w:rsid w:val="001C49BB"/>
    <w:rsid w:val="001C7389"/>
    <w:rsid w:val="001E0228"/>
    <w:rsid w:val="001E171A"/>
    <w:rsid w:val="001E46BA"/>
    <w:rsid w:val="001E5139"/>
    <w:rsid w:val="001F3F71"/>
    <w:rsid w:val="00203A57"/>
    <w:rsid w:val="0020422E"/>
    <w:rsid w:val="00204415"/>
    <w:rsid w:val="00204848"/>
    <w:rsid w:val="00206EE6"/>
    <w:rsid w:val="002166E4"/>
    <w:rsid w:val="00220D01"/>
    <w:rsid w:val="00222344"/>
    <w:rsid w:val="002226D5"/>
    <w:rsid w:val="0022786E"/>
    <w:rsid w:val="00246E9A"/>
    <w:rsid w:val="00251D2C"/>
    <w:rsid w:val="002545BD"/>
    <w:rsid w:val="00254E37"/>
    <w:rsid w:val="00272AD8"/>
    <w:rsid w:val="0027365A"/>
    <w:rsid w:val="0028442C"/>
    <w:rsid w:val="00286573"/>
    <w:rsid w:val="00291B34"/>
    <w:rsid w:val="0029218E"/>
    <w:rsid w:val="00294568"/>
    <w:rsid w:val="002954B2"/>
    <w:rsid w:val="002967EB"/>
    <w:rsid w:val="0029769D"/>
    <w:rsid w:val="002A3826"/>
    <w:rsid w:val="002A484D"/>
    <w:rsid w:val="002A62C5"/>
    <w:rsid w:val="002C0C51"/>
    <w:rsid w:val="002C260D"/>
    <w:rsid w:val="002C3D60"/>
    <w:rsid w:val="002D22D6"/>
    <w:rsid w:val="002D4D28"/>
    <w:rsid w:val="002D5B9B"/>
    <w:rsid w:val="002E4504"/>
    <w:rsid w:val="002E475E"/>
    <w:rsid w:val="002F00C4"/>
    <w:rsid w:val="002F576D"/>
    <w:rsid w:val="002F7963"/>
    <w:rsid w:val="0030696F"/>
    <w:rsid w:val="003076CF"/>
    <w:rsid w:val="0031002A"/>
    <w:rsid w:val="00311D4B"/>
    <w:rsid w:val="00311EE5"/>
    <w:rsid w:val="00316C1C"/>
    <w:rsid w:val="00321B38"/>
    <w:rsid w:val="00323CBF"/>
    <w:rsid w:val="00327FF9"/>
    <w:rsid w:val="00330E95"/>
    <w:rsid w:val="00331E30"/>
    <w:rsid w:val="00335AF8"/>
    <w:rsid w:val="003405F9"/>
    <w:rsid w:val="00352526"/>
    <w:rsid w:val="00352D09"/>
    <w:rsid w:val="00363E5E"/>
    <w:rsid w:val="00367112"/>
    <w:rsid w:val="003815A3"/>
    <w:rsid w:val="00381690"/>
    <w:rsid w:val="00382EE8"/>
    <w:rsid w:val="00384804"/>
    <w:rsid w:val="00384D36"/>
    <w:rsid w:val="003853C4"/>
    <w:rsid w:val="00395568"/>
    <w:rsid w:val="003A03CA"/>
    <w:rsid w:val="003A171B"/>
    <w:rsid w:val="003A3790"/>
    <w:rsid w:val="003A4671"/>
    <w:rsid w:val="003A5F66"/>
    <w:rsid w:val="003A6B61"/>
    <w:rsid w:val="003A770F"/>
    <w:rsid w:val="003B73EF"/>
    <w:rsid w:val="003C307E"/>
    <w:rsid w:val="003C429B"/>
    <w:rsid w:val="003C7139"/>
    <w:rsid w:val="003D73E0"/>
    <w:rsid w:val="003F0B50"/>
    <w:rsid w:val="003F0F10"/>
    <w:rsid w:val="004057D7"/>
    <w:rsid w:val="004072B3"/>
    <w:rsid w:val="0041229A"/>
    <w:rsid w:val="00415027"/>
    <w:rsid w:val="00423F44"/>
    <w:rsid w:val="00430699"/>
    <w:rsid w:val="00432A28"/>
    <w:rsid w:val="00434DBF"/>
    <w:rsid w:val="004401D5"/>
    <w:rsid w:val="00441F72"/>
    <w:rsid w:val="004462DA"/>
    <w:rsid w:val="00450A4A"/>
    <w:rsid w:val="00452A0D"/>
    <w:rsid w:val="00465E46"/>
    <w:rsid w:val="0046620F"/>
    <w:rsid w:val="00466D75"/>
    <w:rsid w:val="00472065"/>
    <w:rsid w:val="00475773"/>
    <w:rsid w:val="004825C5"/>
    <w:rsid w:val="0049007D"/>
    <w:rsid w:val="004935AD"/>
    <w:rsid w:val="00494527"/>
    <w:rsid w:val="004A330A"/>
    <w:rsid w:val="004B066C"/>
    <w:rsid w:val="004B0E53"/>
    <w:rsid w:val="004B18E3"/>
    <w:rsid w:val="004B6375"/>
    <w:rsid w:val="004D5499"/>
    <w:rsid w:val="004E1324"/>
    <w:rsid w:val="004E14B8"/>
    <w:rsid w:val="004E1EA8"/>
    <w:rsid w:val="004F26BF"/>
    <w:rsid w:val="004F57C6"/>
    <w:rsid w:val="00516E1B"/>
    <w:rsid w:val="00516E35"/>
    <w:rsid w:val="0052528B"/>
    <w:rsid w:val="00544249"/>
    <w:rsid w:val="00552154"/>
    <w:rsid w:val="00552B6E"/>
    <w:rsid w:val="00557D60"/>
    <w:rsid w:val="00562710"/>
    <w:rsid w:val="0056732A"/>
    <w:rsid w:val="0057310B"/>
    <w:rsid w:val="00590E40"/>
    <w:rsid w:val="005A7BDB"/>
    <w:rsid w:val="005B4351"/>
    <w:rsid w:val="005C08D4"/>
    <w:rsid w:val="005C3208"/>
    <w:rsid w:val="005C470C"/>
    <w:rsid w:val="005C7C06"/>
    <w:rsid w:val="005D03AF"/>
    <w:rsid w:val="005D0458"/>
    <w:rsid w:val="005D2313"/>
    <w:rsid w:val="005D3F4B"/>
    <w:rsid w:val="005F11EA"/>
    <w:rsid w:val="005F3D17"/>
    <w:rsid w:val="005F7BBA"/>
    <w:rsid w:val="006007F5"/>
    <w:rsid w:val="00600973"/>
    <w:rsid w:val="0060188F"/>
    <w:rsid w:val="006052DE"/>
    <w:rsid w:val="00605591"/>
    <w:rsid w:val="006072CC"/>
    <w:rsid w:val="00613518"/>
    <w:rsid w:val="0061354D"/>
    <w:rsid w:val="00615DBF"/>
    <w:rsid w:val="0061656B"/>
    <w:rsid w:val="00623CFC"/>
    <w:rsid w:val="006356D7"/>
    <w:rsid w:val="00636615"/>
    <w:rsid w:val="00642063"/>
    <w:rsid w:val="006455E9"/>
    <w:rsid w:val="00656710"/>
    <w:rsid w:val="00657E55"/>
    <w:rsid w:val="00660C0F"/>
    <w:rsid w:val="00661B33"/>
    <w:rsid w:val="00672F03"/>
    <w:rsid w:val="00681559"/>
    <w:rsid w:val="00695322"/>
    <w:rsid w:val="006A280D"/>
    <w:rsid w:val="006A51FD"/>
    <w:rsid w:val="006A79DB"/>
    <w:rsid w:val="006B4552"/>
    <w:rsid w:val="006B55F6"/>
    <w:rsid w:val="006C307F"/>
    <w:rsid w:val="006D15AA"/>
    <w:rsid w:val="006D5FFA"/>
    <w:rsid w:val="006E3663"/>
    <w:rsid w:val="006E3F35"/>
    <w:rsid w:val="006F1AB6"/>
    <w:rsid w:val="006F60FA"/>
    <w:rsid w:val="00702467"/>
    <w:rsid w:val="00705211"/>
    <w:rsid w:val="00710989"/>
    <w:rsid w:val="00712033"/>
    <w:rsid w:val="00716C66"/>
    <w:rsid w:val="00726D5D"/>
    <w:rsid w:val="007406F1"/>
    <w:rsid w:val="00742558"/>
    <w:rsid w:val="00751F83"/>
    <w:rsid w:val="00753937"/>
    <w:rsid w:val="00754B4B"/>
    <w:rsid w:val="00763789"/>
    <w:rsid w:val="007640C5"/>
    <w:rsid w:val="00781282"/>
    <w:rsid w:val="00782F11"/>
    <w:rsid w:val="00785F30"/>
    <w:rsid w:val="00793E22"/>
    <w:rsid w:val="007A4A1D"/>
    <w:rsid w:val="007B3A55"/>
    <w:rsid w:val="007C0C6A"/>
    <w:rsid w:val="007C0D6E"/>
    <w:rsid w:val="007C2E0D"/>
    <w:rsid w:val="007D5D7A"/>
    <w:rsid w:val="007D7FF1"/>
    <w:rsid w:val="007E3B02"/>
    <w:rsid w:val="007E44D6"/>
    <w:rsid w:val="007E62D4"/>
    <w:rsid w:val="007F7F7B"/>
    <w:rsid w:val="00810ECF"/>
    <w:rsid w:val="008110D0"/>
    <w:rsid w:val="00811B6D"/>
    <w:rsid w:val="00814FA8"/>
    <w:rsid w:val="00816622"/>
    <w:rsid w:val="00822E89"/>
    <w:rsid w:val="008248E9"/>
    <w:rsid w:val="00833F02"/>
    <w:rsid w:val="00834896"/>
    <w:rsid w:val="008503F2"/>
    <w:rsid w:val="00851A26"/>
    <w:rsid w:val="00851AF9"/>
    <w:rsid w:val="00866FAE"/>
    <w:rsid w:val="00867E15"/>
    <w:rsid w:val="00871C88"/>
    <w:rsid w:val="00874930"/>
    <w:rsid w:val="0088177D"/>
    <w:rsid w:val="00884CC4"/>
    <w:rsid w:val="0088742A"/>
    <w:rsid w:val="0088794C"/>
    <w:rsid w:val="008908F0"/>
    <w:rsid w:val="00891749"/>
    <w:rsid w:val="00892F9D"/>
    <w:rsid w:val="00893543"/>
    <w:rsid w:val="008A18F8"/>
    <w:rsid w:val="008A7B57"/>
    <w:rsid w:val="008A7F7D"/>
    <w:rsid w:val="008B227A"/>
    <w:rsid w:val="008B5A58"/>
    <w:rsid w:val="008C75AD"/>
    <w:rsid w:val="008D3E3D"/>
    <w:rsid w:val="008D53B1"/>
    <w:rsid w:val="008D5A01"/>
    <w:rsid w:val="008E716B"/>
    <w:rsid w:val="008E7E85"/>
    <w:rsid w:val="008F26A1"/>
    <w:rsid w:val="008F5ED6"/>
    <w:rsid w:val="00900AD8"/>
    <w:rsid w:val="00903404"/>
    <w:rsid w:val="0091039C"/>
    <w:rsid w:val="009107A9"/>
    <w:rsid w:val="00910A20"/>
    <w:rsid w:val="00910CC0"/>
    <w:rsid w:val="00911252"/>
    <w:rsid w:val="009125CB"/>
    <w:rsid w:val="00921F3A"/>
    <w:rsid w:val="009264C1"/>
    <w:rsid w:val="00932BE0"/>
    <w:rsid w:val="00933DFC"/>
    <w:rsid w:val="00933F65"/>
    <w:rsid w:val="009357A6"/>
    <w:rsid w:val="00937D74"/>
    <w:rsid w:val="00937EA2"/>
    <w:rsid w:val="00946825"/>
    <w:rsid w:val="00955820"/>
    <w:rsid w:val="00957BBA"/>
    <w:rsid w:val="009667CB"/>
    <w:rsid w:val="00971353"/>
    <w:rsid w:val="00972473"/>
    <w:rsid w:val="00976F01"/>
    <w:rsid w:val="00983A04"/>
    <w:rsid w:val="00985AC4"/>
    <w:rsid w:val="009862E6"/>
    <w:rsid w:val="009906A8"/>
    <w:rsid w:val="0099102F"/>
    <w:rsid w:val="00991211"/>
    <w:rsid w:val="00994665"/>
    <w:rsid w:val="009A2705"/>
    <w:rsid w:val="009B0D47"/>
    <w:rsid w:val="009B0EBD"/>
    <w:rsid w:val="009B3E3D"/>
    <w:rsid w:val="009B67DA"/>
    <w:rsid w:val="009C3B71"/>
    <w:rsid w:val="009D0FBC"/>
    <w:rsid w:val="009D231B"/>
    <w:rsid w:val="009D4FB5"/>
    <w:rsid w:val="009F136F"/>
    <w:rsid w:val="009F5930"/>
    <w:rsid w:val="00A01980"/>
    <w:rsid w:val="00A053BE"/>
    <w:rsid w:val="00A05FD7"/>
    <w:rsid w:val="00A125DB"/>
    <w:rsid w:val="00A20696"/>
    <w:rsid w:val="00A210DF"/>
    <w:rsid w:val="00A22B07"/>
    <w:rsid w:val="00A24DA9"/>
    <w:rsid w:val="00A25376"/>
    <w:rsid w:val="00A32156"/>
    <w:rsid w:val="00A32A88"/>
    <w:rsid w:val="00A348F0"/>
    <w:rsid w:val="00A34B57"/>
    <w:rsid w:val="00A4013E"/>
    <w:rsid w:val="00A40C31"/>
    <w:rsid w:val="00A52141"/>
    <w:rsid w:val="00A53016"/>
    <w:rsid w:val="00A530BF"/>
    <w:rsid w:val="00A56423"/>
    <w:rsid w:val="00A61FF5"/>
    <w:rsid w:val="00A73AC8"/>
    <w:rsid w:val="00A81227"/>
    <w:rsid w:val="00A81C59"/>
    <w:rsid w:val="00A828FF"/>
    <w:rsid w:val="00A929EB"/>
    <w:rsid w:val="00A96BA7"/>
    <w:rsid w:val="00AA6BB9"/>
    <w:rsid w:val="00AB3C45"/>
    <w:rsid w:val="00AF3BF5"/>
    <w:rsid w:val="00B021F3"/>
    <w:rsid w:val="00B11672"/>
    <w:rsid w:val="00B12BA8"/>
    <w:rsid w:val="00B23469"/>
    <w:rsid w:val="00B2522B"/>
    <w:rsid w:val="00B256DE"/>
    <w:rsid w:val="00B307CE"/>
    <w:rsid w:val="00B3367B"/>
    <w:rsid w:val="00B35AAC"/>
    <w:rsid w:val="00B376AE"/>
    <w:rsid w:val="00B45779"/>
    <w:rsid w:val="00B46592"/>
    <w:rsid w:val="00B554C6"/>
    <w:rsid w:val="00B57432"/>
    <w:rsid w:val="00B60C05"/>
    <w:rsid w:val="00B64E18"/>
    <w:rsid w:val="00B70A7F"/>
    <w:rsid w:val="00B80328"/>
    <w:rsid w:val="00B8057F"/>
    <w:rsid w:val="00B8061E"/>
    <w:rsid w:val="00B87299"/>
    <w:rsid w:val="00B91E14"/>
    <w:rsid w:val="00B91FCC"/>
    <w:rsid w:val="00B93C99"/>
    <w:rsid w:val="00BA0419"/>
    <w:rsid w:val="00BA0D86"/>
    <w:rsid w:val="00BA1306"/>
    <w:rsid w:val="00BA340C"/>
    <w:rsid w:val="00BC3783"/>
    <w:rsid w:val="00BC38CE"/>
    <w:rsid w:val="00BD1C29"/>
    <w:rsid w:val="00BD1C33"/>
    <w:rsid w:val="00BD373E"/>
    <w:rsid w:val="00BD3B93"/>
    <w:rsid w:val="00BD7A24"/>
    <w:rsid w:val="00BE23B0"/>
    <w:rsid w:val="00BE2F8C"/>
    <w:rsid w:val="00BF4500"/>
    <w:rsid w:val="00C00376"/>
    <w:rsid w:val="00C04654"/>
    <w:rsid w:val="00C06B90"/>
    <w:rsid w:val="00C0704A"/>
    <w:rsid w:val="00C10B4D"/>
    <w:rsid w:val="00C120DF"/>
    <w:rsid w:val="00C121E4"/>
    <w:rsid w:val="00C15B5A"/>
    <w:rsid w:val="00C16580"/>
    <w:rsid w:val="00C20483"/>
    <w:rsid w:val="00C25222"/>
    <w:rsid w:val="00C351DA"/>
    <w:rsid w:val="00C41CA7"/>
    <w:rsid w:val="00C4661C"/>
    <w:rsid w:val="00C470E5"/>
    <w:rsid w:val="00C543A4"/>
    <w:rsid w:val="00C54EF8"/>
    <w:rsid w:val="00C55B9E"/>
    <w:rsid w:val="00C6522C"/>
    <w:rsid w:val="00C67CA5"/>
    <w:rsid w:val="00C85D57"/>
    <w:rsid w:val="00C87389"/>
    <w:rsid w:val="00C90839"/>
    <w:rsid w:val="00C96601"/>
    <w:rsid w:val="00CB05DC"/>
    <w:rsid w:val="00CB085A"/>
    <w:rsid w:val="00CB69C5"/>
    <w:rsid w:val="00CC0A43"/>
    <w:rsid w:val="00CD1B7F"/>
    <w:rsid w:val="00CF6BC5"/>
    <w:rsid w:val="00D0366F"/>
    <w:rsid w:val="00D21D5D"/>
    <w:rsid w:val="00D25ED1"/>
    <w:rsid w:val="00D2783D"/>
    <w:rsid w:val="00D27B00"/>
    <w:rsid w:val="00D27E20"/>
    <w:rsid w:val="00D3283E"/>
    <w:rsid w:val="00D34176"/>
    <w:rsid w:val="00D4359D"/>
    <w:rsid w:val="00D50085"/>
    <w:rsid w:val="00D52EB6"/>
    <w:rsid w:val="00D52FE5"/>
    <w:rsid w:val="00D53E35"/>
    <w:rsid w:val="00D53F7E"/>
    <w:rsid w:val="00D63A59"/>
    <w:rsid w:val="00D706E2"/>
    <w:rsid w:val="00D72696"/>
    <w:rsid w:val="00D8417E"/>
    <w:rsid w:val="00D87F80"/>
    <w:rsid w:val="00D90C79"/>
    <w:rsid w:val="00D918F2"/>
    <w:rsid w:val="00D930DA"/>
    <w:rsid w:val="00D94362"/>
    <w:rsid w:val="00D9442D"/>
    <w:rsid w:val="00DB06C6"/>
    <w:rsid w:val="00DB344A"/>
    <w:rsid w:val="00DB5D2F"/>
    <w:rsid w:val="00DC4916"/>
    <w:rsid w:val="00DC4A55"/>
    <w:rsid w:val="00DC5878"/>
    <w:rsid w:val="00DC7770"/>
    <w:rsid w:val="00DD540B"/>
    <w:rsid w:val="00DE1B0D"/>
    <w:rsid w:val="00DE6792"/>
    <w:rsid w:val="00DF0B5D"/>
    <w:rsid w:val="00DF2BB5"/>
    <w:rsid w:val="00DF3F66"/>
    <w:rsid w:val="00DF4649"/>
    <w:rsid w:val="00DF54BF"/>
    <w:rsid w:val="00DF6F3F"/>
    <w:rsid w:val="00E0019F"/>
    <w:rsid w:val="00E01020"/>
    <w:rsid w:val="00E012C2"/>
    <w:rsid w:val="00E03BB6"/>
    <w:rsid w:val="00E03DC7"/>
    <w:rsid w:val="00E05418"/>
    <w:rsid w:val="00E06AFB"/>
    <w:rsid w:val="00E10DBA"/>
    <w:rsid w:val="00E318D6"/>
    <w:rsid w:val="00E32482"/>
    <w:rsid w:val="00E40858"/>
    <w:rsid w:val="00E46152"/>
    <w:rsid w:val="00E66A0A"/>
    <w:rsid w:val="00E66AFE"/>
    <w:rsid w:val="00E74909"/>
    <w:rsid w:val="00E7723D"/>
    <w:rsid w:val="00E8375F"/>
    <w:rsid w:val="00E8448E"/>
    <w:rsid w:val="00E930DA"/>
    <w:rsid w:val="00E93C24"/>
    <w:rsid w:val="00E96302"/>
    <w:rsid w:val="00EA14C0"/>
    <w:rsid w:val="00EB028F"/>
    <w:rsid w:val="00EC02BB"/>
    <w:rsid w:val="00ED04A5"/>
    <w:rsid w:val="00ED5A3B"/>
    <w:rsid w:val="00ED7967"/>
    <w:rsid w:val="00EE0A66"/>
    <w:rsid w:val="00EE0B76"/>
    <w:rsid w:val="00EE2BC2"/>
    <w:rsid w:val="00EE40B0"/>
    <w:rsid w:val="00EE40CC"/>
    <w:rsid w:val="00EE4124"/>
    <w:rsid w:val="00EE4847"/>
    <w:rsid w:val="00EE4D4F"/>
    <w:rsid w:val="00EF190C"/>
    <w:rsid w:val="00F01351"/>
    <w:rsid w:val="00F03224"/>
    <w:rsid w:val="00F03FDF"/>
    <w:rsid w:val="00F0477F"/>
    <w:rsid w:val="00F04FDA"/>
    <w:rsid w:val="00F0605D"/>
    <w:rsid w:val="00F15D8F"/>
    <w:rsid w:val="00F2479C"/>
    <w:rsid w:val="00F26FFD"/>
    <w:rsid w:val="00F27BF6"/>
    <w:rsid w:val="00F31320"/>
    <w:rsid w:val="00F3179C"/>
    <w:rsid w:val="00F321B7"/>
    <w:rsid w:val="00F33F76"/>
    <w:rsid w:val="00F34719"/>
    <w:rsid w:val="00F37275"/>
    <w:rsid w:val="00F40359"/>
    <w:rsid w:val="00F4386D"/>
    <w:rsid w:val="00F51D92"/>
    <w:rsid w:val="00F618AD"/>
    <w:rsid w:val="00F624A5"/>
    <w:rsid w:val="00F73E2A"/>
    <w:rsid w:val="00F80A42"/>
    <w:rsid w:val="00F81DB9"/>
    <w:rsid w:val="00F82A57"/>
    <w:rsid w:val="00F84736"/>
    <w:rsid w:val="00F94293"/>
    <w:rsid w:val="00FA09C0"/>
    <w:rsid w:val="00FA20F3"/>
    <w:rsid w:val="00FB1AFC"/>
    <w:rsid w:val="00FB243E"/>
    <w:rsid w:val="00FB4EDF"/>
    <w:rsid w:val="00FC0B07"/>
    <w:rsid w:val="00FC3BAC"/>
    <w:rsid w:val="00FD47C6"/>
    <w:rsid w:val="00FE096C"/>
    <w:rsid w:val="00FE5750"/>
    <w:rsid w:val="00FE6038"/>
    <w:rsid w:val="00FE7840"/>
    <w:rsid w:val="00FF1A3D"/>
    <w:rsid w:val="00FF2B36"/>
    <w:rsid w:val="00FF304D"/>
    <w:rsid w:val="00FF3615"/>
    <w:rsid w:val="00FF3ADB"/>
    <w:rsid w:val="00FF643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392849303">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219904284">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869</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5286</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10</cp:revision>
  <cp:lastPrinted>2024-11-05T05:08:00Z</cp:lastPrinted>
  <dcterms:created xsi:type="dcterms:W3CDTF">2024-11-04T06:20:00Z</dcterms:created>
  <dcterms:modified xsi:type="dcterms:W3CDTF">2024-11-05T05:09:00Z</dcterms:modified>
</cp:coreProperties>
</file>