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CAFA" w14:textId="77777777" w:rsidR="00995585" w:rsidRDefault="00691650" w:rsidP="000344C1">
      <w:pPr>
        <w:widowControl/>
        <w:rPr>
          <w:bCs/>
          <w:sz w:val="28"/>
          <w:szCs w:val="28"/>
        </w:rPr>
      </w:pPr>
      <w:r>
        <w:rPr>
          <w:bCs/>
          <w:sz w:val="28"/>
          <w:szCs w:val="28"/>
        </w:rPr>
        <w:t>April P. Ell</w:t>
      </w:r>
      <w:r w:rsidR="00995585">
        <w:rPr>
          <w:bCs/>
          <w:sz w:val="28"/>
          <w:szCs w:val="28"/>
        </w:rPr>
        <w:t>iott, SBN 016701</w:t>
      </w:r>
    </w:p>
    <w:p w14:paraId="62409DAD" w14:textId="6A03E51F" w:rsidR="00691650" w:rsidRDefault="006713CE" w:rsidP="000344C1">
      <w:pPr>
        <w:widowControl/>
        <w:rPr>
          <w:bCs/>
          <w:sz w:val="28"/>
          <w:szCs w:val="28"/>
        </w:rPr>
      </w:pPr>
      <w:r>
        <w:rPr>
          <w:bCs/>
          <w:sz w:val="28"/>
          <w:szCs w:val="28"/>
        </w:rPr>
        <w:t>Executive Director</w:t>
      </w:r>
    </w:p>
    <w:p w14:paraId="63EDF347" w14:textId="77777777" w:rsidR="000344C1" w:rsidRPr="00BC1F31" w:rsidRDefault="000344C1" w:rsidP="000344C1">
      <w:pPr>
        <w:widowControl/>
        <w:rPr>
          <w:bCs/>
          <w:sz w:val="28"/>
          <w:szCs w:val="28"/>
        </w:rPr>
      </w:pPr>
      <w:r w:rsidRPr="00BC1F31">
        <w:rPr>
          <w:bCs/>
          <w:sz w:val="28"/>
          <w:szCs w:val="28"/>
        </w:rPr>
        <w:t>Arizona Commission on Judicial Conduct</w:t>
      </w:r>
    </w:p>
    <w:p w14:paraId="3A9AC72E" w14:textId="77777777" w:rsidR="000344C1" w:rsidRPr="00BC1F31" w:rsidRDefault="000344C1" w:rsidP="000344C1">
      <w:pPr>
        <w:widowControl/>
        <w:rPr>
          <w:bCs/>
          <w:sz w:val="28"/>
          <w:szCs w:val="28"/>
        </w:rPr>
      </w:pPr>
      <w:r w:rsidRPr="00BC1F31">
        <w:rPr>
          <w:bCs/>
          <w:sz w:val="28"/>
          <w:szCs w:val="28"/>
        </w:rPr>
        <w:t>1501 West Washington Street, Suite 229</w:t>
      </w:r>
    </w:p>
    <w:p w14:paraId="5ED80820" w14:textId="77777777" w:rsidR="000344C1" w:rsidRPr="00BC1F31" w:rsidRDefault="000344C1" w:rsidP="000344C1">
      <w:pPr>
        <w:widowControl/>
        <w:rPr>
          <w:bCs/>
          <w:sz w:val="28"/>
          <w:szCs w:val="28"/>
        </w:rPr>
      </w:pPr>
      <w:r w:rsidRPr="00BC1F31">
        <w:rPr>
          <w:bCs/>
          <w:sz w:val="28"/>
          <w:szCs w:val="28"/>
        </w:rPr>
        <w:t>Phoenix, AZ 85007</w:t>
      </w:r>
    </w:p>
    <w:p w14:paraId="20BC9A5B" w14:textId="77777777" w:rsidR="000344C1" w:rsidRPr="00BC1F31" w:rsidRDefault="000344C1" w:rsidP="000344C1">
      <w:pPr>
        <w:widowControl/>
        <w:rPr>
          <w:bCs/>
          <w:sz w:val="28"/>
          <w:szCs w:val="28"/>
        </w:rPr>
      </w:pPr>
      <w:r w:rsidRPr="00BC1F31">
        <w:rPr>
          <w:bCs/>
          <w:sz w:val="28"/>
          <w:szCs w:val="28"/>
        </w:rPr>
        <w:t>Telephone: (602) 452-3200</w:t>
      </w:r>
    </w:p>
    <w:p w14:paraId="7E7A49A8" w14:textId="77777777" w:rsidR="000344C1" w:rsidRPr="00BC1F31" w:rsidRDefault="000344C1" w:rsidP="000344C1">
      <w:pPr>
        <w:widowControl/>
        <w:rPr>
          <w:bCs/>
          <w:sz w:val="28"/>
          <w:szCs w:val="28"/>
        </w:rPr>
      </w:pPr>
      <w:r w:rsidRPr="00BC1F31">
        <w:rPr>
          <w:bCs/>
          <w:sz w:val="28"/>
          <w:szCs w:val="28"/>
        </w:rPr>
        <w:t xml:space="preserve">Email: </w:t>
      </w:r>
      <w:r w:rsidR="00BA39FF">
        <w:rPr>
          <w:bCs/>
          <w:i/>
          <w:sz w:val="28"/>
          <w:szCs w:val="28"/>
        </w:rPr>
        <w:t>aelliott</w:t>
      </w:r>
      <w:r w:rsidRPr="00BC1F31">
        <w:rPr>
          <w:bCs/>
          <w:i/>
          <w:sz w:val="28"/>
          <w:szCs w:val="28"/>
        </w:rPr>
        <w:t>@courts.az.gov</w:t>
      </w:r>
    </w:p>
    <w:p w14:paraId="34689F81" w14:textId="77777777" w:rsidR="000344C1" w:rsidRPr="00BC1F31" w:rsidRDefault="000344C1" w:rsidP="000344C1">
      <w:pPr>
        <w:widowControl/>
        <w:rPr>
          <w:bCs/>
          <w:sz w:val="28"/>
          <w:szCs w:val="28"/>
        </w:rPr>
      </w:pPr>
    </w:p>
    <w:p w14:paraId="2CBBD9E0" w14:textId="77777777" w:rsidR="00205263" w:rsidRPr="00BC1F31" w:rsidRDefault="00205263" w:rsidP="000344C1">
      <w:pPr>
        <w:widowControl/>
        <w:rPr>
          <w:bCs/>
          <w:sz w:val="28"/>
          <w:szCs w:val="28"/>
        </w:rPr>
      </w:pPr>
      <w:bookmarkStart w:id="0" w:name="_Hlk500332116"/>
    </w:p>
    <w:p w14:paraId="3DA24130" w14:textId="77777777" w:rsidR="000344C1" w:rsidRDefault="00BC1F31" w:rsidP="000344C1">
      <w:pPr>
        <w:keepNext/>
        <w:keepLines/>
        <w:widowControl/>
        <w:spacing w:line="360" w:lineRule="auto"/>
        <w:jc w:val="center"/>
        <w:rPr>
          <w:b/>
          <w:bCs/>
          <w:sz w:val="28"/>
          <w:szCs w:val="28"/>
        </w:rPr>
      </w:pPr>
      <w:r>
        <w:rPr>
          <w:b/>
          <w:bCs/>
          <w:sz w:val="28"/>
          <w:szCs w:val="28"/>
        </w:rPr>
        <w:t>IN THE SUPREME COURT</w:t>
      </w:r>
    </w:p>
    <w:p w14:paraId="14ABADF9" w14:textId="77777777" w:rsidR="00BC1F31" w:rsidRPr="00BC1F31" w:rsidRDefault="00BC1F31" w:rsidP="000344C1">
      <w:pPr>
        <w:keepNext/>
        <w:keepLines/>
        <w:widowControl/>
        <w:spacing w:line="360" w:lineRule="auto"/>
        <w:jc w:val="center"/>
        <w:rPr>
          <w:b/>
          <w:bCs/>
          <w:sz w:val="28"/>
          <w:szCs w:val="28"/>
        </w:rPr>
      </w:pPr>
      <w:r>
        <w:rPr>
          <w:b/>
          <w:bCs/>
          <w:sz w:val="28"/>
          <w:szCs w:val="28"/>
        </w:rPr>
        <w:t>STATE OF ARIZONA</w:t>
      </w:r>
    </w:p>
    <w:bookmarkEnd w:id="0"/>
    <w:p w14:paraId="193DF3A4" w14:textId="77777777" w:rsidR="000344C1" w:rsidRPr="00BC1F31" w:rsidRDefault="000344C1" w:rsidP="000344C1">
      <w:pPr>
        <w:keepLines/>
        <w:widowControl/>
        <w:rPr>
          <w:b/>
          <w:bCs/>
          <w:sz w:val="28"/>
          <w:szCs w:val="28"/>
        </w:rPr>
      </w:pPr>
    </w:p>
    <w:tbl>
      <w:tblPr>
        <w:tblW w:w="9359" w:type="dxa"/>
        <w:tblInd w:w="108" w:type="dxa"/>
        <w:tblLayout w:type="fixed"/>
        <w:tblLook w:val="0000" w:firstRow="0" w:lastRow="0" w:firstColumn="0" w:lastColumn="0" w:noHBand="0" w:noVBand="0"/>
      </w:tblPr>
      <w:tblGrid>
        <w:gridCol w:w="4500"/>
        <w:gridCol w:w="295"/>
        <w:gridCol w:w="4564"/>
      </w:tblGrid>
      <w:tr w:rsidR="00BC1F31" w:rsidRPr="00D75F07" w14:paraId="69945EEA" w14:textId="77777777" w:rsidTr="00491E49">
        <w:trPr>
          <w:trHeight w:hRule="exact" w:val="2400"/>
        </w:trPr>
        <w:tc>
          <w:tcPr>
            <w:tcW w:w="4500" w:type="dxa"/>
            <w:tcBorders>
              <w:top w:val="single" w:sz="6" w:space="0" w:color="FFFFFF"/>
              <w:left w:val="single" w:sz="6" w:space="0" w:color="FFFFFF"/>
              <w:bottom w:val="single" w:sz="6" w:space="0" w:color="000000"/>
              <w:right w:val="single" w:sz="6" w:space="0" w:color="FFFFFF"/>
            </w:tcBorders>
          </w:tcPr>
          <w:p w14:paraId="78B8874F" w14:textId="77777777" w:rsidR="00BC1F31" w:rsidRPr="00D75F07" w:rsidRDefault="00691650" w:rsidP="00F90F08">
            <w:pPr>
              <w:widowControl/>
              <w:rPr>
                <w:bCs/>
                <w:sz w:val="28"/>
                <w:szCs w:val="28"/>
              </w:rPr>
            </w:pPr>
            <w:r>
              <w:rPr>
                <w:bCs/>
                <w:sz w:val="28"/>
                <w:szCs w:val="28"/>
              </w:rPr>
              <w:t xml:space="preserve">In the Matter of </w:t>
            </w:r>
          </w:p>
          <w:p w14:paraId="5A2BCC65" w14:textId="77777777" w:rsidR="00BC1F31" w:rsidRPr="00BC1F31" w:rsidRDefault="00BC1F31" w:rsidP="00F90F08">
            <w:pPr>
              <w:widowControl/>
              <w:rPr>
                <w:bCs/>
                <w:sz w:val="28"/>
                <w:szCs w:val="28"/>
              </w:rPr>
            </w:pPr>
          </w:p>
          <w:p w14:paraId="345C32EB" w14:textId="0858BE80" w:rsidR="00BC1F31" w:rsidRPr="00491E49" w:rsidRDefault="00691650" w:rsidP="00BC1F31">
            <w:pPr>
              <w:widowControl/>
              <w:rPr>
                <w:b/>
                <w:bCs/>
                <w:sz w:val="28"/>
                <w:szCs w:val="28"/>
              </w:rPr>
            </w:pPr>
            <w:r>
              <w:rPr>
                <w:b/>
                <w:bCs/>
                <w:sz w:val="28"/>
                <w:szCs w:val="28"/>
              </w:rPr>
              <w:t xml:space="preserve">PETITION TO AMEND </w:t>
            </w:r>
            <w:r w:rsidR="006713CE">
              <w:rPr>
                <w:b/>
                <w:bCs/>
                <w:sz w:val="28"/>
                <w:szCs w:val="28"/>
              </w:rPr>
              <w:t>RULE 2.11</w:t>
            </w:r>
            <w:r w:rsidR="002427B6">
              <w:rPr>
                <w:b/>
                <w:bCs/>
                <w:sz w:val="28"/>
                <w:szCs w:val="28"/>
              </w:rPr>
              <w:t xml:space="preserve"> (DISQUALIFICATION)</w:t>
            </w:r>
            <w:r w:rsidR="006713CE">
              <w:rPr>
                <w:b/>
                <w:bCs/>
                <w:sz w:val="28"/>
                <w:szCs w:val="28"/>
              </w:rPr>
              <w:t xml:space="preserve">, CODE OF </w:t>
            </w:r>
            <w:r>
              <w:rPr>
                <w:b/>
                <w:bCs/>
                <w:sz w:val="28"/>
                <w:szCs w:val="28"/>
              </w:rPr>
              <w:t>JUDICIAL CONDUCT</w:t>
            </w:r>
          </w:p>
        </w:tc>
        <w:tc>
          <w:tcPr>
            <w:tcW w:w="295" w:type="dxa"/>
            <w:tcBorders>
              <w:top w:val="single" w:sz="6" w:space="0" w:color="FFFFFF"/>
              <w:left w:val="single" w:sz="6" w:space="0" w:color="FFFFFF"/>
              <w:bottom w:val="single" w:sz="6" w:space="0" w:color="000000"/>
              <w:right w:val="single" w:sz="6" w:space="0" w:color="FFFFFF"/>
            </w:tcBorders>
          </w:tcPr>
          <w:p w14:paraId="501A3A76"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19419996"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04ADC55F"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197971A1"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6308F618"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69D5D0EE" w14:textId="77777777"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p w14:paraId="1CA49769" w14:textId="57DABD5C" w:rsidR="00BC1F31" w:rsidRPr="00D75F07" w:rsidRDefault="00BC1F31" w:rsidP="00F90F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w:t>
            </w:r>
          </w:p>
        </w:tc>
        <w:tc>
          <w:tcPr>
            <w:tcW w:w="4564" w:type="dxa"/>
            <w:tcBorders>
              <w:top w:val="single" w:sz="6" w:space="0" w:color="FFFFFF"/>
              <w:left w:val="single" w:sz="6" w:space="0" w:color="FFFFFF"/>
              <w:bottom w:val="single" w:sz="6" w:space="0" w:color="000000"/>
              <w:right w:val="single" w:sz="6" w:space="0" w:color="FFFFFF"/>
            </w:tcBorders>
          </w:tcPr>
          <w:p w14:paraId="71515149" w14:textId="77777777" w:rsidR="00BC1F31" w:rsidRPr="00D75F07" w:rsidRDefault="00BC1F31" w:rsidP="00BC1F31">
            <w:pPr>
              <w:widowControl/>
              <w:tabs>
                <w:tab w:val="left" w:pos="0"/>
                <w:tab w:val="left" w:pos="197"/>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ab/>
              <w:t>Arizona Supreme Court</w:t>
            </w:r>
            <w:r w:rsidR="00691650">
              <w:rPr>
                <w:bCs/>
                <w:sz w:val="28"/>
                <w:szCs w:val="28"/>
              </w:rPr>
              <w:t xml:space="preserve"> No.</w:t>
            </w:r>
          </w:p>
          <w:p w14:paraId="57A85BEC" w14:textId="77777777" w:rsidR="00BC1F31" w:rsidRPr="00D75F07" w:rsidRDefault="00BC1F31" w:rsidP="00BC1F31">
            <w:pPr>
              <w:widowControl/>
              <w:tabs>
                <w:tab w:val="left" w:pos="0"/>
                <w:tab w:val="left" w:pos="197"/>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r w:rsidRPr="00D75F07">
              <w:rPr>
                <w:bCs/>
                <w:sz w:val="28"/>
                <w:szCs w:val="28"/>
              </w:rPr>
              <w:tab/>
            </w:r>
            <w:r w:rsidR="00691650">
              <w:rPr>
                <w:bCs/>
                <w:sz w:val="28"/>
                <w:szCs w:val="28"/>
              </w:rPr>
              <w:t>R-</w:t>
            </w:r>
          </w:p>
          <w:p w14:paraId="6F63FAAB" w14:textId="77777777" w:rsidR="00BC1F31" w:rsidRPr="00BC1F31" w:rsidRDefault="00BC1F31" w:rsidP="00BC1F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sz w:val="28"/>
                <w:szCs w:val="28"/>
              </w:rPr>
            </w:pPr>
          </w:p>
        </w:tc>
      </w:tr>
    </w:tbl>
    <w:p w14:paraId="7C0A2D51" w14:textId="77777777" w:rsidR="000344C1" w:rsidRPr="00BC1F31" w:rsidRDefault="000344C1" w:rsidP="000344C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jc w:val="both"/>
        <w:rPr>
          <w:bCs/>
          <w:sz w:val="28"/>
          <w:szCs w:val="28"/>
        </w:rPr>
      </w:pPr>
    </w:p>
    <w:p w14:paraId="2D79755D" w14:textId="151BB878" w:rsidR="00381C68" w:rsidRDefault="00691650" w:rsidP="00691650">
      <w:pPr>
        <w:spacing w:line="480" w:lineRule="auto"/>
        <w:ind w:firstLine="720"/>
        <w:jc w:val="both"/>
        <w:rPr>
          <w:bCs/>
          <w:sz w:val="28"/>
          <w:szCs w:val="28"/>
        </w:rPr>
      </w:pPr>
      <w:r>
        <w:rPr>
          <w:bCs/>
          <w:sz w:val="28"/>
          <w:szCs w:val="28"/>
        </w:rPr>
        <w:t xml:space="preserve">Pursuant to Rule 28, Arizona Rules of the Supreme Court, the Commission on Judicial Conduct </w:t>
      </w:r>
      <w:r w:rsidR="002A52C3">
        <w:rPr>
          <w:bCs/>
          <w:sz w:val="28"/>
          <w:szCs w:val="28"/>
        </w:rPr>
        <w:t>[“Commission”</w:t>
      </w:r>
      <w:r w:rsidR="00BC3E8B">
        <w:rPr>
          <w:bCs/>
          <w:sz w:val="28"/>
          <w:szCs w:val="28"/>
        </w:rPr>
        <w:t>]</w:t>
      </w:r>
      <w:r w:rsidR="002A52C3">
        <w:rPr>
          <w:bCs/>
          <w:sz w:val="28"/>
          <w:szCs w:val="28"/>
        </w:rPr>
        <w:t xml:space="preserve"> </w:t>
      </w:r>
      <w:r>
        <w:rPr>
          <w:bCs/>
          <w:sz w:val="28"/>
          <w:szCs w:val="28"/>
        </w:rPr>
        <w:t xml:space="preserve">petitions the Court to adopt amendments to </w:t>
      </w:r>
      <w:r w:rsidR="006713CE">
        <w:rPr>
          <w:bCs/>
          <w:sz w:val="28"/>
          <w:szCs w:val="28"/>
        </w:rPr>
        <w:t xml:space="preserve">Rule 2.11(C) of the Code of </w:t>
      </w:r>
      <w:r>
        <w:rPr>
          <w:bCs/>
          <w:sz w:val="28"/>
          <w:szCs w:val="28"/>
        </w:rPr>
        <w:t>Judicial Conduct, as proposed below.</w:t>
      </w:r>
    </w:p>
    <w:p w14:paraId="5E29A019" w14:textId="74B33768" w:rsidR="00C91725" w:rsidRPr="00C91725" w:rsidRDefault="00C91725" w:rsidP="00C91725">
      <w:pPr>
        <w:spacing w:line="480" w:lineRule="auto"/>
        <w:jc w:val="both"/>
        <w:rPr>
          <w:b/>
          <w:bCs/>
          <w:sz w:val="28"/>
          <w:szCs w:val="28"/>
        </w:rPr>
      </w:pPr>
      <w:r w:rsidRPr="00C91725">
        <w:rPr>
          <w:b/>
          <w:bCs/>
          <w:sz w:val="28"/>
          <w:szCs w:val="28"/>
        </w:rPr>
        <w:t>I.</w:t>
      </w:r>
      <w:r w:rsidRPr="00C91725">
        <w:rPr>
          <w:b/>
          <w:bCs/>
          <w:sz w:val="28"/>
          <w:szCs w:val="28"/>
        </w:rPr>
        <w:tab/>
      </w:r>
      <w:r w:rsidR="006713CE">
        <w:rPr>
          <w:b/>
          <w:bCs/>
          <w:sz w:val="28"/>
          <w:szCs w:val="28"/>
        </w:rPr>
        <w:t>Rule 2.11 Disqualification</w:t>
      </w:r>
    </w:p>
    <w:p w14:paraId="623D8984" w14:textId="62F42043" w:rsidR="00C91725" w:rsidRPr="001531A3" w:rsidRDefault="00C91725" w:rsidP="00C91725">
      <w:pPr>
        <w:spacing w:line="480" w:lineRule="auto"/>
        <w:jc w:val="both"/>
        <w:rPr>
          <w:bCs/>
          <w:sz w:val="28"/>
          <w:szCs w:val="28"/>
        </w:rPr>
      </w:pPr>
      <w:r>
        <w:rPr>
          <w:bCs/>
          <w:sz w:val="28"/>
          <w:szCs w:val="28"/>
        </w:rPr>
        <w:tab/>
      </w:r>
      <w:r w:rsidRPr="001531A3">
        <w:rPr>
          <w:bCs/>
          <w:sz w:val="28"/>
          <w:szCs w:val="28"/>
        </w:rPr>
        <w:t>A.</w:t>
      </w:r>
      <w:r w:rsidRPr="001531A3">
        <w:rPr>
          <w:bCs/>
          <w:sz w:val="28"/>
          <w:szCs w:val="28"/>
        </w:rPr>
        <w:tab/>
      </w:r>
      <w:r w:rsidRPr="001531A3">
        <w:rPr>
          <w:bCs/>
          <w:sz w:val="28"/>
          <w:szCs w:val="28"/>
          <w:u w:val="single"/>
        </w:rPr>
        <w:t>Introduction and Background</w:t>
      </w:r>
    </w:p>
    <w:p w14:paraId="79D62FB9" w14:textId="58FA98AF" w:rsidR="001531A3" w:rsidRDefault="00C91725" w:rsidP="006713CE">
      <w:pPr>
        <w:spacing w:line="480" w:lineRule="auto"/>
        <w:jc w:val="both"/>
        <w:rPr>
          <w:bCs/>
          <w:sz w:val="28"/>
          <w:szCs w:val="28"/>
        </w:rPr>
      </w:pPr>
      <w:r>
        <w:rPr>
          <w:bCs/>
          <w:sz w:val="28"/>
          <w:szCs w:val="28"/>
        </w:rPr>
        <w:tab/>
      </w:r>
      <w:r w:rsidR="0082037D">
        <w:rPr>
          <w:bCs/>
          <w:sz w:val="28"/>
          <w:szCs w:val="28"/>
        </w:rPr>
        <w:t xml:space="preserve">Rule 2.11 of the Code governs when a judge must disqualify themselves from a matter. The rule contains an enumerated list of situations mandating disqualification, as well as a general requirement that a judge must disqualify themself in any proceeding in which </w:t>
      </w:r>
      <w:bookmarkStart w:id="1" w:name="_Hlk154586759"/>
      <w:r w:rsidR="0082037D">
        <w:rPr>
          <w:bCs/>
          <w:sz w:val="28"/>
          <w:szCs w:val="28"/>
        </w:rPr>
        <w:t xml:space="preserve">their impartiality might reasonably be </w:t>
      </w:r>
      <w:r w:rsidR="0082037D">
        <w:rPr>
          <w:bCs/>
          <w:sz w:val="28"/>
          <w:szCs w:val="28"/>
        </w:rPr>
        <w:lastRenderedPageBreak/>
        <w:t>questioned</w:t>
      </w:r>
      <w:bookmarkEnd w:id="1"/>
      <w:r w:rsidR="0082037D">
        <w:rPr>
          <w:bCs/>
          <w:sz w:val="28"/>
          <w:szCs w:val="28"/>
        </w:rPr>
        <w:t xml:space="preserve">. </w:t>
      </w:r>
      <w:r w:rsidR="0082037D" w:rsidRPr="0082037D">
        <w:rPr>
          <w:bCs/>
          <w:i/>
          <w:iCs/>
          <w:sz w:val="28"/>
          <w:szCs w:val="28"/>
        </w:rPr>
        <w:t>See</w:t>
      </w:r>
      <w:r w:rsidR="0082037D">
        <w:rPr>
          <w:bCs/>
          <w:sz w:val="28"/>
          <w:szCs w:val="28"/>
        </w:rPr>
        <w:t xml:space="preserve"> Rule 2.11(A). Rule 2.11(C) allows for remittal of the disqualification. Except when the basis for disqualification is bias or prejudice under Rule 2.11(A)(1), a judge may disclose the basis for the disqualification, allow the parties to consider the matter outside the presence of the judge and court personnel, and if the parties agree to waive disqualification, the judge may continue to hear the matter, incorporating the waiver into the record. </w:t>
      </w:r>
    </w:p>
    <w:p w14:paraId="30D2D51F" w14:textId="1BA779DB" w:rsidR="001531A3" w:rsidRDefault="0082037D" w:rsidP="005E4BB2">
      <w:pPr>
        <w:spacing w:line="480" w:lineRule="auto"/>
        <w:jc w:val="both"/>
        <w:rPr>
          <w:bCs/>
          <w:sz w:val="28"/>
          <w:szCs w:val="28"/>
        </w:rPr>
      </w:pPr>
      <w:r>
        <w:rPr>
          <w:bCs/>
          <w:sz w:val="28"/>
          <w:szCs w:val="28"/>
        </w:rPr>
        <w:tab/>
        <w:t xml:space="preserve">Comment 5 to Rule 2.11 requires a judge to disclose on the record “information that the judge believes the parties or their lawyers might reasonably consider relevant to a possible motion for disqualification, even if the judge believes there is no basis for disqualification.” </w:t>
      </w:r>
      <w:r w:rsidR="004A4B2F">
        <w:rPr>
          <w:bCs/>
          <w:sz w:val="28"/>
          <w:szCs w:val="28"/>
        </w:rPr>
        <w:t xml:space="preserve">Understandably, judges, in </w:t>
      </w:r>
      <w:r w:rsidR="00FD4675">
        <w:rPr>
          <w:bCs/>
          <w:sz w:val="28"/>
          <w:szCs w:val="28"/>
        </w:rPr>
        <w:t xml:space="preserve">an abundance of caution, </w:t>
      </w:r>
      <w:r w:rsidR="004A4B2F">
        <w:rPr>
          <w:bCs/>
          <w:sz w:val="28"/>
          <w:szCs w:val="28"/>
        </w:rPr>
        <w:t xml:space="preserve">interpret this requirement broadly and disclose </w:t>
      </w:r>
      <w:r w:rsidR="00FD4675">
        <w:rPr>
          <w:bCs/>
          <w:sz w:val="28"/>
          <w:szCs w:val="28"/>
        </w:rPr>
        <w:t>a wide variety of information</w:t>
      </w:r>
      <w:r w:rsidR="004A4B2F">
        <w:rPr>
          <w:bCs/>
          <w:sz w:val="28"/>
          <w:szCs w:val="28"/>
        </w:rPr>
        <w:t xml:space="preserve"> that does not warrant disqualification but might conceivably</w:t>
      </w:r>
      <w:r w:rsidR="00FD4675">
        <w:rPr>
          <w:bCs/>
          <w:sz w:val="28"/>
          <w:szCs w:val="28"/>
        </w:rPr>
        <w:t xml:space="preserve"> </w:t>
      </w:r>
      <w:r w:rsidR="004A4B2F">
        <w:rPr>
          <w:bCs/>
          <w:sz w:val="28"/>
          <w:szCs w:val="28"/>
        </w:rPr>
        <w:t>be</w:t>
      </w:r>
      <w:r w:rsidR="00FD4675">
        <w:rPr>
          <w:bCs/>
          <w:sz w:val="28"/>
          <w:szCs w:val="28"/>
        </w:rPr>
        <w:t xml:space="preserve"> consider</w:t>
      </w:r>
      <w:r w:rsidR="004A4B2F">
        <w:rPr>
          <w:bCs/>
          <w:sz w:val="28"/>
          <w:szCs w:val="28"/>
        </w:rPr>
        <w:t>ed</w:t>
      </w:r>
      <w:r w:rsidR="00FD4675">
        <w:rPr>
          <w:bCs/>
          <w:sz w:val="28"/>
          <w:szCs w:val="28"/>
        </w:rPr>
        <w:t xml:space="preserve"> relevant to a motion for disqualification. Once disclosed,</w:t>
      </w:r>
      <w:r w:rsidR="004A4B2F">
        <w:rPr>
          <w:bCs/>
          <w:sz w:val="28"/>
          <w:szCs w:val="28"/>
        </w:rPr>
        <w:t xml:space="preserve"> some judges and parties then mistakenly assume that</w:t>
      </w:r>
      <w:r w:rsidR="00FD4675">
        <w:rPr>
          <w:bCs/>
          <w:sz w:val="28"/>
          <w:szCs w:val="28"/>
        </w:rPr>
        <w:t xml:space="preserve"> the judge must recuse unless the parties waive disqualification</w:t>
      </w:r>
      <w:r w:rsidR="004A4B2F">
        <w:rPr>
          <w:bCs/>
          <w:sz w:val="28"/>
          <w:szCs w:val="28"/>
        </w:rPr>
        <w:t xml:space="preserve"> under subsection C of the rule</w:t>
      </w:r>
      <w:r w:rsidR="00FD4675">
        <w:rPr>
          <w:bCs/>
          <w:sz w:val="28"/>
          <w:szCs w:val="28"/>
        </w:rPr>
        <w:t xml:space="preserve">. As a result, judges are often disqualified from matters in which no true conflict exists, and/or the parties are able to seize on the disclosure as a means of judge shopping without having to file a request for change of judge for cause or </w:t>
      </w:r>
      <w:r w:rsidR="00FD4675" w:rsidRPr="002F56F4">
        <w:rPr>
          <w:bCs/>
          <w:sz w:val="28"/>
          <w:szCs w:val="28"/>
        </w:rPr>
        <w:t>burning</w:t>
      </w:r>
      <w:r w:rsidR="00FD4675">
        <w:rPr>
          <w:bCs/>
          <w:sz w:val="28"/>
          <w:szCs w:val="28"/>
        </w:rPr>
        <w:t xml:space="preserve"> a request for change of judge as a matter of right. </w:t>
      </w:r>
    </w:p>
    <w:p w14:paraId="7980E7D3" w14:textId="74BF82BD" w:rsidR="001531A3" w:rsidRDefault="001531A3" w:rsidP="00466DBE">
      <w:pPr>
        <w:keepNext/>
        <w:widowControl/>
        <w:spacing w:line="480" w:lineRule="auto"/>
        <w:jc w:val="both"/>
        <w:rPr>
          <w:bCs/>
          <w:sz w:val="28"/>
          <w:szCs w:val="28"/>
        </w:rPr>
      </w:pPr>
      <w:r>
        <w:rPr>
          <w:bCs/>
          <w:sz w:val="28"/>
          <w:szCs w:val="28"/>
        </w:rPr>
        <w:lastRenderedPageBreak/>
        <w:tab/>
        <w:t>B.</w:t>
      </w:r>
      <w:r>
        <w:rPr>
          <w:bCs/>
          <w:sz w:val="28"/>
          <w:szCs w:val="28"/>
        </w:rPr>
        <w:tab/>
      </w:r>
      <w:r w:rsidRPr="001531A3">
        <w:rPr>
          <w:bCs/>
          <w:sz w:val="28"/>
          <w:szCs w:val="28"/>
          <w:u w:val="single"/>
        </w:rPr>
        <w:t xml:space="preserve">Current </w:t>
      </w:r>
      <w:r w:rsidR="006713CE">
        <w:rPr>
          <w:bCs/>
          <w:sz w:val="28"/>
          <w:szCs w:val="28"/>
          <w:u w:val="single"/>
        </w:rPr>
        <w:t xml:space="preserve">Rule </w:t>
      </w:r>
      <w:r w:rsidR="0082037D">
        <w:rPr>
          <w:bCs/>
          <w:sz w:val="28"/>
          <w:szCs w:val="28"/>
          <w:u w:val="single"/>
        </w:rPr>
        <w:t xml:space="preserve">2.11(C) </w:t>
      </w:r>
      <w:r w:rsidR="006713CE">
        <w:rPr>
          <w:bCs/>
          <w:sz w:val="28"/>
          <w:szCs w:val="28"/>
          <w:u w:val="single"/>
        </w:rPr>
        <w:t>and Comment</w:t>
      </w:r>
      <w:r w:rsidR="0082037D">
        <w:rPr>
          <w:bCs/>
          <w:sz w:val="28"/>
          <w:szCs w:val="28"/>
          <w:u w:val="single"/>
        </w:rPr>
        <w:t xml:space="preserve"> 5</w:t>
      </w:r>
      <w:r w:rsidR="006713CE">
        <w:rPr>
          <w:bCs/>
          <w:sz w:val="28"/>
          <w:szCs w:val="28"/>
          <w:u w:val="single"/>
        </w:rPr>
        <w:t xml:space="preserve"> </w:t>
      </w:r>
    </w:p>
    <w:p w14:paraId="5E57EAE6" w14:textId="45B2DABE" w:rsidR="0036429A" w:rsidRDefault="0036429A" w:rsidP="0082037D">
      <w:pPr>
        <w:tabs>
          <w:tab w:val="left" w:pos="720"/>
        </w:tabs>
        <w:spacing w:line="480" w:lineRule="auto"/>
        <w:jc w:val="both"/>
        <w:rPr>
          <w:bCs/>
          <w:sz w:val="28"/>
          <w:szCs w:val="28"/>
        </w:rPr>
      </w:pPr>
      <w:r>
        <w:rPr>
          <w:bCs/>
          <w:sz w:val="28"/>
          <w:szCs w:val="28"/>
        </w:rPr>
        <w:tab/>
        <w:t>Presently Rule 2.11(C) and Comment 5 to Rule 2.11 state as follows:</w:t>
      </w:r>
    </w:p>
    <w:p w14:paraId="50B060E1" w14:textId="77777777" w:rsidR="0082037D" w:rsidRPr="00AF1AA8" w:rsidRDefault="0082037D" w:rsidP="00364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10"/>
        <w:ind w:left="720" w:right="720"/>
        <w:jc w:val="both"/>
        <w:rPr>
          <w:sz w:val="28"/>
          <w:szCs w:val="28"/>
        </w:rPr>
      </w:pPr>
      <w:r>
        <w:rPr>
          <w:rFonts w:ascii="Century Schoolbook" w:hAnsi="Century Schoolbook" w:cs="Palatino Linotype"/>
        </w:rPr>
        <w:t>(</w:t>
      </w:r>
      <w:r w:rsidRPr="00AF1AA8">
        <w:rPr>
          <w:sz w:val="28"/>
          <w:szCs w:val="28"/>
        </w:rPr>
        <w:t>C) A judge subject to disqualification under this rule, other than for bias or prejudice under paragraph (A)(1), may disclose on the record the basis of the judge’s disqualification and may ask the parties and their lawyers to consider, outside the presence of the judge and court personnel, whether to waive disqualification. If, following the disclosure, the parties and lawyers agree, without participation by the judge or court personnel, that the judge should not be disqualified, the judge may participate in the proceeding. The agreement shall be incorporated into the record of the proceeding.</w:t>
      </w:r>
    </w:p>
    <w:p w14:paraId="19817507" w14:textId="77777777" w:rsidR="0082037D" w:rsidRPr="00AF1AA8" w:rsidRDefault="0082037D" w:rsidP="00364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10"/>
        <w:ind w:left="720" w:right="720"/>
        <w:jc w:val="both"/>
        <w:rPr>
          <w:b/>
          <w:bCs/>
          <w:sz w:val="28"/>
          <w:szCs w:val="28"/>
        </w:rPr>
      </w:pPr>
      <w:r w:rsidRPr="00AF1AA8">
        <w:rPr>
          <w:b/>
          <w:bCs/>
          <w:sz w:val="28"/>
          <w:szCs w:val="28"/>
        </w:rPr>
        <w:t>Comment</w:t>
      </w:r>
    </w:p>
    <w:p w14:paraId="1673467E" w14:textId="77777777" w:rsidR="0082037D" w:rsidRPr="00AF1AA8" w:rsidRDefault="0082037D" w:rsidP="00364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10"/>
        <w:ind w:left="720" w:right="720"/>
        <w:jc w:val="both"/>
        <w:rPr>
          <w:sz w:val="28"/>
          <w:szCs w:val="28"/>
        </w:rPr>
      </w:pPr>
      <w:r w:rsidRPr="00AF1AA8">
        <w:rPr>
          <w:sz w:val="28"/>
          <w:szCs w:val="28"/>
        </w:rPr>
        <w:t>5. A judge should disclose on the record information that the judge believes the parties or their lawyers might reasonably consider relevant to a possible motion for disqualification, even if the judge believes there is no basis for disqualification.</w:t>
      </w:r>
    </w:p>
    <w:p w14:paraId="5F64050C" w14:textId="77777777" w:rsidR="0082037D" w:rsidRDefault="0082037D" w:rsidP="0082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10"/>
        <w:jc w:val="both"/>
        <w:rPr>
          <w:rFonts w:ascii="Century Schoolbook" w:hAnsi="Century Schoolbook" w:cs="Palatino Linotype"/>
        </w:rPr>
      </w:pPr>
    </w:p>
    <w:p w14:paraId="4D23F36C" w14:textId="668BE1E9" w:rsidR="001531A3" w:rsidRDefault="001531A3" w:rsidP="002918D7">
      <w:pPr>
        <w:keepNext/>
        <w:widowControl/>
        <w:spacing w:line="480" w:lineRule="auto"/>
        <w:jc w:val="both"/>
        <w:rPr>
          <w:bCs/>
          <w:sz w:val="28"/>
          <w:szCs w:val="28"/>
        </w:rPr>
      </w:pPr>
      <w:r>
        <w:rPr>
          <w:bCs/>
          <w:sz w:val="28"/>
          <w:szCs w:val="28"/>
        </w:rPr>
        <w:tab/>
        <w:t>C.</w:t>
      </w:r>
      <w:r>
        <w:rPr>
          <w:bCs/>
          <w:sz w:val="28"/>
          <w:szCs w:val="28"/>
        </w:rPr>
        <w:tab/>
      </w:r>
      <w:r w:rsidRPr="005C3EB2">
        <w:rPr>
          <w:bCs/>
          <w:sz w:val="28"/>
          <w:szCs w:val="28"/>
          <w:u w:val="single"/>
        </w:rPr>
        <w:t xml:space="preserve">Proposed </w:t>
      </w:r>
      <w:r w:rsidR="006713CE">
        <w:rPr>
          <w:bCs/>
          <w:sz w:val="28"/>
          <w:szCs w:val="28"/>
          <w:u w:val="single"/>
        </w:rPr>
        <w:t>Comment</w:t>
      </w:r>
      <w:r w:rsidR="005E4BB2">
        <w:rPr>
          <w:bCs/>
          <w:sz w:val="28"/>
          <w:szCs w:val="28"/>
          <w:u w:val="single"/>
        </w:rPr>
        <w:t xml:space="preserve"> Change</w:t>
      </w:r>
      <w:r w:rsidR="006713CE">
        <w:rPr>
          <w:bCs/>
          <w:sz w:val="28"/>
          <w:szCs w:val="28"/>
          <w:u w:val="single"/>
        </w:rPr>
        <w:t xml:space="preserve"> </w:t>
      </w:r>
    </w:p>
    <w:p w14:paraId="6236406E" w14:textId="40D3A2D8" w:rsidR="00365AB3" w:rsidRDefault="005C3EB2" w:rsidP="006713CE">
      <w:pPr>
        <w:widowControl/>
        <w:spacing w:line="480" w:lineRule="auto"/>
        <w:jc w:val="both"/>
        <w:rPr>
          <w:bCs/>
          <w:sz w:val="28"/>
          <w:szCs w:val="28"/>
        </w:rPr>
      </w:pPr>
      <w:r>
        <w:rPr>
          <w:bCs/>
          <w:sz w:val="28"/>
          <w:szCs w:val="28"/>
        </w:rPr>
        <w:tab/>
      </w:r>
      <w:r w:rsidR="00E141C0">
        <w:rPr>
          <w:bCs/>
          <w:sz w:val="28"/>
          <w:szCs w:val="28"/>
        </w:rPr>
        <w:t xml:space="preserve">To help aid judicial officers in determining what information might “reasonably” be relevant to a possible motion for disqualification, the Commission proposes to expand comment 5 to Rule 2.11 by defining “reasonably” as the standard of objective reasonableness </w:t>
      </w:r>
      <w:r w:rsidR="009603C5">
        <w:rPr>
          <w:bCs/>
          <w:sz w:val="28"/>
          <w:szCs w:val="28"/>
        </w:rPr>
        <w:t>applied by</w:t>
      </w:r>
      <w:r w:rsidR="00E141C0">
        <w:rPr>
          <w:bCs/>
          <w:sz w:val="28"/>
          <w:szCs w:val="28"/>
        </w:rPr>
        <w:t xml:space="preserve"> Advisory Opinions 98-02 and 96-14 from the Judicial Ethics Advisory Committee</w:t>
      </w:r>
      <w:r w:rsidR="009603C5">
        <w:rPr>
          <w:bCs/>
          <w:sz w:val="28"/>
          <w:szCs w:val="28"/>
        </w:rPr>
        <w:t xml:space="preserve"> to the determination of whether, under subsection A of the rule, a judge’s impartiality “might reasonably be questioned”</w:t>
      </w:r>
      <w:r w:rsidR="00BB1409">
        <w:rPr>
          <w:bCs/>
          <w:sz w:val="28"/>
          <w:szCs w:val="28"/>
        </w:rPr>
        <w:t xml:space="preserve"> (“</w:t>
      </w:r>
      <w:r w:rsidR="00095D20">
        <w:rPr>
          <w:bCs/>
          <w:sz w:val="28"/>
          <w:szCs w:val="28"/>
        </w:rPr>
        <w:t> </w:t>
      </w:r>
      <w:r w:rsidR="00BB1409">
        <w:rPr>
          <w:bCs/>
          <w:sz w:val="28"/>
          <w:szCs w:val="28"/>
        </w:rPr>
        <w:t>.</w:t>
      </w:r>
      <w:r w:rsidR="00095D20">
        <w:rPr>
          <w:bCs/>
          <w:sz w:val="28"/>
          <w:szCs w:val="28"/>
        </w:rPr>
        <w:t> </w:t>
      </w:r>
      <w:r w:rsidR="00BB1409">
        <w:rPr>
          <w:bCs/>
          <w:sz w:val="28"/>
          <w:szCs w:val="28"/>
        </w:rPr>
        <w:t>.</w:t>
      </w:r>
      <w:r w:rsidR="00095D20">
        <w:rPr>
          <w:bCs/>
          <w:sz w:val="28"/>
          <w:szCs w:val="28"/>
        </w:rPr>
        <w:t> </w:t>
      </w:r>
      <w:r w:rsidR="00BB1409">
        <w:rPr>
          <w:bCs/>
          <w:sz w:val="28"/>
          <w:szCs w:val="28"/>
        </w:rPr>
        <w:t xml:space="preserve">. the test is whether an objective, disinterested, fully informed observer would reasonably question the impartiality of the judge.”) By adding this standard, it is </w:t>
      </w:r>
      <w:r w:rsidR="00BB1409">
        <w:rPr>
          <w:bCs/>
          <w:sz w:val="28"/>
          <w:szCs w:val="28"/>
        </w:rPr>
        <w:lastRenderedPageBreak/>
        <w:t xml:space="preserve">hoped that judicial officers will have better guidance on what they do or do not need to disclose. </w:t>
      </w:r>
    </w:p>
    <w:p w14:paraId="219BB608" w14:textId="5DDDC04D" w:rsidR="00BB1409" w:rsidRDefault="00BB1409" w:rsidP="006713CE">
      <w:pPr>
        <w:widowControl/>
        <w:spacing w:line="480" w:lineRule="auto"/>
        <w:jc w:val="both"/>
        <w:rPr>
          <w:bCs/>
          <w:sz w:val="28"/>
          <w:szCs w:val="28"/>
        </w:rPr>
      </w:pPr>
      <w:r>
        <w:rPr>
          <w:bCs/>
          <w:sz w:val="28"/>
          <w:szCs w:val="28"/>
        </w:rPr>
        <w:tab/>
      </w:r>
      <w:r w:rsidR="009603C5">
        <w:rPr>
          <w:bCs/>
          <w:sz w:val="28"/>
          <w:szCs w:val="28"/>
        </w:rPr>
        <w:t>The proposed addition to comment 5 also clarifies that if</w:t>
      </w:r>
      <w:r>
        <w:rPr>
          <w:bCs/>
          <w:sz w:val="28"/>
          <w:szCs w:val="28"/>
        </w:rPr>
        <w:t xml:space="preserve"> a judicial officer decide</w:t>
      </w:r>
      <w:r w:rsidR="009603C5">
        <w:rPr>
          <w:bCs/>
          <w:sz w:val="28"/>
          <w:szCs w:val="28"/>
        </w:rPr>
        <w:t>s</w:t>
      </w:r>
      <w:r>
        <w:rPr>
          <w:bCs/>
          <w:sz w:val="28"/>
          <w:szCs w:val="28"/>
        </w:rPr>
        <w:t xml:space="preserve"> to disclose information</w:t>
      </w:r>
      <w:r w:rsidR="00FB352D">
        <w:rPr>
          <w:bCs/>
          <w:sz w:val="28"/>
          <w:szCs w:val="28"/>
        </w:rPr>
        <w:t xml:space="preserve"> under comment </w:t>
      </w:r>
      <w:r w:rsidR="0098111C">
        <w:rPr>
          <w:bCs/>
          <w:sz w:val="28"/>
          <w:szCs w:val="28"/>
        </w:rPr>
        <w:t>5</w:t>
      </w:r>
      <w:r>
        <w:rPr>
          <w:bCs/>
          <w:sz w:val="28"/>
          <w:szCs w:val="28"/>
        </w:rPr>
        <w:t xml:space="preserve"> that does not rise to the standard of objective reasonableness for recusal</w:t>
      </w:r>
      <w:r w:rsidR="00FB352D">
        <w:rPr>
          <w:bCs/>
          <w:sz w:val="28"/>
          <w:szCs w:val="28"/>
        </w:rPr>
        <w:t xml:space="preserve"> under subsection A of the rule</w:t>
      </w:r>
      <w:r>
        <w:rPr>
          <w:bCs/>
          <w:sz w:val="28"/>
          <w:szCs w:val="28"/>
        </w:rPr>
        <w:t xml:space="preserve">, the judicial officer is not required to recuse </w:t>
      </w:r>
      <w:r w:rsidR="00FB352D">
        <w:rPr>
          <w:bCs/>
          <w:sz w:val="28"/>
          <w:szCs w:val="28"/>
        </w:rPr>
        <w:t>simply because a party files a motion for disqualification based on that disclosure, nor must the judicial officer seek or obtain a waiver under subsection C</w:t>
      </w:r>
      <w:r>
        <w:rPr>
          <w:bCs/>
          <w:sz w:val="28"/>
          <w:szCs w:val="28"/>
        </w:rPr>
        <w:t xml:space="preserve">. </w:t>
      </w:r>
    </w:p>
    <w:p w14:paraId="22CE40A8" w14:textId="14E9ADF7" w:rsidR="00BB1409" w:rsidRPr="005E4BB2" w:rsidRDefault="00BB1409" w:rsidP="005E4BB2">
      <w:pPr>
        <w:widowControl/>
        <w:spacing w:line="480" w:lineRule="auto"/>
        <w:jc w:val="both"/>
        <w:rPr>
          <w:bCs/>
          <w:sz w:val="28"/>
          <w:szCs w:val="28"/>
        </w:rPr>
      </w:pPr>
      <w:r>
        <w:rPr>
          <w:bCs/>
          <w:sz w:val="28"/>
          <w:szCs w:val="28"/>
        </w:rPr>
        <w:tab/>
      </w:r>
      <w:r w:rsidR="00FB352D">
        <w:rPr>
          <w:bCs/>
          <w:sz w:val="28"/>
          <w:szCs w:val="28"/>
        </w:rPr>
        <w:t>The</w:t>
      </w:r>
      <w:r>
        <w:rPr>
          <w:bCs/>
          <w:sz w:val="28"/>
          <w:szCs w:val="28"/>
        </w:rPr>
        <w:t xml:space="preserve"> proposed Comment 5 would read:</w:t>
      </w:r>
      <w:bookmarkStart w:id="2" w:name="_Hlk153275857"/>
      <w:r w:rsidR="00814056">
        <w:rPr>
          <w:sz w:val="28"/>
          <w:szCs w:val="28"/>
        </w:rPr>
        <w:t xml:space="preserve"> </w:t>
      </w:r>
    </w:p>
    <w:bookmarkEnd w:id="2"/>
    <w:p w14:paraId="5D933DF4" w14:textId="77777777" w:rsidR="00BB1409" w:rsidRPr="00AF1AA8" w:rsidRDefault="00BB1409" w:rsidP="00BB1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10"/>
        <w:ind w:left="720" w:right="720"/>
        <w:jc w:val="both"/>
        <w:rPr>
          <w:b/>
          <w:bCs/>
          <w:sz w:val="28"/>
          <w:szCs w:val="28"/>
        </w:rPr>
      </w:pPr>
      <w:r w:rsidRPr="00AF1AA8">
        <w:rPr>
          <w:b/>
          <w:bCs/>
          <w:sz w:val="28"/>
          <w:szCs w:val="28"/>
        </w:rPr>
        <w:t>Comment</w:t>
      </w:r>
    </w:p>
    <w:p w14:paraId="74BC9A12" w14:textId="259D9D62" w:rsidR="00BB1409" w:rsidRDefault="00BB1409" w:rsidP="00BB1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10"/>
        <w:ind w:left="720" w:right="720"/>
        <w:jc w:val="both"/>
        <w:rPr>
          <w:sz w:val="28"/>
          <w:szCs w:val="28"/>
          <w:u w:val="single"/>
        </w:rPr>
      </w:pPr>
      <w:r w:rsidRPr="00AF1AA8">
        <w:rPr>
          <w:sz w:val="28"/>
          <w:szCs w:val="28"/>
        </w:rPr>
        <w:t xml:space="preserve">5. </w:t>
      </w:r>
      <w:bookmarkStart w:id="3" w:name="_Hlk153275641"/>
      <w:r w:rsidRPr="00AF1AA8">
        <w:rPr>
          <w:sz w:val="28"/>
          <w:szCs w:val="28"/>
        </w:rPr>
        <w:t>A judge should disclose on the record information that the judge believes the parties or their lawyers might reasonably consider relevant to a possible motion for disqualification, even if the judge believes there is no basis for disqualification.</w:t>
      </w:r>
      <w:r>
        <w:rPr>
          <w:sz w:val="28"/>
          <w:szCs w:val="28"/>
        </w:rPr>
        <w:t xml:space="preserve"> </w:t>
      </w:r>
      <w:r w:rsidRPr="00BB1409">
        <w:rPr>
          <w:sz w:val="28"/>
          <w:szCs w:val="28"/>
          <w:u w:val="single"/>
        </w:rPr>
        <w:t xml:space="preserve">“Reasonably” under this comment </w:t>
      </w:r>
      <w:r w:rsidR="00FB352D" w:rsidRPr="00FB352D">
        <w:rPr>
          <w:sz w:val="28"/>
          <w:szCs w:val="28"/>
          <w:u w:val="single"/>
        </w:rPr>
        <w:t>is an objective standard and means that an objective, disinterested, fully informed observer would consider the information relevant to a motion to disqualify. A judge need not recuse themselves simply because a party files such a motion</w:t>
      </w:r>
      <w:r w:rsidR="00246812">
        <w:rPr>
          <w:sz w:val="28"/>
          <w:szCs w:val="28"/>
          <w:u w:val="single"/>
        </w:rPr>
        <w:t xml:space="preserve"> or requests recusal</w:t>
      </w:r>
      <w:r w:rsidR="00FB352D" w:rsidRPr="00FB352D">
        <w:rPr>
          <w:sz w:val="28"/>
          <w:szCs w:val="28"/>
          <w:u w:val="single"/>
        </w:rPr>
        <w:t xml:space="preserve"> based on the information disclosed; disqualification is only required </w:t>
      </w:r>
      <w:r w:rsidR="00FB352D">
        <w:rPr>
          <w:sz w:val="28"/>
          <w:szCs w:val="28"/>
          <w:u w:val="single"/>
        </w:rPr>
        <w:t>as set forth</w:t>
      </w:r>
      <w:r w:rsidR="00FB352D" w:rsidRPr="00FB352D">
        <w:rPr>
          <w:sz w:val="28"/>
          <w:szCs w:val="28"/>
          <w:u w:val="single"/>
        </w:rPr>
        <w:t xml:space="preserve"> in </w:t>
      </w:r>
      <w:r w:rsidR="00FB352D">
        <w:rPr>
          <w:sz w:val="28"/>
          <w:szCs w:val="28"/>
          <w:u w:val="single"/>
        </w:rPr>
        <w:t>s</w:t>
      </w:r>
      <w:r w:rsidR="00FB352D" w:rsidRPr="00FB352D">
        <w:rPr>
          <w:sz w:val="28"/>
          <w:szCs w:val="28"/>
          <w:u w:val="single"/>
        </w:rPr>
        <w:t xml:space="preserve">ubsection </w:t>
      </w:r>
      <w:r w:rsidR="00FB352D">
        <w:rPr>
          <w:sz w:val="28"/>
          <w:szCs w:val="28"/>
          <w:u w:val="single"/>
        </w:rPr>
        <w:t>(</w:t>
      </w:r>
      <w:r w:rsidR="00FB352D" w:rsidRPr="00FB352D">
        <w:rPr>
          <w:sz w:val="28"/>
          <w:szCs w:val="28"/>
          <w:u w:val="single"/>
        </w:rPr>
        <w:t>A</w:t>
      </w:r>
      <w:r w:rsidR="00FB352D">
        <w:rPr>
          <w:sz w:val="28"/>
          <w:szCs w:val="28"/>
          <w:u w:val="single"/>
        </w:rPr>
        <w:t>)</w:t>
      </w:r>
      <w:r w:rsidR="00FB352D" w:rsidRPr="00FB352D">
        <w:rPr>
          <w:sz w:val="28"/>
          <w:szCs w:val="28"/>
          <w:u w:val="single"/>
        </w:rPr>
        <w:t xml:space="preserve">. In addition, a waiver under subsection (C) is not required unless the disclosure involves one of the circumstances described in paragraphs (A)(2) through (A)(6) or is such that an objective, disinterested, fully informed observer would reasonably question the impartiality of the judge. </w:t>
      </w:r>
    </w:p>
    <w:p w14:paraId="2EBDA967" w14:textId="77777777" w:rsidR="003C3623" w:rsidRPr="00BB1409" w:rsidRDefault="003C3623" w:rsidP="00BB1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10"/>
        <w:ind w:left="720" w:right="720"/>
        <w:jc w:val="both"/>
        <w:rPr>
          <w:sz w:val="28"/>
          <w:szCs w:val="28"/>
          <w:u w:val="single"/>
        </w:rPr>
      </w:pPr>
    </w:p>
    <w:bookmarkEnd w:id="3"/>
    <w:p w14:paraId="393A24A6" w14:textId="49E3B324" w:rsidR="008F2652" w:rsidRDefault="008F2652" w:rsidP="003255F4">
      <w:pPr>
        <w:keepNext/>
        <w:widowControl/>
        <w:ind w:left="720" w:hanging="720"/>
        <w:jc w:val="both"/>
        <w:rPr>
          <w:rFonts w:eastAsiaTheme="minorHAnsi"/>
          <w:sz w:val="28"/>
          <w:szCs w:val="28"/>
        </w:rPr>
      </w:pPr>
      <w:r w:rsidRPr="00845172">
        <w:rPr>
          <w:rFonts w:eastAsiaTheme="minorHAnsi"/>
          <w:b/>
          <w:bCs/>
          <w:sz w:val="28"/>
          <w:szCs w:val="28"/>
        </w:rPr>
        <w:lastRenderedPageBreak/>
        <w:t>II.</w:t>
      </w:r>
      <w:r w:rsidRPr="00845172">
        <w:rPr>
          <w:rFonts w:eastAsiaTheme="minorHAnsi"/>
          <w:b/>
          <w:bCs/>
          <w:sz w:val="28"/>
          <w:szCs w:val="28"/>
        </w:rPr>
        <w:tab/>
      </w:r>
      <w:r w:rsidR="00A127F1" w:rsidRPr="00A127F1">
        <w:rPr>
          <w:rFonts w:eastAsiaTheme="minorHAnsi"/>
          <w:b/>
          <w:bCs/>
          <w:sz w:val="28"/>
          <w:szCs w:val="28"/>
        </w:rPr>
        <w:t>COMPLIANCE WITH RULE 28(a)(4)(A)(iv), RULES OF THE SUPREME COURT OF ARIZONA</w:t>
      </w:r>
    </w:p>
    <w:p w14:paraId="3F5C4984" w14:textId="77777777" w:rsidR="00A127F1" w:rsidRDefault="00A127F1" w:rsidP="003255F4">
      <w:pPr>
        <w:keepNext/>
        <w:widowControl/>
        <w:ind w:left="720" w:hanging="720"/>
        <w:jc w:val="both"/>
        <w:rPr>
          <w:rFonts w:eastAsiaTheme="minorHAnsi"/>
          <w:sz w:val="28"/>
          <w:szCs w:val="28"/>
        </w:rPr>
      </w:pPr>
    </w:p>
    <w:p w14:paraId="66B2480E" w14:textId="68FF8925" w:rsidR="003942E4" w:rsidRDefault="00AF1AA8" w:rsidP="003255F4">
      <w:pPr>
        <w:widowControl/>
        <w:spacing w:line="480" w:lineRule="auto"/>
        <w:ind w:firstLine="720"/>
        <w:jc w:val="both"/>
        <w:rPr>
          <w:rFonts w:eastAsiaTheme="minorHAnsi"/>
          <w:sz w:val="28"/>
          <w:szCs w:val="28"/>
        </w:rPr>
      </w:pPr>
      <w:r>
        <w:rPr>
          <w:rFonts w:eastAsiaTheme="minorHAnsi"/>
          <w:sz w:val="28"/>
          <w:szCs w:val="28"/>
        </w:rPr>
        <w:t xml:space="preserve">To the best of undersigned’s knowledge, no individual or entity has filed a rule change petition regarding Rule 2.11(C) within the last five years. </w:t>
      </w:r>
    </w:p>
    <w:p w14:paraId="0ACDEF49" w14:textId="6C9A3AEC" w:rsidR="00B15D44" w:rsidRDefault="00B15D44" w:rsidP="002F56F4">
      <w:pPr>
        <w:keepNext/>
        <w:widowControl/>
        <w:jc w:val="both"/>
        <w:rPr>
          <w:rFonts w:eastAsiaTheme="minorHAnsi"/>
          <w:b/>
          <w:sz w:val="28"/>
          <w:szCs w:val="28"/>
        </w:rPr>
      </w:pPr>
      <w:r w:rsidRPr="00B15D44">
        <w:rPr>
          <w:rFonts w:eastAsiaTheme="minorHAnsi"/>
          <w:b/>
          <w:sz w:val="28"/>
          <w:szCs w:val="28"/>
        </w:rPr>
        <w:t>I</w:t>
      </w:r>
      <w:r w:rsidR="00A127F1">
        <w:rPr>
          <w:rFonts w:eastAsiaTheme="minorHAnsi"/>
          <w:b/>
          <w:sz w:val="28"/>
          <w:szCs w:val="28"/>
        </w:rPr>
        <w:t>II</w:t>
      </w:r>
      <w:r w:rsidRPr="00B15D44">
        <w:rPr>
          <w:rFonts w:eastAsiaTheme="minorHAnsi"/>
          <w:b/>
          <w:sz w:val="28"/>
          <w:szCs w:val="28"/>
        </w:rPr>
        <w:t>.</w:t>
      </w:r>
      <w:r w:rsidRPr="00B15D44">
        <w:rPr>
          <w:rFonts w:eastAsiaTheme="minorHAnsi"/>
          <w:b/>
          <w:sz w:val="28"/>
          <w:szCs w:val="28"/>
        </w:rPr>
        <w:tab/>
        <w:t>CONCLUSION</w:t>
      </w:r>
    </w:p>
    <w:p w14:paraId="4E60B4E6" w14:textId="77777777" w:rsidR="002F56F4" w:rsidRPr="002F56F4" w:rsidRDefault="002F56F4" w:rsidP="002F56F4">
      <w:pPr>
        <w:keepNext/>
        <w:widowControl/>
        <w:jc w:val="both"/>
        <w:rPr>
          <w:rFonts w:eastAsiaTheme="minorHAnsi"/>
          <w:bCs/>
          <w:sz w:val="28"/>
          <w:szCs w:val="28"/>
        </w:rPr>
      </w:pPr>
    </w:p>
    <w:p w14:paraId="6D0C323F" w14:textId="4FDBB624" w:rsidR="003255F4" w:rsidRDefault="00B15D44" w:rsidP="003255F4">
      <w:pPr>
        <w:widowControl/>
        <w:spacing w:line="480" w:lineRule="auto"/>
        <w:ind w:firstLine="720"/>
        <w:jc w:val="both"/>
        <w:rPr>
          <w:rFonts w:eastAsiaTheme="minorHAnsi"/>
          <w:sz w:val="28"/>
          <w:szCs w:val="28"/>
        </w:rPr>
      </w:pPr>
      <w:r>
        <w:rPr>
          <w:rFonts w:eastAsiaTheme="minorHAnsi"/>
          <w:sz w:val="28"/>
          <w:szCs w:val="28"/>
        </w:rPr>
        <w:t xml:space="preserve">Wherefore, the Commission </w:t>
      </w:r>
      <w:r w:rsidR="00F62D2B">
        <w:rPr>
          <w:rFonts w:eastAsiaTheme="minorHAnsi"/>
          <w:sz w:val="28"/>
          <w:szCs w:val="28"/>
        </w:rPr>
        <w:t>requests the adoption of the proposed rule change.</w:t>
      </w:r>
    </w:p>
    <w:p w14:paraId="77CA8D8D" w14:textId="28F29274" w:rsidR="003255F4" w:rsidRPr="00BC1F31" w:rsidRDefault="00381C68" w:rsidP="00DB6C2F">
      <w:pPr>
        <w:spacing w:line="480" w:lineRule="auto"/>
        <w:ind w:left="720"/>
        <w:rPr>
          <w:bCs/>
          <w:sz w:val="28"/>
          <w:szCs w:val="28"/>
        </w:rPr>
      </w:pPr>
      <w:r w:rsidRPr="00BC1F31">
        <w:rPr>
          <w:bCs/>
          <w:sz w:val="28"/>
          <w:szCs w:val="28"/>
        </w:rPr>
        <w:t xml:space="preserve">DATED this </w:t>
      </w:r>
      <w:r w:rsidR="00DB6C2F">
        <w:rPr>
          <w:bCs/>
          <w:sz w:val="28"/>
          <w:szCs w:val="28"/>
        </w:rPr>
        <w:t>1st</w:t>
      </w:r>
      <w:r w:rsidR="006713CE">
        <w:rPr>
          <w:bCs/>
          <w:sz w:val="28"/>
          <w:szCs w:val="28"/>
        </w:rPr>
        <w:t xml:space="preserve"> </w:t>
      </w:r>
      <w:r w:rsidRPr="00BC1F31">
        <w:rPr>
          <w:bCs/>
          <w:sz w:val="28"/>
          <w:szCs w:val="28"/>
        </w:rPr>
        <w:t xml:space="preserve">day of </w:t>
      </w:r>
      <w:r w:rsidR="00E5429E">
        <w:rPr>
          <w:bCs/>
          <w:sz w:val="28"/>
          <w:szCs w:val="28"/>
        </w:rPr>
        <w:t>November</w:t>
      </w:r>
      <w:r w:rsidRPr="00BC1F31">
        <w:rPr>
          <w:bCs/>
          <w:sz w:val="28"/>
          <w:szCs w:val="28"/>
        </w:rPr>
        <w:t>, 20</w:t>
      </w:r>
      <w:r w:rsidR="006713CE">
        <w:rPr>
          <w:bCs/>
          <w:sz w:val="28"/>
          <w:szCs w:val="28"/>
        </w:rPr>
        <w:t>2</w:t>
      </w:r>
      <w:r w:rsidR="005E4BB2">
        <w:rPr>
          <w:bCs/>
          <w:sz w:val="28"/>
          <w:szCs w:val="28"/>
        </w:rPr>
        <w:t>4</w:t>
      </w:r>
      <w:r w:rsidRPr="00BC1F31">
        <w:rPr>
          <w:bCs/>
          <w:sz w:val="28"/>
          <w:szCs w:val="28"/>
        </w:rPr>
        <w:t>.</w:t>
      </w:r>
    </w:p>
    <w:p w14:paraId="64B32C3A" w14:textId="1A21AB36" w:rsidR="00381C68" w:rsidRPr="00BC1F31" w:rsidRDefault="00C95DFE"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
          <w:bCs/>
          <w:sz w:val="28"/>
          <w:szCs w:val="28"/>
        </w:rPr>
      </w:pPr>
      <w:r w:rsidRPr="00BC1F31">
        <w:rPr>
          <w:b/>
          <w:bCs/>
          <w:sz w:val="28"/>
          <w:szCs w:val="28"/>
        </w:rPr>
        <w:tab/>
      </w:r>
      <w:r w:rsidRPr="00BC1F31">
        <w:rPr>
          <w:b/>
          <w:bCs/>
          <w:sz w:val="28"/>
          <w:szCs w:val="28"/>
        </w:rPr>
        <w:tab/>
      </w:r>
      <w:r w:rsidRPr="00BC1F31">
        <w:rPr>
          <w:b/>
          <w:bCs/>
          <w:sz w:val="28"/>
          <w:szCs w:val="28"/>
        </w:rPr>
        <w:tab/>
      </w:r>
      <w:r w:rsidRPr="00BC1F31">
        <w:rPr>
          <w:b/>
          <w:bCs/>
          <w:sz w:val="28"/>
          <w:szCs w:val="28"/>
        </w:rPr>
        <w:tab/>
      </w:r>
      <w:r w:rsidR="003255F4">
        <w:rPr>
          <w:b/>
          <w:bCs/>
          <w:sz w:val="28"/>
          <w:szCs w:val="28"/>
        </w:rPr>
        <w:tab/>
      </w:r>
      <w:r w:rsidR="00381C68" w:rsidRPr="00BC1F31">
        <w:rPr>
          <w:b/>
          <w:bCs/>
          <w:sz w:val="28"/>
          <w:szCs w:val="28"/>
        </w:rPr>
        <w:t>COMMISSION ON JUDICIAL CONDUCT</w:t>
      </w:r>
    </w:p>
    <w:p w14:paraId="48B48BA1" w14:textId="77777777" w:rsidR="00381C68" w:rsidRPr="00850B0D" w:rsidRDefault="00381C68"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p>
    <w:p w14:paraId="515D822B" w14:textId="77777777" w:rsidR="00381C68" w:rsidRPr="00850B0D" w:rsidRDefault="00381C68"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p>
    <w:p w14:paraId="0B578DEE" w14:textId="6562B16C" w:rsidR="00381C68" w:rsidRPr="00C821BD" w:rsidRDefault="00850B0D"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sz w:val="28"/>
          <w:szCs w:val="28"/>
          <w:u w:val="single"/>
        </w:rPr>
      </w:pPr>
      <w:r>
        <w:rPr>
          <w:b/>
          <w:bCs/>
          <w:sz w:val="28"/>
          <w:szCs w:val="28"/>
        </w:rPr>
        <w:tab/>
      </w:r>
      <w:r>
        <w:rPr>
          <w:b/>
          <w:bCs/>
          <w:sz w:val="28"/>
          <w:szCs w:val="28"/>
        </w:rPr>
        <w:tab/>
      </w:r>
      <w:r>
        <w:rPr>
          <w:b/>
          <w:bCs/>
          <w:sz w:val="28"/>
          <w:szCs w:val="28"/>
        </w:rPr>
        <w:tab/>
      </w:r>
      <w:r>
        <w:rPr>
          <w:b/>
          <w:bCs/>
          <w:sz w:val="28"/>
          <w:szCs w:val="28"/>
        </w:rPr>
        <w:tab/>
      </w:r>
      <w:r w:rsidR="003255F4">
        <w:rPr>
          <w:b/>
          <w:bCs/>
          <w:sz w:val="28"/>
          <w:szCs w:val="28"/>
        </w:rPr>
        <w:tab/>
      </w:r>
      <w:r w:rsidR="00E5429E" w:rsidRPr="00C821BD">
        <w:rPr>
          <w:sz w:val="28"/>
          <w:szCs w:val="28"/>
          <w:u w:val="single"/>
        </w:rPr>
        <w:t>/s/April P. Elliott</w:t>
      </w:r>
      <w:r w:rsidR="002F56F4" w:rsidRPr="00C821BD">
        <w:rPr>
          <w:sz w:val="28"/>
          <w:szCs w:val="28"/>
          <w:u w:val="single"/>
        </w:rPr>
        <w:tab/>
      </w:r>
      <w:r w:rsidR="002F56F4" w:rsidRPr="00C821BD">
        <w:rPr>
          <w:sz w:val="28"/>
          <w:szCs w:val="28"/>
          <w:u w:val="single"/>
        </w:rPr>
        <w:tab/>
      </w:r>
      <w:r w:rsidR="002F56F4" w:rsidRPr="00C821BD">
        <w:rPr>
          <w:sz w:val="28"/>
          <w:szCs w:val="28"/>
          <w:u w:val="single"/>
        </w:rPr>
        <w:tab/>
      </w:r>
      <w:r w:rsidR="002F56F4" w:rsidRPr="00C821BD">
        <w:rPr>
          <w:sz w:val="28"/>
          <w:szCs w:val="28"/>
          <w:u w:val="single"/>
        </w:rPr>
        <w:tab/>
      </w:r>
      <w:r w:rsidR="002F56F4" w:rsidRPr="00C821BD">
        <w:rPr>
          <w:sz w:val="28"/>
          <w:szCs w:val="28"/>
          <w:u w:val="single"/>
        </w:rPr>
        <w:tab/>
      </w:r>
    </w:p>
    <w:p w14:paraId="38ECA2ED" w14:textId="7E99336D" w:rsidR="00381C68" w:rsidRPr="00995585" w:rsidRDefault="00381C68" w:rsidP="00381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r w:rsidRPr="00BC1F31">
        <w:rPr>
          <w:b/>
          <w:bCs/>
          <w:sz w:val="28"/>
          <w:szCs w:val="28"/>
        </w:rPr>
        <w:tab/>
      </w:r>
      <w:r w:rsidRPr="00BC1F31">
        <w:rPr>
          <w:b/>
          <w:bCs/>
          <w:sz w:val="28"/>
          <w:szCs w:val="28"/>
        </w:rPr>
        <w:tab/>
      </w:r>
      <w:r w:rsidRPr="00BC1F31">
        <w:rPr>
          <w:b/>
          <w:bCs/>
          <w:sz w:val="28"/>
          <w:szCs w:val="28"/>
        </w:rPr>
        <w:tab/>
      </w:r>
      <w:r w:rsidRPr="00BC1F31">
        <w:rPr>
          <w:b/>
          <w:bCs/>
          <w:sz w:val="28"/>
          <w:szCs w:val="28"/>
        </w:rPr>
        <w:tab/>
      </w:r>
      <w:r w:rsidR="003255F4">
        <w:rPr>
          <w:b/>
          <w:bCs/>
          <w:sz w:val="28"/>
          <w:szCs w:val="28"/>
        </w:rPr>
        <w:tab/>
      </w:r>
      <w:r w:rsidR="00995585" w:rsidRPr="00995585">
        <w:rPr>
          <w:bCs/>
          <w:sz w:val="28"/>
          <w:szCs w:val="28"/>
        </w:rPr>
        <w:t>April P. Elliott</w:t>
      </w:r>
    </w:p>
    <w:p w14:paraId="6933322A" w14:textId="5656E69D" w:rsidR="005D6FCF" w:rsidRPr="00850B0D" w:rsidRDefault="00381C68" w:rsidP="00850B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contextualSpacing/>
        <w:rPr>
          <w:bCs/>
          <w:sz w:val="28"/>
          <w:szCs w:val="28"/>
        </w:rPr>
      </w:pPr>
      <w:r w:rsidRPr="00BC1F31">
        <w:rPr>
          <w:bCs/>
          <w:sz w:val="28"/>
          <w:szCs w:val="28"/>
        </w:rPr>
        <w:tab/>
      </w:r>
      <w:r w:rsidRPr="00BC1F31">
        <w:rPr>
          <w:bCs/>
          <w:sz w:val="28"/>
          <w:szCs w:val="28"/>
        </w:rPr>
        <w:tab/>
      </w:r>
      <w:r w:rsidRPr="00BC1F31">
        <w:rPr>
          <w:bCs/>
          <w:sz w:val="28"/>
          <w:szCs w:val="28"/>
        </w:rPr>
        <w:tab/>
      </w:r>
      <w:r w:rsidRPr="00BC1F31">
        <w:rPr>
          <w:bCs/>
          <w:sz w:val="28"/>
          <w:szCs w:val="28"/>
        </w:rPr>
        <w:tab/>
      </w:r>
      <w:r w:rsidR="003255F4">
        <w:rPr>
          <w:bCs/>
          <w:sz w:val="28"/>
          <w:szCs w:val="28"/>
        </w:rPr>
        <w:tab/>
      </w:r>
      <w:r w:rsidR="006713CE">
        <w:rPr>
          <w:bCs/>
          <w:sz w:val="28"/>
          <w:szCs w:val="28"/>
        </w:rPr>
        <w:t>Executive Director</w:t>
      </w:r>
    </w:p>
    <w:sectPr w:rsidR="005D6FCF" w:rsidRPr="00850B0D" w:rsidSect="00491E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36C5" w14:textId="77777777" w:rsidR="00882D45" w:rsidRDefault="00882D45" w:rsidP="00A1139D">
      <w:r>
        <w:separator/>
      </w:r>
    </w:p>
  </w:endnote>
  <w:endnote w:type="continuationSeparator" w:id="0">
    <w:p w14:paraId="10E7E8D3" w14:textId="77777777" w:rsidR="00882D45" w:rsidRDefault="00882D45" w:rsidP="00A1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4248"/>
      <w:docPartObj>
        <w:docPartGallery w:val="Page Numbers (Bottom of Page)"/>
        <w:docPartUnique/>
      </w:docPartObj>
    </w:sdtPr>
    <w:sdtEndPr>
      <w:rPr>
        <w:noProof/>
        <w:sz w:val="28"/>
        <w:szCs w:val="28"/>
      </w:rPr>
    </w:sdtEndPr>
    <w:sdtContent>
      <w:p w14:paraId="286ED4D4" w14:textId="77777777" w:rsidR="00A1139D" w:rsidRPr="00466DBE" w:rsidRDefault="00A1139D">
        <w:pPr>
          <w:pStyle w:val="Footer"/>
          <w:jc w:val="center"/>
          <w:rPr>
            <w:sz w:val="28"/>
            <w:szCs w:val="28"/>
          </w:rPr>
        </w:pPr>
        <w:r w:rsidRPr="00466DBE">
          <w:rPr>
            <w:sz w:val="28"/>
            <w:szCs w:val="28"/>
          </w:rPr>
          <w:fldChar w:fldCharType="begin"/>
        </w:r>
        <w:r w:rsidRPr="00466DBE">
          <w:rPr>
            <w:sz w:val="28"/>
            <w:szCs w:val="28"/>
          </w:rPr>
          <w:instrText xml:space="preserve"> PAGE   \* MERGEFORMAT </w:instrText>
        </w:r>
        <w:r w:rsidRPr="00466DBE">
          <w:rPr>
            <w:sz w:val="28"/>
            <w:szCs w:val="28"/>
          </w:rPr>
          <w:fldChar w:fldCharType="separate"/>
        </w:r>
        <w:r w:rsidR="00995585" w:rsidRPr="00466DBE">
          <w:rPr>
            <w:noProof/>
            <w:sz w:val="28"/>
            <w:szCs w:val="28"/>
          </w:rPr>
          <w:t>2</w:t>
        </w:r>
        <w:r w:rsidRPr="00466DBE">
          <w:rPr>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8E80" w14:textId="77777777" w:rsidR="00882D45" w:rsidRDefault="00882D45" w:rsidP="00A1139D">
      <w:r>
        <w:separator/>
      </w:r>
    </w:p>
  </w:footnote>
  <w:footnote w:type="continuationSeparator" w:id="0">
    <w:p w14:paraId="7313C835" w14:textId="77777777" w:rsidR="00882D45" w:rsidRDefault="00882D45" w:rsidP="00A11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82675"/>
    <w:multiLevelType w:val="hybridMultilevel"/>
    <w:tmpl w:val="529C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98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C1"/>
    <w:rsid w:val="000122F9"/>
    <w:rsid w:val="000344C1"/>
    <w:rsid w:val="00095D20"/>
    <w:rsid w:val="000F165F"/>
    <w:rsid w:val="00150AD0"/>
    <w:rsid w:val="001531A3"/>
    <w:rsid w:val="001B0692"/>
    <w:rsid w:val="001C70A9"/>
    <w:rsid w:val="00205263"/>
    <w:rsid w:val="002427B6"/>
    <w:rsid w:val="00246812"/>
    <w:rsid w:val="00251360"/>
    <w:rsid w:val="00272028"/>
    <w:rsid w:val="00277527"/>
    <w:rsid w:val="002918D7"/>
    <w:rsid w:val="002A52C3"/>
    <w:rsid w:val="002E06E4"/>
    <w:rsid w:val="002F56F4"/>
    <w:rsid w:val="00316A05"/>
    <w:rsid w:val="003255F4"/>
    <w:rsid w:val="00347A2C"/>
    <w:rsid w:val="00357C14"/>
    <w:rsid w:val="0036429A"/>
    <w:rsid w:val="00365AB3"/>
    <w:rsid w:val="00381C68"/>
    <w:rsid w:val="003942E4"/>
    <w:rsid w:val="003C3623"/>
    <w:rsid w:val="00466DBE"/>
    <w:rsid w:val="00491E49"/>
    <w:rsid w:val="004967F2"/>
    <w:rsid w:val="004A4B2F"/>
    <w:rsid w:val="004E598E"/>
    <w:rsid w:val="00575335"/>
    <w:rsid w:val="005A7784"/>
    <w:rsid w:val="005C3EB2"/>
    <w:rsid w:val="005D6FCF"/>
    <w:rsid w:val="005E4BB2"/>
    <w:rsid w:val="00605A1C"/>
    <w:rsid w:val="00651C92"/>
    <w:rsid w:val="00654412"/>
    <w:rsid w:val="006713CE"/>
    <w:rsid w:val="00691650"/>
    <w:rsid w:val="00703803"/>
    <w:rsid w:val="00704824"/>
    <w:rsid w:val="007957F6"/>
    <w:rsid w:val="007D1740"/>
    <w:rsid w:val="007D30AB"/>
    <w:rsid w:val="00807409"/>
    <w:rsid w:val="00814056"/>
    <w:rsid w:val="00816710"/>
    <w:rsid w:val="0082037D"/>
    <w:rsid w:val="008431F3"/>
    <w:rsid w:val="00845172"/>
    <w:rsid w:val="00850B0D"/>
    <w:rsid w:val="00882D45"/>
    <w:rsid w:val="00884EBC"/>
    <w:rsid w:val="008A7020"/>
    <w:rsid w:val="008F2652"/>
    <w:rsid w:val="009364F2"/>
    <w:rsid w:val="009603C5"/>
    <w:rsid w:val="0098111C"/>
    <w:rsid w:val="00995585"/>
    <w:rsid w:val="00A1139D"/>
    <w:rsid w:val="00A127F1"/>
    <w:rsid w:val="00A434BD"/>
    <w:rsid w:val="00A63A74"/>
    <w:rsid w:val="00AB0964"/>
    <w:rsid w:val="00AD35C4"/>
    <w:rsid w:val="00AE77AE"/>
    <w:rsid w:val="00AF1AA8"/>
    <w:rsid w:val="00B15D44"/>
    <w:rsid w:val="00B2671A"/>
    <w:rsid w:val="00B269A1"/>
    <w:rsid w:val="00B335BE"/>
    <w:rsid w:val="00BA39FF"/>
    <w:rsid w:val="00BB1409"/>
    <w:rsid w:val="00BB1965"/>
    <w:rsid w:val="00BB30FE"/>
    <w:rsid w:val="00BC1F31"/>
    <w:rsid w:val="00BC3E8B"/>
    <w:rsid w:val="00BE328D"/>
    <w:rsid w:val="00C1223C"/>
    <w:rsid w:val="00C31281"/>
    <w:rsid w:val="00C61A22"/>
    <w:rsid w:val="00C821BD"/>
    <w:rsid w:val="00C91725"/>
    <w:rsid w:val="00C95DFE"/>
    <w:rsid w:val="00CB4BAD"/>
    <w:rsid w:val="00CF5569"/>
    <w:rsid w:val="00D05A1F"/>
    <w:rsid w:val="00D85D5F"/>
    <w:rsid w:val="00DB6C2F"/>
    <w:rsid w:val="00E141C0"/>
    <w:rsid w:val="00E1782D"/>
    <w:rsid w:val="00E442C6"/>
    <w:rsid w:val="00E5429E"/>
    <w:rsid w:val="00EA33B1"/>
    <w:rsid w:val="00EC5CC4"/>
    <w:rsid w:val="00F11A6F"/>
    <w:rsid w:val="00F20F5A"/>
    <w:rsid w:val="00F27C4B"/>
    <w:rsid w:val="00F62D2B"/>
    <w:rsid w:val="00F90993"/>
    <w:rsid w:val="00FB352D"/>
    <w:rsid w:val="00FD4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3CDC"/>
  <w15:chartTrackingRefBased/>
  <w15:docId w15:val="{5DD5D167-F5EA-4C3F-B044-7001ED6A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aj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C1"/>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44C1"/>
    <w:pPr>
      <w:spacing w:line="360" w:lineRule="auto"/>
      <w:jc w:val="center"/>
      <w:outlineLvl w:val="0"/>
    </w:pPr>
    <w:rPr>
      <w:b/>
      <w:bCs/>
      <w:sz w:val="28"/>
      <w:szCs w:val="28"/>
    </w:rPr>
  </w:style>
  <w:style w:type="paragraph" w:styleId="Heading2">
    <w:name w:val="heading 2"/>
    <w:basedOn w:val="Normal"/>
    <w:next w:val="Normal"/>
    <w:link w:val="Heading2Char"/>
    <w:qFormat/>
    <w:rsid w:val="000344C1"/>
    <w:p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2671A"/>
    <w:pPr>
      <w:framePr w:w="7920" w:h="1980" w:hRule="exact" w:hSpace="180" w:wrap="auto" w:hAnchor="page" w:xAlign="center" w:yAlign="bottom"/>
      <w:widowControl/>
      <w:autoSpaceDE/>
      <w:autoSpaceDN/>
      <w:adjustRightInd/>
      <w:ind w:left="2880"/>
    </w:pPr>
    <w:rPr>
      <w:rFonts w:ascii="Century Schoolbook" w:eastAsiaTheme="majorEastAsia" w:hAnsi="Century Schoolbook" w:cstheme="majorBidi"/>
      <w:sz w:val="22"/>
      <w:szCs w:val="22"/>
    </w:rPr>
  </w:style>
  <w:style w:type="character" w:customStyle="1" w:styleId="Heading1Char">
    <w:name w:val="Heading 1 Char"/>
    <w:basedOn w:val="DefaultParagraphFont"/>
    <w:link w:val="Heading1"/>
    <w:rsid w:val="000344C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0344C1"/>
    <w:rPr>
      <w:rFonts w:ascii="Times New Roman" w:eastAsia="Times New Roman" w:hAnsi="Times New Roman" w:cs="Times New Roman"/>
      <w:b/>
      <w:bCs/>
      <w:sz w:val="24"/>
      <w:szCs w:val="24"/>
    </w:rPr>
  </w:style>
  <w:style w:type="paragraph" w:styleId="ListParagraph">
    <w:name w:val="List Paragraph"/>
    <w:basedOn w:val="Normal"/>
    <w:uiPriority w:val="34"/>
    <w:qFormat/>
    <w:rsid w:val="00381C68"/>
    <w:pPr>
      <w:ind w:left="720"/>
      <w:contextualSpacing/>
    </w:pPr>
  </w:style>
  <w:style w:type="character" w:styleId="Hyperlink">
    <w:name w:val="Hyperlink"/>
    <w:basedOn w:val="DefaultParagraphFont"/>
    <w:uiPriority w:val="99"/>
    <w:unhideWhenUsed/>
    <w:rsid w:val="00381C68"/>
    <w:rPr>
      <w:color w:val="0563C1" w:themeColor="hyperlink"/>
      <w:u w:val="single"/>
    </w:rPr>
  </w:style>
  <w:style w:type="paragraph" w:styleId="Header">
    <w:name w:val="header"/>
    <w:basedOn w:val="Normal"/>
    <w:link w:val="HeaderChar"/>
    <w:uiPriority w:val="99"/>
    <w:unhideWhenUsed/>
    <w:rsid w:val="00A1139D"/>
    <w:pPr>
      <w:tabs>
        <w:tab w:val="center" w:pos="4680"/>
        <w:tab w:val="right" w:pos="9360"/>
      </w:tabs>
    </w:pPr>
  </w:style>
  <w:style w:type="character" w:customStyle="1" w:styleId="HeaderChar">
    <w:name w:val="Header Char"/>
    <w:basedOn w:val="DefaultParagraphFont"/>
    <w:link w:val="Header"/>
    <w:uiPriority w:val="99"/>
    <w:rsid w:val="00A113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139D"/>
    <w:pPr>
      <w:tabs>
        <w:tab w:val="center" w:pos="4680"/>
        <w:tab w:val="right" w:pos="9360"/>
      </w:tabs>
    </w:pPr>
  </w:style>
  <w:style w:type="character" w:customStyle="1" w:styleId="FooterChar">
    <w:name w:val="Footer Char"/>
    <w:basedOn w:val="DefaultParagraphFont"/>
    <w:link w:val="Footer"/>
    <w:uiPriority w:val="99"/>
    <w:rsid w:val="00A1139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54412"/>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54412"/>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654412"/>
    <w:rPr>
      <w:vertAlign w:val="superscript"/>
    </w:rPr>
  </w:style>
  <w:style w:type="character" w:styleId="CommentReference">
    <w:name w:val="annotation reference"/>
    <w:basedOn w:val="DefaultParagraphFont"/>
    <w:uiPriority w:val="99"/>
    <w:semiHidden/>
    <w:unhideWhenUsed/>
    <w:rsid w:val="00251360"/>
    <w:rPr>
      <w:sz w:val="16"/>
      <w:szCs w:val="16"/>
    </w:rPr>
  </w:style>
  <w:style w:type="paragraph" w:styleId="CommentText">
    <w:name w:val="annotation text"/>
    <w:basedOn w:val="Normal"/>
    <w:link w:val="CommentTextChar"/>
    <w:uiPriority w:val="99"/>
    <w:semiHidden/>
    <w:unhideWhenUsed/>
    <w:rsid w:val="00251360"/>
    <w:rPr>
      <w:sz w:val="20"/>
      <w:szCs w:val="20"/>
    </w:rPr>
  </w:style>
  <w:style w:type="character" w:customStyle="1" w:styleId="CommentTextChar">
    <w:name w:val="Comment Text Char"/>
    <w:basedOn w:val="DefaultParagraphFont"/>
    <w:link w:val="CommentText"/>
    <w:uiPriority w:val="99"/>
    <w:semiHidden/>
    <w:rsid w:val="00251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1360"/>
    <w:rPr>
      <w:b/>
      <w:bCs/>
    </w:rPr>
  </w:style>
  <w:style w:type="character" w:customStyle="1" w:styleId="CommentSubjectChar">
    <w:name w:val="Comment Subject Char"/>
    <w:basedOn w:val="CommentTextChar"/>
    <w:link w:val="CommentSubject"/>
    <w:uiPriority w:val="99"/>
    <w:semiHidden/>
    <w:rsid w:val="002513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360"/>
    <w:rPr>
      <w:rFonts w:ascii="Segoe UI" w:eastAsia="Times New Roman" w:hAnsi="Segoe UI" w:cs="Segoe UI"/>
      <w:sz w:val="18"/>
      <w:szCs w:val="18"/>
    </w:rPr>
  </w:style>
  <w:style w:type="paragraph" w:styleId="Revision">
    <w:name w:val="Revision"/>
    <w:hidden/>
    <w:uiPriority w:val="99"/>
    <w:semiHidden/>
    <w:rsid w:val="004A4B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7172">
      <w:bodyDiv w:val="1"/>
      <w:marLeft w:val="0"/>
      <w:marRight w:val="0"/>
      <w:marTop w:val="0"/>
      <w:marBottom w:val="0"/>
      <w:divBdr>
        <w:top w:val="none" w:sz="0" w:space="0" w:color="auto"/>
        <w:left w:val="none" w:sz="0" w:space="0" w:color="auto"/>
        <w:bottom w:val="none" w:sz="0" w:space="0" w:color="auto"/>
        <w:right w:val="none" w:sz="0" w:space="0" w:color="auto"/>
      </w:divBdr>
    </w:div>
    <w:div w:id="19280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B0F5-B76B-41BA-A9D8-53E7C145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904</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Kimberly</dc:creator>
  <cp:keywords/>
  <dc:description/>
  <cp:lastModifiedBy>Elliott, April</cp:lastModifiedBy>
  <cp:revision>2</cp:revision>
  <cp:lastPrinted>2019-05-29T21:24:00Z</cp:lastPrinted>
  <dcterms:created xsi:type="dcterms:W3CDTF">2024-11-01T21:39:00Z</dcterms:created>
  <dcterms:modified xsi:type="dcterms:W3CDTF">2024-11-01T21:39:00Z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TTALRV660D1Q99</vt:lpwstr>
  </property>
  <property fmtid="{D5CDD505-2E9C-101B-9397-08002B2CF9AE}" pid="3" name="LFORIGNAME">
    <vt:lpwstr>LegalFilesWeb1.docx</vt:lpwstr>
  </property>
</Properties>
</file>