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DC76C" w14:textId="77777777" w:rsidR="00140A1C" w:rsidRDefault="00140A1C"/>
    <w:p w14:paraId="1CCE7CE1" w14:textId="77777777" w:rsidR="00F3241E" w:rsidRPr="008621FE" w:rsidRDefault="00F3241E" w:rsidP="00F3241E">
      <w:pPr>
        <w:spacing w:after="0" w:line="240" w:lineRule="auto"/>
        <w:rPr>
          <w:rFonts w:ascii="Century Schoolbook" w:hAnsi="Century Schoolbook"/>
          <w:sz w:val="22"/>
          <w:szCs w:val="22"/>
        </w:rPr>
      </w:pPr>
      <w:r w:rsidRPr="008621FE">
        <w:rPr>
          <w:rFonts w:ascii="Century Schoolbook" w:hAnsi="Century Schoolbook"/>
          <w:sz w:val="22"/>
          <w:szCs w:val="22"/>
        </w:rPr>
        <w:t>October 1, 2024</w:t>
      </w:r>
    </w:p>
    <w:p w14:paraId="38997A5D" w14:textId="77777777" w:rsidR="00F3241E" w:rsidRPr="008621FE" w:rsidRDefault="00F3241E" w:rsidP="00F3241E">
      <w:pPr>
        <w:spacing w:after="0" w:line="240" w:lineRule="auto"/>
        <w:jc w:val="center"/>
        <w:rPr>
          <w:rFonts w:ascii="Century Schoolbook" w:hAnsi="Century Schoolbook"/>
          <w:sz w:val="22"/>
          <w:szCs w:val="22"/>
        </w:rPr>
      </w:pPr>
    </w:p>
    <w:p w14:paraId="72F80538" w14:textId="77777777" w:rsidR="00F3241E" w:rsidRPr="008621FE" w:rsidRDefault="00F3241E" w:rsidP="00F3241E">
      <w:pPr>
        <w:rPr>
          <w:rFonts w:ascii="Century Schoolbook" w:hAnsi="Century Schoolbook"/>
          <w:sz w:val="22"/>
          <w:szCs w:val="22"/>
        </w:rPr>
      </w:pPr>
      <w:r w:rsidRPr="008621FE">
        <w:rPr>
          <w:rFonts w:ascii="Century Schoolbook" w:hAnsi="Century Schoolbook"/>
          <w:sz w:val="22"/>
          <w:szCs w:val="22"/>
        </w:rPr>
        <w:t>To the Honorable Justices of the Arizona Supreme Court,</w:t>
      </w:r>
    </w:p>
    <w:p w14:paraId="2FED2177" w14:textId="77777777" w:rsidR="00F3241E" w:rsidRPr="008621FE" w:rsidRDefault="00F3241E" w:rsidP="00F3241E">
      <w:pPr>
        <w:spacing w:line="259" w:lineRule="auto"/>
        <w:jc w:val="both"/>
        <w:rPr>
          <w:rFonts w:ascii="Century Schoolbook" w:hAnsi="Century Schoolbook" w:cs="Times New Roman"/>
          <w:sz w:val="22"/>
          <w:szCs w:val="22"/>
        </w:rPr>
      </w:pPr>
      <w:r w:rsidRPr="008621FE">
        <w:rPr>
          <w:rFonts w:ascii="Century Schoolbook" w:hAnsi="Century Schoolbook"/>
          <w:sz w:val="22"/>
          <w:szCs w:val="22"/>
        </w:rPr>
        <w:tab/>
      </w:r>
      <w:r w:rsidRPr="008621FE">
        <w:rPr>
          <w:rFonts w:ascii="Century Schoolbook" w:hAnsi="Century Schoolbook" w:cs="Times New Roman"/>
          <w:sz w:val="22"/>
          <w:szCs w:val="22"/>
        </w:rPr>
        <w:t>The First Amendment Clinic at the University of Nebraska College of Law</w:t>
      </w:r>
      <w:r w:rsidRPr="008621FE">
        <w:rPr>
          <w:rFonts w:ascii="Century Schoolbook" w:hAnsi="Century Schoolbook"/>
          <w:sz w:val="22"/>
          <w:szCs w:val="22"/>
        </w:rPr>
        <w:t xml:space="preserve"> (“Clinic”) </w:t>
      </w:r>
      <w:r w:rsidRPr="008621FE">
        <w:rPr>
          <w:rFonts w:ascii="Century Schoolbook" w:hAnsi="Century Schoolbook" w:cs="Times New Roman"/>
          <w:sz w:val="22"/>
          <w:szCs w:val="22"/>
        </w:rPr>
        <w:t xml:space="preserve">writes in </w:t>
      </w:r>
      <w:r w:rsidRPr="008621FE">
        <w:rPr>
          <w:rFonts w:ascii="Century Schoolbook" w:hAnsi="Century Schoolbook"/>
          <w:sz w:val="22"/>
          <w:szCs w:val="22"/>
        </w:rPr>
        <w:t xml:space="preserve">support of the proposed changes to Arizona Supreme Court Rules 32(b) and (c). The Clinic defends and advances </w:t>
      </w:r>
      <w:r w:rsidRPr="008621FE">
        <w:rPr>
          <w:rFonts w:ascii="Century Schoolbook" w:hAnsi="Century Schoolbook" w:cs="Times New Roman"/>
          <w:sz w:val="22"/>
          <w:szCs w:val="22"/>
        </w:rPr>
        <w:t xml:space="preserve">freedoms of speech, press, assembly, and petition through court advocacy, and is committed to promoting the sound interpretation of First Amendment rights guaranteed in the U.S. Constitution. </w:t>
      </w:r>
    </w:p>
    <w:p w14:paraId="3729B044" w14:textId="77777777" w:rsidR="00F3241E" w:rsidRPr="008621FE" w:rsidRDefault="00F3241E" w:rsidP="00F3241E">
      <w:pPr>
        <w:spacing w:line="259" w:lineRule="auto"/>
        <w:jc w:val="both"/>
        <w:rPr>
          <w:rFonts w:ascii="Century Schoolbook" w:hAnsi="Century Schoolbook"/>
          <w:sz w:val="22"/>
          <w:szCs w:val="22"/>
        </w:rPr>
      </w:pPr>
      <w:r w:rsidRPr="008621FE">
        <w:rPr>
          <w:rFonts w:ascii="Century Schoolbook" w:hAnsi="Century Schoolbook"/>
          <w:sz w:val="22"/>
          <w:szCs w:val="22"/>
        </w:rPr>
        <w:tab/>
        <w:t xml:space="preserve">Prior to 2013, the Nebraska Bar Association required the payment of mandatory dues as a condition of practicing law in the State. </w:t>
      </w:r>
      <w:proofErr w:type="gramStart"/>
      <w:r w:rsidRPr="008621FE">
        <w:rPr>
          <w:rFonts w:ascii="Century Schoolbook" w:hAnsi="Century Schoolbook"/>
          <w:sz w:val="22"/>
          <w:szCs w:val="22"/>
        </w:rPr>
        <w:t>Similar to</w:t>
      </w:r>
      <w:proofErr w:type="gramEnd"/>
      <w:r w:rsidRPr="008621FE">
        <w:rPr>
          <w:rFonts w:ascii="Century Schoolbook" w:hAnsi="Century Schoolbook"/>
          <w:sz w:val="22"/>
          <w:szCs w:val="22"/>
        </w:rPr>
        <w:t xml:space="preserve"> Arizona, the mandatory dues were used, in part, to finance political and social activities that many dues-paying members did not support. This presented serious First Amendment concerns regarding compelled speech and association, which the Nebraska Supreme Court addressed in </w:t>
      </w:r>
      <w:proofErr w:type="gramStart"/>
      <w:r w:rsidRPr="008621FE">
        <w:rPr>
          <w:rFonts w:ascii="Century Schoolbook" w:hAnsi="Century Schoolbook"/>
          <w:i/>
          <w:iCs/>
          <w:sz w:val="22"/>
          <w:szCs w:val="22"/>
        </w:rPr>
        <w:t>In</w:t>
      </w:r>
      <w:proofErr w:type="gramEnd"/>
      <w:r w:rsidRPr="008621FE">
        <w:rPr>
          <w:rFonts w:ascii="Century Schoolbook" w:hAnsi="Century Schoolbook"/>
          <w:i/>
          <w:iCs/>
          <w:sz w:val="22"/>
          <w:szCs w:val="22"/>
        </w:rPr>
        <w:t xml:space="preserve"> re Petition for a Rule Change to Create a Voluntary State Bar of Nebraska</w:t>
      </w:r>
      <w:r w:rsidRPr="008621FE">
        <w:rPr>
          <w:rFonts w:ascii="Century Schoolbook" w:hAnsi="Century Schoolbook"/>
          <w:sz w:val="22"/>
          <w:szCs w:val="22"/>
        </w:rPr>
        <w:t>, 286 Neb. 1018, 841 N.W.2d 167 (2013).</w:t>
      </w:r>
    </w:p>
    <w:p w14:paraId="555BF8F8" w14:textId="77777777" w:rsidR="00F3241E" w:rsidRPr="008621FE" w:rsidRDefault="00F3241E" w:rsidP="00F3241E">
      <w:pPr>
        <w:spacing w:line="259" w:lineRule="auto"/>
        <w:jc w:val="both"/>
        <w:rPr>
          <w:rFonts w:ascii="Century Schoolbook" w:hAnsi="Century Schoolbook"/>
          <w:sz w:val="22"/>
          <w:szCs w:val="22"/>
        </w:rPr>
      </w:pPr>
      <w:r w:rsidRPr="008621FE">
        <w:rPr>
          <w:rFonts w:ascii="Century Schoolbook" w:hAnsi="Century Schoolbook"/>
          <w:sz w:val="22"/>
          <w:szCs w:val="22"/>
        </w:rPr>
        <w:tab/>
      </w:r>
      <w:r w:rsidRPr="008621FE">
        <w:rPr>
          <w:rFonts w:ascii="Century Schoolbook" w:hAnsi="Century Schoolbook"/>
          <w:i/>
          <w:iCs/>
          <w:sz w:val="22"/>
          <w:szCs w:val="22"/>
        </w:rPr>
        <w:t>In re Petition for a Rule Change to Create a Voluntary State Bar of Nebraska</w:t>
      </w:r>
      <w:r w:rsidRPr="008621FE">
        <w:rPr>
          <w:rFonts w:ascii="Century Schoolbook" w:hAnsi="Century Schoolbook"/>
          <w:sz w:val="22"/>
          <w:szCs w:val="22"/>
        </w:rPr>
        <w:t xml:space="preserve"> involved a petition to eliminate the requirement that attorneys licensed in Nebraska be members of the Nebraska State Bar Association. Although the Nebraska Supreme Court did not dissolve the Bar Association altogether, as the petitioner had urged, it limited the Bar Association’s ability to collect mandatory dues. Now, in Nebraska, mandatory Bar dues can only be used for the regulation of the legal profession and the improvement of available legal services. </w:t>
      </w:r>
    </w:p>
    <w:p w14:paraId="446B1AE2" w14:textId="77777777" w:rsidR="00F3241E" w:rsidRPr="008621FE" w:rsidRDefault="00F3241E" w:rsidP="00F3241E">
      <w:pPr>
        <w:spacing w:line="259" w:lineRule="auto"/>
        <w:jc w:val="both"/>
        <w:rPr>
          <w:rFonts w:ascii="Century Schoolbook" w:hAnsi="Century Schoolbook"/>
          <w:sz w:val="22"/>
          <w:szCs w:val="22"/>
        </w:rPr>
      </w:pPr>
      <w:r w:rsidRPr="008621FE">
        <w:rPr>
          <w:rFonts w:ascii="Century Schoolbook" w:hAnsi="Century Schoolbook"/>
          <w:sz w:val="22"/>
          <w:szCs w:val="22"/>
        </w:rPr>
        <w:tab/>
        <w:t xml:space="preserve">To be sure, the Nebraska Bar Association can—and does—collect </w:t>
      </w:r>
      <w:r w:rsidRPr="008621FE">
        <w:rPr>
          <w:rFonts w:ascii="Century Schoolbook" w:hAnsi="Century Schoolbook"/>
          <w:i/>
          <w:iCs/>
          <w:sz w:val="22"/>
          <w:szCs w:val="22"/>
        </w:rPr>
        <w:t xml:space="preserve">voluntary </w:t>
      </w:r>
      <w:r w:rsidRPr="008621FE">
        <w:rPr>
          <w:rFonts w:ascii="Century Schoolbook" w:hAnsi="Century Schoolbook"/>
          <w:sz w:val="22"/>
          <w:szCs w:val="22"/>
        </w:rPr>
        <w:t xml:space="preserve">dues for other purposes, including political activity. This process has been largely successful. Volunteer dues in Nebraska help support a variety of services in the state, including: the Volunteer Lawyers Project, which provides pro bono opportunities to Nebraska lawyers; and the Rural Practice Initiative, which expands access to legal services in underserved rural communities. Additionally, the limited nature of the mandatory bar dues does not hinder the Nebraska Bar Association from providing beneficial programs for all members, such as the Nebraska Lawyers Assistance Program, which provides confidential assistance to lawyers, judges and law students for substance abuse, stress, depression, and other issues. Simply put, the voluntary nature of Bar dues in Nebraska has not meaningfully affected programs and services in the State, as many opponents of the rule-change had initially argued. </w:t>
      </w:r>
    </w:p>
    <w:p w14:paraId="1C04240F" w14:textId="622EBEC7" w:rsidR="00F3241E" w:rsidRDefault="00F3241E" w:rsidP="00F3241E">
      <w:pPr>
        <w:spacing w:line="259" w:lineRule="auto"/>
        <w:jc w:val="both"/>
        <w:rPr>
          <w:rFonts w:ascii="Century Schoolbook" w:hAnsi="Century Schoolbook"/>
          <w:sz w:val="22"/>
          <w:szCs w:val="22"/>
        </w:rPr>
      </w:pPr>
      <w:r w:rsidRPr="008621FE">
        <w:rPr>
          <w:rFonts w:ascii="Century Schoolbook" w:hAnsi="Century Schoolbook"/>
          <w:sz w:val="22"/>
          <w:szCs w:val="22"/>
        </w:rPr>
        <w:tab/>
        <w:t>For these reasons, the Clinic respectfully urges the Court to adopt the proposed changes to Arizona Supreme Court Rules 32(b) and (c).</w:t>
      </w:r>
    </w:p>
    <w:p w14:paraId="61A9E1CE" w14:textId="77777777" w:rsidR="00F3241E" w:rsidRDefault="00F3241E" w:rsidP="00F3241E">
      <w:pPr>
        <w:spacing w:line="259" w:lineRule="auto"/>
        <w:jc w:val="both"/>
        <w:rPr>
          <w:rFonts w:ascii="Century Schoolbook" w:hAnsi="Century Schoolbook"/>
          <w:sz w:val="22"/>
          <w:szCs w:val="22"/>
        </w:rPr>
      </w:pPr>
    </w:p>
    <w:p w14:paraId="721625A7" w14:textId="56AF64D6" w:rsidR="00F3241E" w:rsidRDefault="00F3241E" w:rsidP="00F3241E">
      <w:pPr>
        <w:spacing w:line="259" w:lineRule="auto"/>
        <w:jc w:val="both"/>
        <w:rPr>
          <w:rFonts w:ascii="Century Schoolbook" w:hAnsi="Century Schoolbook"/>
          <w:sz w:val="22"/>
          <w:szCs w:val="22"/>
        </w:rPr>
      </w:pPr>
      <w:r>
        <w:rPr>
          <w:rFonts w:ascii="Century Schoolbook" w:hAnsi="Century Schoolbook"/>
          <w:sz w:val="22"/>
          <w:szCs w:val="22"/>
        </w:rPr>
        <w:t>Sincerely,</w:t>
      </w:r>
    </w:p>
    <w:p w14:paraId="12E2AC94" w14:textId="77777777" w:rsidR="00F3241E" w:rsidRPr="008621FE" w:rsidRDefault="00F3241E" w:rsidP="00F3241E">
      <w:pPr>
        <w:spacing w:after="0" w:line="259" w:lineRule="auto"/>
        <w:jc w:val="both"/>
        <w:rPr>
          <w:rFonts w:ascii="Century Schoolbook" w:hAnsi="Century Schoolbook"/>
          <w:i/>
          <w:iCs/>
          <w:sz w:val="22"/>
          <w:szCs w:val="22"/>
          <w:u w:val="single"/>
        </w:rPr>
      </w:pPr>
      <w:r w:rsidRPr="008621FE">
        <w:rPr>
          <w:rFonts w:ascii="Century Schoolbook" w:hAnsi="Century Schoolbook"/>
          <w:i/>
          <w:iCs/>
          <w:sz w:val="22"/>
          <w:szCs w:val="22"/>
          <w:u w:val="single"/>
        </w:rPr>
        <w:t>/s/ Daniel Gutman                    </w:t>
      </w:r>
    </w:p>
    <w:p w14:paraId="1D03706D" w14:textId="77777777" w:rsidR="00F3241E" w:rsidRDefault="00F3241E" w:rsidP="00F3241E">
      <w:pPr>
        <w:spacing w:after="0" w:line="259" w:lineRule="auto"/>
        <w:jc w:val="both"/>
        <w:rPr>
          <w:rFonts w:ascii="Century Schoolbook" w:hAnsi="Century Schoolbook"/>
          <w:sz w:val="22"/>
          <w:szCs w:val="22"/>
        </w:rPr>
      </w:pPr>
      <w:r>
        <w:rPr>
          <w:rFonts w:ascii="Century Schoolbook" w:hAnsi="Century Schoolbook"/>
          <w:sz w:val="22"/>
          <w:szCs w:val="22"/>
        </w:rPr>
        <w:t>Daniel Gutman</w:t>
      </w:r>
    </w:p>
    <w:p w14:paraId="27FCC417" w14:textId="77777777" w:rsidR="00F3241E" w:rsidRPr="008621FE" w:rsidRDefault="00F3241E" w:rsidP="00F3241E">
      <w:pPr>
        <w:spacing w:after="0" w:line="259" w:lineRule="auto"/>
        <w:jc w:val="both"/>
        <w:rPr>
          <w:rFonts w:ascii="Century Schoolbook" w:hAnsi="Century Schoolbook"/>
          <w:sz w:val="22"/>
          <w:szCs w:val="22"/>
        </w:rPr>
      </w:pPr>
      <w:r>
        <w:rPr>
          <w:rFonts w:ascii="Century Schoolbook" w:hAnsi="Century Schoolbook"/>
          <w:sz w:val="22"/>
          <w:szCs w:val="22"/>
        </w:rPr>
        <w:t>Director, First Amendment Clinic</w:t>
      </w:r>
    </w:p>
    <w:p w14:paraId="0BC82E03" w14:textId="77777777" w:rsidR="00140A1C" w:rsidRDefault="00140A1C"/>
    <w:sectPr w:rsidR="00140A1C" w:rsidSect="00140A1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45FA3" w14:textId="77777777" w:rsidR="00F3241E" w:rsidRDefault="00F3241E" w:rsidP="000D3CA8">
      <w:r>
        <w:separator/>
      </w:r>
    </w:p>
  </w:endnote>
  <w:endnote w:type="continuationSeparator" w:id="0">
    <w:p w14:paraId="0D3AAB14" w14:textId="77777777" w:rsidR="00F3241E" w:rsidRDefault="00F3241E" w:rsidP="000D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DA8E" w14:textId="77777777" w:rsidR="00140A1C" w:rsidRDefault="00140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8F90" w14:textId="77777777" w:rsidR="000D3CA8" w:rsidRDefault="000D3CA8" w:rsidP="000D3CA8">
    <w:pPr>
      <w:pStyle w:val="Footer"/>
      <w:tabs>
        <w:tab w:val="clear" w:pos="4680"/>
        <w:tab w:val="clear" w:pos="9360"/>
        <w:tab w:val="left" w:pos="18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4AE3C" w14:textId="77777777" w:rsidR="00140A1C" w:rsidRDefault="00140A1C">
    <w:pPr>
      <w:pStyle w:val="Footer"/>
    </w:pPr>
    <w:r>
      <w:rPr>
        <w:noProof/>
      </w:rPr>
      <w:drawing>
        <wp:anchor distT="0" distB="0" distL="114300" distR="114300" simplePos="0" relativeHeight="251660288" behindDoc="0" locked="0" layoutInCell="1" allowOverlap="1" wp14:anchorId="27E1679D" wp14:editId="0D50C12A">
          <wp:simplePos x="0" y="0"/>
          <wp:positionH relativeFrom="margin">
            <wp:align>right</wp:align>
          </wp:positionH>
          <wp:positionV relativeFrom="paragraph">
            <wp:posOffset>-148590</wp:posOffset>
          </wp:positionV>
          <wp:extent cx="5943600" cy="45212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521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37656" w14:textId="77777777" w:rsidR="00F3241E" w:rsidRDefault="00F3241E" w:rsidP="000D3CA8">
      <w:r>
        <w:separator/>
      </w:r>
    </w:p>
  </w:footnote>
  <w:footnote w:type="continuationSeparator" w:id="0">
    <w:p w14:paraId="056937C3" w14:textId="77777777" w:rsidR="00F3241E" w:rsidRDefault="00F3241E" w:rsidP="000D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3083" w14:textId="77777777" w:rsidR="00140A1C" w:rsidRDefault="00140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B1C1" w14:textId="77777777" w:rsidR="000D3CA8" w:rsidRDefault="000D3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E2B3" w14:textId="77777777" w:rsidR="00140A1C" w:rsidRDefault="00140A1C">
    <w:pPr>
      <w:pStyle w:val="Header"/>
    </w:pPr>
    <w:r>
      <w:rPr>
        <w:rFonts w:eastAsia="Times New Roman"/>
        <w:noProof/>
      </w:rPr>
      <w:drawing>
        <wp:anchor distT="0" distB="0" distL="114300" distR="114300" simplePos="0" relativeHeight="251659264" behindDoc="0" locked="0" layoutInCell="1" allowOverlap="1" wp14:anchorId="689640DF" wp14:editId="67439CC0">
          <wp:simplePos x="0" y="0"/>
          <wp:positionH relativeFrom="margin">
            <wp:align>center</wp:align>
          </wp:positionH>
          <wp:positionV relativeFrom="paragraph">
            <wp:posOffset>-200660</wp:posOffset>
          </wp:positionV>
          <wp:extent cx="638175" cy="5905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1E"/>
    <w:rsid w:val="000C2F18"/>
    <w:rsid w:val="000D3CA8"/>
    <w:rsid w:val="00140A1C"/>
    <w:rsid w:val="003737E8"/>
    <w:rsid w:val="00490E18"/>
    <w:rsid w:val="00B30E98"/>
    <w:rsid w:val="00F3241E"/>
    <w:rsid w:val="00F4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D962"/>
  <w15:chartTrackingRefBased/>
  <w15:docId w15:val="{9552AD78-B736-459A-82AC-040EF996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41E"/>
    <w:pPr>
      <w:spacing w:after="160" w:line="278" w:lineRule="auto"/>
    </w:pPr>
    <w:rPr>
      <w:rFonts w:asciiTheme="minorHAnsi" w:hAnsiTheme="minorHAnsi"/>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CA8"/>
    <w:pPr>
      <w:tabs>
        <w:tab w:val="center" w:pos="4680"/>
        <w:tab w:val="right" w:pos="9360"/>
      </w:tabs>
      <w:spacing w:after="0" w:line="240" w:lineRule="auto"/>
    </w:pPr>
    <w:rPr>
      <w:rFonts w:ascii="Times New Roman" w:hAnsi="Times New Roman"/>
      <w:kern w:val="0"/>
      <w:szCs w:val="22"/>
      <w14:ligatures w14:val="none"/>
    </w:rPr>
  </w:style>
  <w:style w:type="character" w:customStyle="1" w:styleId="HeaderChar">
    <w:name w:val="Header Char"/>
    <w:basedOn w:val="DefaultParagraphFont"/>
    <w:link w:val="Header"/>
    <w:uiPriority w:val="99"/>
    <w:rsid w:val="000D3CA8"/>
  </w:style>
  <w:style w:type="paragraph" w:styleId="Footer">
    <w:name w:val="footer"/>
    <w:basedOn w:val="Normal"/>
    <w:link w:val="FooterChar"/>
    <w:uiPriority w:val="99"/>
    <w:unhideWhenUsed/>
    <w:rsid w:val="000D3CA8"/>
    <w:pPr>
      <w:tabs>
        <w:tab w:val="center" w:pos="4680"/>
        <w:tab w:val="right" w:pos="9360"/>
      </w:tabs>
      <w:spacing w:after="0" w:line="240" w:lineRule="auto"/>
    </w:pPr>
    <w:rPr>
      <w:rFonts w:ascii="Times New Roman" w:hAnsi="Times New Roman"/>
      <w:kern w:val="0"/>
      <w:szCs w:val="22"/>
      <w14:ligatures w14:val="none"/>
    </w:rPr>
  </w:style>
  <w:style w:type="character" w:customStyle="1" w:styleId="FooterChar">
    <w:name w:val="Footer Char"/>
    <w:basedOn w:val="DefaultParagraphFont"/>
    <w:link w:val="Footer"/>
    <w:uiPriority w:val="99"/>
    <w:rsid w:val="000D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rowitsch2\Downloads\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CC6A048DE8F4CAE39C72442DCB270" ma:contentTypeVersion="15" ma:contentTypeDescription="Create a new document." ma:contentTypeScope="" ma:versionID="40a877b0c56b09b266ec99eb4b431515">
  <xsd:schema xmlns:xsd="http://www.w3.org/2001/XMLSchema" xmlns:xs="http://www.w3.org/2001/XMLSchema" xmlns:p="http://schemas.microsoft.com/office/2006/metadata/properties" xmlns:ns2="5b6061a4-5be7-437c-9152-082892a4dcaf" xmlns:ns3="d97f1545-f3c8-47b0-83c2-9bcb1f8e5f13" targetNamespace="http://schemas.microsoft.com/office/2006/metadata/properties" ma:root="true" ma:fieldsID="9a9dd3acd85f582e9d01559cf2085492" ns2:_="" ns3:_="">
    <xsd:import namespace="5b6061a4-5be7-437c-9152-082892a4dcaf"/>
    <xsd:import namespace="d97f1545-f3c8-47b0-83c2-9bcb1f8e5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061a4-5be7-437c-9152-082892a4d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f1545-f3c8-47b0-83c2-9bcb1f8e5f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61deb4-2ca3-46f9-bded-045703e25dd5}" ma:internalName="TaxCatchAll" ma:showField="CatchAllData" ma:web="d97f1545-f3c8-47b0-83c2-9bcb1f8e5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061a4-5be7-437c-9152-082892a4dcaf">
      <Terms xmlns="http://schemas.microsoft.com/office/infopath/2007/PartnerControls"/>
    </lcf76f155ced4ddcb4097134ff3c332f>
    <TaxCatchAll xmlns="d97f1545-f3c8-47b0-83c2-9bcb1f8e5f13" xsi:nil="true"/>
  </documentManagement>
</p:properties>
</file>

<file path=customXml/itemProps1.xml><?xml version="1.0" encoding="utf-8"?>
<ds:datastoreItem xmlns:ds="http://schemas.openxmlformats.org/officeDocument/2006/customXml" ds:itemID="{230F4542-CA2B-4DFA-9869-ECEBED890B3B}">
  <ds:schemaRefs>
    <ds:schemaRef ds:uri="http://schemas.microsoft.com/sharepoint/v3/contenttype/forms"/>
  </ds:schemaRefs>
</ds:datastoreItem>
</file>

<file path=customXml/itemProps2.xml><?xml version="1.0" encoding="utf-8"?>
<ds:datastoreItem xmlns:ds="http://schemas.openxmlformats.org/officeDocument/2006/customXml" ds:itemID="{E2FB56BE-2114-481B-832F-C62CBAE6D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061a4-5be7-437c-9152-082892a4dcaf"/>
    <ds:schemaRef ds:uri="d97f1545-f3c8-47b0-83c2-9bcb1f8e5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F00C3-4B80-42AB-B058-041F1F27DB1B}">
  <ds:schemaRefs>
    <ds:schemaRef ds:uri="http://schemas.microsoft.com/office/2006/metadata/properties"/>
    <ds:schemaRef ds:uri="http://schemas.microsoft.com/office/infopath/2007/PartnerControls"/>
    <ds:schemaRef ds:uri="5b6061a4-5be7-437c-9152-082892a4dcaf"/>
    <ds:schemaRef ds:uri="d97f1545-f3c8-47b0-83c2-9bcb1f8e5f13"/>
  </ds:schemaRefs>
</ds:datastoreItem>
</file>

<file path=docProps/app.xml><?xml version="1.0" encoding="utf-8"?>
<Properties xmlns="http://schemas.openxmlformats.org/officeDocument/2006/extended-properties" xmlns:vt="http://schemas.openxmlformats.org/officeDocument/2006/docPropsVTypes">
  <Template>Letterhead (3)</Template>
  <TotalTime>1116</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Derowitsch</dc:creator>
  <cp:keywords/>
  <dc:description/>
  <cp:lastModifiedBy>Amy Derowitsch</cp:lastModifiedBy>
  <cp:revision>1</cp:revision>
  <cp:lastPrinted>2024-10-01T21:16:00Z</cp:lastPrinted>
  <dcterms:created xsi:type="dcterms:W3CDTF">2024-10-01T21:13:00Z</dcterms:created>
  <dcterms:modified xsi:type="dcterms:W3CDTF">2024-10-02T15:51:00Z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0x010100F3ACC6A048DE8F4CAE39C72442DCB270</vt:lpwstr>
  </property>
</Properties>
</file>