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2DD96AE8" w14:textId="77777777" w:rsidTr="006F63FD">
        <w:trPr>
          <w:cantSplit/>
          <w:trHeight w:val="1987"/>
        </w:trPr>
        <w:tc>
          <w:tcPr>
            <w:tcW w:w="4836" w:type="dxa"/>
          </w:tcPr>
          <w:p w14:paraId="3B92AF78" w14:textId="77777777" w:rsidR="00000C35" w:rsidRDefault="00F850BE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Lisa M. Panahi</w:t>
            </w:r>
            <w:r w:rsidR="0073216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Bar No. 023421</w:t>
            </w:r>
            <w:r w:rsidR="00732169">
              <w:rPr>
                <w:sz w:val="28"/>
                <w:szCs w:val="28"/>
              </w:rPr>
              <w:br/>
            </w:r>
            <w:r w:rsidR="006F63FD" w:rsidRPr="006F63FD">
              <w:rPr>
                <w:sz w:val="28"/>
                <w:szCs w:val="28"/>
              </w:rPr>
              <w:t>General Counsel</w:t>
            </w:r>
          </w:p>
          <w:p w14:paraId="056261EB" w14:textId="77777777" w:rsidR="00494BDF" w:rsidRPr="006F63FD" w:rsidRDefault="00494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14:paraId="2A532740" w14:textId="77777777"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N. 24th Street, Suite 100</w:t>
            </w:r>
          </w:p>
          <w:p w14:paraId="5315828A" w14:textId="77777777"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85016-6288</w:t>
            </w:r>
          </w:p>
          <w:p w14:paraId="7B3DBC20" w14:textId="77777777" w:rsidR="006F63FD" w:rsidRPr="00735659" w:rsidRDefault="0035234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0A670938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14:paraId="5973F864" w14:textId="77777777" w:rsidR="00BF5976" w:rsidRDefault="00BF5976" w:rsidP="001A3D47">
      <w:pPr>
        <w:spacing w:line="240" w:lineRule="exact"/>
        <w:rPr>
          <w:color w:val="FF0000"/>
          <w:sz w:val="28"/>
          <w:szCs w:val="28"/>
        </w:rPr>
      </w:pPr>
    </w:p>
    <w:p w14:paraId="64740B83" w14:textId="77777777" w:rsidR="001A3D47" w:rsidRDefault="001A3D47" w:rsidP="00BF5976">
      <w:pPr>
        <w:spacing w:line="240" w:lineRule="exact"/>
        <w:jc w:val="center"/>
        <w:rPr>
          <w:color w:val="FF0000"/>
          <w:sz w:val="28"/>
          <w:szCs w:val="28"/>
        </w:rPr>
      </w:pPr>
    </w:p>
    <w:p w14:paraId="667E8EC1" w14:textId="77777777" w:rsidR="001A3D47" w:rsidRPr="001A3D47" w:rsidRDefault="001A3D47" w:rsidP="001A3D47">
      <w:pPr>
        <w:spacing w:line="240" w:lineRule="exact"/>
        <w:jc w:val="center"/>
        <w:rPr>
          <w:color w:val="FF0000"/>
          <w:sz w:val="28"/>
          <w:szCs w:val="28"/>
        </w:rPr>
      </w:pPr>
    </w:p>
    <w:p w14:paraId="25693B34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024B1021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01D2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03963DD5" w14:textId="26B5E8A7" w:rsidR="00357F4D" w:rsidRPr="00BF5976" w:rsidRDefault="00E67511" w:rsidP="00BF5976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BF5976">
              <w:rPr>
                <w:b/>
                <w:sz w:val="28"/>
                <w:szCs w:val="28"/>
              </w:rPr>
              <w:t>AMEND RULES 32(b) AND (c) OF THE ARIZONA RULES OF SUPREME COURT</w:t>
            </w:r>
            <w:r w:rsidR="00BF5976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35CED5CB" w14:textId="5BC3484C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8A4EB3">
              <w:rPr>
                <w:sz w:val="28"/>
                <w:szCs w:val="28"/>
              </w:rPr>
              <w:t>2</w:t>
            </w:r>
            <w:r w:rsidR="00BF5976">
              <w:rPr>
                <w:sz w:val="28"/>
                <w:szCs w:val="28"/>
              </w:rPr>
              <w:t>4-0030</w:t>
            </w:r>
          </w:p>
          <w:p w14:paraId="5AEC962D" w14:textId="53024179" w:rsidR="00357F4D" w:rsidRPr="008D522B" w:rsidRDefault="008D522B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8D522B">
              <w:rPr>
                <w:b/>
                <w:sz w:val="28"/>
                <w:szCs w:val="28"/>
              </w:rPr>
              <w:t>STATE BAR OF ARIZONA COMMENT</w:t>
            </w:r>
          </w:p>
          <w:p w14:paraId="414A167D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524D8097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14B66B5A" w14:textId="77777777"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691762A9" w14:textId="7D8737BC" w:rsidR="00E9772F" w:rsidRDefault="0008003D" w:rsidP="00E9772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7B7449">
        <w:rPr>
          <w:sz w:val="28"/>
          <w:szCs w:val="28"/>
        </w:rPr>
        <w:t>Pursuant to Rule 28(</w:t>
      </w:r>
      <w:r w:rsidR="00A4249C">
        <w:rPr>
          <w:sz w:val="28"/>
          <w:szCs w:val="28"/>
        </w:rPr>
        <w:t>e</w:t>
      </w:r>
      <w:r w:rsidRPr="007B7449">
        <w:rPr>
          <w:sz w:val="28"/>
          <w:szCs w:val="28"/>
        </w:rPr>
        <w:t xml:space="preserve">) of the Arizona Rules of Supreme Court, the State Bar of Arizona (the “State Bar”) hereby </w:t>
      </w:r>
      <w:r w:rsidR="00A4249C">
        <w:rPr>
          <w:sz w:val="28"/>
          <w:szCs w:val="28"/>
        </w:rPr>
        <w:t xml:space="preserve">submits the following as its </w:t>
      </w:r>
      <w:r w:rsidR="00F800D3">
        <w:rPr>
          <w:sz w:val="28"/>
          <w:szCs w:val="28"/>
        </w:rPr>
        <w:t xml:space="preserve">second </w:t>
      </w:r>
      <w:r w:rsidR="00A4249C">
        <w:rPr>
          <w:sz w:val="28"/>
          <w:szCs w:val="28"/>
        </w:rPr>
        <w:t xml:space="preserve">comment to the above-captioned </w:t>
      </w:r>
      <w:r w:rsidR="00732AEF">
        <w:rPr>
          <w:sz w:val="28"/>
          <w:szCs w:val="28"/>
        </w:rPr>
        <w:t>Petition</w:t>
      </w:r>
      <w:r w:rsidR="00E9772F">
        <w:rPr>
          <w:sz w:val="28"/>
          <w:szCs w:val="28"/>
        </w:rPr>
        <w:t>.</w:t>
      </w:r>
    </w:p>
    <w:p w14:paraId="1131B6B5" w14:textId="5973CF81" w:rsidR="00F30CB2" w:rsidRDefault="00E9772F" w:rsidP="00E9772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January 2024, </w:t>
      </w:r>
      <w:r w:rsidR="002F75B9">
        <w:rPr>
          <w:sz w:val="28"/>
          <w:szCs w:val="28"/>
        </w:rPr>
        <w:t>Petitioner</w:t>
      </w:r>
      <w:r>
        <w:rPr>
          <w:sz w:val="28"/>
          <w:szCs w:val="28"/>
        </w:rPr>
        <w:t xml:space="preserve"> filed </w:t>
      </w:r>
      <w:r w:rsidR="002F75B9">
        <w:rPr>
          <w:sz w:val="28"/>
          <w:szCs w:val="28"/>
        </w:rPr>
        <w:t>a Petition</w:t>
      </w:r>
      <w:r>
        <w:rPr>
          <w:sz w:val="28"/>
          <w:szCs w:val="28"/>
        </w:rPr>
        <w:t xml:space="preserve"> proposing to amend Rules 32(b) and (c), Ariz. R. Sup. Ct. The State Bar filed a Comment in opposition in April 2024. After considering the Petition, the public comments, and the Reply during its August 2024 Rules Agenda, the Court issued </w:t>
      </w:r>
      <w:r w:rsidR="002F75B9">
        <w:rPr>
          <w:sz w:val="28"/>
          <w:szCs w:val="28"/>
        </w:rPr>
        <w:t>an</w:t>
      </w:r>
      <w:r>
        <w:rPr>
          <w:sz w:val="28"/>
          <w:szCs w:val="28"/>
        </w:rPr>
        <w:t xml:space="preserve"> Order </w:t>
      </w:r>
      <w:r w:rsidR="002F75B9">
        <w:rPr>
          <w:sz w:val="28"/>
          <w:szCs w:val="28"/>
        </w:rPr>
        <w:t xml:space="preserve">on August 22, 2024, proposing a revision to Rule 32(c)(9), </w:t>
      </w:r>
      <w:r>
        <w:rPr>
          <w:sz w:val="28"/>
          <w:szCs w:val="28"/>
        </w:rPr>
        <w:t>continuing consideration until it’s December 2024 Rules Agenda</w:t>
      </w:r>
      <w:r w:rsidR="002F75B9">
        <w:rPr>
          <w:sz w:val="28"/>
          <w:szCs w:val="28"/>
        </w:rPr>
        <w:t>, and opening</w:t>
      </w:r>
      <w:r>
        <w:rPr>
          <w:sz w:val="28"/>
          <w:szCs w:val="28"/>
        </w:rPr>
        <w:t xml:space="preserve"> an abbreviated public comment period on</w:t>
      </w:r>
      <w:r w:rsidR="00F800D3">
        <w:rPr>
          <w:sz w:val="28"/>
          <w:szCs w:val="28"/>
        </w:rPr>
        <w:t xml:space="preserve"> a proposed amendment to Rule 32(c) only. </w:t>
      </w:r>
      <w:r>
        <w:rPr>
          <w:sz w:val="28"/>
          <w:szCs w:val="28"/>
        </w:rPr>
        <w:t xml:space="preserve"> </w:t>
      </w:r>
    </w:p>
    <w:p w14:paraId="5D02FE20" w14:textId="04BD16BB" w:rsidR="000F7A7F" w:rsidRPr="00E9772F" w:rsidRDefault="00E9772F" w:rsidP="00E9772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2F75B9">
        <w:rPr>
          <w:sz w:val="28"/>
          <w:szCs w:val="28"/>
        </w:rPr>
        <w:t xml:space="preserve">amended language proposed by this Court to Rule 32 would codify in </w:t>
      </w:r>
      <w:r w:rsidR="002F75B9">
        <w:rPr>
          <w:sz w:val="28"/>
          <w:szCs w:val="28"/>
        </w:rPr>
        <w:lastRenderedPageBreak/>
        <w:t>Rule 32</w:t>
      </w:r>
      <w:r w:rsidR="00F800D3">
        <w:rPr>
          <w:sz w:val="28"/>
          <w:szCs w:val="28"/>
        </w:rPr>
        <w:t>(c)(9)</w:t>
      </w:r>
      <w:r w:rsidR="002F75B9">
        <w:rPr>
          <w:sz w:val="28"/>
          <w:szCs w:val="28"/>
        </w:rPr>
        <w:t xml:space="preserve"> that all activities conducted by the State Bar shall comply with </w:t>
      </w:r>
      <w:r w:rsidR="002F75B9" w:rsidRPr="006C547F">
        <w:rPr>
          <w:i/>
          <w:iCs/>
          <w:sz w:val="28"/>
          <w:szCs w:val="28"/>
        </w:rPr>
        <w:t>Keller v. State Bar of California</w:t>
      </w:r>
      <w:r w:rsidR="002F75B9">
        <w:rPr>
          <w:sz w:val="28"/>
          <w:szCs w:val="28"/>
        </w:rPr>
        <w:t>, 496 U.S. 1 (1990). The State Bar</w:t>
      </w:r>
      <w:r>
        <w:rPr>
          <w:sz w:val="28"/>
          <w:szCs w:val="28"/>
        </w:rPr>
        <w:t xml:space="preserve"> supports t</w:t>
      </w:r>
      <w:r w:rsidR="006C547F">
        <w:rPr>
          <w:sz w:val="28"/>
          <w:szCs w:val="28"/>
        </w:rPr>
        <w:t>he</w:t>
      </w:r>
      <w:r>
        <w:rPr>
          <w:sz w:val="28"/>
          <w:szCs w:val="28"/>
        </w:rPr>
        <w:t xml:space="preserve"> amended language </w:t>
      </w:r>
      <w:r w:rsidR="006C547F">
        <w:rPr>
          <w:sz w:val="28"/>
          <w:szCs w:val="28"/>
        </w:rPr>
        <w:t>set forth in the Court’s Order</w:t>
      </w:r>
      <w:r>
        <w:rPr>
          <w:sz w:val="28"/>
          <w:szCs w:val="28"/>
        </w:rPr>
        <w:t>.</w:t>
      </w:r>
    </w:p>
    <w:p w14:paraId="56DC022B" w14:textId="1C9896A8" w:rsidR="000C48A9" w:rsidRPr="006F63FD" w:rsidRDefault="006F63FD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 w:rsidR="000C48A9" w:rsidRPr="006F63FD">
        <w:rPr>
          <w:sz w:val="28"/>
          <w:szCs w:val="28"/>
        </w:rPr>
        <w:t xml:space="preserve">RESPECTFULLY SUBMITTED this </w:t>
      </w:r>
      <w:r w:rsidR="00D87894" w:rsidRPr="00D87894">
        <w:rPr>
          <w:sz w:val="28"/>
          <w:szCs w:val="28"/>
          <w:u w:val="single"/>
        </w:rPr>
        <w:t>1</w:t>
      </w:r>
      <w:r w:rsidR="00D87894" w:rsidRPr="00D87894">
        <w:rPr>
          <w:sz w:val="28"/>
          <w:szCs w:val="28"/>
          <w:u w:val="single"/>
          <w:vertAlign w:val="superscript"/>
        </w:rPr>
        <w:t>st</w:t>
      </w:r>
      <w:r w:rsidR="00D87894">
        <w:rPr>
          <w:sz w:val="28"/>
          <w:szCs w:val="28"/>
        </w:rPr>
        <w:t xml:space="preserve"> </w:t>
      </w:r>
      <w:r w:rsidR="000C48A9" w:rsidRPr="006F63FD">
        <w:rPr>
          <w:sz w:val="28"/>
          <w:szCs w:val="28"/>
        </w:rPr>
        <w:t>day of</w:t>
      </w:r>
      <w:r w:rsidR="00D87894">
        <w:rPr>
          <w:sz w:val="28"/>
          <w:szCs w:val="28"/>
        </w:rPr>
        <w:t xml:space="preserve"> </w:t>
      </w:r>
      <w:r w:rsidR="00D87894" w:rsidRPr="00D87894">
        <w:rPr>
          <w:sz w:val="28"/>
          <w:szCs w:val="28"/>
          <w:u w:val="single"/>
        </w:rPr>
        <w:t>October</w:t>
      </w:r>
      <w:r w:rsidR="00D87894">
        <w:rPr>
          <w:sz w:val="28"/>
          <w:szCs w:val="28"/>
        </w:rPr>
        <w:t>,</w:t>
      </w:r>
      <w:r w:rsidR="00D60D9B">
        <w:rPr>
          <w:sz w:val="28"/>
          <w:szCs w:val="28"/>
        </w:rPr>
        <w:t xml:space="preserve"> 20</w:t>
      </w:r>
      <w:r w:rsidR="00954A5E">
        <w:rPr>
          <w:sz w:val="28"/>
          <w:szCs w:val="28"/>
        </w:rPr>
        <w:t>2</w:t>
      </w:r>
      <w:r w:rsidR="00BF5976">
        <w:rPr>
          <w:sz w:val="28"/>
          <w:szCs w:val="28"/>
        </w:rPr>
        <w:t>4</w:t>
      </w:r>
      <w:r w:rsidR="000C48A9" w:rsidRPr="006F63FD">
        <w:rPr>
          <w:sz w:val="28"/>
          <w:szCs w:val="28"/>
        </w:rPr>
        <w:t>.</w:t>
      </w:r>
    </w:p>
    <w:p w14:paraId="514BFEB7" w14:textId="6B7060BA" w:rsidR="000C48A9" w:rsidRPr="000F7A7F" w:rsidRDefault="000C48A9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6B779D2D" w14:textId="293C2BF8" w:rsidR="000C48A9" w:rsidRPr="000F7A7F" w:rsidRDefault="00D87894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D87894">
        <w:rPr>
          <w:noProof/>
          <w:sz w:val="28"/>
          <w:szCs w:val="28"/>
        </w:rPr>
        <w:drawing>
          <wp:inline distT="0" distB="0" distL="0" distR="0" wp14:anchorId="402147EE" wp14:editId="5EB7F93E">
            <wp:extent cx="1085419" cy="314325"/>
            <wp:effectExtent l="0" t="0" r="635" b="0"/>
            <wp:docPr id="1339956567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56567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258" cy="32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5BA5C" w14:textId="77777777" w:rsidR="000C48A9" w:rsidRPr="006F63FD" w:rsidRDefault="00F850BE" w:rsidP="000C48A9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Lisa M. Panahi</w:t>
      </w:r>
    </w:p>
    <w:p w14:paraId="305B54BB" w14:textId="77777777" w:rsidR="000C48A9" w:rsidRPr="006F63FD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6F63FD">
        <w:rPr>
          <w:sz w:val="28"/>
          <w:szCs w:val="28"/>
        </w:rPr>
        <w:t>General Counsel</w:t>
      </w:r>
    </w:p>
    <w:p w14:paraId="3ACE66B2" w14:textId="77777777" w:rsidR="000C48A9" w:rsidRPr="000F7A7F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1B468F8F" w14:textId="77777777" w:rsidR="000C48A9" w:rsidRPr="006F63FD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1B393CD1" w14:textId="77777777" w:rsidR="000C48A9" w:rsidRPr="00C52E56" w:rsidRDefault="000C48A9" w:rsidP="004331B2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14:paraId="7DDECC87" w14:textId="77777777" w:rsidR="000C48A9" w:rsidRPr="00C52E56" w:rsidRDefault="000C48A9" w:rsidP="004331B2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 xml:space="preserve">Clerk of the </w:t>
      </w:r>
      <w:r w:rsidR="00692391">
        <w:rPr>
          <w:sz w:val="28"/>
          <w:szCs w:val="28"/>
        </w:rPr>
        <w:t>Supreme Court of Arizona</w:t>
      </w:r>
    </w:p>
    <w:p w14:paraId="6759567E" w14:textId="7338DA5B" w:rsidR="000C48A9" w:rsidRPr="00C52E56" w:rsidRDefault="000C48A9" w:rsidP="00C52E5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>t</w:t>
      </w:r>
      <w:r w:rsidR="000F7A7F" w:rsidRPr="00C52E56">
        <w:rPr>
          <w:sz w:val="28"/>
          <w:szCs w:val="28"/>
        </w:rPr>
        <w:t xml:space="preserve">his </w:t>
      </w:r>
      <w:r w:rsidR="00D87894" w:rsidRPr="00D87894">
        <w:rPr>
          <w:sz w:val="28"/>
          <w:szCs w:val="28"/>
          <w:u w:val="single"/>
        </w:rPr>
        <w:t>1</w:t>
      </w:r>
      <w:r w:rsidR="00D87894" w:rsidRPr="00D87894">
        <w:rPr>
          <w:sz w:val="28"/>
          <w:szCs w:val="28"/>
          <w:u w:val="single"/>
          <w:vertAlign w:val="superscript"/>
        </w:rPr>
        <w:t>st</w:t>
      </w:r>
      <w:r w:rsidR="00D87894" w:rsidRPr="00D87894">
        <w:rPr>
          <w:sz w:val="28"/>
          <w:szCs w:val="28"/>
          <w:u w:val="single"/>
        </w:rPr>
        <w:t xml:space="preserve"> </w:t>
      </w:r>
      <w:r w:rsidR="000F7A7F" w:rsidRPr="00C52E56">
        <w:rPr>
          <w:sz w:val="28"/>
          <w:szCs w:val="28"/>
        </w:rPr>
        <w:t xml:space="preserve"> day of </w:t>
      </w:r>
      <w:r w:rsidR="00137114" w:rsidRPr="00D87894">
        <w:rPr>
          <w:sz w:val="28"/>
          <w:szCs w:val="28"/>
          <w:u w:val="single"/>
        </w:rPr>
        <w:t>October</w:t>
      </w:r>
      <w:r w:rsidR="00137114">
        <w:rPr>
          <w:sz w:val="28"/>
          <w:szCs w:val="28"/>
          <w:u w:val="single"/>
        </w:rPr>
        <w:t>,</w:t>
      </w:r>
      <w:r w:rsidR="006F63FD" w:rsidRPr="00C52E56">
        <w:rPr>
          <w:sz w:val="28"/>
          <w:szCs w:val="28"/>
        </w:rPr>
        <w:t xml:space="preserve"> </w:t>
      </w:r>
      <w:r w:rsidR="00D60D9B">
        <w:rPr>
          <w:sz w:val="28"/>
          <w:szCs w:val="28"/>
        </w:rPr>
        <w:t>20</w:t>
      </w:r>
      <w:r w:rsidR="00954A5E">
        <w:rPr>
          <w:sz w:val="28"/>
          <w:szCs w:val="28"/>
        </w:rPr>
        <w:t>2</w:t>
      </w:r>
      <w:r w:rsidR="00BF5976">
        <w:rPr>
          <w:sz w:val="28"/>
          <w:szCs w:val="28"/>
        </w:rPr>
        <w:t>4</w:t>
      </w:r>
      <w:r w:rsidR="000F7A7F" w:rsidRPr="00C52E56">
        <w:rPr>
          <w:sz w:val="28"/>
          <w:szCs w:val="28"/>
        </w:rPr>
        <w:t>.</w:t>
      </w:r>
    </w:p>
    <w:p w14:paraId="69581EED" w14:textId="77777777" w:rsidR="000F7A7F" w:rsidRPr="00C52E56" w:rsidRDefault="000F7A7F" w:rsidP="000C48A9">
      <w:pPr>
        <w:spacing w:line="240" w:lineRule="auto"/>
        <w:ind w:right="4572"/>
        <w:rPr>
          <w:sz w:val="28"/>
          <w:szCs w:val="28"/>
        </w:rPr>
      </w:pPr>
    </w:p>
    <w:p w14:paraId="74A74D4D" w14:textId="0A9CB3B7" w:rsidR="000C48A9" w:rsidRPr="00C52E56" w:rsidRDefault="000C48A9" w:rsidP="000C48A9">
      <w:pPr>
        <w:spacing w:line="240" w:lineRule="auto"/>
        <w:ind w:right="4572"/>
        <w:rPr>
          <w:sz w:val="28"/>
          <w:szCs w:val="28"/>
        </w:rPr>
      </w:pPr>
      <w:r w:rsidRPr="00C52E56">
        <w:rPr>
          <w:sz w:val="28"/>
          <w:szCs w:val="28"/>
        </w:rPr>
        <w:t xml:space="preserve">by: </w:t>
      </w:r>
      <w:r w:rsidR="00137114">
        <w:rPr>
          <w:sz w:val="28"/>
          <w:szCs w:val="28"/>
        </w:rPr>
        <w:t>PSeguin</w:t>
      </w:r>
    </w:p>
    <w:p w14:paraId="4A07E8A6" w14:textId="77777777"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BE4AE" w14:textId="77777777" w:rsidR="005111FD" w:rsidRDefault="005111FD">
      <w:r>
        <w:separator/>
      </w:r>
    </w:p>
  </w:endnote>
  <w:endnote w:type="continuationSeparator" w:id="0">
    <w:p w14:paraId="0671A00C" w14:textId="77777777" w:rsidR="005111FD" w:rsidRDefault="0051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9B982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1E722A" w14:textId="77777777" w:rsidR="007870CB" w:rsidRDefault="007870CB" w:rsidP="00861563">
    <w:pPr>
      <w:pStyle w:val="Footer"/>
      <w:ind w:right="360"/>
    </w:pPr>
  </w:p>
  <w:p w14:paraId="180E891B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438E454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44037EDE" w14:textId="77777777" w:rsidR="007D5C49" w:rsidRDefault="007D5C4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E003E" w14:textId="77777777" w:rsidR="00AD2A3D" w:rsidRDefault="00AD2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EC9CC" w14:textId="77777777" w:rsidR="005111FD" w:rsidRDefault="005111FD">
      <w:r>
        <w:separator/>
      </w:r>
    </w:p>
  </w:footnote>
  <w:footnote w:type="continuationSeparator" w:id="0">
    <w:p w14:paraId="1633187F" w14:textId="77777777" w:rsidR="005111FD" w:rsidRDefault="0051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35E4F" w14:textId="77777777" w:rsidR="00AD2A3D" w:rsidRDefault="00AD2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39EEE" w14:textId="2701C565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198E9B" wp14:editId="628086A1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E2A0A7" id="RightBorder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LnE8hndAAAACQ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B9C2C6" wp14:editId="2C722289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03EBC9" id="LeftBorder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1A3BE4F" wp14:editId="71C89CA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F00E8A" id="LeftBorder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  <w:p w14:paraId="5BF4D0D3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82FEA6C" wp14:editId="21410D06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D663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C6706F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2782703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5218DDC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1F01F52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292711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5AC882F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59551A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30D7C9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152E8C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44B9685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17E4E57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4342E1F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77E47AC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34621C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048A4C8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8A66ED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33F831B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5397DEA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04453D6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6F5079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7D436DA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1ED2A6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124334A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3747286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3FE6EE4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FEA6C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 stroked="f">
              <v:textbox inset="0,0,0,0">
                <w:txbxContent>
                  <w:p w14:paraId="579D663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4C6706F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2782703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5218DDC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1F01F52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292711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5AC882F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59551A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30D7C9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6152E8C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44B9685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17E4E57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4342E1F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77E47AC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134621C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048A4C8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48A66ED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33F831B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5397DEA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04453D6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6F5079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7D436DA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1ED2A6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124334A4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3747286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3FE6EE4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B3886" w14:textId="77777777" w:rsidR="00AD2A3D" w:rsidRDefault="00AD2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75BB9"/>
    <w:multiLevelType w:val="hybridMultilevel"/>
    <w:tmpl w:val="3CFAA69E"/>
    <w:lvl w:ilvl="0" w:tplc="A1DA9E6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0145"/>
    <w:multiLevelType w:val="hybridMultilevel"/>
    <w:tmpl w:val="A23658D4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4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49488F"/>
    <w:multiLevelType w:val="hybridMultilevel"/>
    <w:tmpl w:val="2ABCF94A"/>
    <w:lvl w:ilvl="0" w:tplc="481A815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B8F259B"/>
    <w:multiLevelType w:val="hybridMultilevel"/>
    <w:tmpl w:val="43E4E84E"/>
    <w:lvl w:ilvl="0" w:tplc="91225D9E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F26740"/>
    <w:multiLevelType w:val="hybridMultilevel"/>
    <w:tmpl w:val="8B662D98"/>
    <w:lvl w:ilvl="0" w:tplc="ADE6DA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6656467">
    <w:abstractNumId w:val="14"/>
  </w:num>
  <w:num w:numId="2" w16cid:durableId="1154566703">
    <w:abstractNumId w:val="15"/>
  </w:num>
  <w:num w:numId="3" w16cid:durableId="1647197062">
    <w:abstractNumId w:val="1"/>
  </w:num>
  <w:num w:numId="4" w16cid:durableId="638387173">
    <w:abstractNumId w:val="6"/>
  </w:num>
  <w:num w:numId="5" w16cid:durableId="1253079668">
    <w:abstractNumId w:val="9"/>
  </w:num>
  <w:num w:numId="6" w16cid:durableId="1037390029">
    <w:abstractNumId w:val="10"/>
  </w:num>
  <w:num w:numId="7" w16cid:durableId="573585453">
    <w:abstractNumId w:val="2"/>
  </w:num>
  <w:num w:numId="8" w16cid:durableId="254411661">
    <w:abstractNumId w:val="18"/>
  </w:num>
  <w:num w:numId="9" w16cid:durableId="1559709547">
    <w:abstractNumId w:val="11"/>
  </w:num>
  <w:num w:numId="10" w16cid:durableId="103119457">
    <w:abstractNumId w:val="13"/>
  </w:num>
  <w:num w:numId="11" w16cid:durableId="963199198">
    <w:abstractNumId w:val="12"/>
  </w:num>
  <w:num w:numId="12" w16cid:durableId="862018039">
    <w:abstractNumId w:val="8"/>
  </w:num>
  <w:num w:numId="13" w16cid:durableId="352654520">
    <w:abstractNumId w:val="4"/>
  </w:num>
  <w:num w:numId="14" w16cid:durableId="306208326">
    <w:abstractNumId w:val="5"/>
  </w:num>
  <w:num w:numId="15" w16cid:durableId="587884520">
    <w:abstractNumId w:val="17"/>
  </w:num>
  <w:num w:numId="16" w16cid:durableId="1374693107">
    <w:abstractNumId w:val="3"/>
  </w:num>
  <w:num w:numId="17" w16cid:durableId="2113210064">
    <w:abstractNumId w:val="16"/>
  </w:num>
  <w:num w:numId="18" w16cid:durableId="633488289">
    <w:abstractNumId w:val="7"/>
  </w:num>
  <w:num w:numId="19" w16cid:durableId="200856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yN7EwMTMxtzQzNjdS0lEKTi0uzszPAykwrAUA5B+lQywAAAA="/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248E4"/>
    <w:rsid w:val="00026B5C"/>
    <w:rsid w:val="000410B3"/>
    <w:rsid w:val="00043D4D"/>
    <w:rsid w:val="00052372"/>
    <w:rsid w:val="000666D1"/>
    <w:rsid w:val="00071755"/>
    <w:rsid w:val="0008003D"/>
    <w:rsid w:val="000917C0"/>
    <w:rsid w:val="000A1D6B"/>
    <w:rsid w:val="000B22CB"/>
    <w:rsid w:val="000B356F"/>
    <w:rsid w:val="000C48A9"/>
    <w:rsid w:val="000C77BA"/>
    <w:rsid w:val="000D667B"/>
    <w:rsid w:val="000E1232"/>
    <w:rsid w:val="000F7A7F"/>
    <w:rsid w:val="000F7C13"/>
    <w:rsid w:val="0010221E"/>
    <w:rsid w:val="00126654"/>
    <w:rsid w:val="00134D43"/>
    <w:rsid w:val="00135326"/>
    <w:rsid w:val="00137114"/>
    <w:rsid w:val="00140034"/>
    <w:rsid w:val="0015487E"/>
    <w:rsid w:val="001A2520"/>
    <w:rsid w:val="001A358A"/>
    <w:rsid w:val="001A3D47"/>
    <w:rsid w:val="001B260F"/>
    <w:rsid w:val="001B7C1A"/>
    <w:rsid w:val="001C69D5"/>
    <w:rsid w:val="001E6FBA"/>
    <w:rsid w:val="001F591C"/>
    <w:rsid w:val="002020DD"/>
    <w:rsid w:val="00207336"/>
    <w:rsid w:val="0021314B"/>
    <w:rsid w:val="00264F0B"/>
    <w:rsid w:val="00270DA6"/>
    <w:rsid w:val="00274D6A"/>
    <w:rsid w:val="00287F0B"/>
    <w:rsid w:val="002A3853"/>
    <w:rsid w:val="002A4DC7"/>
    <w:rsid w:val="002D4D2D"/>
    <w:rsid w:val="002F75B9"/>
    <w:rsid w:val="00334284"/>
    <w:rsid w:val="00334B42"/>
    <w:rsid w:val="003403FF"/>
    <w:rsid w:val="00341114"/>
    <w:rsid w:val="0034222E"/>
    <w:rsid w:val="0034222F"/>
    <w:rsid w:val="00352347"/>
    <w:rsid w:val="00354E2A"/>
    <w:rsid w:val="003566D6"/>
    <w:rsid w:val="00357F4D"/>
    <w:rsid w:val="003617D1"/>
    <w:rsid w:val="00365D40"/>
    <w:rsid w:val="003763E1"/>
    <w:rsid w:val="00377199"/>
    <w:rsid w:val="0038499B"/>
    <w:rsid w:val="003A1415"/>
    <w:rsid w:val="003A28AC"/>
    <w:rsid w:val="003A3B62"/>
    <w:rsid w:val="003D4772"/>
    <w:rsid w:val="003D622D"/>
    <w:rsid w:val="003F4F00"/>
    <w:rsid w:val="003F6406"/>
    <w:rsid w:val="0040647A"/>
    <w:rsid w:val="00407E2D"/>
    <w:rsid w:val="0042411E"/>
    <w:rsid w:val="004331B2"/>
    <w:rsid w:val="00434360"/>
    <w:rsid w:val="00440E4C"/>
    <w:rsid w:val="00441209"/>
    <w:rsid w:val="00442876"/>
    <w:rsid w:val="00463734"/>
    <w:rsid w:val="00494BDF"/>
    <w:rsid w:val="004A4323"/>
    <w:rsid w:val="004C3AE3"/>
    <w:rsid w:val="004D3F0D"/>
    <w:rsid w:val="004F49CF"/>
    <w:rsid w:val="00500AEB"/>
    <w:rsid w:val="00504E1E"/>
    <w:rsid w:val="00506859"/>
    <w:rsid w:val="005111FD"/>
    <w:rsid w:val="00520F93"/>
    <w:rsid w:val="00531268"/>
    <w:rsid w:val="00537B78"/>
    <w:rsid w:val="00542E7C"/>
    <w:rsid w:val="0055039A"/>
    <w:rsid w:val="00562A4B"/>
    <w:rsid w:val="005652A5"/>
    <w:rsid w:val="00566856"/>
    <w:rsid w:val="005845AE"/>
    <w:rsid w:val="00595E68"/>
    <w:rsid w:val="005A1A83"/>
    <w:rsid w:val="005A21B0"/>
    <w:rsid w:val="005B5161"/>
    <w:rsid w:val="005D6AD4"/>
    <w:rsid w:val="006332C0"/>
    <w:rsid w:val="006338C1"/>
    <w:rsid w:val="00633E9C"/>
    <w:rsid w:val="006340D8"/>
    <w:rsid w:val="00636F5E"/>
    <w:rsid w:val="006410D8"/>
    <w:rsid w:val="00650E98"/>
    <w:rsid w:val="00665CCF"/>
    <w:rsid w:val="006666D1"/>
    <w:rsid w:val="006721EC"/>
    <w:rsid w:val="00676312"/>
    <w:rsid w:val="006766BF"/>
    <w:rsid w:val="00677623"/>
    <w:rsid w:val="006824D9"/>
    <w:rsid w:val="00692391"/>
    <w:rsid w:val="006932BA"/>
    <w:rsid w:val="00694A31"/>
    <w:rsid w:val="0069761C"/>
    <w:rsid w:val="006B4F9A"/>
    <w:rsid w:val="006C4918"/>
    <w:rsid w:val="006C547F"/>
    <w:rsid w:val="006E4770"/>
    <w:rsid w:val="006F63FD"/>
    <w:rsid w:val="007114A1"/>
    <w:rsid w:val="00713764"/>
    <w:rsid w:val="00723E7D"/>
    <w:rsid w:val="00726C30"/>
    <w:rsid w:val="00732169"/>
    <w:rsid w:val="00732AEF"/>
    <w:rsid w:val="00735659"/>
    <w:rsid w:val="007427C6"/>
    <w:rsid w:val="0077110E"/>
    <w:rsid w:val="007870CB"/>
    <w:rsid w:val="007A033C"/>
    <w:rsid w:val="007A3F0F"/>
    <w:rsid w:val="007A4F4F"/>
    <w:rsid w:val="007B2B70"/>
    <w:rsid w:val="007C47E9"/>
    <w:rsid w:val="007C65CA"/>
    <w:rsid w:val="007D4D5F"/>
    <w:rsid w:val="007D5C49"/>
    <w:rsid w:val="007D73FF"/>
    <w:rsid w:val="007E0621"/>
    <w:rsid w:val="007E2440"/>
    <w:rsid w:val="007E297B"/>
    <w:rsid w:val="007E3CCB"/>
    <w:rsid w:val="007F77FB"/>
    <w:rsid w:val="008006ED"/>
    <w:rsid w:val="0081005F"/>
    <w:rsid w:val="00817985"/>
    <w:rsid w:val="00822598"/>
    <w:rsid w:val="008237E3"/>
    <w:rsid w:val="008360A1"/>
    <w:rsid w:val="008363E5"/>
    <w:rsid w:val="00841A8C"/>
    <w:rsid w:val="00844C2F"/>
    <w:rsid w:val="008450C7"/>
    <w:rsid w:val="008460CC"/>
    <w:rsid w:val="00861563"/>
    <w:rsid w:val="00871AAA"/>
    <w:rsid w:val="00876F57"/>
    <w:rsid w:val="00891AAA"/>
    <w:rsid w:val="00894792"/>
    <w:rsid w:val="008A4EB3"/>
    <w:rsid w:val="008D522B"/>
    <w:rsid w:val="008E1A35"/>
    <w:rsid w:val="00933EA1"/>
    <w:rsid w:val="009427EE"/>
    <w:rsid w:val="00942F7C"/>
    <w:rsid w:val="00944EA4"/>
    <w:rsid w:val="00951416"/>
    <w:rsid w:val="00954A5E"/>
    <w:rsid w:val="00960D21"/>
    <w:rsid w:val="00981D29"/>
    <w:rsid w:val="00981E11"/>
    <w:rsid w:val="0099473F"/>
    <w:rsid w:val="009C33E3"/>
    <w:rsid w:val="009C5776"/>
    <w:rsid w:val="009F3703"/>
    <w:rsid w:val="00A01DFD"/>
    <w:rsid w:val="00A115E9"/>
    <w:rsid w:val="00A1564B"/>
    <w:rsid w:val="00A27EEB"/>
    <w:rsid w:val="00A418F4"/>
    <w:rsid w:val="00A4249C"/>
    <w:rsid w:val="00A5194F"/>
    <w:rsid w:val="00A732AB"/>
    <w:rsid w:val="00A8063B"/>
    <w:rsid w:val="00A80D63"/>
    <w:rsid w:val="00A871D6"/>
    <w:rsid w:val="00A93A7C"/>
    <w:rsid w:val="00AB0AA9"/>
    <w:rsid w:val="00AD2A3D"/>
    <w:rsid w:val="00AD3BFF"/>
    <w:rsid w:val="00AF282C"/>
    <w:rsid w:val="00AF3FF7"/>
    <w:rsid w:val="00B04F8A"/>
    <w:rsid w:val="00B06A38"/>
    <w:rsid w:val="00B1491D"/>
    <w:rsid w:val="00B2069C"/>
    <w:rsid w:val="00B47B7D"/>
    <w:rsid w:val="00B673C3"/>
    <w:rsid w:val="00B67D33"/>
    <w:rsid w:val="00B76323"/>
    <w:rsid w:val="00B803FF"/>
    <w:rsid w:val="00B91A68"/>
    <w:rsid w:val="00B93F7C"/>
    <w:rsid w:val="00BA4D94"/>
    <w:rsid w:val="00BC2706"/>
    <w:rsid w:val="00BC2F3B"/>
    <w:rsid w:val="00BE5462"/>
    <w:rsid w:val="00BF5976"/>
    <w:rsid w:val="00C03E0F"/>
    <w:rsid w:val="00C07590"/>
    <w:rsid w:val="00C27531"/>
    <w:rsid w:val="00C52E56"/>
    <w:rsid w:val="00C5407A"/>
    <w:rsid w:val="00C662B0"/>
    <w:rsid w:val="00C713F6"/>
    <w:rsid w:val="00C84FD4"/>
    <w:rsid w:val="00C958EE"/>
    <w:rsid w:val="00CA6237"/>
    <w:rsid w:val="00CC6E97"/>
    <w:rsid w:val="00CD21FB"/>
    <w:rsid w:val="00CF16E7"/>
    <w:rsid w:val="00D11311"/>
    <w:rsid w:val="00D351F4"/>
    <w:rsid w:val="00D37CC3"/>
    <w:rsid w:val="00D423FE"/>
    <w:rsid w:val="00D442D9"/>
    <w:rsid w:val="00D442E4"/>
    <w:rsid w:val="00D60D9B"/>
    <w:rsid w:val="00D64F8C"/>
    <w:rsid w:val="00D65EF9"/>
    <w:rsid w:val="00D751F6"/>
    <w:rsid w:val="00D80EDC"/>
    <w:rsid w:val="00D84EFF"/>
    <w:rsid w:val="00D85B32"/>
    <w:rsid w:val="00D87894"/>
    <w:rsid w:val="00DA4EDB"/>
    <w:rsid w:val="00DA78E9"/>
    <w:rsid w:val="00DC0445"/>
    <w:rsid w:val="00DD26CD"/>
    <w:rsid w:val="00DD3791"/>
    <w:rsid w:val="00DF4F15"/>
    <w:rsid w:val="00E047D3"/>
    <w:rsid w:val="00E201CB"/>
    <w:rsid w:val="00E25C52"/>
    <w:rsid w:val="00E266B7"/>
    <w:rsid w:val="00E27BC3"/>
    <w:rsid w:val="00E321C5"/>
    <w:rsid w:val="00E41F77"/>
    <w:rsid w:val="00E42A3C"/>
    <w:rsid w:val="00E458E0"/>
    <w:rsid w:val="00E5772B"/>
    <w:rsid w:val="00E67511"/>
    <w:rsid w:val="00E81026"/>
    <w:rsid w:val="00E82D0F"/>
    <w:rsid w:val="00E950B5"/>
    <w:rsid w:val="00E96E53"/>
    <w:rsid w:val="00E9772F"/>
    <w:rsid w:val="00EA6264"/>
    <w:rsid w:val="00EF482F"/>
    <w:rsid w:val="00F05879"/>
    <w:rsid w:val="00F06F5B"/>
    <w:rsid w:val="00F20A7D"/>
    <w:rsid w:val="00F2485D"/>
    <w:rsid w:val="00F30CB2"/>
    <w:rsid w:val="00F33926"/>
    <w:rsid w:val="00F464DE"/>
    <w:rsid w:val="00F53A4D"/>
    <w:rsid w:val="00F60C61"/>
    <w:rsid w:val="00F64B52"/>
    <w:rsid w:val="00F65998"/>
    <w:rsid w:val="00F73F70"/>
    <w:rsid w:val="00F75E4A"/>
    <w:rsid w:val="00F800D3"/>
    <w:rsid w:val="00F850BE"/>
    <w:rsid w:val="00FB5291"/>
    <w:rsid w:val="00FB5E84"/>
    <w:rsid w:val="00FD2A8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5F33E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65D4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40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03F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3403FF"/>
  </w:style>
  <w:style w:type="paragraph" w:styleId="CommentSubject">
    <w:name w:val="annotation subject"/>
    <w:basedOn w:val="CommentText"/>
    <w:next w:val="CommentText"/>
    <w:link w:val="CommentSubjectChar"/>
    <w:rsid w:val="00340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03FF"/>
    <w:rPr>
      <w:b/>
      <w:bCs/>
    </w:rPr>
  </w:style>
  <w:style w:type="paragraph" w:styleId="Revision">
    <w:name w:val="Revision"/>
    <w:hidden/>
    <w:uiPriority w:val="99"/>
    <w:semiHidden/>
    <w:rsid w:val="0038499B"/>
  </w:style>
  <w:style w:type="character" w:styleId="FollowedHyperlink">
    <w:name w:val="FollowedHyperlink"/>
    <w:basedOn w:val="DefaultParagraphFont"/>
    <w:rsid w:val="00DC04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942A-E7BB-4B96-B613-46288C57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4</TotalTime>
  <Pages>2</Pages>
  <Words>253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4</cp:revision>
  <cp:lastPrinted>2024-02-01T15:31:00Z</cp:lastPrinted>
  <dcterms:created xsi:type="dcterms:W3CDTF">2024-10-01T15:32:00Z</dcterms:created>
  <dcterms:modified xsi:type="dcterms:W3CDTF">2024-10-01T15:34:00Z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