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3307BC10" w:rsidR="00CB085A" w:rsidRPr="00EC21AD" w:rsidRDefault="000F4E13" w:rsidP="00CB085A">
      <w:pPr>
        <w:jc w:val="both"/>
        <w:rPr>
          <w:color w:val="000000" w:themeColor="text1"/>
          <w:sz w:val="28"/>
          <w:szCs w:val="28"/>
        </w:rPr>
      </w:pPr>
      <w:r w:rsidRPr="00EC21AD">
        <w:rPr>
          <w:color w:val="000000" w:themeColor="text1"/>
          <w:sz w:val="28"/>
          <w:szCs w:val="28"/>
        </w:rPr>
        <w:t xml:space="preserve">Hon. </w:t>
      </w:r>
      <w:r w:rsidR="00CB085A" w:rsidRPr="00EC21AD">
        <w:rPr>
          <w:color w:val="000000" w:themeColor="text1"/>
          <w:sz w:val="28"/>
          <w:szCs w:val="28"/>
        </w:rPr>
        <w:t>Sara J. Agne</w:t>
      </w:r>
    </w:p>
    <w:p w14:paraId="64268AB7" w14:textId="155F5B79" w:rsidR="00CB085A" w:rsidRPr="00EC21AD" w:rsidRDefault="00323CBF" w:rsidP="00CB085A">
      <w:pPr>
        <w:jc w:val="both"/>
        <w:rPr>
          <w:color w:val="000000" w:themeColor="text1"/>
          <w:sz w:val="28"/>
          <w:szCs w:val="28"/>
        </w:rPr>
      </w:pPr>
      <w:r w:rsidRPr="00EC21AD">
        <w:rPr>
          <w:color w:val="000000" w:themeColor="text1"/>
          <w:sz w:val="28"/>
          <w:szCs w:val="28"/>
        </w:rPr>
        <w:t>Presiding Judge, Arizona Tax Court</w:t>
      </w:r>
    </w:p>
    <w:p w14:paraId="01C106C1" w14:textId="77777777" w:rsidR="00CB085A" w:rsidRPr="00EC21AD" w:rsidRDefault="00CB085A" w:rsidP="00CB085A">
      <w:pPr>
        <w:jc w:val="both"/>
        <w:rPr>
          <w:color w:val="000000" w:themeColor="text1"/>
          <w:sz w:val="28"/>
          <w:szCs w:val="28"/>
        </w:rPr>
      </w:pPr>
      <w:r w:rsidRPr="00EC21AD">
        <w:rPr>
          <w:color w:val="000000" w:themeColor="text1"/>
          <w:sz w:val="28"/>
          <w:szCs w:val="28"/>
        </w:rPr>
        <w:t>101 W. Jefferson Street</w:t>
      </w:r>
    </w:p>
    <w:p w14:paraId="652CD2FB" w14:textId="77777777" w:rsidR="00CB085A" w:rsidRPr="00EC21AD" w:rsidRDefault="00CB085A" w:rsidP="00CB085A">
      <w:pPr>
        <w:jc w:val="both"/>
        <w:rPr>
          <w:color w:val="000000" w:themeColor="text1"/>
          <w:sz w:val="28"/>
          <w:szCs w:val="28"/>
        </w:rPr>
      </w:pPr>
      <w:r w:rsidRPr="00EC21AD">
        <w:rPr>
          <w:color w:val="000000" w:themeColor="text1"/>
          <w:sz w:val="28"/>
          <w:szCs w:val="28"/>
        </w:rPr>
        <w:t>Phoenix, AZ  85003</w:t>
      </w:r>
    </w:p>
    <w:p w14:paraId="03A6E239" w14:textId="77777777" w:rsidR="00CB085A" w:rsidRPr="00EC21AD" w:rsidRDefault="00CB085A" w:rsidP="00CB085A">
      <w:pPr>
        <w:jc w:val="both"/>
        <w:rPr>
          <w:color w:val="000000" w:themeColor="text1"/>
          <w:sz w:val="28"/>
          <w:szCs w:val="28"/>
        </w:rPr>
      </w:pPr>
      <w:r w:rsidRPr="00EC21AD">
        <w:rPr>
          <w:color w:val="000000" w:themeColor="text1"/>
          <w:sz w:val="28"/>
          <w:szCs w:val="28"/>
        </w:rPr>
        <w:t>Telephone: 602-506-8288</w:t>
      </w:r>
    </w:p>
    <w:p w14:paraId="00E570F4" w14:textId="1AC09F26" w:rsidR="00C41CA7" w:rsidRPr="00EC21AD" w:rsidRDefault="00CB085A">
      <w:pPr>
        <w:jc w:val="both"/>
        <w:rPr>
          <w:color w:val="000000" w:themeColor="text1"/>
          <w:sz w:val="28"/>
          <w:szCs w:val="28"/>
        </w:rPr>
      </w:pPr>
      <w:r w:rsidRPr="00EC21AD">
        <w:rPr>
          <w:color w:val="000000" w:themeColor="text1"/>
          <w:sz w:val="28"/>
          <w:szCs w:val="28"/>
        </w:rPr>
        <w:t>Facsimile: 602-372-5817</w:t>
      </w:r>
    </w:p>
    <w:p w14:paraId="66ED683F" w14:textId="77777777" w:rsidR="00E40858" w:rsidRPr="00EC21AD" w:rsidRDefault="00E40858" w:rsidP="009C7A3B">
      <w:pPr>
        <w:pStyle w:val="Heading1"/>
        <w:spacing w:line="240" w:lineRule="auto"/>
        <w:jc w:val="left"/>
        <w:rPr>
          <w:rFonts w:ascii="Times New Roman" w:hAnsi="Times New Roman"/>
          <w:bCs/>
          <w:color w:val="000000" w:themeColor="text1"/>
          <w:sz w:val="28"/>
          <w:szCs w:val="28"/>
        </w:rPr>
      </w:pPr>
    </w:p>
    <w:p w14:paraId="719FA1E4" w14:textId="77777777" w:rsidR="00E40858" w:rsidRPr="00EC21AD" w:rsidRDefault="00E40858">
      <w:pPr>
        <w:pStyle w:val="Heading1"/>
        <w:spacing w:line="240" w:lineRule="auto"/>
        <w:rPr>
          <w:rFonts w:ascii="Times New Roman" w:hAnsi="Times New Roman"/>
          <w:bCs/>
          <w:color w:val="000000" w:themeColor="text1"/>
          <w:sz w:val="28"/>
          <w:szCs w:val="28"/>
        </w:rPr>
      </w:pPr>
    </w:p>
    <w:p w14:paraId="7D2AE1D5" w14:textId="3CC5216A" w:rsidR="00C41CA7" w:rsidRPr="00EC21AD" w:rsidRDefault="00C41CA7">
      <w:pPr>
        <w:pStyle w:val="Heading1"/>
        <w:spacing w:line="240" w:lineRule="auto"/>
        <w:rPr>
          <w:rFonts w:ascii="Times New Roman" w:hAnsi="Times New Roman"/>
          <w:bCs/>
          <w:color w:val="000000" w:themeColor="text1"/>
          <w:sz w:val="28"/>
          <w:szCs w:val="28"/>
        </w:rPr>
      </w:pPr>
      <w:r w:rsidRPr="00EC21AD">
        <w:rPr>
          <w:rFonts w:ascii="Times New Roman" w:hAnsi="Times New Roman"/>
          <w:bCs/>
          <w:color w:val="000000" w:themeColor="text1"/>
          <w:sz w:val="28"/>
          <w:szCs w:val="28"/>
        </w:rPr>
        <w:t>IN THE SUPREME COURT</w:t>
      </w:r>
    </w:p>
    <w:p w14:paraId="71269420" w14:textId="77777777" w:rsidR="00C41CA7" w:rsidRPr="00EC21AD" w:rsidRDefault="00C41CA7">
      <w:pPr>
        <w:pStyle w:val="Heading1"/>
        <w:spacing w:line="240" w:lineRule="auto"/>
        <w:rPr>
          <w:rFonts w:ascii="Times New Roman" w:hAnsi="Times New Roman"/>
          <w:bCs/>
          <w:color w:val="000000" w:themeColor="text1"/>
          <w:sz w:val="28"/>
          <w:szCs w:val="28"/>
        </w:rPr>
      </w:pPr>
      <w:r w:rsidRPr="00EC21AD">
        <w:rPr>
          <w:rFonts w:ascii="Times New Roman" w:hAnsi="Times New Roman"/>
          <w:bCs/>
          <w:color w:val="000000" w:themeColor="text1"/>
          <w:sz w:val="28"/>
          <w:szCs w:val="28"/>
        </w:rPr>
        <w:t>STATE OF ARIZONA</w:t>
      </w:r>
    </w:p>
    <w:p w14:paraId="700D7CA5" w14:textId="0BD23108" w:rsidR="001451DE" w:rsidRPr="00EC21AD"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8110D0" w:rsidRPr="00EC21AD" w14:paraId="55EA8BCE" w14:textId="77777777" w:rsidTr="009C7A3B">
        <w:trPr>
          <w:trHeight w:val="3213"/>
        </w:trPr>
        <w:tc>
          <w:tcPr>
            <w:tcW w:w="4675" w:type="dxa"/>
            <w:tcBorders>
              <w:top w:val="nil"/>
              <w:left w:val="nil"/>
            </w:tcBorders>
          </w:tcPr>
          <w:p w14:paraId="6CD5886A" w14:textId="77777777" w:rsidR="008110D0" w:rsidRPr="00EC21AD" w:rsidRDefault="008110D0" w:rsidP="001451DE">
            <w:pPr>
              <w:rPr>
                <w:color w:val="000000" w:themeColor="text1"/>
                <w:sz w:val="28"/>
                <w:szCs w:val="28"/>
              </w:rPr>
            </w:pPr>
            <w:r w:rsidRPr="00EC21AD">
              <w:rPr>
                <w:color w:val="000000" w:themeColor="text1"/>
                <w:sz w:val="28"/>
                <w:szCs w:val="28"/>
              </w:rPr>
              <w:t xml:space="preserve">In the Matter of </w:t>
            </w:r>
          </w:p>
          <w:p w14:paraId="4E5EE401" w14:textId="328BFE73" w:rsidR="008110D0" w:rsidRPr="00EC21AD" w:rsidRDefault="008110D0" w:rsidP="001451DE">
            <w:pPr>
              <w:rPr>
                <w:color w:val="000000" w:themeColor="text1"/>
                <w:sz w:val="28"/>
                <w:szCs w:val="28"/>
              </w:rPr>
            </w:pPr>
          </w:p>
          <w:p w14:paraId="3FAD5925" w14:textId="77777777" w:rsidR="00323CBF" w:rsidRPr="00EC21AD" w:rsidRDefault="00323CBF" w:rsidP="001451DE">
            <w:pPr>
              <w:rPr>
                <w:color w:val="000000" w:themeColor="text1"/>
                <w:sz w:val="28"/>
                <w:szCs w:val="28"/>
              </w:rPr>
            </w:pPr>
          </w:p>
          <w:p w14:paraId="5D89A6FC" w14:textId="04D7ED43" w:rsidR="003B2982" w:rsidRPr="00EC21AD" w:rsidRDefault="002849B6" w:rsidP="001451DE">
            <w:pPr>
              <w:rPr>
                <w:color w:val="000000" w:themeColor="text1"/>
                <w:sz w:val="28"/>
                <w:szCs w:val="28"/>
              </w:rPr>
            </w:pPr>
            <w:r w:rsidRPr="00EC21AD">
              <w:rPr>
                <w:color w:val="000000" w:themeColor="text1"/>
                <w:sz w:val="28"/>
                <w:szCs w:val="28"/>
              </w:rPr>
              <w:t>AMENDMENT</w:t>
            </w:r>
            <w:r w:rsidR="003B2982" w:rsidRPr="00EC21AD">
              <w:rPr>
                <w:color w:val="000000" w:themeColor="text1"/>
                <w:sz w:val="28"/>
                <w:szCs w:val="28"/>
              </w:rPr>
              <w:t>S</w:t>
            </w:r>
            <w:r w:rsidRPr="00EC21AD">
              <w:rPr>
                <w:color w:val="000000" w:themeColor="text1"/>
                <w:sz w:val="28"/>
                <w:szCs w:val="28"/>
              </w:rPr>
              <w:t xml:space="preserve"> TO THE </w:t>
            </w:r>
          </w:p>
          <w:p w14:paraId="1A7059BC" w14:textId="13026281" w:rsidR="00323CBF" w:rsidRPr="00EC21AD" w:rsidRDefault="008110D0" w:rsidP="001451DE">
            <w:pPr>
              <w:rPr>
                <w:color w:val="000000" w:themeColor="text1"/>
                <w:sz w:val="28"/>
                <w:szCs w:val="28"/>
              </w:rPr>
            </w:pPr>
            <w:r w:rsidRPr="00EC21AD">
              <w:rPr>
                <w:color w:val="000000" w:themeColor="text1"/>
                <w:sz w:val="28"/>
                <w:szCs w:val="28"/>
              </w:rPr>
              <w:t xml:space="preserve">ARIZONA </w:t>
            </w:r>
            <w:r w:rsidR="00323CBF" w:rsidRPr="00EC21AD">
              <w:rPr>
                <w:color w:val="000000" w:themeColor="text1"/>
                <w:sz w:val="28"/>
                <w:szCs w:val="28"/>
              </w:rPr>
              <w:t xml:space="preserve">TAX COURT </w:t>
            </w:r>
          </w:p>
          <w:p w14:paraId="534C89EF" w14:textId="30A1A3C3" w:rsidR="00323CBF" w:rsidRPr="00EC21AD" w:rsidRDefault="00323CBF" w:rsidP="001451DE">
            <w:pPr>
              <w:rPr>
                <w:color w:val="000000" w:themeColor="text1"/>
                <w:sz w:val="28"/>
                <w:szCs w:val="28"/>
              </w:rPr>
            </w:pPr>
            <w:r w:rsidRPr="00EC21AD">
              <w:rPr>
                <w:color w:val="000000" w:themeColor="text1"/>
                <w:sz w:val="28"/>
                <w:szCs w:val="28"/>
              </w:rPr>
              <w:t>RULES OF PRACTICE</w:t>
            </w:r>
          </w:p>
        </w:tc>
        <w:tc>
          <w:tcPr>
            <w:tcW w:w="4675" w:type="dxa"/>
            <w:tcBorders>
              <w:top w:val="nil"/>
              <w:bottom w:val="nil"/>
              <w:right w:val="nil"/>
            </w:tcBorders>
          </w:tcPr>
          <w:p w14:paraId="3B9016B1" w14:textId="1917D177" w:rsidR="008110D0" w:rsidRPr="00EC21AD" w:rsidRDefault="008110D0" w:rsidP="001451DE">
            <w:pPr>
              <w:rPr>
                <w:color w:val="000000" w:themeColor="text1"/>
                <w:sz w:val="28"/>
                <w:szCs w:val="28"/>
              </w:rPr>
            </w:pPr>
            <w:r w:rsidRPr="00EC21AD">
              <w:rPr>
                <w:color w:val="000000" w:themeColor="text1"/>
                <w:sz w:val="28"/>
                <w:szCs w:val="28"/>
              </w:rPr>
              <w:t>Arizona Supreme Court No. R-2</w:t>
            </w:r>
            <w:r w:rsidR="00B35AAC" w:rsidRPr="00EC21AD">
              <w:rPr>
                <w:color w:val="000000" w:themeColor="text1"/>
                <w:sz w:val="28"/>
                <w:szCs w:val="28"/>
              </w:rPr>
              <w:t>3</w:t>
            </w:r>
            <w:r w:rsidRPr="00EC21AD">
              <w:rPr>
                <w:color w:val="000000" w:themeColor="text1"/>
                <w:sz w:val="28"/>
                <w:szCs w:val="28"/>
              </w:rPr>
              <w:t>-</w:t>
            </w:r>
            <w:r w:rsidR="00E96302" w:rsidRPr="00EC21AD">
              <w:rPr>
                <w:color w:val="000000" w:themeColor="text1"/>
                <w:sz w:val="28"/>
                <w:szCs w:val="28"/>
              </w:rPr>
              <w:t>0016</w:t>
            </w:r>
          </w:p>
          <w:p w14:paraId="5E67039A" w14:textId="1095D619" w:rsidR="008110D0" w:rsidRPr="00EC21AD" w:rsidRDefault="008110D0" w:rsidP="001451DE">
            <w:pPr>
              <w:rPr>
                <w:color w:val="000000" w:themeColor="text1"/>
                <w:sz w:val="28"/>
                <w:szCs w:val="28"/>
              </w:rPr>
            </w:pPr>
          </w:p>
          <w:p w14:paraId="36F7F397" w14:textId="77777777" w:rsidR="006F1AB6" w:rsidRPr="00EC21AD" w:rsidRDefault="006F1AB6" w:rsidP="001451DE">
            <w:pPr>
              <w:rPr>
                <w:color w:val="000000" w:themeColor="text1"/>
                <w:sz w:val="28"/>
                <w:szCs w:val="28"/>
              </w:rPr>
            </w:pPr>
          </w:p>
          <w:p w14:paraId="2F29F601" w14:textId="77777777" w:rsidR="008110D0" w:rsidRPr="00674DD0" w:rsidRDefault="00323CBF" w:rsidP="00E96302">
            <w:pPr>
              <w:rPr>
                <w:color w:val="000000" w:themeColor="text1"/>
                <w:sz w:val="28"/>
                <w:szCs w:val="28"/>
              </w:rPr>
            </w:pPr>
            <w:r w:rsidRPr="00EC21AD">
              <w:rPr>
                <w:color w:val="000000" w:themeColor="text1"/>
                <w:sz w:val="28"/>
                <w:szCs w:val="28"/>
              </w:rPr>
              <w:t xml:space="preserve"> </w:t>
            </w:r>
            <w:r w:rsidR="009A7FFC" w:rsidRPr="00EC21AD">
              <w:rPr>
                <w:color w:val="000000" w:themeColor="text1"/>
                <w:sz w:val="28"/>
                <w:szCs w:val="28"/>
              </w:rPr>
              <w:t>SUPPLEMENTAL PETITION</w:t>
            </w:r>
          </w:p>
          <w:p w14:paraId="50C37FCC" w14:textId="77777777" w:rsidR="00D42FC5" w:rsidRPr="00EC21AD" w:rsidRDefault="00D42FC5" w:rsidP="00E96302">
            <w:pPr>
              <w:rPr>
                <w:color w:val="000000" w:themeColor="text1"/>
                <w:sz w:val="28"/>
                <w:szCs w:val="28"/>
              </w:rPr>
            </w:pPr>
          </w:p>
          <w:p w14:paraId="3A547A74" w14:textId="1EF1108E" w:rsidR="00D42FC5" w:rsidRPr="00EC21AD" w:rsidRDefault="00324150" w:rsidP="00E96302">
            <w:pPr>
              <w:rPr>
                <w:color w:val="000000" w:themeColor="text1"/>
                <w:sz w:val="28"/>
                <w:szCs w:val="28"/>
              </w:rPr>
            </w:pPr>
            <w:r>
              <w:rPr>
                <w:color w:val="000000" w:themeColor="text1"/>
                <w:sz w:val="28"/>
                <w:szCs w:val="28"/>
              </w:rPr>
              <w:t>(</w:t>
            </w:r>
            <w:r w:rsidR="00D42FC5" w:rsidRPr="00EC21AD">
              <w:rPr>
                <w:color w:val="000000" w:themeColor="text1"/>
                <w:sz w:val="28"/>
                <w:szCs w:val="28"/>
              </w:rPr>
              <w:t xml:space="preserve">Expedited consideration </w:t>
            </w:r>
            <w:r w:rsidR="00563CD4">
              <w:rPr>
                <w:color w:val="000000" w:themeColor="text1"/>
                <w:sz w:val="28"/>
                <w:szCs w:val="28"/>
              </w:rPr>
              <w:t>requested</w:t>
            </w:r>
            <w:r>
              <w:rPr>
                <w:color w:val="000000" w:themeColor="text1"/>
                <w:sz w:val="28"/>
                <w:szCs w:val="28"/>
              </w:rPr>
              <w:t>)</w:t>
            </w:r>
          </w:p>
        </w:tc>
      </w:tr>
    </w:tbl>
    <w:p w14:paraId="1E06EAF2" w14:textId="77777777" w:rsidR="006F1AB6" w:rsidRPr="00EC21AD" w:rsidRDefault="006F1AB6" w:rsidP="00782F11">
      <w:pPr>
        <w:pStyle w:val="BodyText"/>
        <w:rPr>
          <w:b/>
          <w:bCs/>
          <w:color w:val="000000" w:themeColor="text1"/>
          <w:szCs w:val="28"/>
        </w:rPr>
      </w:pPr>
    </w:p>
    <w:p w14:paraId="1A503880" w14:textId="77777777" w:rsidR="00695322" w:rsidRPr="00EC21AD" w:rsidRDefault="00695322" w:rsidP="00E66A0A">
      <w:pPr>
        <w:pStyle w:val="BodyText"/>
        <w:rPr>
          <w:color w:val="000000" w:themeColor="text1"/>
          <w:szCs w:val="28"/>
        </w:rPr>
      </w:pPr>
    </w:p>
    <w:p w14:paraId="73435752" w14:textId="07F2EE71" w:rsidR="00330089" w:rsidRPr="00EC21AD" w:rsidRDefault="007B4BD1" w:rsidP="00120EF3">
      <w:pPr>
        <w:pStyle w:val="BodyText"/>
        <w:numPr>
          <w:ilvl w:val="0"/>
          <w:numId w:val="17"/>
        </w:numPr>
        <w:spacing w:line="480" w:lineRule="auto"/>
        <w:ind w:left="0" w:firstLine="720"/>
        <w:jc w:val="both"/>
        <w:rPr>
          <w:color w:val="000000" w:themeColor="text1"/>
          <w:szCs w:val="28"/>
        </w:rPr>
      </w:pPr>
      <w:r w:rsidRPr="00EC21AD">
        <w:rPr>
          <w:b/>
          <w:bCs/>
          <w:color w:val="000000" w:themeColor="text1"/>
          <w:szCs w:val="28"/>
          <w:u w:val="single"/>
        </w:rPr>
        <w:t>Introduction.</w:t>
      </w:r>
      <w:r w:rsidRPr="00EC21AD">
        <w:rPr>
          <w:color w:val="000000" w:themeColor="text1"/>
          <w:szCs w:val="28"/>
        </w:rPr>
        <w:t xml:space="preserve"> </w:t>
      </w:r>
      <w:r w:rsidR="00324150">
        <w:rPr>
          <w:color w:val="000000" w:themeColor="text1"/>
          <w:szCs w:val="28"/>
        </w:rPr>
        <w:t>This</w:t>
      </w:r>
      <w:r w:rsidR="00161146" w:rsidRPr="00EC21AD">
        <w:rPr>
          <w:color w:val="000000" w:themeColor="text1"/>
          <w:szCs w:val="28"/>
        </w:rPr>
        <w:t xml:space="preserve"> Court’s</w:t>
      </w:r>
      <w:r w:rsidR="0096094E" w:rsidRPr="00EC21AD">
        <w:rPr>
          <w:color w:val="000000" w:themeColor="text1"/>
          <w:szCs w:val="28"/>
        </w:rPr>
        <w:t xml:space="preserve"> June 5, 2024, </w:t>
      </w:r>
      <w:r w:rsidR="00161146" w:rsidRPr="00EC21AD">
        <w:rPr>
          <w:color w:val="000000" w:themeColor="text1"/>
          <w:szCs w:val="28"/>
        </w:rPr>
        <w:t>Administrative Order No. 2024-8</w:t>
      </w:r>
      <w:r w:rsidR="0096094E" w:rsidRPr="00EC21AD">
        <w:rPr>
          <w:color w:val="000000" w:themeColor="text1"/>
          <w:szCs w:val="28"/>
        </w:rPr>
        <w:t>7</w:t>
      </w:r>
      <w:r w:rsidR="00324150">
        <w:rPr>
          <w:color w:val="000000" w:themeColor="text1"/>
          <w:szCs w:val="28"/>
        </w:rPr>
        <w:t xml:space="preserve"> established the Task Force on the Arizona Tax Court Rules of Practice</w:t>
      </w:r>
      <w:r w:rsidR="00A863B5" w:rsidRPr="00EC21AD">
        <w:rPr>
          <w:color w:val="000000" w:themeColor="text1"/>
          <w:szCs w:val="28"/>
        </w:rPr>
        <w:t>.</w:t>
      </w:r>
      <w:r w:rsidR="00324150">
        <w:rPr>
          <w:color w:val="000000" w:themeColor="text1"/>
          <w:szCs w:val="28"/>
        </w:rPr>
        <w:t xml:space="preserve"> That Administrative Order (“A.O.”) called for the undersigned Task Force Chair to file a supplemental rule petition in this cause.</w:t>
      </w:r>
      <w:r w:rsidR="00A863B5" w:rsidRPr="00EC21AD">
        <w:rPr>
          <w:color w:val="000000" w:themeColor="text1"/>
          <w:szCs w:val="28"/>
        </w:rPr>
        <w:t xml:space="preserve"> </w:t>
      </w:r>
      <w:r w:rsidR="00FF7E07" w:rsidRPr="00EC21AD">
        <w:rPr>
          <w:color w:val="000000" w:themeColor="text1"/>
          <w:szCs w:val="28"/>
        </w:rPr>
        <w:t>This</w:t>
      </w:r>
      <w:r w:rsidR="00324150">
        <w:rPr>
          <w:color w:val="000000" w:themeColor="text1"/>
          <w:szCs w:val="28"/>
        </w:rPr>
        <w:t xml:space="preserve"> is that</w:t>
      </w:r>
      <w:r w:rsidR="00FF7E07" w:rsidRPr="00EC21AD">
        <w:rPr>
          <w:color w:val="000000" w:themeColor="text1"/>
          <w:szCs w:val="28"/>
        </w:rPr>
        <w:t xml:space="preserve"> supplemental petition</w:t>
      </w:r>
      <w:r w:rsidR="00324150">
        <w:rPr>
          <w:color w:val="000000" w:themeColor="text1"/>
          <w:szCs w:val="28"/>
        </w:rPr>
        <w:t>, which</w:t>
      </w:r>
      <w:r w:rsidR="00FF7E07" w:rsidRPr="00EC21AD">
        <w:rPr>
          <w:color w:val="000000" w:themeColor="text1"/>
          <w:szCs w:val="28"/>
        </w:rPr>
        <w:t xml:space="preserve"> </w:t>
      </w:r>
      <w:r w:rsidR="002211C6" w:rsidRPr="00EC21AD">
        <w:rPr>
          <w:color w:val="000000" w:themeColor="text1"/>
          <w:szCs w:val="28"/>
        </w:rPr>
        <w:t>inc</w:t>
      </w:r>
      <w:r w:rsidR="00EF134E" w:rsidRPr="00EC21AD">
        <w:rPr>
          <w:color w:val="000000" w:themeColor="text1"/>
          <w:szCs w:val="28"/>
        </w:rPr>
        <w:t>ludes a proposed</w:t>
      </w:r>
      <w:r w:rsidR="00804A92" w:rsidRPr="00EC21AD">
        <w:rPr>
          <w:color w:val="000000" w:themeColor="text1"/>
          <w:szCs w:val="28"/>
        </w:rPr>
        <w:t>,</w:t>
      </w:r>
      <w:r w:rsidR="002211C6" w:rsidRPr="00EC21AD">
        <w:rPr>
          <w:color w:val="000000" w:themeColor="text1"/>
          <w:szCs w:val="28"/>
        </w:rPr>
        <w:t xml:space="preserve"> revised</w:t>
      </w:r>
      <w:r w:rsidR="00EF134E" w:rsidRPr="00EC21AD">
        <w:rPr>
          <w:color w:val="000000" w:themeColor="text1"/>
          <w:szCs w:val="28"/>
        </w:rPr>
        <w:t xml:space="preserve"> </w:t>
      </w:r>
      <w:r w:rsidR="002211C6" w:rsidRPr="00EC21AD">
        <w:rPr>
          <w:color w:val="000000" w:themeColor="text1"/>
          <w:szCs w:val="28"/>
        </w:rPr>
        <w:t>set of the Arizona Tax Court Rules of Practice</w:t>
      </w:r>
      <w:r w:rsidR="00345A37">
        <w:rPr>
          <w:color w:val="000000" w:themeColor="text1"/>
          <w:szCs w:val="28"/>
        </w:rPr>
        <w:t>,</w:t>
      </w:r>
      <w:r w:rsidR="00F6283F" w:rsidRPr="00EC21AD">
        <w:rPr>
          <w:color w:val="000000" w:themeColor="text1"/>
          <w:szCs w:val="28"/>
        </w:rPr>
        <w:t xml:space="preserve"> </w:t>
      </w:r>
      <w:r w:rsidR="001C02A3" w:rsidRPr="00EC21AD">
        <w:rPr>
          <w:color w:val="000000" w:themeColor="text1"/>
          <w:szCs w:val="28"/>
        </w:rPr>
        <w:t>with</w:t>
      </w:r>
      <w:r w:rsidR="00330089" w:rsidRPr="00EC21AD">
        <w:rPr>
          <w:color w:val="000000" w:themeColor="text1"/>
          <w:szCs w:val="28"/>
        </w:rPr>
        <w:t xml:space="preserve"> </w:t>
      </w:r>
      <w:r w:rsidR="003513A4" w:rsidRPr="00EC21AD">
        <w:rPr>
          <w:color w:val="000000" w:themeColor="text1"/>
          <w:szCs w:val="28"/>
        </w:rPr>
        <w:t xml:space="preserve">two </w:t>
      </w:r>
      <w:r w:rsidR="00FF560F" w:rsidRPr="00EC21AD">
        <w:rPr>
          <w:color w:val="000000" w:themeColor="text1"/>
          <w:szCs w:val="28"/>
        </w:rPr>
        <w:t xml:space="preserve">appendices. </w:t>
      </w:r>
    </w:p>
    <w:p w14:paraId="129437E1" w14:textId="4CB77A69" w:rsidR="003D73E0" w:rsidRDefault="009B6C86" w:rsidP="00DB24C2">
      <w:pPr>
        <w:pStyle w:val="BodyText"/>
        <w:spacing w:line="480" w:lineRule="auto"/>
        <w:ind w:firstLine="720"/>
        <w:jc w:val="both"/>
        <w:rPr>
          <w:color w:val="000000" w:themeColor="text1"/>
          <w:szCs w:val="28"/>
        </w:rPr>
      </w:pPr>
      <w:r w:rsidRPr="00EC21AD">
        <w:rPr>
          <w:color w:val="000000" w:themeColor="text1"/>
          <w:szCs w:val="28"/>
        </w:rPr>
        <w:t>T</w:t>
      </w:r>
      <w:r w:rsidR="00DE060D" w:rsidRPr="00EC21AD">
        <w:rPr>
          <w:color w:val="000000" w:themeColor="text1"/>
          <w:szCs w:val="28"/>
        </w:rPr>
        <w:t xml:space="preserve">he </w:t>
      </w:r>
      <w:r w:rsidR="00A53BD3">
        <w:rPr>
          <w:color w:val="000000" w:themeColor="text1"/>
          <w:szCs w:val="28"/>
        </w:rPr>
        <w:t xml:space="preserve">rule </w:t>
      </w:r>
      <w:r w:rsidR="00DE060D" w:rsidRPr="00EC21AD">
        <w:rPr>
          <w:color w:val="000000" w:themeColor="text1"/>
          <w:szCs w:val="28"/>
        </w:rPr>
        <w:t xml:space="preserve">revisions </w:t>
      </w:r>
      <w:r w:rsidR="00FB4B90" w:rsidRPr="00EC21AD">
        <w:rPr>
          <w:color w:val="000000" w:themeColor="text1"/>
          <w:szCs w:val="28"/>
        </w:rPr>
        <w:t>are extensive</w:t>
      </w:r>
      <w:r w:rsidR="00324150">
        <w:rPr>
          <w:color w:val="000000" w:themeColor="text1"/>
          <w:szCs w:val="28"/>
        </w:rPr>
        <w:t>,</w:t>
      </w:r>
      <w:r w:rsidR="00FB4B90" w:rsidRPr="00EC21AD">
        <w:rPr>
          <w:color w:val="000000" w:themeColor="text1"/>
          <w:szCs w:val="28"/>
        </w:rPr>
        <w:t xml:space="preserve"> and </w:t>
      </w:r>
      <w:r w:rsidR="00A53BD3">
        <w:rPr>
          <w:color w:val="000000" w:themeColor="text1"/>
          <w:szCs w:val="28"/>
        </w:rPr>
        <w:t xml:space="preserve">the set as a whole </w:t>
      </w:r>
      <w:r w:rsidR="00FB4B90" w:rsidRPr="00EC21AD">
        <w:rPr>
          <w:color w:val="000000" w:themeColor="text1"/>
          <w:szCs w:val="28"/>
        </w:rPr>
        <w:t>include</w:t>
      </w:r>
      <w:r w:rsidR="00A53BD3">
        <w:rPr>
          <w:color w:val="000000" w:themeColor="text1"/>
          <w:szCs w:val="28"/>
        </w:rPr>
        <w:t>s</w:t>
      </w:r>
      <w:r w:rsidR="008054A3" w:rsidRPr="00EC21AD">
        <w:rPr>
          <w:color w:val="000000" w:themeColor="text1"/>
          <w:szCs w:val="28"/>
        </w:rPr>
        <w:t xml:space="preserve"> </w:t>
      </w:r>
      <w:r w:rsidR="00DB24C2" w:rsidRPr="00EC21AD">
        <w:rPr>
          <w:color w:val="000000" w:themeColor="text1"/>
          <w:szCs w:val="28"/>
        </w:rPr>
        <w:t xml:space="preserve">a fair amount of </w:t>
      </w:r>
      <w:r w:rsidR="00EE1238" w:rsidRPr="00EC21AD">
        <w:rPr>
          <w:color w:val="000000" w:themeColor="text1"/>
          <w:szCs w:val="28"/>
        </w:rPr>
        <w:t>reorganization.</w:t>
      </w:r>
      <w:r w:rsidR="008054A3" w:rsidRPr="00EC21AD">
        <w:rPr>
          <w:color w:val="000000" w:themeColor="text1"/>
          <w:szCs w:val="28"/>
        </w:rPr>
        <w:t xml:space="preserve"> </w:t>
      </w:r>
      <w:r w:rsidR="006E3C3C" w:rsidRPr="00EC21AD">
        <w:rPr>
          <w:color w:val="000000" w:themeColor="text1"/>
          <w:szCs w:val="28"/>
        </w:rPr>
        <w:t>P</w:t>
      </w:r>
      <w:r w:rsidR="008054A3" w:rsidRPr="00EC21AD">
        <w:rPr>
          <w:color w:val="000000" w:themeColor="text1"/>
          <w:szCs w:val="28"/>
        </w:rPr>
        <w:t xml:space="preserve">etitioner </w:t>
      </w:r>
      <w:r w:rsidR="006E3C3C" w:rsidRPr="00EC21AD">
        <w:rPr>
          <w:color w:val="000000" w:themeColor="text1"/>
          <w:szCs w:val="28"/>
        </w:rPr>
        <w:t xml:space="preserve">therefore </w:t>
      </w:r>
      <w:r w:rsidR="008054A3" w:rsidRPr="00EC21AD">
        <w:rPr>
          <w:color w:val="000000" w:themeColor="text1"/>
          <w:szCs w:val="28"/>
        </w:rPr>
        <w:t xml:space="preserve">is not submitting a version </w:t>
      </w:r>
      <w:r w:rsidR="003918B4" w:rsidRPr="00EC21AD">
        <w:rPr>
          <w:color w:val="000000" w:themeColor="text1"/>
          <w:szCs w:val="28"/>
        </w:rPr>
        <w:t>that shows the proposed changes with</w:t>
      </w:r>
      <w:r w:rsidR="008054A3" w:rsidRPr="00EC21AD">
        <w:rPr>
          <w:color w:val="000000" w:themeColor="text1"/>
          <w:szCs w:val="28"/>
        </w:rPr>
        <w:t xml:space="preserve"> striketh</w:t>
      </w:r>
      <w:r w:rsidR="009476BD" w:rsidRPr="00EC21AD">
        <w:rPr>
          <w:color w:val="000000" w:themeColor="text1"/>
          <w:szCs w:val="28"/>
        </w:rPr>
        <w:t>rough and underline</w:t>
      </w:r>
      <w:r w:rsidR="00A53BD3">
        <w:rPr>
          <w:color w:val="000000" w:themeColor="text1"/>
          <w:szCs w:val="28"/>
        </w:rPr>
        <w:t>,</w:t>
      </w:r>
      <w:r w:rsidR="009476BD" w:rsidRPr="00EC21AD">
        <w:rPr>
          <w:color w:val="000000" w:themeColor="text1"/>
          <w:szCs w:val="28"/>
        </w:rPr>
        <w:t xml:space="preserve"> because that version might</w:t>
      </w:r>
      <w:r w:rsidR="0036217A" w:rsidRPr="00EC21AD">
        <w:rPr>
          <w:color w:val="000000" w:themeColor="text1"/>
          <w:szCs w:val="28"/>
        </w:rPr>
        <w:t xml:space="preserve"> be</w:t>
      </w:r>
      <w:r w:rsidR="00DB24C2" w:rsidRPr="00EC21AD">
        <w:rPr>
          <w:color w:val="000000" w:themeColor="text1"/>
          <w:szCs w:val="28"/>
        </w:rPr>
        <w:t xml:space="preserve"> </w:t>
      </w:r>
      <w:r w:rsidR="00DB24C2" w:rsidRPr="00EC21AD">
        <w:rPr>
          <w:color w:val="000000" w:themeColor="text1"/>
          <w:szCs w:val="28"/>
        </w:rPr>
        <w:lastRenderedPageBreak/>
        <w:t>more confusing than</w:t>
      </w:r>
      <w:r w:rsidR="0036217A" w:rsidRPr="00EC21AD">
        <w:rPr>
          <w:color w:val="000000" w:themeColor="text1"/>
          <w:szCs w:val="28"/>
        </w:rPr>
        <w:t xml:space="preserve"> helpful. </w:t>
      </w:r>
      <w:r w:rsidR="005E3FC8">
        <w:rPr>
          <w:color w:val="000000" w:themeColor="text1"/>
          <w:szCs w:val="28"/>
        </w:rPr>
        <w:t>(</w:t>
      </w:r>
      <w:r w:rsidR="00350383">
        <w:rPr>
          <w:color w:val="000000" w:themeColor="text1"/>
          <w:szCs w:val="28"/>
        </w:rPr>
        <w:t>Appendix 2</w:t>
      </w:r>
      <w:r w:rsidR="00345A37">
        <w:rPr>
          <w:color w:val="000000" w:themeColor="text1"/>
          <w:szCs w:val="28"/>
        </w:rPr>
        <w:t>—the Uniform Interrogatories for Use in Property Tax Disputes—is</w:t>
      </w:r>
      <w:r w:rsidR="00350383">
        <w:rPr>
          <w:color w:val="000000" w:themeColor="text1"/>
          <w:szCs w:val="28"/>
        </w:rPr>
        <w:t xml:space="preserve"> an exception</w:t>
      </w:r>
      <w:r w:rsidR="00194DFD">
        <w:rPr>
          <w:color w:val="000000" w:themeColor="text1"/>
          <w:szCs w:val="28"/>
        </w:rPr>
        <w:t xml:space="preserve">; it shows </w:t>
      </w:r>
      <w:r w:rsidR="00B0203E">
        <w:rPr>
          <w:color w:val="000000" w:themeColor="text1"/>
          <w:szCs w:val="28"/>
        </w:rPr>
        <w:t xml:space="preserve">proposed </w:t>
      </w:r>
      <w:r w:rsidR="00681F27">
        <w:rPr>
          <w:color w:val="000000" w:themeColor="text1"/>
          <w:szCs w:val="28"/>
        </w:rPr>
        <w:t>revisions with strikethrough and underline.</w:t>
      </w:r>
      <w:r w:rsidR="00B0203E">
        <w:rPr>
          <w:color w:val="000000" w:themeColor="text1"/>
          <w:szCs w:val="28"/>
        </w:rPr>
        <w:t>)</w:t>
      </w:r>
      <w:r w:rsidR="005262E4">
        <w:rPr>
          <w:color w:val="000000" w:themeColor="text1"/>
          <w:szCs w:val="28"/>
        </w:rPr>
        <w:t xml:space="preserve"> </w:t>
      </w:r>
      <w:r w:rsidR="00EE1238" w:rsidRPr="00EC21AD">
        <w:rPr>
          <w:color w:val="000000" w:themeColor="text1"/>
          <w:szCs w:val="28"/>
        </w:rPr>
        <w:t>And because of the extent</w:t>
      </w:r>
      <w:r w:rsidR="000334C1" w:rsidRPr="00EC21AD">
        <w:rPr>
          <w:color w:val="000000" w:themeColor="text1"/>
          <w:szCs w:val="28"/>
        </w:rPr>
        <w:t xml:space="preserve"> of the modifications to the current rules, Petitioner requests that the Court simply abrogate the current rules and</w:t>
      </w:r>
      <w:r w:rsidR="00F02711" w:rsidRPr="00EC21AD">
        <w:rPr>
          <w:color w:val="000000" w:themeColor="text1"/>
          <w:szCs w:val="28"/>
        </w:rPr>
        <w:t xml:space="preserve"> adopt in their place the set of rules proposed in this </w:t>
      </w:r>
      <w:r w:rsidR="00324150">
        <w:rPr>
          <w:color w:val="000000" w:themeColor="text1"/>
          <w:szCs w:val="28"/>
        </w:rPr>
        <w:t>s</w:t>
      </w:r>
      <w:r w:rsidR="00F02711" w:rsidRPr="00EC21AD">
        <w:rPr>
          <w:color w:val="000000" w:themeColor="text1"/>
          <w:szCs w:val="28"/>
        </w:rPr>
        <w:t xml:space="preserve">upplemental </w:t>
      </w:r>
      <w:r w:rsidR="00324150">
        <w:rPr>
          <w:color w:val="000000" w:themeColor="text1"/>
          <w:szCs w:val="28"/>
        </w:rPr>
        <w:t>p</w:t>
      </w:r>
      <w:r w:rsidR="00F02711" w:rsidRPr="00EC21AD">
        <w:rPr>
          <w:color w:val="000000" w:themeColor="text1"/>
          <w:szCs w:val="28"/>
        </w:rPr>
        <w:t>etition.</w:t>
      </w:r>
    </w:p>
    <w:p w14:paraId="74F7285D" w14:textId="595FDB58" w:rsidR="00563CD4" w:rsidRPr="00EC21AD" w:rsidRDefault="00957C9F" w:rsidP="00120EF3">
      <w:pPr>
        <w:pStyle w:val="BodyText"/>
        <w:spacing w:line="480" w:lineRule="auto"/>
        <w:ind w:firstLine="720"/>
        <w:jc w:val="both"/>
        <w:rPr>
          <w:color w:val="000000" w:themeColor="text1"/>
          <w:szCs w:val="28"/>
        </w:rPr>
      </w:pPr>
      <w:r>
        <w:rPr>
          <w:color w:val="000000" w:themeColor="text1"/>
          <w:szCs w:val="28"/>
        </w:rPr>
        <w:t xml:space="preserve">Pursuant to Supreme Court Rule 28(h), Petitioner requests the Court </w:t>
      </w:r>
      <w:r w:rsidR="00396EBB">
        <w:rPr>
          <w:color w:val="000000" w:themeColor="text1"/>
          <w:szCs w:val="28"/>
        </w:rPr>
        <w:t xml:space="preserve">to </w:t>
      </w:r>
      <w:r>
        <w:rPr>
          <w:color w:val="000000" w:themeColor="text1"/>
          <w:szCs w:val="28"/>
        </w:rPr>
        <w:t xml:space="preserve">consider this Supplemental Petition on an expedited basis. </w:t>
      </w:r>
      <w:r w:rsidR="00037F84">
        <w:rPr>
          <w:color w:val="000000" w:themeColor="text1"/>
          <w:szCs w:val="28"/>
        </w:rPr>
        <w:t xml:space="preserve">Based on the filing date of this </w:t>
      </w:r>
      <w:r w:rsidR="0023737F">
        <w:rPr>
          <w:color w:val="000000" w:themeColor="text1"/>
          <w:szCs w:val="28"/>
        </w:rPr>
        <w:t>s</w:t>
      </w:r>
      <w:r w:rsidR="00037F84">
        <w:rPr>
          <w:color w:val="000000" w:themeColor="text1"/>
          <w:szCs w:val="28"/>
        </w:rPr>
        <w:t xml:space="preserve">upplemental </w:t>
      </w:r>
      <w:r w:rsidR="0023737F">
        <w:rPr>
          <w:color w:val="000000" w:themeColor="text1"/>
          <w:szCs w:val="28"/>
        </w:rPr>
        <w:t>p</w:t>
      </w:r>
      <w:r w:rsidR="00037F84">
        <w:rPr>
          <w:color w:val="000000" w:themeColor="text1"/>
          <w:szCs w:val="28"/>
        </w:rPr>
        <w:t>etition,</w:t>
      </w:r>
      <w:r w:rsidR="00ED467E">
        <w:rPr>
          <w:color w:val="000000" w:themeColor="text1"/>
          <w:szCs w:val="28"/>
        </w:rPr>
        <w:t xml:space="preserve"> the </w:t>
      </w:r>
      <w:r w:rsidR="0023737F">
        <w:rPr>
          <w:color w:val="000000" w:themeColor="text1"/>
          <w:szCs w:val="28"/>
        </w:rPr>
        <w:t>normal course</w:t>
      </w:r>
      <w:r w:rsidR="00ED467E">
        <w:rPr>
          <w:color w:val="000000" w:themeColor="text1"/>
          <w:szCs w:val="28"/>
        </w:rPr>
        <w:t xml:space="preserve"> would require consideration at the </w:t>
      </w:r>
      <w:r w:rsidR="00410385">
        <w:rPr>
          <w:color w:val="000000" w:themeColor="text1"/>
          <w:szCs w:val="28"/>
        </w:rPr>
        <w:t xml:space="preserve">annual rules agenda, that is, in August 2025. </w:t>
      </w:r>
      <w:r w:rsidR="00B61D1E">
        <w:rPr>
          <w:color w:val="000000" w:themeColor="text1"/>
          <w:szCs w:val="28"/>
        </w:rPr>
        <w:t xml:space="preserve">Paragraph 2 of </w:t>
      </w:r>
      <w:r w:rsidR="002B64DA">
        <w:rPr>
          <w:color w:val="000000" w:themeColor="text1"/>
          <w:szCs w:val="28"/>
        </w:rPr>
        <w:t>A.O.</w:t>
      </w:r>
      <w:r w:rsidR="00B61D1E">
        <w:rPr>
          <w:color w:val="000000" w:themeColor="text1"/>
          <w:szCs w:val="28"/>
        </w:rPr>
        <w:t xml:space="preserve"> No. 2024-87, however, indicates that the Court will consider the petition </w:t>
      </w:r>
      <w:r w:rsidR="0023737F">
        <w:rPr>
          <w:color w:val="000000" w:themeColor="text1"/>
          <w:szCs w:val="28"/>
        </w:rPr>
        <w:t>more quickly</w:t>
      </w:r>
      <w:r w:rsidR="00B61D1E">
        <w:rPr>
          <w:color w:val="000000" w:themeColor="text1"/>
          <w:szCs w:val="28"/>
        </w:rPr>
        <w:t xml:space="preserve">. The conclusion of this </w:t>
      </w:r>
      <w:r w:rsidR="0023737F">
        <w:rPr>
          <w:color w:val="000000" w:themeColor="text1"/>
          <w:szCs w:val="28"/>
        </w:rPr>
        <w:t>s</w:t>
      </w:r>
      <w:r w:rsidR="00B61D1E">
        <w:rPr>
          <w:color w:val="000000" w:themeColor="text1"/>
          <w:szCs w:val="28"/>
        </w:rPr>
        <w:t xml:space="preserve">upplemental </w:t>
      </w:r>
      <w:r w:rsidR="0023737F">
        <w:rPr>
          <w:color w:val="000000" w:themeColor="text1"/>
          <w:szCs w:val="28"/>
        </w:rPr>
        <w:t>p</w:t>
      </w:r>
      <w:r w:rsidR="00B61D1E">
        <w:rPr>
          <w:color w:val="000000" w:themeColor="text1"/>
          <w:szCs w:val="28"/>
        </w:rPr>
        <w:t>etition includes a proposed</w:t>
      </w:r>
      <w:r w:rsidR="00041D4B">
        <w:rPr>
          <w:color w:val="000000" w:themeColor="text1"/>
          <w:szCs w:val="28"/>
        </w:rPr>
        <w:t xml:space="preserve"> schedule for a public comment period</w:t>
      </w:r>
      <w:r w:rsidR="000F4BE1">
        <w:rPr>
          <w:color w:val="000000" w:themeColor="text1"/>
          <w:szCs w:val="28"/>
        </w:rPr>
        <w:t xml:space="preserve"> </w:t>
      </w:r>
      <w:r w:rsidR="00041D4B">
        <w:rPr>
          <w:color w:val="000000" w:themeColor="text1"/>
          <w:szCs w:val="28"/>
        </w:rPr>
        <w:t xml:space="preserve">and a Reply to those comments, </w:t>
      </w:r>
      <w:r w:rsidR="00393717">
        <w:rPr>
          <w:color w:val="000000" w:themeColor="text1"/>
          <w:szCs w:val="28"/>
        </w:rPr>
        <w:t>which</w:t>
      </w:r>
      <w:r w:rsidR="00041D4B">
        <w:rPr>
          <w:color w:val="000000" w:themeColor="text1"/>
          <w:szCs w:val="28"/>
        </w:rPr>
        <w:t xml:space="preserve"> would facilitate the Court’s consideration of this matter at its December 2024 Rules Agenda.</w:t>
      </w:r>
    </w:p>
    <w:p w14:paraId="07A40D1D" w14:textId="479A3D6E" w:rsidR="00DC58AA" w:rsidRPr="00EC21AD" w:rsidRDefault="00814B5C" w:rsidP="00D071E2">
      <w:pPr>
        <w:pStyle w:val="ListParagraph"/>
        <w:numPr>
          <w:ilvl w:val="0"/>
          <w:numId w:val="17"/>
        </w:numPr>
        <w:adjustRightInd w:val="0"/>
        <w:spacing w:line="480" w:lineRule="auto"/>
        <w:ind w:left="0" w:firstLine="708"/>
        <w:jc w:val="both"/>
        <w:rPr>
          <w:sz w:val="28"/>
          <w:szCs w:val="28"/>
        </w:rPr>
      </w:pPr>
      <w:r w:rsidRPr="00EC21AD">
        <w:rPr>
          <w:b/>
          <w:bCs/>
          <w:color w:val="000000" w:themeColor="text1"/>
          <w:sz w:val="28"/>
          <w:szCs w:val="28"/>
          <w:u w:val="single"/>
        </w:rPr>
        <w:t>Background.</w:t>
      </w:r>
      <w:r w:rsidRPr="00EC21AD">
        <w:rPr>
          <w:color w:val="000000" w:themeColor="text1"/>
          <w:sz w:val="28"/>
          <w:szCs w:val="28"/>
        </w:rPr>
        <w:t xml:space="preserve"> </w:t>
      </w:r>
      <w:r w:rsidR="009C6444" w:rsidRPr="00EC21AD">
        <w:rPr>
          <w:color w:val="000000" w:themeColor="text1"/>
          <w:sz w:val="28"/>
          <w:szCs w:val="28"/>
        </w:rPr>
        <w:t>As noted</w:t>
      </w:r>
      <w:r w:rsidR="0084007C" w:rsidRPr="00EC21AD">
        <w:rPr>
          <w:color w:val="000000" w:themeColor="text1"/>
          <w:sz w:val="28"/>
          <w:szCs w:val="28"/>
        </w:rPr>
        <w:t xml:space="preserve"> in previous filings in this matter</w:t>
      </w:r>
      <w:r w:rsidR="009C6444" w:rsidRPr="00EC21AD">
        <w:rPr>
          <w:color w:val="000000" w:themeColor="text1"/>
          <w:sz w:val="28"/>
          <w:szCs w:val="28"/>
        </w:rPr>
        <w:t xml:space="preserve">, Petitioner is </w:t>
      </w:r>
      <w:r w:rsidR="006F747A" w:rsidRPr="00EC21AD">
        <w:rPr>
          <w:color w:val="000000" w:themeColor="text1"/>
          <w:sz w:val="28"/>
          <w:szCs w:val="28"/>
        </w:rPr>
        <w:t>the current presiding judge of the Arizona Tax Court. Petitioner</w:t>
      </w:r>
      <w:r w:rsidR="00F40A84" w:rsidRPr="00EC21AD">
        <w:rPr>
          <w:sz w:val="28"/>
          <w:szCs w:val="28"/>
        </w:rPr>
        <w:t xml:space="preserve"> filed rule petition number R-23-0016</w:t>
      </w:r>
      <w:r w:rsidR="001C02A3" w:rsidRPr="00EC21AD">
        <w:rPr>
          <w:sz w:val="28"/>
          <w:szCs w:val="28"/>
        </w:rPr>
        <w:t xml:space="preserve"> </w:t>
      </w:r>
      <w:r w:rsidR="00393717">
        <w:rPr>
          <w:sz w:val="28"/>
          <w:szCs w:val="28"/>
        </w:rPr>
        <w:t>and</w:t>
      </w:r>
      <w:r w:rsidR="00393717" w:rsidRPr="00EC21AD">
        <w:rPr>
          <w:sz w:val="28"/>
          <w:szCs w:val="28"/>
        </w:rPr>
        <w:t xml:space="preserve"> </w:t>
      </w:r>
      <w:r w:rsidR="00F40A84" w:rsidRPr="00EC21AD">
        <w:rPr>
          <w:sz w:val="28"/>
          <w:szCs w:val="28"/>
        </w:rPr>
        <w:t xml:space="preserve">proposed stylistic revisions to </w:t>
      </w:r>
      <w:r w:rsidR="006F747A" w:rsidRPr="00EC21AD">
        <w:rPr>
          <w:sz w:val="28"/>
          <w:szCs w:val="28"/>
        </w:rPr>
        <w:t>many</w:t>
      </w:r>
      <w:r w:rsidR="001C02A3" w:rsidRPr="00EC21AD">
        <w:rPr>
          <w:sz w:val="28"/>
          <w:szCs w:val="28"/>
        </w:rPr>
        <w:t>, but not all,</w:t>
      </w:r>
      <w:r w:rsidR="006F747A" w:rsidRPr="00EC21AD">
        <w:rPr>
          <w:sz w:val="28"/>
          <w:szCs w:val="28"/>
        </w:rPr>
        <w:t xml:space="preserve"> of </w:t>
      </w:r>
      <w:r w:rsidR="00F40A84" w:rsidRPr="00EC21AD">
        <w:rPr>
          <w:sz w:val="28"/>
          <w:szCs w:val="28"/>
        </w:rPr>
        <w:t>the current Tax Court rules. Public comments regarding the petition raised</w:t>
      </w:r>
      <w:r w:rsidR="001B0C2B" w:rsidRPr="00EC21AD">
        <w:rPr>
          <w:sz w:val="28"/>
          <w:szCs w:val="28"/>
        </w:rPr>
        <w:t xml:space="preserve"> valid points</w:t>
      </w:r>
      <w:r w:rsidR="00F40A84" w:rsidRPr="00EC21AD">
        <w:rPr>
          <w:sz w:val="28"/>
          <w:szCs w:val="28"/>
        </w:rPr>
        <w:t xml:space="preserve">, which </w:t>
      </w:r>
      <w:r w:rsidR="00E612C7" w:rsidRPr="00EC21AD">
        <w:rPr>
          <w:sz w:val="28"/>
          <w:szCs w:val="28"/>
        </w:rPr>
        <w:t>Petitioner</w:t>
      </w:r>
      <w:r w:rsidR="00F40A84" w:rsidRPr="00EC21AD">
        <w:rPr>
          <w:sz w:val="28"/>
          <w:szCs w:val="28"/>
        </w:rPr>
        <w:t xml:space="preserve"> addressed in a reply. </w:t>
      </w:r>
      <w:r w:rsidR="00DC58AA" w:rsidRPr="00EC21AD">
        <w:rPr>
          <w:sz w:val="28"/>
          <w:szCs w:val="28"/>
        </w:rPr>
        <w:t xml:space="preserve">At its August 2023 Rules Agenda, the Court continued R-23-0016 to permit staff from the Administrative Office of the Courts </w:t>
      </w:r>
      <w:r w:rsidR="00127C43" w:rsidRPr="00EC21AD">
        <w:rPr>
          <w:sz w:val="28"/>
          <w:szCs w:val="28"/>
        </w:rPr>
        <w:t xml:space="preserve">(“AOC”) </w:t>
      </w:r>
      <w:r w:rsidR="00DC58AA" w:rsidRPr="00EC21AD">
        <w:rPr>
          <w:sz w:val="28"/>
          <w:szCs w:val="28"/>
        </w:rPr>
        <w:t xml:space="preserve">to review the proposed rules and to assure that the rules conformed with </w:t>
      </w:r>
      <w:r w:rsidR="00DC58AA" w:rsidRPr="00EC21AD">
        <w:rPr>
          <w:sz w:val="28"/>
          <w:szCs w:val="28"/>
        </w:rPr>
        <w:lastRenderedPageBreak/>
        <w:t>established restyling conventions. After discussions with staff, the Chair filed a sur-reply with a revised version of restyled rules.</w:t>
      </w:r>
    </w:p>
    <w:p w14:paraId="0B173B00" w14:textId="03338DCA" w:rsidR="0086339C" w:rsidRPr="00EC21AD" w:rsidRDefault="0086339C" w:rsidP="0086339C">
      <w:pPr>
        <w:pStyle w:val="ListParagraph"/>
        <w:widowControl w:val="0"/>
        <w:autoSpaceDE w:val="0"/>
        <w:autoSpaceDN w:val="0"/>
        <w:spacing w:line="480" w:lineRule="auto"/>
        <w:ind w:left="0" w:firstLine="720"/>
        <w:jc w:val="both"/>
        <w:rPr>
          <w:sz w:val="28"/>
          <w:szCs w:val="28"/>
        </w:rPr>
      </w:pPr>
      <w:r w:rsidRPr="00EC21AD">
        <w:rPr>
          <w:color w:val="212121"/>
          <w:sz w:val="28"/>
          <w:szCs w:val="28"/>
        </w:rPr>
        <w:t>The version of proposed rules appended to the sur-reply contained two significant organizational differences from the previous version. First, two major part headings</w:t>
      </w:r>
      <w:r w:rsidR="00240ACA">
        <w:rPr>
          <w:color w:val="212121"/>
          <w:sz w:val="28"/>
          <w:szCs w:val="28"/>
        </w:rPr>
        <w:t>—</w:t>
      </w:r>
      <w:r w:rsidRPr="00EC21AD">
        <w:rPr>
          <w:color w:val="212121"/>
          <w:sz w:val="28"/>
          <w:szCs w:val="28"/>
        </w:rPr>
        <w:t>Part I, “general provisions,” and Part II, “small claims tax procedures”</w:t>
      </w:r>
      <w:r w:rsidR="00240ACA" w:rsidRPr="00240ACA">
        <w:rPr>
          <w:color w:val="212121"/>
          <w:sz w:val="28"/>
          <w:szCs w:val="28"/>
        </w:rPr>
        <w:t xml:space="preserve"> </w:t>
      </w:r>
      <w:r w:rsidR="00240ACA">
        <w:rPr>
          <w:color w:val="212121"/>
          <w:sz w:val="28"/>
          <w:szCs w:val="28"/>
        </w:rPr>
        <w:t>—</w:t>
      </w:r>
      <w:r w:rsidRPr="00EC21AD">
        <w:rPr>
          <w:color w:val="212121"/>
          <w:sz w:val="28"/>
          <w:szCs w:val="28"/>
        </w:rPr>
        <w:t>were added to delineate major subjects. (The current rules have no such headings.) And second, the sur-reply version proposed moving the uniform interrogatories from their current location (immediately after Rule 16) to the end of the rules, so that the body of the rules was not interrupted by several pages of interrogatories.</w:t>
      </w:r>
    </w:p>
    <w:p w14:paraId="3AF8248D" w14:textId="267BB980" w:rsidR="002B74F1" w:rsidRPr="00EC21AD" w:rsidRDefault="008C3B5A" w:rsidP="002B74F1">
      <w:pPr>
        <w:pStyle w:val="ListParagraph"/>
        <w:adjustRightInd w:val="0"/>
        <w:spacing w:line="480" w:lineRule="auto"/>
        <w:ind w:left="0" w:firstLine="720"/>
        <w:jc w:val="both"/>
        <w:rPr>
          <w:sz w:val="28"/>
          <w:szCs w:val="28"/>
        </w:rPr>
      </w:pPr>
      <w:r w:rsidRPr="008C3B5A">
        <w:rPr>
          <w:sz w:val="28"/>
          <w:szCs w:val="28"/>
        </w:rPr>
        <w:t>By entering A.O. No. 2024-87, this Court initiated a formal process for stakeholders to discuss the proposed restyling and to obtain additional public input</w:t>
      </w:r>
      <w:r w:rsidR="004C6D5A" w:rsidRPr="00EC21AD">
        <w:rPr>
          <w:sz w:val="28"/>
          <w:szCs w:val="28"/>
        </w:rPr>
        <w:t>.</w:t>
      </w:r>
      <w:r w:rsidR="00505EF3" w:rsidRPr="00EC21AD">
        <w:rPr>
          <w:sz w:val="28"/>
          <w:szCs w:val="28"/>
        </w:rPr>
        <w:t xml:space="preserve"> </w:t>
      </w:r>
      <w:r w:rsidR="00291DBF" w:rsidRPr="00EC21AD">
        <w:rPr>
          <w:sz w:val="28"/>
          <w:szCs w:val="28"/>
        </w:rPr>
        <w:t xml:space="preserve">The </w:t>
      </w:r>
      <w:r w:rsidR="001C5315" w:rsidRPr="00EC21AD">
        <w:rPr>
          <w:sz w:val="28"/>
          <w:szCs w:val="28"/>
        </w:rPr>
        <w:t xml:space="preserve">Court’s </w:t>
      </w:r>
      <w:r w:rsidR="00291DBF" w:rsidRPr="00EC21AD">
        <w:rPr>
          <w:sz w:val="28"/>
          <w:szCs w:val="28"/>
        </w:rPr>
        <w:t>Order directed th</w:t>
      </w:r>
      <w:r w:rsidR="00FC137D">
        <w:rPr>
          <w:sz w:val="28"/>
          <w:szCs w:val="28"/>
        </w:rPr>
        <w:t>e</w:t>
      </w:r>
      <w:r w:rsidR="00291DBF" w:rsidRPr="00EC21AD">
        <w:rPr>
          <w:sz w:val="28"/>
          <w:szCs w:val="28"/>
        </w:rPr>
        <w:t xml:space="preserve"> Task Force to make recommendations regarding restyled rules that it deemed appropriate.</w:t>
      </w:r>
      <w:r w:rsidR="004C6D5A" w:rsidRPr="00EC21AD">
        <w:rPr>
          <w:rStyle w:val="FootnoteReference"/>
          <w:sz w:val="28"/>
          <w:szCs w:val="28"/>
        </w:rPr>
        <w:footnoteReference w:id="2"/>
      </w:r>
      <w:r w:rsidR="004C6D5A" w:rsidRPr="00EC21AD">
        <w:rPr>
          <w:sz w:val="28"/>
          <w:szCs w:val="28"/>
        </w:rPr>
        <w:t xml:space="preserve"> </w:t>
      </w:r>
      <w:r w:rsidR="00291DBF" w:rsidRPr="00EC21AD">
        <w:rPr>
          <w:sz w:val="28"/>
          <w:szCs w:val="28"/>
        </w:rPr>
        <w:t xml:space="preserve">It further provided that the Task Force </w:t>
      </w:r>
      <w:r w:rsidR="00291DBF" w:rsidRPr="00EC21AD">
        <w:rPr>
          <w:sz w:val="28"/>
          <w:szCs w:val="28"/>
        </w:rPr>
        <w:lastRenderedPageBreak/>
        <w:t xml:space="preserve">“may also propose additional changes to the Tax Court Rules of Practice that would improve current practices.” </w:t>
      </w:r>
    </w:p>
    <w:p w14:paraId="3DF275AD" w14:textId="59D5958C" w:rsidR="00F01E03" w:rsidRPr="00EC21AD" w:rsidRDefault="00291DBF" w:rsidP="0004121D">
      <w:pPr>
        <w:pStyle w:val="ListParagraph"/>
        <w:adjustRightInd w:val="0"/>
        <w:spacing w:line="480" w:lineRule="auto"/>
        <w:ind w:left="0" w:firstLine="720"/>
        <w:jc w:val="both"/>
        <w:rPr>
          <w:sz w:val="28"/>
          <w:szCs w:val="28"/>
        </w:rPr>
      </w:pPr>
      <w:r w:rsidRPr="00EC21AD">
        <w:rPr>
          <w:sz w:val="28"/>
          <w:szCs w:val="28"/>
        </w:rPr>
        <w:t xml:space="preserve">The Chair and </w:t>
      </w:r>
      <w:r w:rsidR="00C0037F" w:rsidRPr="00EC21AD">
        <w:rPr>
          <w:sz w:val="28"/>
          <w:szCs w:val="28"/>
        </w:rPr>
        <w:t>A</w:t>
      </w:r>
      <w:r w:rsidR="00CE246E" w:rsidRPr="00EC21AD">
        <w:rPr>
          <w:sz w:val="28"/>
          <w:szCs w:val="28"/>
        </w:rPr>
        <w:t xml:space="preserve">OC </w:t>
      </w:r>
      <w:r w:rsidRPr="00EC21AD">
        <w:rPr>
          <w:sz w:val="28"/>
          <w:szCs w:val="28"/>
        </w:rPr>
        <w:t xml:space="preserve">staff met </w:t>
      </w:r>
      <w:r w:rsidR="00CE246E" w:rsidRPr="00EC21AD">
        <w:rPr>
          <w:sz w:val="28"/>
          <w:szCs w:val="28"/>
        </w:rPr>
        <w:t xml:space="preserve">again </w:t>
      </w:r>
      <w:r w:rsidRPr="00EC21AD">
        <w:rPr>
          <w:sz w:val="28"/>
          <w:szCs w:val="28"/>
        </w:rPr>
        <w:t>after entry of this Order</w:t>
      </w:r>
      <w:r w:rsidR="00154866" w:rsidRPr="00EC21AD">
        <w:rPr>
          <w:sz w:val="28"/>
          <w:szCs w:val="28"/>
        </w:rPr>
        <w:t xml:space="preserve"> but before the first Task Force meeting</w:t>
      </w:r>
      <w:r w:rsidRPr="00EC21AD">
        <w:rPr>
          <w:sz w:val="28"/>
          <w:szCs w:val="28"/>
        </w:rPr>
        <w:t xml:space="preserve">, and in light of </w:t>
      </w:r>
      <w:r w:rsidR="00154866" w:rsidRPr="00EC21AD">
        <w:rPr>
          <w:sz w:val="28"/>
          <w:szCs w:val="28"/>
        </w:rPr>
        <w:t xml:space="preserve">the Order’s </w:t>
      </w:r>
      <w:r w:rsidRPr="00EC21AD">
        <w:rPr>
          <w:sz w:val="28"/>
          <w:szCs w:val="28"/>
        </w:rPr>
        <w:t xml:space="preserve">directives, they discussed additional changes to the </w:t>
      </w:r>
      <w:r w:rsidR="00B93225" w:rsidRPr="00EC21AD">
        <w:rPr>
          <w:sz w:val="28"/>
          <w:szCs w:val="28"/>
        </w:rPr>
        <w:t xml:space="preserve">previously proposed </w:t>
      </w:r>
      <w:r w:rsidRPr="00EC21AD">
        <w:rPr>
          <w:sz w:val="28"/>
          <w:szCs w:val="28"/>
        </w:rPr>
        <w:t>restyling</w:t>
      </w:r>
      <w:r w:rsidR="00255617" w:rsidRPr="00EC21AD">
        <w:rPr>
          <w:sz w:val="28"/>
          <w:szCs w:val="28"/>
        </w:rPr>
        <w:t>.</w:t>
      </w:r>
      <w:r w:rsidRPr="00EC21AD">
        <w:rPr>
          <w:sz w:val="28"/>
          <w:szCs w:val="28"/>
        </w:rPr>
        <w:t xml:space="preserve"> Those discussions resulted in a new version of the restyled rules dated 07.17.2024. Th</w:t>
      </w:r>
      <w:r w:rsidR="008F1825" w:rsidRPr="00EC21AD">
        <w:rPr>
          <w:sz w:val="28"/>
          <w:szCs w:val="28"/>
        </w:rPr>
        <w:t>e</w:t>
      </w:r>
      <w:r w:rsidRPr="00EC21AD">
        <w:rPr>
          <w:sz w:val="28"/>
          <w:szCs w:val="28"/>
        </w:rPr>
        <w:t xml:space="preserve"> 07.17</w:t>
      </w:r>
      <w:r w:rsidR="008F1825" w:rsidRPr="00EC21AD">
        <w:rPr>
          <w:sz w:val="28"/>
          <w:szCs w:val="28"/>
        </w:rPr>
        <w:t>.2024</w:t>
      </w:r>
      <w:r w:rsidRPr="00EC21AD">
        <w:rPr>
          <w:sz w:val="28"/>
          <w:szCs w:val="28"/>
        </w:rPr>
        <w:t xml:space="preserve"> version supersede</w:t>
      </w:r>
      <w:r w:rsidR="007F4F56" w:rsidRPr="00EC21AD">
        <w:rPr>
          <w:sz w:val="28"/>
          <w:szCs w:val="28"/>
        </w:rPr>
        <w:t>d</w:t>
      </w:r>
      <w:r w:rsidRPr="00EC21AD">
        <w:rPr>
          <w:sz w:val="28"/>
          <w:szCs w:val="28"/>
        </w:rPr>
        <w:t xml:space="preserve"> the versions submitted with the </w:t>
      </w:r>
      <w:r w:rsidR="000054CC" w:rsidRPr="00EC21AD">
        <w:rPr>
          <w:sz w:val="28"/>
          <w:szCs w:val="28"/>
        </w:rPr>
        <w:t xml:space="preserve">R-23-0016 </w:t>
      </w:r>
      <w:r w:rsidRPr="00EC21AD">
        <w:rPr>
          <w:sz w:val="28"/>
          <w:szCs w:val="28"/>
        </w:rPr>
        <w:t xml:space="preserve">petition, reply, and sur-reply </w:t>
      </w:r>
      <w:r w:rsidR="00255617" w:rsidRPr="00EC21AD">
        <w:rPr>
          <w:sz w:val="28"/>
          <w:szCs w:val="28"/>
        </w:rPr>
        <w:t>and became the foundational document for Task Force review</w:t>
      </w:r>
      <w:r w:rsidR="008F1825" w:rsidRPr="00EC21AD">
        <w:rPr>
          <w:sz w:val="28"/>
          <w:szCs w:val="28"/>
        </w:rPr>
        <w:t>.</w:t>
      </w:r>
      <w:r w:rsidR="0004121D" w:rsidRPr="00EC21AD">
        <w:rPr>
          <w:sz w:val="28"/>
          <w:szCs w:val="28"/>
        </w:rPr>
        <w:t xml:space="preserve"> </w:t>
      </w:r>
      <w:r w:rsidR="00906CA3" w:rsidRPr="00EC21AD">
        <w:rPr>
          <w:sz w:val="28"/>
          <w:szCs w:val="28"/>
        </w:rPr>
        <w:t>The 07.17.2024 version</w:t>
      </w:r>
      <w:r w:rsidR="003E070B" w:rsidRPr="00EC21AD">
        <w:rPr>
          <w:sz w:val="28"/>
          <w:szCs w:val="28"/>
        </w:rPr>
        <w:t>, among other changes,</w:t>
      </w:r>
      <w:r w:rsidR="00906CA3" w:rsidRPr="00EC21AD">
        <w:rPr>
          <w:sz w:val="28"/>
          <w:szCs w:val="28"/>
        </w:rPr>
        <w:t xml:space="preserve"> included three additional major part headings: one concerning filing documents, another concerning case transfers and venue, and a third regarding further proceedings. In addition, the 07.17 version renumbered and re-sequenced certain rules to aggregate and connect rules with a similar subject. The 07.17 set also include</w:t>
      </w:r>
      <w:r w:rsidR="0004121D" w:rsidRPr="00EC21AD">
        <w:rPr>
          <w:sz w:val="28"/>
          <w:szCs w:val="28"/>
        </w:rPr>
        <w:t>d</w:t>
      </w:r>
      <w:r w:rsidR="00906CA3" w:rsidRPr="00EC21AD">
        <w:rPr>
          <w:sz w:val="28"/>
          <w:szCs w:val="28"/>
        </w:rPr>
        <w:t xml:space="preserve"> a </w:t>
      </w:r>
      <w:r w:rsidR="00A233E4" w:rsidRPr="00EC21AD">
        <w:rPr>
          <w:sz w:val="28"/>
          <w:szCs w:val="28"/>
        </w:rPr>
        <w:t xml:space="preserve">short </w:t>
      </w:r>
      <w:r w:rsidR="00906CA3" w:rsidRPr="00EC21AD">
        <w:rPr>
          <w:sz w:val="28"/>
          <w:szCs w:val="28"/>
        </w:rPr>
        <w:t xml:space="preserve">new rule on appeals. </w:t>
      </w:r>
    </w:p>
    <w:p w14:paraId="506753ED" w14:textId="1BA8149C" w:rsidR="005F4E2E" w:rsidRPr="00EC21AD" w:rsidRDefault="00764052" w:rsidP="00201D4F">
      <w:pPr>
        <w:pStyle w:val="ListParagraph"/>
        <w:adjustRightInd w:val="0"/>
        <w:spacing w:line="480" w:lineRule="auto"/>
        <w:ind w:left="0" w:firstLine="720"/>
        <w:jc w:val="both"/>
        <w:rPr>
          <w:sz w:val="28"/>
          <w:szCs w:val="28"/>
        </w:rPr>
      </w:pPr>
      <w:r w:rsidRPr="00EC21AD">
        <w:rPr>
          <w:sz w:val="28"/>
          <w:szCs w:val="28"/>
        </w:rPr>
        <w:t xml:space="preserve">The Task Force convened on July 25, 2024, for a </w:t>
      </w:r>
      <w:r w:rsidR="005B36D9">
        <w:rPr>
          <w:sz w:val="28"/>
          <w:szCs w:val="28"/>
        </w:rPr>
        <w:t>six</w:t>
      </w:r>
      <w:r w:rsidR="000A555C" w:rsidRPr="00EC21AD">
        <w:rPr>
          <w:sz w:val="28"/>
          <w:szCs w:val="28"/>
        </w:rPr>
        <w:t>-hour meeting, followed by a</w:t>
      </w:r>
      <w:r w:rsidR="00921717" w:rsidRPr="00EC21AD">
        <w:rPr>
          <w:sz w:val="28"/>
          <w:szCs w:val="28"/>
        </w:rPr>
        <w:t>nother</w:t>
      </w:r>
      <w:r w:rsidR="00F67A8A" w:rsidRPr="00EC21AD">
        <w:rPr>
          <w:sz w:val="28"/>
          <w:szCs w:val="28"/>
        </w:rPr>
        <w:t xml:space="preserve"> </w:t>
      </w:r>
      <w:r w:rsidR="000A555C" w:rsidRPr="00EC21AD">
        <w:rPr>
          <w:sz w:val="28"/>
          <w:szCs w:val="28"/>
        </w:rPr>
        <w:t xml:space="preserve">meeting on August 12, 2024. </w:t>
      </w:r>
      <w:r w:rsidR="007D0C4B" w:rsidRPr="00EC21AD">
        <w:rPr>
          <w:sz w:val="28"/>
          <w:szCs w:val="28"/>
        </w:rPr>
        <w:t>The first meeting agenda included a presentation by Supreme Court staff attorney John Rogers on rules restyling</w:t>
      </w:r>
      <w:r w:rsidR="000464BC" w:rsidRPr="00EC21AD">
        <w:rPr>
          <w:sz w:val="28"/>
          <w:szCs w:val="28"/>
        </w:rPr>
        <w:t xml:space="preserve">; materials for that meeting also include Bryan Garner’s </w:t>
      </w:r>
      <w:r w:rsidR="00DB0CD7" w:rsidRPr="00EC21AD">
        <w:rPr>
          <w:sz w:val="28"/>
          <w:szCs w:val="28"/>
        </w:rPr>
        <w:t xml:space="preserve">“Guidelines for Drafting and Editing Court Rules.” </w:t>
      </w:r>
      <w:r w:rsidR="002036A9" w:rsidRPr="00EC21AD">
        <w:rPr>
          <w:sz w:val="28"/>
          <w:szCs w:val="28"/>
        </w:rPr>
        <w:t>Task Force m</w:t>
      </w:r>
      <w:r w:rsidR="008306AA" w:rsidRPr="00EC21AD">
        <w:rPr>
          <w:sz w:val="28"/>
          <w:szCs w:val="28"/>
        </w:rPr>
        <w:t xml:space="preserve">embers proceeded to </w:t>
      </w:r>
      <w:r w:rsidR="002478EE" w:rsidRPr="00EC21AD">
        <w:rPr>
          <w:sz w:val="28"/>
          <w:szCs w:val="28"/>
        </w:rPr>
        <w:t xml:space="preserve">have </w:t>
      </w:r>
      <w:r w:rsidR="008306AA" w:rsidRPr="00EC21AD">
        <w:rPr>
          <w:sz w:val="28"/>
          <w:szCs w:val="28"/>
        </w:rPr>
        <w:t>robust discussions</w:t>
      </w:r>
      <w:r w:rsidR="00442A84" w:rsidRPr="00EC21AD">
        <w:rPr>
          <w:sz w:val="28"/>
          <w:szCs w:val="28"/>
        </w:rPr>
        <w:t xml:space="preserve"> of the 07.17.2024 draft</w:t>
      </w:r>
      <w:r w:rsidR="00F30C8D" w:rsidRPr="00EC21AD">
        <w:rPr>
          <w:sz w:val="28"/>
          <w:szCs w:val="28"/>
        </w:rPr>
        <w:t xml:space="preserve">, </w:t>
      </w:r>
      <w:r w:rsidR="002478EE" w:rsidRPr="00EC21AD">
        <w:rPr>
          <w:sz w:val="28"/>
          <w:szCs w:val="28"/>
        </w:rPr>
        <w:t>and those discussions</w:t>
      </w:r>
      <w:r w:rsidR="00F30C8D" w:rsidRPr="00EC21AD">
        <w:rPr>
          <w:sz w:val="28"/>
          <w:szCs w:val="28"/>
        </w:rPr>
        <w:t xml:space="preserve"> </w:t>
      </w:r>
      <w:r w:rsidR="00C5038B" w:rsidRPr="00EC21AD">
        <w:rPr>
          <w:sz w:val="28"/>
          <w:szCs w:val="28"/>
        </w:rPr>
        <w:t xml:space="preserve">led </w:t>
      </w:r>
      <w:r w:rsidR="005237EA" w:rsidRPr="00EC21AD">
        <w:rPr>
          <w:sz w:val="28"/>
          <w:szCs w:val="28"/>
        </w:rPr>
        <w:t xml:space="preserve">to </w:t>
      </w:r>
      <w:r w:rsidR="00F30C8D" w:rsidRPr="00EC21AD">
        <w:rPr>
          <w:sz w:val="28"/>
          <w:szCs w:val="28"/>
        </w:rPr>
        <w:t>scores of additional revisions.</w:t>
      </w:r>
      <w:r w:rsidR="00442A84" w:rsidRPr="00EC21AD">
        <w:rPr>
          <w:sz w:val="28"/>
          <w:szCs w:val="28"/>
        </w:rPr>
        <w:t xml:space="preserve"> </w:t>
      </w:r>
      <w:r w:rsidR="001F4307" w:rsidRPr="00EC21AD">
        <w:rPr>
          <w:sz w:val="28"/>
          <w:szCs w:val="28"/>
        </w:rPr>
        <w:t xml:space="preserve">Every </w:t>
      </w:r>
      <w:r w:rsidR="004D1355" w:rsidRPr="00EC21AD">
        <w:rPr>
          <w:sz w:val="28"/>
          <w:szCs w:val="28"/>
        </w:rPr>
        <w:t xml:space="preserve">Tax Court </w:t>
      </w:r>
      <w:r w:rsidR="001F4307" w:rsidRPr="00EC21AD">
        <w:rPr>
          <w:sz w:val="28"/>
          <w:szCs w:val="28"/>
        </w:rPr>
        <w:t>rule was</w:t>
      </w:r>
      <w:r w:rsidR="004D1355" w:rsidRPr="00EC21AD">
        <w:rPr>
          <w:sz w:val="28"/>
          <w:szCs w:val="28"/>
        </w:rPr>
        <w:t xml:space="preserve"> modified</w:t>
      </w:r>
      <w:r w:rsidR="001F4307" w:rsidRPr="00EC21AD">
        <w:rPr>
          <w:sz w:val="28"/>
          <w:szCs w:val="28"/>
        </w:rPr>
        <w:t xml:space="preserve">. </w:t>
      </w:r>
      <w:r w:rsidR="006C5FF5" w:rsidRPr="00EC21AD">
        <w:rPr>
          <w:sz w:val="28"/>
          <w:szCs w:val="28"/>
        </w:rPr>
        <w:t xml:space="preserve">Most </w:t>
      </w:r>
      <w:r w:rsidR="0049649B" w:rsidRPr="00EC21AD">
        <w:rPr>
          <w:sz w:val="28"/>
          <w:szCs w:val="28"/>
        </w:rPr>
        <w:t>of th</w:t>
      </w:r>
      <w:r w:rsidR="001F4307" w:rsidRPr="00EC21AD">
        <w:rPr>
          <w:sz w:val="28"/>
          <w:szCs w:val="28"/>
        </w:rPr>
        <w:t>ese</w:t>
      </w:r>
      <w:r w:rsidR="0049649B" w:rsidRPr="00EC21AD">
        <w:rPr>
          <w:sz w:val="28"/>
          <w:szCs w:val="28"/>
        </w:rPr>
        <w:t xml:space="preserve"> revisions were</w:t>
      </w:r>
      <w:r w:rsidR="001F4307" w:rsidRPr="00EC21AD">
        <w:rPr>
          <w:sz w:val="28"/>
          <w:szCs w:val="28"/>
        </w:rPr>
        <w:t xml:space="preserve"> only</w:t>
      </w:r>
      <w:r w:rsidR="0049649B" w:rsidRPr="00EC21AD">
        <w:rPr>
          <w:sz w:val="28"/>
          <w:szCs w:val="28"/>
        </w:rPr>
        <w:t xml:space="preserve"> stylistic,</w:t>
      </w:r>
      <w:r w:rsidR="008E7EF9" w:rsidRPr="00EC21AD">
        <w:rPr>
          <w:sz w:val="28"/>
          <w:szCs w:val="28"/>
        </w:rPr>
        <w:t xml:space="preserve"> </w:t>
      </w:r>
      <w:r w:rsidR="008E7EF9" w:rsidRPr="00EC21AD">
        <w:rPr>
          <w:sz w:val="28"/>
          <w:szCs w:val="28"/>
        </w:rPr>
        <w:lastRenderedPageBreak/>
        <w:t>although</w:t>
      </w:r>
      <w:r w:rsidR="0049649B" w:rsidRPr="00EC21AD">
        <w:rPr>
          <w:sz w:val="28"/>
          <w:szCs w:val="28"/>
        </w:rPr>
        <w:t xml:space="preserve"> </w:t>
      </w:r>
      <w:r w:rsidR="00D5650D" w:rsidRPr="00EC21AD">
        <w:rPr>
          <w:sz w:val="28"/>
          <w:szCs w:val="28"/>
        </w:rPr>
        <w:t>a</w:t>
      </w:r>
      <w:r w:rsidR="0049649B" w:rsidRPr="00EC21AD">
        <w:rPr>
          <w:sz w:val="28"/>
          <w:szCs w:val="28"/>
        </w:rPr>
        <w:t xml:space="preserve"> few </w:t>
      </w:r>
      <w:r w:rsidR="00201D4F" w:rsidRPr="00EC21AD">
        <w:rPr>
          <w:sz w:val="28"/>
          <w:szCs w:val="28"/>
        </w:rPr>
        <w:t xml:space="preserve">changes </w:t>
      </w:r>
      <w:r w:rsidR="0049649B" w:rsidRPr="00EC21AD">
        <w:rPr>
          <w:sz w:val="28"/>
          <w:szCs w:val="28"/>
        </w:rPr>
        <w:t>were substantive</w:t>
      </w:r>
      <w:r w:rsidR="002478EE" w:rsidRPr="00EC21AD">
        <w:rPr>
          <w:sz w:val="28"/>
          <w:szCs w:val="28"/>
        </w:rPr>
        <w:t>.</w:t>
      </w:r>
      <w:r w:rsidR="004C7ADF" w:rsidRPr="00EC21AD">
        <w:rPr>
          <w:sz w:val="28"/>
          <w:szCs w:val="28"/>
        </w:rPr>
        <w:t xml:space="preserve"> </w:t>
      </w:r>
      <w:r w:rsidR="0046459A" w:rsidRPr="00EC21AD">
        <w:rPr>
          <w:sz w:val="28"/>
          <w:szCs w:val="28"/>
        </w:rPr>
        <w:t xml:space="preserve">Some rules were </w:t>
      </w:r>
      <w:r w:rsidR="008E7EF9" w:rsidRPr="00EC21AD">
        <w:rPr>
          <w:sz w:val="28"/>
          <w:szCs w:val="28"/>
        </w:rPr>
        <w:t xml:space="preserve">further </w:t>
      </w:r>
      <w:r w:rsidR="0046459A" w:rsidRPr="00EC21AD">
        <w:rPr>
          <w:sz w:val="28"/>
          <w:szCs w:val="28"/>
        </w:rPr>
        <w:t xml:space="preserve">reorganized. </w:t>
      </w:r>
      <w:r w:rsidR="004C7ADF" w:rsidRPr="00EC21AD">
        <w:rPr>
          <w:sz w:val="28"/>
          <w:szCs w:val="28"/>
        </w:rPr>
        <w:t xml:space="preserve">A </w:t>
      </w:r>
      <w:r w:rsidR="001A4C88" w:rsidRPr="00EC21AD">
        <w:rPr>
          <w:sz w:val="28"/>
          <w:szCs w:val="28"/>
        </w:rPr>
        <w:t>number</w:t>
      </w:r>
      <w:r w:rsidR="004C7ADF" w:rsidRPr="00EC21AD">
        <w:rPr>
          <w:sz w:val="28"/>
          <w:szCs w:val="28"/>
        </w:rPr>
        <w:t xml:space="preserve"> of rule titles were </w:t>
      </w:r>
      <w:r w:rsidR="006D1CE7" w:rsidRPr="00EC21AD">
        <w:rPr>
          <w:sz w:val="28"/>
          <w:szCs w:val="28"/>
        </w:rPr>
        <w:t>revised</w:t>
      </w:r>
      <w:r w:rsidR="00BC4462" w:rsidRPr="00EC21AD">
        <w:rPr>
          <w:sz w:val="28"/>
          <w:szCs w:val="28"/>
        </w:rPr>
        <w:t>, and t</w:t>
      </w:r>
      <w:r w:rsidR="00D845DF" w:rsidRPr="00EC21AD">
        <w:rPr>
          <w:sz w:val="28"/>
          <w:szCs w:val="28"/>
        </w:rPr>
        <w:t>he Task Force ensured that every</w:t>
      </w:r>
      <w:r w:rsidR="00A41958" w:rsidRPr="00EC21AD">
        <w:rPr>
          <w:sz w:val="28"/>
          <w:szCs w:val="28"/>
        </w:rPr>
        <w:t xml:space="preserve"> section</w:t>
      </w:r>
      <w:r w:rsidR="00D845DF" w:rsidRPr="00EC21AD">
        <w:rPr>
          <w:sz w:val="28"/>
          <w:szCs w:val="28"/>
        </w:rPr>
        <w:t xml:space="preserve"> of a rule, and</w:t>
      </w:r>
      <w:r w:rsidR="00A41958" w:rsidRPr="00EC21AD">
        <w:rPr>
          <w:sz w:val="28"/>
          <w:szCs w:val="28"/>
        </w:rPr>
        <w:t xml:space="preserve"> </w:t>
      </w:r>
      <w:r w:rsidR="006D1CE7" w:rsidRPr="00EC21AD">
        <w:rPr>
          <w:sz w:val="28"/>
          <w:szCs w:val="28"/>
        </w:rPr>
        <w:t>most, but not all, subparts</w:t>
      </w:r>
      <w:r w:rsidR="00D845DF" w:rsidRPr="00EC21AD">
        <w:rPr>
          <w:sz w:val="28"/>
          <w:szCs w:val="28"/>
        </w:rPr>
        <w:t>, also had titles</w:t>
      </w:r>
      <w:r w:rsidR="006D1CE7" w:rsidRPr="00EC21AD">
        <w:rPr>
          <w:sz w:val="28"/>
          <w:szCs w:val="28"/>
        </w:rPr>
        <w:t xml:space="preserve">. </w:t>
      </w:r>
      <w:r w:rsidR="001F0B40" w:rsidRPr="00EC21AD">
        <w:rPr>
          <w:sz w:val="28"/>
          <w:szCs w:val="28"/>
        </w:rPr>
        <w:t>The</w:t>
      </w:r>
      <w:r w:rsidR="00AD7A89" w:rsidRPr="00EC21AD">
        <w:rPr>
          <w:sz w:val="28"/>
          <w:szCs w:val="28"/>
        </w:rPr>
        <w:t xml:space="preserve"> Task Force retain</w:t>
      </w:r>
      <w:r w:rsidR="005B36D9">
        <w:rPr>
          <w:sz w:val="28"/>
          <w:szCs w:val="28"/>
        </w:rPr>
        <w:t>ed</w:t>
      </w:r>
      <w:r w:rsidR="00AD7A89" w:rsidRPr="00EC21AD">
        <w:rPr>
          <w:sz w:val="28"/>
          <w:szCs w:val="28"/>
        </w:rPr>
        <w:t xml:space="preserve"> the</w:t>
      </w:r>
      <w:r w:rsidR="001F0B40" w:rsidRPr="00EC21AD">
        <w:rPr>
          <w:sz w:val="28"/>
          <w:szCs w:val="28"/>
        </w:rPr>
        <w:t xml:space="preserve"> </w:t>
      </w:r>
      <w:r w:rsidR="00FA19C1" w:rsidRPr="00EC21AD">
        <w:rPr>
          <w:sz w:val="28"/>
          <w:szCs w:val="28"/>
        </w:rPr>
        <w:t>five-part</w:t>
      </w:r>
      <w:r w:rsidR="00AD7A89" w:rsidRPr="00EC21AD">
        <w:rPr>
          <w:sz w:val="28"/>
          <w:szCs w:val="28"/>
        </w:rPr>
        <w:t xml:space="preserve"> headings</w:t>
      </w:r>
      <w:r w:rsidR="001F0B40" w:rsidRPr="00EC21AD">
        <w:rPr>
          <w:sz w:val="28"/>
          <w:szCs w:val="28"/>
        </w:rPr>
        <w:t xml:space="preserve"> proposed by the 07.17.2024 versio</w:t>
      </w:r>
      <w:r w:rsidR="00AD7A89" w:rsidRPr="00EC21AD">
        <w:rPr>
          <w:sz w:val="28"/>
          <w:szCs w:val="28"/>
        </w:rPr>
        <w:t>n</w:t>
      </w:r>
      <w:r w:rsidR="00B523A9">
        <w:rPr>
          <w:sz w:val="28"/>
          <w:szCs w:val="28"/>
        </w:rPr>
        <w:t>, and</w:t>
      </w:r>
      <w:r w:rsidR="001F0B40" w:rsidRPr="00EC21AD">
        <w:rPr>
          <w:sz w:val="28"/>
          <w:szCs w:val="28"/>
        </w:rPr>
        <w:t xml:space="preserve"> </w:t>
      </w:r>
      <w:r w:rsidR="006A27E1">
        <w:rPr>
          <w:color w:val="000000" w:themeColor="text1"/>
          <w:sz w:val="28"/>
          <w:szCs w:val="28"/>
        </w:rPr>
        <w:t xml:space="preserve">a table at the </w:t>
      </w:r>
      <w:r w:rsidR="00DC48F8">
        <w:rPr>
          <w:color w:val="000000" w:themeColor="text1"/>
          <w:sz w:val="28"/>
          <w:szCs w:val="28"/>
        </w:rPr>
        <w:t xml:space="preserve">end </w:t>
      </w:r>
      <w:r w:rsidR="00DC48F8" w:rsidRPr="00EC21AD">
        <w:rPr>
          <w:color w:val="000000" w:themeColor="text1"/>
          <w:sz w:val="28"/>
          <w:szCs w:val="28"/>
        </w:rPr>
        <w:t>of</w:t>
      </w:r>
      <w:r w:rsidR="00AD7A89" w:rsidRPr="00EC21AD">
        <w:rPr>
          <w:color w:val="000000" w:themeColor="text1"/>
          <w:sz w:val="28"/>
          <w:szCs w:val="28"/>
        </w:rPr>
        <w:t xml:space="preserve"> this </w:t>
      </w:r>
      <w:r w:rsidR="005B36D9">
        <w:rPr>
          <w:color w:val="000000" w:themeColor="text1"/>
          <w:sz w:val="28"/>
          <w:szCs w:val="28"/>
        </w:rPr>
        <w:t>s</w:t>
      </w:r>
      <w:r w:rsidR="00AD7A89" w:rsidRPr="00EC21AD">
        <w:rPr>
          <w:color w:val="000000" w:themeColor="text1"/>
          <w:sz w:val="28"/>
          <w:szCs w:val="28"/>
        </w:rPr>
        <w:t xml:space="preserve">upplemental </w:t>
      </w:r>
      <w:r w:rsidR="005B36D9">
        <w:rPr>
          <w:color w:val="000000" w:themeColor="text1"/>
          <w:sz w:val="28"/>
          <w:szCs w:val="28"/>
        </w:rPr>
        <w:t>p</w:t>
      </w:r>
      <w:r w:rsidR="00AD7A89" w:rsidRPr="00EC21AD">
        <w:rPr>
          <w:color w:val="000000" w:themeColor="text1"/>
          <w:sz w:val="28"/>
          <w:szCs w:val="28"/>
        </w:rPr>
        <w:t>etition compares the tables of contents for the current and proposed rules.</w:t>
      </w:r>
      <w:r w:rsidR="001F0B40" w:rsidRPr="00EC21AD">
        <w:rPr>
          <w:sz w:val="28"/>
          <w:szCs w:val="28"/>
        </w:rPr>
        <w:t xml:space="preserve"> </w:t>
      </w:r>
    </w:p>
    <w:p w14:paraId="73EF03D4" w14:textId="0E513F6B" w:rsidR="00521B46" w:rsidRPr="00EC21AD" w:rsidRDefault="00E369D4" w:rsidP="009D3EE4">
      <w:pPr>
        <w:pStyle w:val="ListParagraph"/>
        <w:numPr>
          <w:ilvl w:val="0"/>
          <w:numId w:val="17"/>
        </w:numPr>
        <w:adjustRightInd w:val="0"/>
        <w:spacing w:line="480" w:lineRule="auto"/>
        <w:ind w:left="0" w:firstLine="720"/>
        <w:jc w:val="both"/>
        <w:rPr>
          <w:sz w:val="28"/>
          <w:szCs w:val="28"/>
        </w:rPr>
      </w:pPr>
      <w:r w:rsidRPr="00EC21AD">
        <w:rPr>
          <w:b/>
          <w:bCs/>
          <w:sz w:val="28"/>
          <w:szCs w:val="28"/>
          <w:u w:val="single"/>
        </w:rPr>
        <w:t xml:space="preserve">Task Force </w:t>
      </w:r>
      <w:r w:rsidR="00486157" w:rsidRPr="00EC21AD">
        <w:rPr>
          <w:b/>
          <w:bCs/>
          <w:sz w:val="28"/>
          <w:szCs w:val="28"/>
          <w:u w:val="single"/>
        </w:rPr>
        <w:t xml:space="preserve">general </w:t>
      </w:r>
      <w:r w:rsidRPr="00EC21AD">
        <w:rPr>
          <w:b/>
          <w:bCs/>
          <w:sz w:val="28"/>
          <w:szCs w:val="28"/>
          <w:u w:val="single"/>
        </w:rPr>
        <w:t>recommendation.</w:t>
      </w:r>
      <w:r w:rsidRPr="00EC21AD">
        <w:rPr>
          <w:sz w:val="28"/>
          <w:szCs w:val="28"/>
        </w:rPr>
        <w:t xml:space="preserve"> </w:t>
      </w:r>
      <w:r w:rsidR="00F30C8D" w:rsidRPr="00EC21AD">
        <w:rPr>
          <w:sz w:val="28"/>
          <w:szCs w:val="28"/>
        </w:rPr>
        <w:t xml:space="preserve">At the conclusion of the second meeting, </w:t>
      </w:r>
      <w:r w:rsidR="00B6555F" w:rsidRPr="00EC21AD">
        <w:rPr>
          <w:sz w:val="28"/>
          <w:szCs w:val="28"/>
        </w:rPr>
        <w:t xml:space="preserve">Task Force </w:t>
      </w:r>
      <w:r w:rsidR="00C5038B" w:rsidRPr="00EC21AD">
        <w:rPr>
          <w:sz w:val="28"/>
          <w:szCs w:val="28"/>
        </w:rPr>
        <w:t>members considered a formal motion to appr</w:t>
      </w:r>
      <w:r w:rsidR="005F4E2E" w:rsidRPr="00EC21AD">
        <w:rPr>
          <w:sz w:val="28"/>
          <w:szCs w:val="28"/>
        </w:rPr>
        <w:t>o</w:t>
      </w:r>
      <w:r w:rsidR="00C5038B" w:rsidRPr="00EC21AD">
        <w:rPr>
          <w:sz w:val="28"/>
          <w:szCs w:val="28"/>
        </w:rPr>
        <w:t>ve</w:t>
      </w:r>
      <w:r w:rsidR="005F4E2E" w:rsidRPr="00EC21AD">
        <w:rPr>
          <w:sz w:val="28"/>
          <w:szCs w:val="28"/>
        </w:rPr>
        <w:t xml:space="preserve"> the resulting draft</w:t>
      </w:r>
      <w:r w:rsidR="008551A5" w:rsidRPr="00EC21AD">
        <w:rPr>
          <w:sz w:val="28"/>
          <w:szCs w:val="28"/>
        </w:rPr>
        <w:t>, which is</w:t>
      </w:r>
      <w:r w:rsidR="005F4E2E" w:rsidRPr="00EC21AD">
        <w:rPr>
          <w:sz w:val="28"/>
          <w:szCs w:val="28"/>
        </w:rPr>
        <w:t xml:space="preserve"> appended to this Supplemental Petition</w:t>
      </w:r>
      <w:r w:rsidR="00A863B5" w:rsidRPr="00EC21AD">
        <w:rPr>
          <w:sz w:val="28"/>
          <w:szCs w:val="28"/>
        </w:rPr>
        <w:t>, and to recommend that the Court adopt</w:t>
      </w:r>
      <w:r w:rsidR="00EE1F00" w:rsidRPr="00EC21AD">
        <w:rPr>
          <w:sz w:val="28"/>
          <w:szCs w:val="28"/>
        </w:rPr>
        <w:t xml:space="preserve"> th</w:t>
      </w:r>
      <w:r w:rsidR="006B0340" w:rsidRPr="00EC21AD">
        <w:rPr>
          <w:sz w:val="28"/>
          <w:szCs w:val="28"/>
        </w:rPr>
        <w:t xml:space="preserve">is revised set of </w:t>
      </w:r>
      <w:r w:rsidR="00EE1F00" w:rsidRPr="00EC21AD">
        <w:rPr>
          <w:sz w:val="28"/>
          <w:szCs w:val="28"/>
        </w:rPr>
        <w:t>rules</w:t>
      </w:r>
      <w:r w:rsidR="00A04EA2" w:rsidRPr="00EC21AD">
        <w:rPr>
          <w:sz w:val="28"/>
          <w:szCs w:val="28"/>
        </w:rPr>
        <w:t xml:space="preserve"> and the new appendices</w:t>
      </w:r>
      <w:r w:rsidR="005F4E2E" w:rsidRPr="00EC21AD">
        <w:rPr>
          <w:sz w:val="28"/>
          <w:szCs w:val="28"/>
        </w:rPr>
        <w:t>. The motion passed una</w:t>
      </w:r>
      <w:r w:rsidR="00201D4F" w:rsidRPr="00EC21AD">
        <w:rPr>
          <w:sz w:val="28"/>
          <w:szCs w:val="28"/>
        </w:rPr>
        <w:t xml:space="preserve">nimously.  </w:t>
      </w:r>
    </w:p>
    <w:p w14:paraId="4FC95DF5" w14:textId="5DFA92FB" w:rsidR="009D3EE4" w:rsidRPr="00EC21AD" w:rsidRDefault="00486157" w:rsidP="00CC699D">
      <w:pPr>
        <w:pStyle w:val="ListParagraph"/>
        <w:numPr>
          <w:ilvl w:val="0"/>
          <w:numId w:val="17"/>
        </w:numPr>
        <w:adjustRightInd w:val="0"/>
        <w:spacing w:line="480" w:lineRule="auto"/>
        <w:ind w:left="0" w:firstLine="720"/>
        <w:jc w:val="both"/>
        <w:rPr>
          <w:sz w:val="28"/>
          <w:szCs w:val="28"/>
        </w:rPr>
      </w:pPr>
      <w:r w:rsidRPr="00EC21AD">
        <w:rPr>
          <w:b/>
          <w:bCs/>
          <w:sz w:val="28"/>
          <w:szCs w:val="28"/>
          <w:u w:val="single"/>
        </w:rPr>
        <w:t>Specific recommended</w:t>
      </w:r>
      <w:r w:rsidR="00B40842" w:rsidRPr="00EC21AD">
        <w:rPr>
          <w:b/>
          <w:bCs/>
          <w:sz w:val="28"/>
          <w:szCs w:val="28"/>
          <w:u w:val="single"/>
        </w:rPr>
        <w:t xml:space="preserve"> changes</w:t>
      </w:r>
      <w:r w:rsidR="0050155B" w:rsidRPr="00EC21AD">
        <w:rPr>
          <w:b/>
          <w:bCs/>
          <w:sz w:val="28"/>
          <w:szCs w:val="28"/>
          <w:u w:val="single"/>
        </w:rPr>
        <w:t xml:space="preserve"> </w:t>
      </w:r>
      <w:r w:rsidR="009D3EE4" w:rsidRPr="00EC21AD">
        <w:rPr>
          <w:b/>
          <w:bCs/>
          <w:sz w:val="28"/>
          <w:szCs w:val="28"/>
          <w:u w:val="single"/>
        </w:rPr>
        <w:t>to the current rules.</w:t>
      </w:r>
      <w:r w:rsidR="009D3EE4" w:rsidRPr="00EC21AD">
        <w:rPr>
          <w:b/>
          <w:bCs/>
          <w:sz w:val="28"/>
          <w:szCs w:val="28"/>
        </w:rPr>
        <w:t xml:space="preserve"> </w:t>
      </w:r>
      <w:r w:rsidR="0023149C" w:rsidRPr="00EC21AD">
        <w:rPr>
          <w:sz w:val="28"/>
          <w:szCs w:val="28"/>
        </w:rPr>
        <w:t>The proposed rules</w:t>
      </w:r>
      <w:r w:rsidR="002E05C6" w:rsidRPr="00EC21AD">
        <w:rPr>
          <w:sz w:val="28"/>
          <w:szCs w:val="28"/>
        </w:rPr>
        <w:t xml:space="preserve"> in the Appendix include the following </w:t>
      </w:r>
      <w:r w:rsidR="005C0A6F" w:rsidRPr="00EC21AD">
        <w:rPr>
          <w:sz w:val="28"/>
          <w:szCs w:val="28"/>
        </w:rPr>
        <w:t>recomm</w:t>
      </w:r>
      <w:r w:rsidR="00111272" w:rsidRPr="00EC21AD">
        <w:rPr>
          <w:sz w:val="28"/>
          <w:szCs w:val="28"/>
        </w:rPr>
        <w:t xml:space="preserve">ended </w:t>
      </w:r>
      <w:r w:rsidR="002E05C6" w:rsidRPr="00EC21AD">
        <w:rPr>
          <w:sz w:val="28"/>
          <w:szCs w:val="28"/>
        </w:rPr>
        <w:t>changes.</w:t>
      </w:r>
    </w:p>
    <w:p w14:paraId="402191A5" w14:textId="34451ECB" w:rsidR="00CC699D" w:rsidRDefault="0014244E" w:rsidP="002F57DE">
      <w:pPr>
        <w:pStyle w:val="ListParagraph"/>
        <w:adjustRightInd w:val="0"/>
        <w:spacing w:line="480" w:lineRule="auto"/>
        <w:ind w:left="0" w:firstLine="720"/>
        <w:jc w:val="both"/>
        <w:rPr>
          <w:sz w:val="28"/>
          <w:szCs w:val="28"/>
        </w:rPr>
      </w:pPr>
      <w:r w:rsidRPr="00EC21AD">
        <w:rPr>
          <w:b/>
          <w:bCs/>
          <w:i/>
          <w:iCs/>
          <w:sz w:val="28"/>
          <w:szCs w:val="28"/>
        </w:rPr>
        <w:t>Prefatory comment.</w:t>
      </w:r>
      <w:r w:rsidR="001B3802" w:rsidRPr="00EC21AD">
        <w:rPr>
          <w:sz w:val="28"/>
          <w:szCs w:val="28"/>
        </w:rPr>
        <w:t xml:space="preserve"> The current rules contain a one-paragraph introductory comment under the heading “2003 correlation table.” The proposed rules change that heading to “prefatory comment</w:t>
      </w:r>
      <w:r w:rsidR="005B5D85" w:rsidRPr="00EC21AD">
        <w:rPr>
          <w:sz w:val="28"/>
          <w:szCs w:val="28"/>
        </w:rPr>
        <w:t>” and added a second prefatory paragraph</w:t>
      </w:r>
      <w:r w:rsidR="00900F23" w:rsidRPr="00EC21AD">
        <w:rPr>
          <w:sz w:val="28"/>
          <w:szCs w:val="28"/>
        </w:rPr>
        <w:t xml:space="preserve"> that elaborated on the work of this Task Force. The 2003 correlation table is no</w:t>
      </w:r>
      <w:r w:rsidR="00BE6694" w:rsidRPr="00EC21AD">
        <w:rPr>
          <w:sz w:val="28"/>
          <w:szCs w:val="28"/>
        </w:rPr>
        <w:t xml:space="preserve"> longer </w:t>
      </w:r>
      <w:r w:rsidR="00FA19C1" w:rsidRPr="00EC21AD">
        <w:rPr>
          <w:sz w:val="28"/>
          <w:szCs w:val="28"/>
        </w:rPr>
        <w:t>pertinent</w:t>
      </w:r>
      <w:r w:rsidR="005B36D9">
        <w:rPr>
          <w:sz w:val="28"/>
          <w:szCs w:val="28"/>
        </w:rPr>
        <w:t>;</w:t>
      </w:r>
      <w:r w:rsidR="00BE6694" w:rsidRPr="00EC21AD">
        <w:rPr>
          <w:sz w:val="28"/>
          <w:szCs w:val="28"/>
        </w:rPr>
        <w:t xml:space="preserve"> </w:t>
      </w:r>
      <w:r w:rsidR="00D20265" w:rsidRPr="00EC21AD">
        <w:rPr>
          <w:sz w:val="28"/>
          <w:szCs w:val="28"/>
        </w:rPr>
        <w:t xml:space="preserve">it </w:t>
      </w:r>
      <w:r w:rsidR="00BE6694" w:rsidRPr="00EC21AD">
        <w:rPr>
          <w:sz w:val="28"/>
          <w:szCs w:val="28"/>
        </w:rPr>
        <w:t>has been omitted from the proposed version.</w:t>
      </w:r>
      <w:r w:rsidR="001B3802" w:rsidRPr="00EC21AD">
        <w:rPr>
          <w:sz w:val="28"/>
          <w:szCs w:val="28"/>
        </w:rPr>
        <w:t xml:space="preserve"> </w:t>
      </w:r>
    </w:p>
    <w:p w14:paraId="02B5895F" w14:textId="77777777" w:rsidR="00B75C90" w:rsidRDefault="00B75C90" w:rsidP="002F57DE">
      <w:pPr>
        <w:pStyle w:val="ListParagraph"/>
        <w:adjustRightInd w:val="0"/>
        <w:spacing w:line="480" w:lineRule="auto"/>
        <w:ind w:left="0" w:firstLine="720"/>
        <w:jc w:val="both"/>
        <w:rPr>
          <w:sz w:val="28"/>
          <w:szCs w:val="28"/>
        </w:rPr>
      </w:pPr>
    </w:p>
    <w:p w14:paraId="525C717D" w14:textId="77777777" w:rsidR="00B75C90" w:rsidRPr="00EC21AD" w:rsidRDefault="00B75C90" w:rsidP="002F57DE">
      <w:pPr>
        <w:pStyle w:val="ListParagraph"/>
        <w:adjustRightInd w:val="0"/>
        <w:spacing w:line="480" w:lineRule="auto"/>
        <w:ind w:left="0" w:firstLine="720"/>
        <w:jc w:val="both"/>
        <w:rPr>
          <w:sz w:val="28"/>
          <w:szCs w:val="28"/>
        </w:rPr>
      </w:pPr>
    </w:p>
    <w:p w14:paraId="3714ECAB" w14:textId="6B128267" w:rsidR="00CC699D" w:rsidRPr="00EC21AD" w:rsidRDefault="00CC699D" w:rsidP="002F57DE">
      <w:pPr>
        <w:adjustRightInd w:val="0"/>
        <w:spacing w:line="480" w:lineRule="auto"/>
        <w:jc w:val="both"/>
        <w:rPr>
          <w:b/>
          <w:bCs/>
          <w:sz w:val="28"/>
          <w:szCs w:val="28"/>
          <w:u w:val="single"/>
        </w:rPr>
      </w:pPr>
      <w:r w:rsidRPr="00EC21AD">
        <w:rPr>
          <w:b/>
          <w:bCs/>
          <w:sz w:val="28"/>
          <w:szCs w:val="28"/>
          <w:u w:val="single"/>
        </w:rPr>
        <w:lastRenderedPageBreak/>
        <w:t>Part I. General Provisions.</w:t>
      </w:r>
    </w:p>
    <w:p w14:paraId="5C54312E" w14:textId="5BA20E73" w:rsidR="00886563" w:rsidRPr="00EC21AD" w:rsidRDefault="00886563" w:rsidP="009C0878">
      <w:pPr>
        <w:pStyle w:val="ListParagraph"/>
        <w:adjustRightInd w:val="0"/>
        <w:spacing w:line="480" w:lineRule="auto"/>
        <w:ind w:left="0" w:firstLine="720"/>
        <w:jc w:val="both"/>
        <w:rPr>
          <w:bCs/>
          <w:sz w:val="28"/>
          <w:szCs w:val="28"/>
        </w:rPr>
      </w:pPr>
      <w:r w:rsidRPr="00EC21AD">
        <w:rPr>
          <w:b/>
          <w:i/>
          <w:iCs/>
          <w:sz w:val="28"/>
          <w:szCs w:val="28"/>
        </w:rPr>
        <w:t xml:space="preserve">Rule 1: “Arizona Tax Court.” </w:t>
      </w:r>
      <w:r w:rsidRPr="00EC21AD">
        <w:rPr>
          <w:sz w:val="28"/>
          <w:szCs w:val="28"/>
        </w:rPr>
        <w:t xml:space="preserve">The </w:t>
      </w:r>
      <w:r w:rsidR="00995D85" w:rsidRPr="00EC21AD">
        <w:rPr>
          <w:sz w:val="28"/>
          <w:szCs w:val="28"/>
        </w:rPr>
        <w:t>Task Force</w:t>
      </w:r>
      <w:r w:rsidRPr="00EC21AD">
        <w:rPr>
          <w:sz w:val="28"/>
          <w:szCs w:val="28"/>
        </w:rPr>
        <w:t xml:space="preserve"> revisions to this rule were modeled on language contained in A.R.S. Title 12, Chapter 1, Article 4.</w:t>
      </w:r>
      <w:r w:rsidRPr="00EC21AD">
        <w:rPr>
          <w:b/>
          <w:i/>
          <w:iCs/>
          <w:sz w:val="28"/>
          <w:szCs w:val="28"/>
        </w:rPr>
        <w:t xml:space="preserve"> </w:t>
      </w:r>
      <w:r w:rsidR="001B355F" w:rsidRPr="00EC21AD">
        <w:rPr>
          <w:bCs/>
          <w:sz w:val="28"/>
          <w:szCs w:val="28"/>
        </w:rPr>
        <w:t>A new last sentence cross-references Rule 11</w:t>
      </w:r>
      <w:r w:rsidR="00995D85" w:rsidRPr="00EC21AD">
        <w:rPr>
          <w:bCs/>
          <w:sz w:val="28"/>
          <w:szCs w:val="28"/>
        </w:rPr>
        <w:t xml:space="preserve">, </w:t>
      </w:r>
      <w:r w:rsidR="009A272E" w:rsidRPr="00EC21AD">
        <w:rPr>
          <w:bCs/>
          <w:sz w:val="28"/>
          <w:szCs w:val="28"/>
        </w:rPr>
        <w:t xml:space="preserve">which is </w:t>
      </w:r>
      <w:r w:rsidR="00995D85" w:rsidRPr="00EC21AD">
        <w:rPr>
          <w:bCs/>
          <w:sz w:val="28"/>
          <w:szCs w:val="28"/>
        </w:rPr>
        <w:t>discussed below,</w:t>
      </w:r>
      <w:r w:rsidR="001B355F" w:rsidRPr="00EC21AD">
        <w:rPr>
          <w:bCs/>
          <w:sz w:val="28"/>
          <w:szCs w:val="28"/>
        </w:rPr>
        <w:t xml:space="preserve"> concerning Tax Court hearings and trials outside of Maricopa County.</w:t>
      </w:r>
    </w:p>
    <w:p w14:paraId="22E288D8" w14:textId="28FBB6D7" w:rsidR="00A92E07" w:rsidRPr="00EC21AD" w:rsidRDefault="001B355F" w:rsidP="0050155B">
      <w:pPr>
        <w:pStyle w:val="ListParagraph"/>
        <w:adjustRightInd w:val="0"/>
        <w:spacing w:line="480" w:lineRule="auto"/>
        <w:ind w:left="0" w:firstLine="720"/>
        <w:jc w:val="both"/>
        <w:rPr>
          <w:sz w:val="28"/>
          <w:szCs w:val="28"/>
        </w:rPr>
      </w:pPr>
      <w:r w:rsidRPr="00EC21AD">
        <w:rPr>
          <w:b/>
          <w:i/>
          <w:iCs/>
          <w:sz w:val="28"/>
          <w:szCs w:val="28"/>
        </w:rPr>
        <w:t>Rule 2</w:t>
      </w:r>
      <w:r w:rsidR="004C7ADF" w:rsidRPr="00EC21AD">
        <w:rPr>
          <w:b/>
          <w:i/>
          <w:iCs/>
          <w:sz w:val="28"/>
          <w:szCs w:val="28"/>
        </w:rPr>
        <w:t>: “Applicable Court Rules.”</w:t>
      </w:r>
      <w:r w:rsidR="0057739D" w:rsidRPr="00EC21AD">
        <w:rPr>
          <w:bCs/>
          <w:sz w:val="28"/>
          <w:szCs w:val="28"/>
        </w:rPr>
        <w:t xml:space="preserve"> </w:t>
      </w:r>
      <w:r w:rsidR="004C7ADF" w:rsidRPr="00EC21AD">
        <w:rPr>
          <w:bCs/>
          <w:sz w:val="28"/>
          <w:szCs w:val="28"/>
        </w:rPr>
        <w:t>Proposed Rule 2 is based on current Rule 2 (“practice and procedure</w:t>
      </w:r>
      <w:r w:rsidR="00CC699D" w:rsidRPr="00EC21AD">
        <w:rPr>
          <w:bCs/>
          <w:sz w:val="28"/>
          <w:szCs w:val="28"/>
        </w:rPr>
        <w:t>), albeit with a new title</w:t>
      </w:r>
      <w:r w:rsidR="004155D1" w:rsidRPr="00EC21AD">
        <w:rPr>
          <w:bCs/>
          <w:sz w:val="28"/>
          <w:szCs w:val="28"/>
        </w:rPr>
        <w:t xml:space="preserve"> and newly added section designations</w:t>
      </w:r>
      <w:r w:rsidR="008A761D" w:rsidRPr="00EC21AD">
        <w:rPr>
          <w:sz w:val="28"/>
          <w:szCs w:val="28"/>
        </w:rPr>
        <w:t xml:space="preserve"> (a), (b), and (c)</w:t>
      </w:r>
      <w:r w:rsidR="00795FE8" w:rsidRPr="00EC21AD">
        <w:rPr>
          <w:sz w:val="28"/>
          <w:szCs w:val="28"/>
        </w:rPr>
        <w:t>. The revised rule</w:t>
      </w:r>
      <w:r w:rsidR="008A761D" w:rsidRPr="00EC21AD">
        <w:rPr>
          <w:sz w:val="28"/>
          <w:szCs w:val="28"/>
        </w:rPr>
        <w:t xml:space="preserve"> mentions the Tax Court Rules first in th</w:t>
      </w:r>
      <w:r w:rsidR="00795FE8" w:rsidRPr="00EC21AD">
        <w:rPr>
          <w:sz w:val="28"/>
          <w:szCs w:val="28"/>
        </w:rPr>
        <w:t xml:space="preserve">is </w:t>
      </w:r>
      <w:r w:rsidR="00D01816" w:rsidRPr="00EC21AD">
        <w:rPr>
          <w:sz w:val="28"/>
          <w:szCs w:val="28"/>
        </w:rPr>
        <w:t>3-section</w:t>
      </w:r>
      <w:r w:rsidR="008A761D" w:rsidRPr="00EC21AD">
        <w:rPr>
          <w:sz w:val="28"/>
          <w:szCs w:val="28"/>
        </w:rPr>
        <w:t xml:space="preserve"> sequence (the Tax Court rules are not mentioned in current Rule 2). This is followed by a reference</w:t>
      </w:r>
      <w:r w:rsidR="00D01816" w:rsidRPr="00EC21AD">
        <w:rPr>
          <w:sz w:val="28"/>
          <w:szCs w:val="28"/>
        </w:rPr>
        <w:t xml:space="preserve"> in section (b)</w:t>
      </w:r>
      <w:r w:rsidR="008A761D" w:rsidRPr="00EC21AD">
        <w:rPr>
          <w:sz w:val="28"/>
          <w:szCs w:val="28"/>
        </w:rPr>
        <w:t xml:space="preserve"> to the Civil Rules, and then </w:t>
      </w:r>
      <w:r w:rsidR="00D01816" w:rsidRPr="00EC21AD">
        <w:rPr>
          <w:sz w:val="28"/>
          <w:szCs w:val="28"/>
        </w:rPr>
        <w:t xml:space="preserve">in section (c) </w:t>
      </w:r>
      <w:r w:rsidR="008A761D" w:rsidRPr="00EC21AD">
        <w:rPr>
          <w:sz w:val="28"/>
          <w:szCs w:val="28"/>
        </w:rPr>
        <w:t xml:space="preserve">to the Maricopa Local Rules. </w:t>
      </w:r>
      <w:r w:rsidR="005638E1" w:rsidRPr="00EC21AD">
        <w:rPr>
          <w:sz w:val="28"/>
          <w:szCs w:val="28"/>
        </w:rPr>
        <w:t>The Task Force</w:t>
      </w:r>
      <w:r w:rsidR="008A761D" w:rsidRPr="00EC21AD">
        <w:rPr>
          <w:sz w:val="28"/>
          <w:szCs w:val="28"/>
        </w:rPr>
        <w:t xml:space="preserve"> deemed this the appropriate hierarchy of references. Sections (b) and (c), i.e., the Civil Rules and Local Rules, apply “unless inconsistent with the Tax Court rules.” This added phrase might be particularly important if future amendments to the Civil and Local Rules are incompatible with the Tax Court rules.</w:t>
      </w:r>
    </w:p>
    <w:p w14:paraId="4DFE9BDE" w14:textId="782CF6C1" w:rsidR="00AD2845" w:rsidRPr="00EC21AD" w:rsidRDefault="00313583" w:rsidP="0050155B">
      <w:pPr>
        <w:pStyle w:val="ListParagraph"/>
        <w:adjustRightInd w:val="0"/>
        <w:spacing w:line="480" w:lineRule="auto"/>
        <w:ind w:left="0" w:firstLine="720"/>
        <w:jc w:val="both"/>
        <w:rPr>
          <w:sz w:val="28"/>
          <w:szCs w:val="28"/>
        </w:rPr>
      </w:pPr>
      <w:r w:rsidRPr="00EC21AD">
        <w:rPr>
          <w:sz w:val="28"/>
          <w:szCs w:val="28"/>
        </w:rPr>
        <w:t>Please note that proposed Rule 2(b)</w:t>
      </w:r>
      <w:r w:rsidR="008C490A" w:rsidRPr="00EC21AD">
        <w:rPr>
          <w:sz w:val="28"/>
          <w:szCs w:val="28"/>
        </w:rPr>
        <w:t xml:space="preserve">, like current Rule 2, </w:t>
      </w:r>
      <w:r w:rsidR="001F256D" w:rsidRPr="00EC21AD">
        <w:rPr>
          <w:sz w:val="28"/>
          <w:szCs w:val="28"/>
        </w:rPr>
        <w:t>provides that</w:t>
      </w:r>
      <w:r w:rsidR="008C490A" w:rsidRPr="00EC21AD">
        <w:rPr>
          <w:sz w:val="28"/>
          <w:szCs w:val="28"/>
        </w:rPr>
        <w:t xml:space="preserve"> Civil Rule </w:t>
      </w:r>
      <w:r w:rsidR="00647023" w:rsidRPr="00EC21AD">
        <w:rPr>
          <w:sz w:val="28"/>
          <w:szCs w:val="28"/>
        </w:rPr>
        <w:t xml:space="preserve">42.1 (a change of judge as a matter of right) </w:t>
      </w:r>
      <w:r w:rsidR="001F256D" w:rsidRPr="00EC21AD">
        <w:rPr>
          <w:sz w:val="28"/>
          <w:szCs w:val="28"/>
        </w:rPr>
        <w:t xml:space="preserve">does not apply in Tax Court. </w:t>
      </w:r>
      <w:r w:rsidR="001A3D7F" w:rsidRPr="00EC21AD">
        <w:rPr>
          <w:sz w:val="28"/>
          <w:szCs w:val="28"/>
        </w:rPr>
        <w:t>But</w:t>
      </w:r>
      <w:r w:rsidR="00DD6110" w:rsidRPr="00EC21AD">
        <w:rPr>
          <w:sz w:val="28"/>
          <w:szCs w:val="28"/>
        </w:rPr>
        <w:t xml:space="preserve"> proposed Rule 2(b) also expressly excludes application of Civil Rules 72 through 77, which concern compulsory arbitration. </w:t>
      </w:r>
    </w:p>
    <w:p w14:paraId="6BC27200" w14:textId="729E7ECB" w:rsidR="00D76284" w:rsidRPr="00FC137D" w:rsidRDefault="00F43AE5" w:rsidP="0050155B">
      <w:pPr>
        <w:pStyle w:val="ListParagraph"/>
        <w:adjustRightInd w:val="0"/>
        <w:spacing w:line="480" w:lineRule="auto"/>
        <w:ind w:left="0" w:firstLine="720"/>
        <w:jc w:val="both"/>
        <w:rPr>
          <w:sz w:val="28"/>
          <w:szCs w:val="28"/>
        </w:rPr>
      </w:pPr>
      <w:r w:rsidRPr="00EC21AD">
        <w:rPr>
          <w:sz w:val="28"/>
          <w:szCs w:val="28"/>
        </w:rPr>
        <w:lastRenderedPageBreak/>
        <w:t>The proposed changes to Rule 2 include the addition of a new comment</w:t>
      </w:r>
      <w:r w:rsidR="0032792F" w:rsidRPr="00EC21AD">
        <w:rPr>
          <w:sz w:val="28"/>
          <w:szCs w:val="28"/>
        </w:rPr>
        <w:t xml:space="preserve"> that </w:t>
      </w:r>
      <w:r w:rsidR="0032792F" w:rsidRPr="00FC137D">
        <w:rPr>
          <w:sz w:val="28"/>
          <w:szCs w:val="28"/>
        </w:rPr>
        <w:t>elaborates on the application of the Civil Rules to Tax Court proceedings.</w:t>
      </w:r>
    </w:p>
    <w:p w14:paraId="6D1B6B93" w14:textId="45758325" w:rsidR="00E02B31" w:rsidRDefault="001310F3" w:rsidP="00344753">
      <w:pPr>
        <w:pStyle w:val="ListParagraph"/>
        <w:adjustRightInd w:val="0"/>
        <w:spacing w:line="480" w:lineRule="auto"/>
        <w:ind w:left="0" w:firstLine="720"/>
        <w:jc w:val="both"/>
        <w:rPr>
          <w:sz w:val="28"/>
          <w:szCs w:val="28"/>
        </w:rPr>
      </w:pPr>
      <w:r w:rsidRPr="007F7932">
        <w:rPr>
          <w:b/>
          <w:bCs/>
          <w:i/>
          <w:iCs/>
          <w:sz w:val="28"/>
          <w:szCs w:val="28"/>
        </w:rPr>
        <w:t>Issue Regarding Tax Court Rule 2 and Civil Rule 68.</w:t>
      </w:r>
      <w:r>
        <w:rPr>
          <w:b/>
          <w:bCs/>
          <w:i/>
          <w:iCs/>
          <w:sz w:val="28"/>
          <w:szCs w:val="28"/>
        </w:rPr>
        <w:t xml:space="preserve"> </w:t>
      </w:r>
      <w:r w:rsidR="00020070">
        <w:rPr>
          <w:sz w:val="28"/>
          <w:szCs w:val="28"/>
        </w:rPr>
        <w:t>A later-arising</w:t>
      </w:r>
      <w:r w:rsidR="00232EFC">
        <w:rPr>
          <w:sz w:val="28"/>
          <w:szCs w:val="28"/>
        </w:rPr>
        <w:t xml:space="preserve"> issue related</w:t>
      </w:r>
      <w:r w:rsidR="001B1F1A">
        <w:rPr>
          <w:sz w:val="28"/>
          <w:szCs w:val="28"/>
        </w:rPr>
        <w:t xml:space="preserve"> to </w:t>
      </w:r>
      <w:r w:rsidR="0025762B">
        <w:rPr>
          <w:sz w:val="28"/>
          <w:szCs w:val="28"/>
        </w:rPr>
        <w:t>R</w:t>
      </w:r>
      <w:r w:rsidR="00344753" w:rsidRPr="00EC21AD">
        <w:rPr>
          <w:sz w:val="28"/>
          <w:szCs w:val="28"/>
        </w:rPr>
        <w:t>ule 2(b)</w:t>
      </w:r>
      <w:r w:rsidR="0025762B">
        <w:rPr>
          <w:sz w:val="28"/>
          <w:szCs w:val="28"/>
        </w:rPr>
        <w:t xml:space="preserve"> involves</w:t>
      </w:r>
      <w:r w:rsidR="00344753" w:rsidRPr="00EC21AD">
        <w:rPr>
          <w:sz w:val="28"/>
          <w:szCs w:val="28"/>
        </w:rPr>
        <w:t xml:space="preserve"> Civil Rule 68 (offer of judgment)</w:t>
      </w:r>
      <w:r w:rsidR="00123672">
        <w:rPr>
          <w:sz w:val="28"/>
          <w:szCs w:val="28"/>
        </w:rPr>
        <w:t xml:space="preserve">. </w:t>
      </w:r>
      <w:r w:rsidR="007E5791">
        <w:rPr>
          <w:sz w:val="28"/>
          <w:szCs w:val="28"/>
        </w:rPr>
        <w:t xml:space="preserve">As Rule 2(b) stands now, </w:t>
      </w:r>
      <w:r w:rsidR="00EE0C1E">
        <w:rPr>
          <w:sz w:val="28"/>
          <w:szCs w:val="28"/>
        </w:rPr>
        <w:t xml:space="preserve">Civil </w:t>
      </w:r>
      <w:r w:rsidR="007E5791">
        <w:rPr>
          <w:sz w:val="28"/>
          <w:szCs w:val="28"/>
        </w:rPr>
        <w:t xml:space="preserve">Rule 68 applies in Tax Court proceedings. </w:t>
      </w:r>
      <w:r w:rsidR="002D6EC5">
        <w:rPr>
          <w:sz w:val="28"/>
          <w:szCs w:val="28"/>
        </w:rPr>
        <w:t>The issue is that Rule 68 as written might</w:t>
      </w:r>
      <w:r w:rsidR="00020070">
        <w:rPr>
          <w:sz w:val="28"/>
          <w:szCs w:val="28"/>
        </w:rPr>
        <w:t xml:space="preserve"> at times</w:t>
      </w:r>
      <w:r w:rsidR="002D6EC5">
        <w:rPr>
          <w:sz w:val="28"/>
          <w:szCs w:val="28"/>
        </w:rPr>
        <w:t xml:space="preserve"> be </w:t>
      </w:r>
      <w:r w:rsidR="008813A5">
        <w:rPr>
          <w:sz w:val="28"/>
          <w:szCs w:val="28"/>
        </w:rPr>
        <w:t>impractical for</w:t>
      </w:r>
      <w:r w:rsidR="00E02B31">
        <w:rPr>
          <w:sz w:val="28"/>
          <w:szCs w:val="28"/>
        </w:rPr>
        <w:t xml:space="preserve"> Tax </w:t>
      </w:r>
      <w:r w:rsidR="00FC49A7">
        <w:rPr>
          <w:sz w:val="28"/>
          <w:szCs w:val="28"/>
        </w:rPr>
        <w:t>C</w:t>
      </w:r>
      <w:r w:rsidR="00E02B31">
        <w:rPr>
          <w:sz w:val="28"/>
          <w:szCs w:val="28"/>
        </w:rPr>
        <w:t>ourt litigators.</w:t>
      </w:r>
    </w:p>
    <w:p w14:paraId="4713C60F" w14:textId="31FEBC01" w:rsidR="00CC1F71" w:rsidRDefault="007E5791" w:rsidP="00344753">
      <w:pPr>
        <w:pStyle w:val="ListParagraph"/>
        <w:adjustRightInd w:val="0"/>
        <w:spacing w:line="480" w:lineRule="auto"/>
        <w:ind w:left="0" w:firstLine="720"/>
        <w:jc w:val="both"/>
        <w:rPr>
          <w:sz w:val="28"/>
          <w:szCs w:val="28"/>
        </w:rPr>
      </w:pPr>
      <w:r>
        <w:rPr>
          <w:sz w:val="28"/>
          <w:szCs w:val="28"/>
        </w:rPr>
        <w:t xml:space="preserve"> </w:t>
      </w:r>
      <w:r w:rsidR="00C21DD5">
        <w:rPr>
          <w:sz w:val="28"/>
          <w:szCs w:val="28"/>
        </w:rPr>
        <w:t>Rule 68(b)</w:t>
      </w:r>
      <w:r w:rsidR="00B10577">
        <w:rPr>
          <w:sz w:val="28"/>
          <w:szCs w:val="28"/>
        </w:rPr>
        <w:t xml:space="preserve"> (contents of offer) requires the offer to specify </w:t>
      </w:r>
      <w:r w:rsidR="00344753" w:rsidRPr="00EC21AD">
        <w:rPr>
          <w:sz w:val="28"/>
          <w:szCs w:val="28"/>
        </w:rPr>
        <w:t>the “sum of money to be awarded</w:t>
      </w:r>
      <w:r w:rsidR="00B10577">
        <w:rPr>
          <w:sz w:val="28"/>
          <w:szCs w:val="28"/>
        </w:rPr>
        <w:t>.</w:t>
      </w:r>
      <w:r w:rsidR="00344753" w:rsidRPr="00EC21AD">
        <w:rPr>
          <w:sz w:val="28"/>
          <w:szCs w:val="28"/>
        </w:rPr>
        <w:t>”</w:t>
      </w:r>
      <w:r w:rsidR="00B10577">
        <w:rPr>
          <w:sz w:val="28"/>
          <w:szCs w:val="28"/>
        </w:rPr>
        <w:t xml:space="preserve"> In a Tax Court case, however, the</w:t>
      </w:r>
      <w:r w:rsidR="00344753" w:rsidRPr="00EC21AD">
        <w:rPr>
          <w:sz w:val="28"/>
          <w:szCs w:val="28"/>
        </w:rPr>
        <w:t xml:space="preserve"> ultimate issue </w:t>
      </w:r>
      <w:r w:rsidR="003F496D">
        <w:rPr>
          <w:sz w:val="28"/>
          <w:szCs w:val="28"/>
        </w:rPr>
        <w:t>can</w:t>
      </w:r>
      <w:r w:rsidR="00B670AE">
        <w:rPr>
          <w:sz w:val="28"/>
          <w:szCs w:val="28"/>
        </w:rPr>
        <w:t xml:space="preserve"> involve</w:t>
      </w:r>
      <w:r w:rsidR="00E80E74">
        <w:rPr>
          <w:sz w:val="28"/>
          <w:szCs w:val="28"/>
        </w:rPr>
        <w:t xml:space="preserve"> </w:t>
      </w:r>
      <w:r w:rsidR="00344753" w:rsidRPr="00EC21AD">
        <w:rPr>
          <w:sz w:val="28"/>
          <w:szCs w:val="28"/>
        </w:rPr>
        <w:t xml:space="preserve">the full cash value of the </w:t>
      </w:r>
      <w:r w:rsidR="00645AC0">
        <w:rPr>
          <w:sz w:val="28"/>
          <w:szCs w:val="28"/>
        </w:rPr>
        <w:t xml:space="preserve">subject </w:t>
      </w:r>
      <w:r w:rsidR="00344753" w:rsidRPr="00EC21AD">
        <w:rPr>
          <w:sz w:val="28"/>
          <w:szCs w:val="28"/>
        </w:rPr>
        <w:t>property</w:t>
      </w:r>
      <w:r w:rsidR="00B670AE">
        <w:rPr>
          <w:sz w:val="28"/>
          <w:szCs w:val="28"/>
        </w:rPr>
        <w:t xml:space="preserve">. </w:t>
      </w:r>
      <w:r w:rsidR="00E80E74">
        <w:rPr>
          <w:sz w:val="28"/>
          <w:szCs w:val="28"/>
        </w:rPr>
        <w:t>Although Tax Court litigators</w:t>
      </w:r>
      <w:r w:rsidR="008552BE">
        <w:rPr>
          <w:sz w:val="28"/>
          <w:szCs w:val="28"/>
        </w:rPr>
        <w:t xml:space="preserve"> are known </w:t>
      </w:r>
      <w:r w:rsidR="008E446E">
        <w:rPr>
          <w:sz w:val="28"/>
          <w:szCs w:val="28"/>
        </w:rPr>
        <w:t xml:space="preserve">to submit Rule 68 offers specifying </w:t>
      </w:r>
      <w:r w:rsidR="00020070">
        <w:rPr>
          <w:sz w:val="28"/>
          <w:szCs w:val="28"/>
        </w:rPr>
        <w:t>an offer involving</w:t>
      </w:r>
      <w:r w:rsidR="008E446E">
        <w:rPr>
          <w:sz w:val="28"/>
          <w:szCs w:val="28"/>
        </w:rPr>
        <w:t xml:space="preserve"> </w:t>
      </w:r>
      <w:r w:rsidR="00020070">
        <w:rPr>
          <w:sz w:val="28"/>
          <w:szCs w:val="28"/>
        </w:rPr>
        <w:t>‘</w:t>
      </w:r>
      <w:r w:rsidR="008E446E">
        <w:rPr>
          <w:sz w:val="28"/>
          <w:szCs w:val="28"/>
        </w:rPr>
        <w:t>full cas</w:t>
      </w:r>
      <w:r w:rsidR="00020070">
        <w:rPr>
          <w:sz w:val="28"/>
          <w:szCs w:val="28"/>
        </w:rPr>
        <w:t>h</w:t>
      </w:r>
      <w:r w:rsidR="008E446E">
        <w:rPr>
          <w:sz w:val="28"/>
          <w:szCs w:val="28"/>
        </w:rPr>
        <w:t xml:space="preserve"> value</w:t>
      </w:r>
      <w:r w:rsidR="008612AD">
        <w:rPr>
          <w:sz w:val="28"/>
          <w:szCs w:val="28"/>
        </w:rPr>
        <w:t>,</w:t>
      </w:r>
      <w:r w:rsidR="00020070">
        <w:rPr>
          <w:sz w:val="28"/>
          <w:szCs w:val="28"/>
        </w:rPr>
        <w:t>’</w:t>
      </w:r>
      <w:r w:rsidR="008612AD">
        <w:rPr>
          <w:sz w:val="28"/>
          <w:szCs w:val="28"/>
        </w:rPr>
        <w:t xml:space="preserve"> the</w:t>
      </w:r>
      <w:r w:rsidR="00344753" w:rsidRPr="00EC21AD">
        <w:rPr>
          <w:sz w:val="28"/>
          <w:szCs w:val="28"/>
        </w:rPr>
        <w:t xml:space="preserve"> offer of judgment </w:t>
      </w:r>
      <w:r w:rsidR="0054369C">
        <w:rPr>
          <w:sz w:val="28"/>
          <w:szCs w:val="28"/>
        </w:rPr>
        <w:t xml:space="preserve">might be </w:t>
      </w:r>
      <w:r w:rsidR="00CC1F71">
        <w:rPr>
          <w:sz w:val="28"/>
          <w:szCs w:val="28"/>
        </w:rPr>
        <w:t xml:space="preserve">deemed </w:t>
      </w:r>
      <w:r w:rsidR="0054369C">
        <w:rPr>
          <w:sz w:val="28"/>
          <w:szCs w:val="28"/>
        </w:rPr>
        <w:t>objectionable</w:t>
      </w:r>
      <w:r w:rsidR="00344753" w:rsidRPr="00EC21AD">
        <w:rPr>
          <w:sz w:val="28"/>
          <w:szCs w:val="28"/>
        </w:rPr>
        <w:t xml:space="preserve"> because it does</w:t>
      </w:r>
      <w:r w:rsidR="00B77A7A">
        <w:rPr>
          <w:sz w:val="28"/>
          <w:szCs w:val="28"/>
        </w:rPr>
        <w:t xml:space="preserve"> </w:t>
      </w:r>
      <w:r w:rsidR="00344753" w:rsidRPr="00EC21AD">
        <w:rPr>
          <w:sz w:val="28"/>
          <w:szCs w:val="28"/>
        </w:rPr>
        <w:t>n</w:t>
      </w:r>
      <w:r w:rsidR="007150BB">
        <w:rPr>
          <w:sz w:val="28"/>
          <w:szCs w:val="28"/>
        </w:rPr>
        <w:t>o</w:t>
      </w:r>
      <w:r w:rsidR="00344753" w:rsidRPr="00EC21AD">
        <w:rPr>
          <w:sz w:val="28"/>
          <w:szCs w:val="28"/>
        </w:rPr>
        <w:t>t conform to Rule 68(b)</w:t>
      </w:r>
      <w:r w:rsidR="004C3115">
        <w:rPr>
          <w:sz w:val="28"/>
          <w:szCs w:val="28"/>
        </w:rPr>
        <w:t xml:space="preserve">’s </w:t>
      </w:r>
      <w:r w:rsidR="00F62556">
        <w:rPr>
          <w:sz w:val="28"/>
          <w:szCs w:val="28"/>
        </w:rPr>
        <w:t xml:space="preserve">requirement </w:t>
      </w:r>
      <w:r w:rsidR="00CC1F71">
        <w:rPr>
          <w:sz w:val="28"/>
          <w:szCs w:val="28"/>
        </w:rPr>
        <w:t xml:space="preserve">to </w:t>
      </w:r>
      <w:r w:rsidR="00037423">
        <w:rPr>
          <w:sz w:val="28"/>
          <w:szCs w:val="28"/>
        </w:rPr>
        <w:t xml:space="preserve">specify a sum of money.  </w:t>
      </w:r>
    </w:p>
    <w:p w14:paraId="577EB88E" w14:textId="4813FFEA" w:rsidR="00344753" w:rsidRPr="00EC21AD" w:rsidRDefault="00060D21" w:rsidP="00344753">
      <w:pPr>
        <w:pStyle w:val="ListParagraph"/>
        <w:adjustRightInd w:val="0"/>
        <w:spacing w:line="480" w:lineRule="auto"/>
        <w:ind w:left="0" w:firstLine="720"/>
        <w:jc w:val="both"/>
        <w:rPr>
          <w:sz w:val="28"/>
          <w:szCs w:val="28"/>
        </w:rPr>
      </w:pPr>
      <w:r>
        <w:rPr>
          <w:sz w:val="28"/>
          <w:szCs w:val="28"/>
        </w:rPr>
        <w:t xml:space="preserve">The Task Force </w:t>
      </w:r>
      <w:r w:rsidR="00E65792">
        <w:rPr>
          <w:sz w:val="28"/>
          <w:szCs w:val="28"/>
        </w:rPr>
        <w:t xml:space="preserve">did not want to exclude the application of Rule 68 from the Tax Court rules because it can be </w:t>
      </w:r>
      <w:r w:rsidR="001D3A81">
        <w:rPr>
          <w:sz w:val="28"/>
          <w:szCs w:val="28"/>
        </w:rPr>
        <w:t xml:space="preserve">a </w:t>
      </w:r>
      <w:r w:rsidR="00E65792">
        <w:rPr>
          <w:sz w:val="28"/>
          <w:szCs w:val="28"/>
        </w:rPr>
        <w:t>useful</w:t>
      </w:r>
      <w:r w:rsidR="001D3A81">
        <w:rPr>
          <w:sz w:val="28"/>
          <w:szCs w:val="28"/>
        </w:rPr>
        <w:t xml:space="preserve"> tool</w:t>
      </w:r>
      <w:r w:rsidR="00E65792">
        <w:rPr>
          <w:sz w:val="28"/>
          <w:szCs w:val="28"/>
        </w:rPr>
        <w:t>. And it is not</w:t>
      </w:r>
      <w:r w:rsidR="008F7969">
        <w:rPr>
          <w:sz w:val="28"/>
          <w:szCs w:val="28"/>
        </w:rPr>
        <w:t xml:space="preserve"> proposing an amendment to Civil Rule 6</w:t>
      </w:r>
      <w:r w:rsidR="00D90A35">
        <w:rPr>
          <w:sz w:val="28"/>
          <w:szCs w:val="28"/>
        </w:rPr>
        <w:t>8</w:t>
      </w:r>
      <w:r w:rsidR="008F7969">
        <w:rPr>
          <w:sz w:val="28"/>
          <w:szCs w:val="28"/>
        </w:rPr>
        <w:t xml:space="preserve">, which </w:t>
      </w:r>
      <w:r w:rsidR="00D90A35">
        <w:rPr>
          <w:sz w:val="28"/>
          <w:szCs w:val="28"/>
        </w:rPr>
        <w:t>would be</w:t>
      </w:r>
      <w:r w:rsidR="008F7969">
        <w:rPr>
          <w:sz w:val="28"/>
          <w:szCs w:val="28"/>
        </w:rPr>
        <w:t xml:space="preserve"> outside </w:t>
      </w:r>
      <w:r w:rsidR="00E65792">
        <w:rPr>
          <w:sz w:val="28"/>
          <w:szCs w:val="28"/>
        </w:rPr>
        <w:t>its</w:t>
      </w:r>
      <w:r w:rsidR="004179A7">
        <w:rPr>
          <w:sz w:val="28"/>
          <w:szCs w:val="28"/>
        </w:rPr>
        <w:t xml:space="preserve"> scope</w:t>
      </w:r>
      <w:r>
        <w:rPr>
          <w:sz w:val="28"/>
          <w:szCs w:val="28"/>
        </w:rPr>
        <w:t xml:space="preserve">. </w:t>
      </w:r>
      <w:r w:rsidR="00BA7349">
        <w:rPr>
          <w:sz w:val="28"/>
          <w:szCs w:val="28"/>
        </w:rPr>
        <w:t>Instead,</w:t>
      </w:r>
      <w:r w:rsidR="004179A7">
        <w:rPr>
          <w:sz w:val="28"/>
          <w:szCs w:val="28"/>
        </w:rPr>
        <w:t xml:space="preserve"> the Task Force</w:t>
      </w:r>
      <w:r w:rsidR="00C6333A">
        <w:rPr>
          <w:sz w:val="28"/>
          <w:szCs w:val="28"/>
        </w:rPr>
        <w:t xml:space="preserve"> </w:t>
      </w:r>
      <w:r w:rsidR="001057A7">
        <w:rPr>
          <w:sz w:val="28"/>
          <w:szCs w:val="28"/>
        </w:rPr>
        <w:t>considered</w:t>
      </w:r>
      <w:r w:rsidR="00E801CC">
        <w:rPr>
          <w:sz w:val="28"/>
          <w:szCs w:val="28"/>
        </w:rPr>
        <w:t xml:space="preserve"> </w:t>
      </w:r>
      <w:r w:rsidR="00B76747">
        <w:rPr>
          <w:sz w:val="28"/>
          <w:szCs w:val="28"/>
        </w:rPr>
        <w:t xml:space="preserve">an amendment to </w:t>
      </w:r>
      <w:r w:rsidR="004179A7">
        <w:rPr>
          <w:sz w:val="28"/>
          <w:szCs w:val="28"/>
        </w:rPr>
        <w:t xml:space="preserve">proposed Tax Court </w:t>
      </w:r>
      <w:r w:rsidR="00B76747">
        <w:rPr>
          <w:sz w:val="28"/>
          <w:szCs w:val="28"/>
        </w:rPr>
        <w:t>Rule 2(b)</w:t>
      </w:r>
      <w:r w:rsidR="004179A7">
        <w:rPr>
          <w:sz w:val="28"/>
          <w:szCs w:val="28"/>
        </w:rPr>
        <w:t xml:space="preserve">. </w:t>
      </w:r>
      <w:r w:rsidR="00BA7349">
        <w:rPr>
          <w:sz w:val="28"/>
          <w:szCs w:val="28"/>
        </w:rPr>
        <w:t>This issue arose toward the conclusion of the second Task Force meeting</w:t>
      </w:r>
      <w:r w:rsidR="00794736">
        <w:rPr>
          <w:sz w:val="28"/>
          <w:szCs w:val="28"/>
        </w:rPr>
        <w:t xml:space="preserve">, however, </w:t>
      </w:r>
      <w:r w:rsidR="001D3A81">
        <w:rPr>
          <w:sz w:val="28"/>
          <w:szCs w:val="28"/>
        </w:rPr>
        <w:t>and t</w:t>
      </w:r>
      <w:r w:rsidR="001B10B9">
        <w:rPr>
          <w:sz w:val="28"/>
          <w:szCs w:val="28"/>
        </w:rPr>
        <w:t>he Task Force</w:t>
      </w:r>
      <w:r w:rsidR="00794736">
        <w:rPr>
          <w:sz w:val="28"/>
          <w:szCs w:val="28"/>
        </w:rPr>
        <w:t xml:space="preserve"> believed</w:t>
      </w:r>
      <w:r w:rsidR="001D3A81">
        <w:rPr>
          <w:sz w:val="28"/>
          <w:szCs w:val="28"/>
        </w:rPr>
        <w:t xml:space="preserve"> </w:t>
      </w:r>
      <w:r w:rsidR="00794736">
        <w:rPr>
          <w:sz w:val="28"/>
          <w:szCs w:val="28"/>
        </w:rPr>
        <w:t xml:space="preserve">that further discussion of this issue would be </w:t>
      </w:r>
      <w:r w:rsidR="001057A7">
        <w:rPr>
          <w:sz w:val="28"/>
          <w:szCs w:val="28"/>
        </w:rPr>
        <w:t>beneficial</w:t>
      </w:r>
      <w:r w:rsidR="00794736">
        <w:rPr>
          <w:sz w:val="28"/>
          <w:szCs w:val="28"/>
        </w:rPr>
        <w:t>.</w:t>
      </w:r>
      <w:r w:rsidR="00344753" w:rsidRPr="00EC21AD">
        <w:rPr>
          <w:sz w:val="28"/>
          <w:szCs w:val="28"/>
        </w:rPr>
        <w:t xml:space="preserve"> </w:t>
      </w:r>
      <w:r w:rsidR="00C841AA">
        <w:rPr>
          <w:sz w:val="28"/>
          <w:szCs w:val="28"/>
        </w:rPr>
        <w:t>Here is the proposed change to Rule 2(b)</w:t>
      </w:r>
      <w:r w:rsidR="002B7350">
        <w:rPr>
          <w:sz w:val="28"/>
          <w:szCs w:val="28"/>
        </w:rPr>
        <w:t xml:space="preserve"> (</w:t>
      </w:r>
      <w:r w:rsidR="00D00E1D">
        <w:rPr>
          <w:sz w:val="28"/>
          <w:szCs w:val="28"/>
        </w:rPr>
        <w:t xml:space="preserve">i.e., </w:t>
      </w:r>
      <w:r w:rsidR="002B7350">
        <w:rPr>
          <w:sz w:val="28"/>
          <w:szCs w:val="28"/>
        </w:rPr>
        <w:t xml:space="preserve">the addition of subpart (b)(1), as </w:t>
      </w:r>
      <w:r w:rsidR="00E0210F">
        <w:rPr>
          <w:sz w:val="28"/>
          <w:szCs w:val="28"/>
        </w:rPr>
        <w:t xml:space="preserve">shown </w:t>
      </w:r>
      <w:r w:rsidR="00D00E1D">
        <w:rPr>
          <w:sz w:val="28"/>
          <w:szCs w:val="28"/>
        </w:rPr>
        <w:t xml:space="preserve">below </w:t>
      </w:r>
      <w:r w:rsidR="00E0210F">
        <w:rPr>
          <w:sz w:val="28"/>
          <w:szCs w:val="28"/>
        </w:rPr>
        <w:lastRenderedPageBreak/>
        <w:t>with underline</w:t>
      </w:r>
      <w:r w:rsidR="002B7350">
        <w:rPr>
          <w:sz w:val="28"/>
          <w:szCs w:val="28"/>
        </w:rPr>
        <w:t>)</w:t>
      </w:r>
      <w:r w:rsidR="00E0210F">
        <w:rPr>
          <w:sz w:val="28"/>
          <w:szCs w:val="28"/>
        </w:rPr>
        <w:t>,</w:t>
      </w:r>
      <w:r w:rsidR="00C841AA">
        <w:rPr>
          <w:sz w:val="28"/>
          <w:szCs w:val="28"/>
        </w:rPr>
        <w:t xml:space="preserve"> which </w:t>
      </w:r>
      <w:r w:rsidR="00063E23">
        <w:rPr>
          <w:sz w:val="28"/>
          <w:szCs w:val="28"/>
        </w:rPr>
        <w:t>c</w:t>
      </w:r>
      <w:r w:rsidR="00C841AA">
        <w:rPr>
          <w:sz w:val="28"/>
          <w:szCs w:val="28"/>
        </w:rPr>
        <w:t>ould</w:t>
      </w:r>
      <w:r w:rsidR="00344753" w:rsidRPr="00EC21AD">
        <w:rPr>
          <w:sz w:val="28"/>
          <w:szCs w:val="28"/>
        </w:rPr>
        <w:t xml:space="preserve"> allow Tax Court litigators to </w:t>
      </w:r>
      <w:r w:rsidR="008C66B6">
        <w:rPr>
          <w:sz w:val="28"/>
          <w:szCs w:val="28"/>
        </w:rPr>
        <w:t xml:space="preserve">utilize the procedure </w:t>
      </w:r>
      <w:r w:rsidR="008C66B6" w:rsidRPr="00EC21AD">
        <w:rPr>
          <w:sz w:val="28"/>
          <w:szCs w:val="28"/>
        </w:rPr>
        <w:t>in Civil Rule 68</w:t>
      </w:r>
      <w:r w:rsidR="008C66B6">
        <w:rPr>
          <w:sz w:val="28"/>
          <w:szCs w:val="28"/>
        </w:rPr>
        <w:t xml:space="preserve"> more meaningfully</w:t>
      </w:r>
      <w:r w:rsidR="00344753" w:rsidRPr="00EC21AD">
        <w:rPr>
          <w:sz w:val="28"/>
          <w:szCs w:val="28"/>
        </w:rPr>
        <w:t>.</w:t>
      </w:r>
    </w:p>
    <w:p w14:paraId="653CAFDF" w14:textId="77777777" w:rsidR="00AC6BB0" w:rsidRPr="002B7350" w:rsidRDefault="00AC6BB0" w:rsidP="00AC6BB0">
      <w:pPr>
        <w:pStyle w:val="NoSpacing"/>
        <w:ind w:firstLine="720"/>
        <w:rPr>
          <w:rFonts w:ascii="Times New Roman" w:hAnsi="Times New Roman" w:cs="Times New Roman"/>
          <w:b/>
          <w:sz w:val="28"/>
          <w:szCs w:val="28"/>
        </w:rPr>
      </w:pPr>
      <w:r w:rsidRPr="002B7350">
        <w:rPr>
          <w:rFonts w:ascii="Times New Roman" w:hAnsi="Times New Roman" w:cs="Times New Roman"/>
          <w:b/>
          <w:sz w:val="28"/>
          <w:szCs w:val="28"/>
        </w:rPr>
        <w:t>Rule 2. Applicable Court Rules</w:t>
      </w:r>
    </w:p>
    <w:p w14:paraId="6433DBF8" w14:textId="77777777" w:rsidR="00AC6BB0" w:rsidRPr="00BD0880" w:rsidRDefault="00AC6BB0" w:rsidP="00AC6BB0">
      <w:pPr>
        <w:pStyle w:val="NoSpacing"/>
        <w:rPr>
          <w:rFonts w:ascii="Times New Roman" w:hAnsi="Times New Roman" w:cs="Times New Roman"/>
          <w:b/>
          <w:bCs w:val="0"/>
          <w:sz w:val="12"/>
          <w:szCs w:val="12"/>
        </w:rPr>
      </w:pPr>
    </w:p>
    <w:p w14:paraId="348AB0C1" w14:textId="77777777" w:rsidR="00AC6BB0" w:rsidRPr="004C26BC" w:rsidRDefault="00AC6BB0" w:rsidP="00AC6BB0">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T</w:t>
      </w:r>
      <w:r w:rsidRPr="004C26BC">
        <w:rPr>
          <w:rFonts w:ascii="Times New Roman" w:hAnsi="Times New Roman" w:cs="Times New Roman"/>
          <w:sz w:val="28"/>
          <w:szCs w:val="28"/>
        </w:rPr>
        <w:t>he following rules govern all Tax Court proceedings</w:t>
      </w:r>
      <w:bookmarkStart w:id="0" w:name="co_anchor_Credits_4"/>
      <w:bookmarkEnd w:id="0"/>
      <w:r w:rsidRPr="004C26BC">
        <w:rPr>
          <w:rFonts w:ascii="Times New Roman" w:hAnsi="Times New Roman" w:cs="Times New Roman"/>
          <w:sz w:val="28"/>
          <w:szCs w:val="28"/>
        </w:rPr>
        <w:t>:</w:t>
      </w:r>
    </w:p>
    <w:p w14:paraId="47ABB906" w14:textId="77777777" w:rsidR="00AC6BB0" w:rsidRPr="00BD0880" w:rsidRDefault="00AC6BB0" w:rsidP="00AC6BB0">
      <w:pPr>
        <w:pStyle w:val="NoSpacing"/>
        <w:jc w:val="both"/>
        <w:rPr>
          <w:rFonts w:ascii="Times New Roman" w:hAnsi="Times New Roman" w:cs="Times New Roman"/>
          <w:sz w:val="12"/>
          <w:szCs w:val="12"/>
        </w:rPr>
      </w:pPr>
    </w:p>
    <w:p w14:paraId="21E5FE03" w14:textId="77777777" w:rsidR="00AC6BB0" w:rsidRDefault="00AC6BB0" w:rsidP="00AC6BB0">
      <w:pPr>
        <w:pStyle w:val="NoSpacing"/>
        <w:numPr>
          <w:ilvl w:val="0"/>
          <w:numId w:val="20"/>
        </w:numPr>
        <w:ind w:hanging="720"/>
        <w:rPr>
          <w:rFonts w:ascii="Times New Roman" w:hAnsi="Times New Roman" w:cs="Times New Roman"/>
          <w:sz w:val="28"/>
          <w:szCs w:val="28"/>
        </w:rPr>
      </w:pPr>
      <w:r w:rsidRPr="00C73249">
        <w:rPr>
          <w:rFonts w:ascii="Times New Roman" w:hAnsi="Times New Roman" w:cs="Times New Roman"/>
          <w:sz w:val="28"/>
          <w:szCs w:val="28"/>
        </w:rPr>
        <w:t>these Tax Court rules</w:t>
      </w:r>
      <w:r>
        <w:rPr>
          <w:rFonts w:ascii="Times New Roman" w:hAnsi="Times New Roman" w:cs="Times New Roman"/>
          <w:sz w:val="28"/>
          <w:szCs w:val="28"/>
        </w:rPr>
        <w:t>;</w:t>
      </w:r>
    </w:p>
    <w:p w14:paraId="0F4E82F9" w14:textId="77777777" w:rsidR="00AC6BB0" w:rsidRPr="00156040" w:rsidRDefault="00AC6BB0" w:rsidP="00AC6BB0">
      <w:pPr>
        <w:pStyle w:val="NoSpacing"/>
        <w:ind w:left="720"/>
        <w:rPr>
          <w:rFonts w:ascii="Times New Roman" w:hAnsi="Times New Roman" w:cs="Times New Roman"/>
          <w:sz w:val="16"/>
          <w:szCs w:val="16"/>
        </w:rPr>
      </w:pPr>
    </w:p>
    <w:p w14:paraId="0E368262" w14:textId="77777777" w:rsidR="00AC6BB0" w:rsidRDefault="00AC6BB0" w:rsidP="00AC6BB0">
      <w:pPr>
        <w:pStyle w:val="NoSpacing"/>
        <w:numPr>
          <w:ilvl w:val="0"/>
          <w:numId w:val="20"/>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w:t>
      </w:r>
      <w:r w:rsidRPr="004C26BC">
        <w:rPr>
          <w:rFonts w:ascii="Times New Roman" w:hAnsi="Times New Roman" w:cs="Times New Roman"/>
          <w:sz w:val="28"/>
          <w:szCs w:val="28"/>
        </w:rPr>
        <w:t>the Arizona Rules of Civil Procedure (</w:t>
      </w:r>
      <w:r>
        <w:rPr>
          <w:rFonts w:ascii="Times New Roman" w:hAnsi="Times New Roman" w:cs="Times New Roman"/>
          <w:sz w:val="28"/>
          <w:szCs w:val="28"/>
        </w:rPr>
        <w:t xml:space="preserve">referred to as the </w:t>
      </w:r>
      <w:r w:rsidRPr="004C26BC">
        <w:rPr>
          <w:rFonts w:ascii="Times New Roman" w:hAnsi="Times New Roman" w:cs="Times New Roman"/>
          <w:sz w:val="28"/>
          <w:szCs w:val="28"/>
        </w:rPr>
        <w:t xml:space="preserve">“Civil Rules”), except </w:t>
      </w:r>
    </w:p>
    <w:p w14:paraId="5C34B2F4" w14:textId="77777777" w:rsidR="00AC6BB0" w:rsidRDefault="00AC6BB0" w:rsidP="00AC6BB0">
      <w:pPr>
        <w:pStyle w:val="ListParagraph"/>
        <w:rPr>
          <w:sz w:val="28"/>
          <w:szCs w:val="28"/>
        </w:rPr>
      </w:pPr>
    </w:p>
    <w:p w14:paraId="3DB3BDFD" w14:textId="77777777" w:rsidR="00AC6BB0" w:rsidRDefault="00AC6BB0" w:rsidP="00AC6BB0">
      <w:pPr>
        <w:pStyle w:val="NoSpacing"/>
        <w:numPr>
          <w:ilvl w:val="0"/>
          <w:numId w:val="21"/>
        </w:numPr>
        <w:rPr>
          <w:rFonts w:ascii="Times New Roman" w:hAnsi="Times New Roman" w:cs="Times New Roman"/>
          <w:sz w:val="28"/>
          <w:szCs w:val="28"/>
        </w:rPr>
      </w:pPr>
      <w:r w:rsidRPr="004C26BC">
        <w:rPr>
          <w:rFonts w:ascii="Times New Roman" w:hAnsi="Times New Roman" w:cs="Times New Roman"/>
          <w:sz w:val="28"/>
          <w:szCs w:val="28"/>
        </w:rPr>
        <w:t>Civil Rule 42.1</w:t>
      </w:r>
      <w:r>
        <w:rPr>
          <w:rFonts w:ascii="Times New Roman" w:hAnsi="Times New Roman" w:cs="Times New Roman"/>
          <w:sz w:val="28"/>
          <w:szCs w:val="28"/>
        </w:rPr>
        <w:t xml:space="preserve"> that </w:t>
      </w:r>
      <w:r w:rsidRPr="004C26BC">
        <w:rPr>
          <w:rFonts w:ascii="Times New Roman" w:hAnsi="Times New Roman" w:cs="Times New Roman"/>
          <w:sz w:val="28"/>
          <w:szCs w:val="28"/>
        </w:rPr>
        <w:t>provides for a change of judge as a matter of right</w:t>
      </w:r>
      <w:r>
        <w:rPr>
          <w:rFonts w:ascii="Times New Roman" w:hAnsi="Times New Roman" w:cs="Times New Roman"/>
          <w:sz w:val="28"/>
          <w:szCs w:val="28"/>
        </w:rPr>
        <w:t xml:space="preserve">, </w:t>
      </w:r>
    </w:p>
    <w:p w14:paraId="2E51669F" w14:textId="7499A18C" w:rsidR="00AC6BB0" w:rsidRPr="00751184" w:rsidRDefault="00AC6BB0" w:rsidP="00AC6BB0">
      <w:pPr>
        <w:pStyle w:val="NoSpacing"/>
        <w:numPr>
          <w:ilvl w:val="0"/>
          <w:numId w:val="21"/>
        </w:numPr>
        <w:rPr>
          <w:rFonts w:ascii="Times New Roman" w:hAnsi="Times New Roman" w:cs="Times New Roman"/>
          <w:sz w:val="28"/>
          <w:szCs w:val="28"/>
        </w:rPr>
      </w:pPr>
      <w:r w:rsidRPr="00751184">
        <w:rPr>
          <w:rFonts w:ascii="Times New Roman" w:hAnsi="Times New Roman" w:cs="Times New Roman"/>
          <w:color w:val="454545"/>
          <w:sz w:val="28"/>
          <w:szCs w:val="28"/>
          <w:u w:val="single"/>
          <w:shd w:val="clear" w:color="auto" w:fill="FFFFFF"/>
        </w:rPr>
        <w:t xml:space="preserve">Civil Rule 68(b)(1), under which—as applied in tax court cases—it is sufficient for purposes of specifically stating the sum of money to be awarded to use the term “full cash value,” or </w:t>
      </w:r>
      <w:r w:rsidR="001649DE" w:rsidRPr="00751184">
        <w:rPr>
          <w:rFonts w:ascii="Times New Roman" w:hAnsi="Times New Roman" w:cs="Times New Roman"/>
          <w:color w:val="454545"/>
          <w:sz w:val="28"/>
          <w:szCs w:val="28"/>
          <w:u w:val="single"/>
          <w:shd w:val="clear" w:color="auto" w:fill="FFFFFF"/>
        </w:rPr>
        <w:t>another</w:t>
      </w:r>
      <w:r w:rsidRPr="00751184">
        <w:rPr>
          <w:rFonts w:ascii="Times New Roman" w:hAnsi="Times New Roman" w:cs="Times New Roman"/>
          <w:color w:val="454545"/>
          <w:sz w:val="28"/>
          <w:szCs w:val="28"/>
          <w:u w:val="single"/>
          <w:shd w:val="clear" w:color="auto" w:fill="FFFFFF"/>
        </w:rPr>
        <w:t xml:space="preserve"> appropriate phrase representing that sum</w:t>
      </w:r>
      <w:r w:rsidRPr="00751184">
        <w:rPr>
          <w:rFonts w:ascii="Times New Roman" w:hAnsi="Times New Roman" w:cs="Times New Roman"/>
          <w:color w:val="454545"/>
          <w:sz w:val="32"/>
          <w:szCs w:val="32"/>
          <w:shd w:val="clear" w:color="auto" w:fill="FFFFFF"/>
        </w:rPr>
        <w:t>;</w:t>
      </w:r>
      <w:r w:rsidR="00751184" w:rsidRPr="00751184">
        <w:rPr>
          <w:rFonts w:ascii="Times New Roman" w:hAnsi="Times New Roman" w:cs="Times New Roman"/>
          <w:color w:val="454545"/>
          <w:sz w:val="32"/>
          <w:szCs w:val="32"/>
          <w:shd w:val="clear" w:color="auto" w:fill="FFFFFF"/>
        </w:rPr>
        <w:t xml:space="preserve"> </w:t>
      </w:r>
      <w:r w:rsidR="00751184" w:rsidRPr="00751184">
        <w:rPr>
          <w:rFonts w:ascii="Times New Roman" w:hAnsi="Times New Roman" w:cs="Times New Roman"/>
          <w:color w:val="454545"/>
          <w:sz w:val="28"/>
          <w:szCs w:val="28"/>
          <w:shd w:val="clear" w:color="auto" w:fill="FFFFFF"/>
        </w:rPr>
        <w:t>and</w:t>
      </w:r>
    </w:p>
    <w:p w14:paraId="520341AE" w14:textId="6C0EEFD7" w:rsidR="00AC6BB0" w:rsidRPr="004C26BC" w:rsidRDefault="00AC6BB0" w:rsidP="00AC6BB0">
      <w:pPr>
        <w:pStyle w:val="NoSpacing"/>
        <w:numPr>
          <w:ilvl w:val="0"/>
          <w:numId w:val="21"/>
        </w:numPr>
        <w:rPr>
          <w:rFonts w:ascii="Times New Roman" w:hAnsi="Times New Roman" w:cs="Times New Roman"/>
          <w:sz w:val="28"/>
          <w:szCs w:val="28"/>
        </w:rPr>
      </w:pPr>
      <w:r>
        <w:rPr>
          <w:rFonts w:ascii="Times New Roman" w:hAnsi="Times New Roman" w:cs="Times New Roman"/>
          <w:sz w:val="28"/>
          <w:szCs w:val="28"/>
        </w:rPr>
        <w:t xml:space="preserve">Civil Rules 72 through 77 that govern </w:t>
      </w:r>
      <w:r w:rsidRPr="00C73249">
        <w:rPr>
          <w:rFonts w:ascii="Times New Roman" w:hAnsi="Times New Roman" w:cs="Times New Roman"/>
          <w:sz w:val="28"/>
          <w:szCs w:val="28"/>
        </w:rPr>
        <w:t>compulsory arbitration</w:t>
      </w:r>
      <w:r>
        <w:rPr>
          <w:rFonts w:ascii="Times New Roman" w:hAnsi="Times New Roman" w:cs="Times New Roman"/>
          <w:sz w:val="28"/>
          <w:szCs w:val="28"/>
        </w:rPr>
        <w:t xml:space="preserve"> cases; and</w:t>
      </w:r>
    </w:p>
    <w:p w14:paraId="61FB8507" w14:textId="77777777" w:rsidR="00AC6BB0" w:rsidRPr="00BD0880" w:rsidRDefault="00AC6BB0" w:rsidP="00AC6BB0">
      <w:pPr>
        <w:pStyle w:val="NoSpacing"/>
        <w:ind w:left="720"/>
        <w:rPr>
          <w:rFonts w:ascii="Times New Roman" w:hAnsi="Times New Roman" w:cs="Times New Roman"/>
          <w:sz w:val="12"/>
          <w:szCs w:val="12"/>
        </w:rPr>
      </w:pPr>
    </w:p>
    <w:p w14:paraId="092B4F10" w14:textId="77777777" w:rsidR="00AC6BB0" w:rsidRPr="00C73249" w:rsidRDefault="00AC6BB0" w:rsidP="00AC6BB0">
      <w:pPr>
        <w:pStyle w:val="NoSpacing"/>
        <w:numPr>
          <w:ilvl w:val="0"/>
          <w:numId w:val="20"/>
        </w:numPr>
        <w:ind w:hanging="720"/>
        <w:rPr>
          <w:rFonts w:ascii="Times New Roman" w:hAnsi="Times New Roman" w:cs="Times New Roman"/>
          <w:sz w:val="28"/>
          <w:szCs w:val="28"/>
        </w:rPr>
      </w:pPr>
      <w:r>
        <w:rPr>
          <w:rFonts w:ascii="Times New Roman" w:hAnsi="Times New Roman" w:cs="Times New Roman"/>
          <w:sz w:val="28"/>
          <w:szCs w:val="28"/>
        </w:rPr>
        <w:t xml:space="preserve">unless inconsistent with these Tax Court rules, the following Local Rules of Practice for the Superior Court in Maricopa County (“Local Rules”): </w:t>
      </w:r>
      <w:r w:rsidRPr="00C73249">
        <w:rPr>
          <w:rFonts w:ascii="Times New Roman" w:hAnsi="Times New Roman" w:cs="Times New Roman"/>
          <w:sz w:val="28"/>
          <w:szCs w:val="28"/>
        </w:rPr>
        <w:t xml:space="preserve">Rules 1 (“administration”), 2 (“general </w:t>
      </w:r>
      <w:r>
        <w:rPr>
          <w:rFonts w:ascii="Times New Roman" w:hAnsi="Times New Roman" w:cs="Times New Roman"/>
          <w:sz w:val="28"/>
          <w:szCs w:val="28"/>
        </w:rPr>
        <w:t>procedure</w:t>
      </w:r>
      <w:r w:rsidRPr="00C73249">
        <w:rPr>
          <w:rFonts w:ascii="Times New Roman" w:hAnsi="Times New Roman" w:cs="Times New Roman"/>
          <w:sz w:val="28"/>
          <w:szCs w:val="28"/>
        </w:rPr>
        <w:t>”)</w:t>
      </w:r>
      <w:r>
        <w:rPr>
          <w:rFonts w:ascii="Times New Roman" w:hAnsi="Times New Roman" w:cs="Times New Roman"/>
          <w:sz w:val="28"/>
          <w:szCs w:val="28"/>
        </w:rPr>
        <w:t>,</w:t>
      </w:r>
      <w:r w:rsidRPr="00C73249">
        <w:rPr>
          <w:rFonts w:ascii="Times New Roman" w:hAnsi="Times New Roman" w:cs="Times New Roman"/>
          <w:sz w:val="28"/>
          <w:szCs w:val="28"/>
        </w:rPr>
        <w:t xml:space="preserve"> 3 (“civil cases”), and 8 (“tax cases”)</w:t>
      </w:r>
      <w:r>
        <w:rPr>
          <w:rFonts w:ascii="Times New Roman" w:hAnsi="Times New Roman" w:cs="Times New Roman"/>
          <w:sz w:val="28"/>
          <w:szCs w:val="28"/>
        </w:rPr>
        <w:t>.</w:t>
      </w:r>
    </w:p>
    <w:p w14:paraId="48E3DB84" w14:textId="77777777" w:rsidR="00A37E4E" w:rsidRPr="00C73249" w:rsidRDefault="00A37E4E" w:rsidP="00A37E4E">
      <w:pPr>
        <w:pStyle w:val="NoSpacing"/>
        <w:ind w:left="1440"/>
        <w:rPr>
          <w:rFonts w:ascii="Times New Roman" w:hAnsi="Times New Roman" w:cs="Times New Roman"/>
          <w:sz w:val="28"/>
          <w:szCs w:val="28"/>
        </w:rPr>
      </w:pPr>
    </w:p>
    <w:p w14:paraId="0C898BB7" w14:textId="3FD27785" w:rsidR="0076276B" w:rsidRDefault="00A37E4E" w:rsidP="00A37E4E">
      <w:pPr>
        <w:adjustRightInd w:val="0"/>
        <w:spacing w:line="480" w:lineRule="auto"/>
        <w:jc w:val="both"/>
        <w:rPr>
          <w:sz w:val="28"/>
          <w:szCs w:val="28"/>
        </w:rPr>
      </w:pPr>
      <w:r>
        <w:rPr>
          <w:sz w:val="28"/>
          <w:szCs w:val="28"/>
        </w:rPr>
        <w:t>Although this proposed amendment is not included</w:t>
      </w:r>
      <w:r w:rsidR="003C39A4">
        <w:rPr>
          <w:sz w:val="28"/>
          <w:szCs w:val="28"/>
        </w:rPr>
        <w:t xml:space="preserve"> in the </w:t>
      </w:r>
      <w:r w:rsidR="000D2BBB">
        <w:rPr>
          <w:sz w:val="28"/>
          <w:szCs w:val="28"/>
        </w:rPr>
        <w:t>appended</w:t>
      </w:r>
      <w:r w:rsidR="003C39A4">
        <w:rPr>
          <w:sz w:val="28"/>
          <w:szCs w:val="28"/>
        </w:rPr>
        <w:t xml:space="preserve"> set of rules, the Task Force </w:t>
      </w:r>
      <w:r w:rsidR="004A44E0">
        <w:rPr>
          <w:sz w:val="28"/>
          <w:szCs w:val="28"/>
        </w:rPr>
        <w:t>wanted</w:t>
      </w:r>
      <w:r w:rsidR="00761798">
        <w:rPr>
          <w:sz w:val="28"/>
          <w:szCs w:val="28"/>
        </w:rPr>
        <w:t xml:space="preserve"> to </w:t>
      </w:r>
      <w:r>
        <w:rPr>
          <w:sz w:val="28"/>
          <w:szCs w:val="28"/>
        </w:rPr>
        <w:t xml:space="preserve">note this issue for the Court and to request public comments on </w:t>
      </w:r>
      <w:r w:rsidR="00020070">
        <w:rPr>
          <w:sz w:val="28"/>
          <w:szCs w:val="28"/>
        </w:rPr>
        <w:t>it</w:t>
      </w:r>
      <w:r>
        <w:rPr>
          <w:sz w:val="28"/>
          <w:szCs w:val="28"/>
        </w:rPr>
        <w:t>.</w:t>
      </w:r>
      <w:r w:rsidRPr="00EC21AD">
        <w:rPr>
          <w:sz w:val="28"/>
          <w:szCs w:val="28"/>
        </w:rPr>
        <w:t xml:space="preserve">  </w:t>
      </w:r>
    </w:p>
    <w:p w14:paraId="75E15BB5" w14:textId="424D9E55" w:rsidR="009815B0" w:rsidRDefault="005645B4" w:rsidP="009815B0">
      <w:pPr>
        <w:pStyle w:val="ListParagraph"/>
        <w:adjustRightInd w:val="0"/>
        <w:spacing w:line="480" w:lineRule="auto"/>
        <w:ind w:left="0" w:firstLine="720"/>
        <w:jc w:val="both"/>
        <w:rPr>
          <w:bCs/>
          <w:sz w:val="28"/>
          <w:szCs w:val="28"/>
        </w:rPr>
      </w:pPr>
      <w:r w:rsidRPr="00EC21AD">
        <w:rPr>
          <w:b/>
          <w:i/>
          <w:iCs/>
          <w:sz w:val="28"/>
          <w:szCs w:val="28"/>
        </w:rPr>
        <w:t>Rule 3: “Tax Court clerk.”</w:t>
      </w:r>
      <w:r w:rsidRPr="00EC21AD">
        <w:rPr>
          <w:sz w:val="28"/>
          <w:szCs w:val="28"/>
        </w:rPr>
        <w:t xml:space="preserve">  Proposed Rule 3 corresponds to current Rule 3. For </w:t>
      </w:r>
      <w:r w:rsidR="001E6803" w:rsidRPr="00EC21AD">
        <w:rPr>
          <w:sz w:val="28"/>
          <w:szCs w:val="28"/>
        </w:rPr>
        <w:t xml:space="preserve">the </w:t>
      </w:r>
      <w:r w:rsidR="00A92E07" w:rsidRPr="00EC21AD">
        <w:rPr>
          <w:sz w:val="28"/>
          <w:szCs w:val="28"/>
        </w:rPr>
        <w:t>rationale</w:t>
      </w:r>
      <w:r w:rsidR="001E6803" w:rsidRPr="00EC21AD">
        <w:rPr>
          <w:sz w:val="28"/>
          <w:szCs w:val="28"/>
        </w:rPr>
        <w:t xml:space="preserve"> set out in the body of this </w:t>
      </w:r>
      <w:r w:rsidR="00A92E07" w:rsidRPr="00EC21AD">
        <w:rPr>
          <w:sz w:val="28"/>
          <w:szCs w:val="28"/>
        </w:rPr>
        <w:t xml:space="preserve">proposed </w:t>
      </w:r>
      <w:r w:rsidR="001E6803" w:rsidRPr="00EC21AD">
        <w:rPr>
          <w:sz w:val="28"/>
          <w:szCs w:val="28"/>
        </w:rPr>
        <w:t>rule, the word “cler</w:t>
      </w:r>
      <w:r w:rsidR="002A1AB4" w:rsidRPr="00EC21AD">
        <w:rPr>
          <w:sz w:val="28"/>
          <w:szCs w:val="28"/>
        </w:rPr>
        <w:t>k” in the title is not capitalized.</w:t>
      </w:r>
      <w:r w:rsidRPr="00EC21AD">
        <w:rPr>
          <w:sz w:val="28"/>
          <w:szCs w:val="28"/>
        </w:rPr>
        <w:t xml:space="preserve"> </w:t>
      </w:r>
    </w:p>
    <w:p w14:paraId="40AF1C7A" w14:textId="77777777" w:rsidR="009815B0" w:rsidRDefault="009815B0" w:rsidP="009815B0">
      <w:pPr>
        <w:pStyle w:val="ListParagraph"/>
        <w:adjustRightInd w:val="0"/>
        <w:spacing w:line="480" w:lineRule="auto"/>
        <w:ind w:left="0" w:firstLine="720"/>
        <w:jc w:val="both"/>
        <w:rPr>
          <w:bCs/>
          <w:sz w:val="28"/>
          <w:szCs w:val="28"/>
        </w:rPr>
      </w:pPr>
    </w:p>
    <w:p w14:paraId="0A85E1D6" w14:textId="77777777" w:rsidR="009815B0" w:rsidRDefault="009815B0" w:rsidP="009815B0">
      <w:pPr>
        <w:pStyle w:val="ListParagraph"/>
        <w:adjustRightInd w:val="0"/>
        <w:spacing w:line="480" w:lineRule="auto"/>
        <w:ind w:left="0" w:firstLine="720"/>
        <w:jc w:val="both"/>
        <w:rPr>
          <w:bCs/>
          <w:sz w:val="28"/>
          <w:szCs w:val="28"/>
        </w:rPr>
      </w:pPr>
    </w:p>
    <w:p w14:paraId="7D589F2A" w14:textId="18E45462" w:rsidR="002155D2" w:rsidRPr="00EC21AD" w:rsidRDefault="002155D2" w:rsidP="009815B0">
      <w:pPr>
        <w:pStyle w:val="ListParagraph"/>
        <w:adjustRightInd w:val="0"/>
        <w:spacing w:line="480" w:lineRule="auto"/>
        <w:ind w:left="0" w:firstLine="720"/>
        <w:jc w:val="both"/>
        <w:rPr>
          <w:b/>
          <w:bCs/>
          <w:sz w:val="28"/>
          <w:szCs w:val="28"/>
          <w:u w:val="single"/>
        </w:rPr>
      </w:pPr>
      <w:r w:rsidRPr="00EC21AD">
        <w:rPr>
          <w:b/>
          <w:bCs/>
          <w:sz w:val="28"/>
          <w:szCs w:val="28"/>
          <w:u w:val="single"/>
        </w:rPr>
        <w:lastRenderedPageBreak/>
        <w:t>Part II. Filing Documents in Tax Court.</w:t>
      </w:r>
    </w:p>
    <w:p w14:paraId="46C79BC9" w14:textId="7CDC2132" w:rsidR="002155D2" w:rsidRPr="00EC21AD" w:rsidRDefault="002155D2" w:rsidP="0041613C">
      <w:pPr>
        <w:pStyle w:val="NoSpacing"/>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ab/>
      </w:r>
      <w:r w:rsidRPr="00EC21AD">
        <w:rPr>
          <w:rFonts w:ascii="Times New Roman" w:hAnsi="Times New Roman" w:cs="Times New Roman"/>
          <w:b/>
          <w:bCs w:val="0"/>
          <w:i/>
          <w:iCs/>
          <w:sz w:val="28"/>
          <w:szCs w:val="28"/>
        </w:rPr>
        <w:t>Rule 4: “Caption.”</w:t>
      </w:r>
      <w:r w:rsidRPr="00EC21AD">
        <w:rPr>
          <w:rFonts w:ascii="Times New Roman" w:hAnsi="Times New Roman" w:cs="Times New Roman"/>
          <w:sz w:val="28"/>
          <w:szCs w:val="28"/>
        </w:rPr>
        <w:t xml:space="preserve"> The</w:t>
      </w:r>
      <w:r w:rsidR="00B229F2" w:rsidRPr="00EC21AD">
        <w:rPr>
          <w:rFonts w:ascii="Times New Roman" w:hAnsi="Times New Roman" w:cs="Times New Roman"/>
          <w:sz w:val="28"/>
          <w:szCs w:val="28"/>
        </w:rPr>
        <w:t xml:space="preserve"> </w:t>
      </w:r>
      <w:r w:rsidRPr="00EC21AD">
        <w:rPr>
          <w:rFonts w:ascii="Times New Roman" w:hAnsi="Times New Roman" w:cs="Times New Roman"/>
          <w:sz w:val="28"/>
          <w:szCs w:val="28"/>
        </w:rPr>
        <w:t xml:space="preserve">restyling of this rule incorporated provisions from current Rules 4 (“case numbering”), 8 (“caption”), and 9 (“forms of papers”). By doing so, </w:t>
      </w:r>
      <w:r w:rsidR="00B229F2" w:rsidRPr="00EC21AD">
        <w:rPr>
          <w:rFonts w:ascii="Times New Roman" w:hAnsi="Times New Roman" w:cs="Times New Roman"/>
          <w:sz w:val="28"/>
          <w:szCs w:val="28"/>
        </w:rPr>
        <w:t>the Task Force</w:t>
      </w:r>
      <w:r w:rsidRPr="00EC21AD">
        <w:rPr>
          <w:rFonts w:ascii="Times New Roman" w:hAnsi="Times New Roman" w:cs="Times New Roman"/>
          <w:sz w:val="28"/>
          <w:szCs w:val="28"/>
        </w:rPr>
        <w:t xml:space="preserve"> consolidated in a single rule the pertinent provisions regarding the caption of case-initiating documents in Tax Court. </w:t>
      </w:r>
      <w:r w:rsidR="003344F0" w:rsidRPr="00EC21AD">
        <w:rPr>
          <w:rFonts w:ascii="Times New Roman" w:hAnsi="Times New Roman" w:cs="Times New Roman"/>
          <w:sz w:val="28"/>
          <w:szCs w:val="28"/>
        </w:rPr>
        <w:t>Please n</w:t>
      </w:r>
      <w:r w:rsidRPr="00EC21AD">
        <w:rPr>
          <w:rFonts w:ascii="Times New Roman" w:hAnsi="Times New Roman" w:cs="Times New Roman"/>
          <w:sz w:val="28"/>
          <w:szCs w:val="28"/>
        </w:rPr>
        <w:t>ote that this consolidation require</w:t>
      </w:r>
      <w:r w:rsidR="00020D99" w:rsidRPr="00EC21AD">
        <w:rPr>
          <w:rFonts w:ascii="Times New Roman" w:hAnsi="Times New Roman" w:cs="Times New Roman"/>
          <w:sz w:val="28"/>
          <w:szCs w:val="28"/>
        </w:rPr>
        <w:t>d</w:t>
      </w:r>
      <w:r w:rsidRPr="00EC21AD">
        <w:rPr>
          <w:rFonts w:ascii="Times New Roman" w:hAnsi="Times New Roman" w:cs="Times New Roman"/>
          <w:sz w:val="28"/>
          <w:szCs w:val="28"/>
        </w:rPr>
        <w:t xml:space="preserve"> the renumbering of </w:t>
      </w:r>
      <w:r w:rsidR="005B6D80" w:rsidRPr="00EC21AD">
        <w:rPr>
          <w:rFonts w:ascii="Times New Roman" w:hAnsi="Times New Roman" w:cs="Times New Roman"/>
          <w:sz w:val="28"/>
          <w:szCs w:val="28"/>
        </w:rPr>
        <w:t xml:space="preserve">several </w:t>
      </w:r>
      <w:r w:rsidRPr="00EC21AD">
        <w:rPr>
          <w:rFonts w:ascii="Times New Roman" w:hAnsi="Times New Roman" w:cs="Times New Roman"/>
          <w:sz w:val="28"/>
          <w:szCs w:val="28"/>
        </w:rPr>
        <w:t>subsequent rules.</w:t>
      </w:r>
    </w:p>
    <w:p w14:paraId="727095AF" w14:textId="2790810A" w:rsidR="002155D2" w:rsidRPr="00EC21AD" w:rsidRDefault="003344F0" w:rsidP="003344F0">
      <w:pPr>
        <w:pStyle w:val="NoSpacing"/>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ab/>
      </w:r>
      <w:r w:rsidR="002155D2" w:rsidRPr="00EC21AD">
        <w:rPr>
          <w:rFonts w:ascii="Times New Roman" w:hAnsi="Times New Roman" w:cs="Times New Roman"/>
          <w:sz w:val="28"/>
          <w:szCs w:val="28"/>
        </w:rPr>
        <w:t>Accordingly</w:t>
      </w:r>
      <w:r w:rsidR="00B3063F" w:rsidRPr="00EC21AD">
        <w:rPr>
          <w:rFonts w:ascii="Times New Roman" w:hAnsi="Times New Roman" w:cs="Times New Roman"/>
          <w:sz w:val="28"/>
          <w:szCs w:val="28"/>
        </w:rPr>
        <w:t>,</w:t>
      </w:r>
      <w:r w:rsidR="002155D2" w:rsidRPr="00EC21AD">
        <w:rPr>
          <w:rFonts w:ascii="Times New Roman" w:hAnsi="Times New Roman" w:cs="Times New Roman"/>
          <w:sz w:val="28"/>
          <w:szCs w:val="28"/>
        </w:rPr>
        <w:t xml:space="preserve"> proposed Rule 4(a) (“title of the court”) is substantively similar to current Rule 8. Proposed Rule 4(b) (“other requirements”) derives from a portion of current Rule 9(b), which begins, “Below the caption, there shall be inserted</w:t>
      </w:r>
      <w:r w:rsidR="00020070">
        <w:rPr>
          <w:rFonts w:ascii="Times New Roman" w:hAnsi="Times New Roman" w:cs="Times New Roman"/>
          <w:sz w:val="28"/>
          <w:szCs w:val="28"/>
        </w:rPr>
        <w:t xml:space="preserve"> . . . .</w:t>
      </w:r>
      <w:r w:rsidR="002155D2" w:rsidRPr="00EC21AD">
        <w:rPr>
          <w:rFonts w:ascii="Times New Roman" w:hAnsi="Times New Roman" w:cs="Times New Roman"/>
          <w:sz w:val="28"/>
          <w:szCs w:val="28"/>
        </w:rPr>
        <w:t>” Proposed Rule 4(c) (“additional requirements for captions in small tax claims cases”) contains two subpart. The first subpart includes the substance of the last sentence of current Rule 9(b) regarding small tax claims procedure; and the second subpart includes the requirement of current Rule 9(a) concerning a party’s representative in a small tax claim</w:t>
      </w:r>
      <w:r w:rsidR="00020070">
        <w:rPr>
          <w:rFonts w:ascii="Times New Roman" w:hAnsi="Times New Roman" w:cs="Times New Roman"/>
          <w:sz w:val="28"/>
          <w:szCs w:val="28"/>
        </w:rPr>
        <w:t>s</w:t>
      </w:r>
      <w:r w:rsidR="002155D2" w:rsidRPr="00EC21AD">
        <w:rPr>
          <w:rFonts w:ascii="Times New Roman" w:hAnsi="Times New Roman" w:cs="Times New Roman"/>
          <w:sz w:val="28"/>
          <w:szCs w:val="28"/>
        </w:rPr>
        <w:t xml:space="preserve"> case. </w:t>
      </w:r>
    </w:p>
    <w:p w14:paraId="6A58434D" w14:textId="2572921E" w:rsidR="002155D2" w:rsidRPr="00EC21AD" w:rsidRDefault="00020D99" w:rsidP="00020D99">
      <w:pPr>
        <w:pStyle w:val="NoSpacing"/>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ab/>
      </w:r>
      <w:r w:rsidR="00181CAC" w:rsidRPr="00EC21AD">
        <w:rPr>
          <w:rFonts w:ascii="Times New Roman" w:hAnsi="Times New Roman" w:cs="Times New Roman"/>
          <w:sz w:val="28"/>
          <w:szCs w:val="28"/>
        </w:rPr>
        <w:t xml:space="preserve">The Task Force </w:t>
      </w:r>
      <w:r w:rsidR="002155D2" w:rsidRPr="00EC21AD">
        <w:rPr>
          <w:rFonts w:ascii="Times New Roman" w:hAnsi="Times New Roman" w:cs="Times New Roman"/>
          <w:sz w:val="28"/>
          <w:szCs w:val="28"/>
        </w:rPr>
        <w:t xml:space="preserve">concluded that current Rule 9(a)’s reference to the representative of a party means, in TX cases, an attorney. A party may have a non-attorney representative, such as a CPA or </w:t>
      </w:r>
      <w:r w:rsidR="00A22BA4" w:rsidRPr="00EC21AD">
        <w:rPr>
          <w:rFonts w:ascii="Times New Roman" w:hAnsi="Times New Roman" w:cs="Times New Roman"/>
          <w:sz w:val="28"/>
          <w:szCs w:val="28"/>
        </w:rPr>
        <w:t xml:space="preserve">an </w:t>
      </w:r>
      <w:r w:rsidR="00B676F4" w:rsidRPr="00EC21AD">
        <w:rPr>
          <w:rFonts w:ascii="Times New Roman" w:hAnsi="Times New Roman" w:cs="Times New Roman"/>
          <w:sz w:val="28"/>
          <w:szCs w:val="28"/>
        </w:rPr>
        <w:t>Enrolled Agent</w:t>
      </w:r>
      <w:r w:rsidR="002155D2" w:rsidRPr="00EC21AD">
        <w:rPr>
          <w:rFonts w:ascii="Times New Roman" w:hAnsi="Times New Roman" w:cs="Times New Roman"/>
          <w:sz w:val="28"/>
          <w:szCs w:val="28"/>
        </w:rPr>
        <w:t xml:space="preserve">, only in ST cases. To further guide parties on these principles, </w:t>
      </w:r>
      <w:r w:rsidR="003F7502" w:rsidRPr="00EC21AD">
        <w:rPr>
          <w:rFonts w:ascii="Times New Roman" w:hAnsi="Times New Roman" w:cs="Times New Roman"/>
          <w:sz w:val="28"/>
          <w:szCs w:val="28"/>
        </w:rPr>
        <w:t xml:space="preserve">the Task Force </w:t>
      </w:r>
      <w:r w:rsidR="002155D2" w:rsidRPr="00EC21AD">
        <w:rPr>
          <w:rFonts w:ascii="Times New Roman" w:hAnsi="Times New Roman" w:cs="Times New Roman"/>
          <w:sz w:val="28"/>
          <w:szCs w:val="28"/>
        </w:rPr>
        <w:t xml:space="preserve">added a new comment to Rule 4. The new comment directs readers to A.R.S. § 12-174(B) and Supreme Court Rule 31.3(d)(4). </w:t>
      </w:r>
      <w:r w:rsidR="00F63014" w:rsidRPr="00EC21AD">
        <w:rPr>
          <w:rFonts w:ascii="Times New Roman" w:hAnsi="Times New Roman" w:cs="Times New Roman"/>
          <w:sz w:val="28"/>
          <w:szCs w:val="28"/>
        </w:rPr>
        <w:t>T</w:t>
      </w:r>
      <w:r w:rsidR="002155D2" w:rsidRPr="00EC21AD">
        <w:rPr>
          <w:rFonts w:ascii="Times New Roman" w:hAnsi="Times New Roman" w:cs="Times New Roman"/>
          <w:sz w:val="28"/>
          <w:szCs w:val="28"/>
        </w:rPr>
        <w:t xml:space="preserve">his Supreme Court rule provision does not require the party </w:t>
      </w:r>
      <w:r w:rsidR="002155D2" w:rsidRPr="00EC21AD">
        <w:rPr>
          <w:rFonts w:ascii="Times New Roman" w:hAnsi="Times New Roman" w:cs="Times New Roman"/>
          <w:sz w:val="28"/>
          <w:szCs w:val="28"/>
        </w:rPr>
        <w:lastRenderedPageBreak/>
        <w:t>representative to be a CPA or an EA; that rule allow</w:t>
      </w:r>
      <w:r w:rsidR="000E3F8B">
        <w:rPr>
          <w:rFonts w:ascii="Times New Roman" w:hAnsi="Times New Roman" w:cs="Times New Roman"/>
          <w:sz w:val="28"/>
          <w:szCs w:val="28"/>
        </w:rPr>
        <w:t>s</w:t>
      </w:r>
      <w:r w:rsidR="002155D2" w:rsidRPr="00EC21AD">
        <w:rPr>
          <w:rFonts w:ascii="Times New Roman" w:hAnsi="Times New Roman" w:cs="Times New Roman"/>
          <w:sz w:val="28"/>
          <w:szCs w:val="28"/>
        </w:rPr>
        <w:t xml:space="preserve"> anyone</w:t>
      </w:r>
      <w:r w:rsidR="000E3F8B">
        <w:rPr>
          <w:rFonts w:ascii="Times New Roman" w:hAnsi="Times New Roman" w:cs="Times New Roman"/>
          <w:sz w:val="28"/>
          <w:szCs w:val="28"/>
        </w:rPr>
        <w:t xml:space="preserve"> approved by the Tax Court</w:t>
      </w:r>
      <w:r w:rsidR="002155D2" w:rsidRPr="00EC21AD">
        <w:rPr>
          <w:rFonts w:ascii="Times New Roman" w:hAnsi="Times New Roman" w:cs="Times New Roman"/>
          <w:sz w:val="28"/>
          <w:szCs w:val="28"/>
        </w:rPr>
        <w:t xml:space="preserve"> to represent a party in a small tax claim</w:t>
      </w:r>
      <w:r w:rsidR="001964C6">
        <w:rPr>
          <w:rFonts w:ascii="Times New Roman" w:hAnsi="Times New Roman" w:cs="Times New Roman"/>
          <w:sz w:val="28"/>
          <w:szCs w:val="28"/>
        </w:rPr>
        <w:t>s</w:t>
      </w:r>
      <w:r w:rsidR="002155D2" w:rsidRPr="00EC21AD">
        <w:rPr>
          <w:rFonts w:ascii="Times New Roman" w:hAnsi="Times New Roman" w:cs="Times New Roman"/>
          <w:sz w:val="28"/>
          <w:szCs w:val="28"/>
        </w:rPr>
        <w:t xml:space="preserve"> case. If the representative is certified or licensed, however, the proposed rule requires inclusion of the representative’s identification number in the caption.</w:t>
      </w:r>
    </w:p>
    <w:p w14:paraId="571AD842" w14:textId="694597E1" w:rsidR="002155D2" w:rsidRPr="00EC21AD" w:rsidRDefault="005F2747" w:rsidP="005F2747">
      <w:pPr>
        <w:pStyle w:val="ListParagraph"/>
        <w:spacing w:line="480" w:lineRule="auto"/>
        <w:ind w:left="0" w:firstLine="720"/>
        <w:jc w:val="both"/>
        <w:rPr>
          <w:sz w:val="28"/>
          <w:szCs w:val="28"/>
        </w:rPr>
      </w:pPr>
      <w:r w:rsidRPr="00EC21AD">
        <w:rPr>
          <w:sz w:val="28"/>
          <w:szCs w:val="28"/>
        </w:rPr>
        <w:t xml:space="preserve">The Task Force </w:t>
      </w:r>
      <w:r w:rsidR="002155D2" w:rsidRPr="00EC21AD">
        <w:rPr>
          <w:sz w:val="28"/>
          <w:szCs w:val="28"/>
        </w:rPr>
        <w:t xml:space="preserve">concluded that another requirement in current Rule 9(b), which requires the caption to specify the nature of the tax at issue, need not be duplicated in the restyled rules. </w:t>
      </w:r>
      <w:r w:rsidR="00CD570C" w:rsidRPr="00EC21AD">
        <w:rPr>
          <w:sz w:val="28"/>
          <w:szCs w:val="28"/>
        </w:rPr>
        <w:t xml:space="preserve">It </w:t>
      </w:r>
      <w:r w:rsidR="002155D2" w:rsidRPr="00EC21AD">
        <w:rPr>
          <w:sz w:val="28"/>
          <w:szCs w:val="28"/>
        </w:rPr>
        <w:t>reasoned that this information is not</w:t>
      </w:r>
      <w:r w:rsidR="00CD570C" w:rsidRPr="00EC21AD">
        <w:rPr>
          <w:sz w:val="28"/>
          <w:szCs w:val="28"/>
        </w:rPr>
        <w:t xml:space="preserve"> especially</w:t>
      </w:r>
      <w:r w:rsidR="002155D2" w:rsidRPr="00EC21AD">
        <w:rPr>
          <w:sz w:val="28"/>
          <w:szCs w:val="28"/>
        </w:rPr>
        <w:t xml:space="preserve"> useful to either judicial officers or the Tax Court clerk and might be gained from the Tax Court cover sheet or from other filings. The</w:t>
      </w:r>
      <w:r w:rsidRPr="00EC21AD">
        <w:rPr>
          <w:sz w:val="28"/>
          <w:szCs w:val="28"/>
        </w:rPr>
        <w:t xml:space="preserve"> Task Force</w:t>
      </w:r>
      <w:r w:rsidR="002155D2" w:rsidRPr="00EC21AD">
        <w:rPr>
          <w:sz w:val="28"/>
          <w:szCs w:val="28"/>
        </w:rPr>
        <w:t xml:space="preserve"> accordingly </w:t>
      </w:r>
      <w:r w:rsidRPr="00EC21AD">
        <w:rPr>
          <w:sz w:val="28"/>
          <w:szCs w:val="28"/>
        </w:rPr>
        <w:t>omitted</w:t>
      </w:r>
      <w:r w:rsidR="002155D2" w:rsidRPr="00EC21AD">
        <w:rPr>
          <w:sz w:val="28"/>
          <w:szCs w:val="28"/>
        </w:rPr>
        <w:t xml:space="preserve"> the provision.</w:t>
      </w:r>
    </w:p>
    <w:p w14:paraId="3BE73C69" w14:textId="1A3E6710" w:rsidR="002155D2" w:rsidRPr="00EC21AD" w:rsidRDefault="002155D2" w:rsidP="005F2747">
      <w:pPr>
        <w:pStyle w:val="ListParagraph"/>
        <w:spacing w:line="480" w:lineRule="auto"/>
        <w:ind w:left="0" w:firstLine="720"/>
        <w:jc w:val="both"/>
        <w:rPr>
          <w:sz w:val="28"/>
          <w:szCs w:val="28"/>
        </w:rPr>
      </w:pPr>
      <w:r w:rsidRPr="00EC21AD">
        <w:rPr>
          <w:sz w:val="28"/>
          <w:szCs w:val="28"/>
        </w:rPr>
        <w:t xml:space="preserve">A caption for small tax claims cases is included in a forms packet available on the Maricopa County Superior Court website. </w:t>
      </w:r>
      <w:r w:rsidR="00361819" w:rsidRPr="00EC21AD">
        <w:rPr>
          <w:sz w:val="28"/>
          <w:szCs w:val="28"/>
        </w:rPr>
        <w:t>The Task Force</w:t>
      </w:r>
      <w:r w:rsidRPr="00EC21AD">
        <w:rPr>
          <w:sz w:val="28"/>
          <w:szCs w:val="28"/>
        </w:rPr>
        <w:t xml:space="preserve"> favored including th</w:t>
      </w:r>
      <w:r w:rsidR="007129DD">
        <w:rPr>
          <w:sz w:val="28"/>
          <w:szCs w:val="28"/>
        </w:rPr>
        <w:t>e</w:t>
      </w:r>
      <w:r w:rsidR="00D42F00">
        <w:rPr>
          <w:sz w:val="28"/>
          <w:szCs w:val="28"/>
        </w:rPr>
        <w:t xml:space="preserve"> caption in that</w:t>
      </w:r>
      <w:r w:rsidRPr="00EC21AD">
        <w:rPr>
          <w:sz w:val="28"/>
          <w:szCs w:val="28"/>
        </w:rPr>
        <w:t xml:space="preserve"> form</w:t>
      </w:r>
      <w:r w:rsidR="00240ACA">
        <w:rPr>
          <w:color w:val="212121"/>
          <w:sz w:val="28"/>
          <w:szCs w:val="28"/>
        </w:rPr>
        <w:t>—</w:t>
      </w:r>
      <w:r w:rsidR="007129DD">
        <w:rPr>
          <w:sz w:val="28"/>
          <w:szCs w:val="28"/>
        </w:rPr>
        <w:t xml:space="preserve">along with </w:t>
      </w:r>
      <w:r w:rsidR="003C067A" w:rsidRPr="00EC21AD">
        <w:rPr>
          <w:sz w:val="28"/>
          <w:szCs w:val="28"/>
        </w:rPr>
        <w:t>two other new forms</w:t>
      </w:r>
      <w:r w:rsidR="00240ACA">
        <w:rPr>
          <w:color w:val="212121"/>
          <w:sz w:val="28"/>
          <w:szCs w:val="28"/>
        </w:rPr>
        <w:t>—</w:t>
      </w:r>
      <w:r w:rsidRPr="00EC21AD">
        <w:rPr>
          <w:sz w:val="28"/>
          <w:szCs w:val="28"/>
        </w:rPr>
        <w:t>in an appendix to the restyled rules.</w:t>
      </w:r>
      <w:r w:rsidR="008B6C1D">
        <w:rPr>
          <w:sz w:val="28"/>
          <w:szCs w:val="28"/>
        </w:rPr>
        <w:t xml:space="preserve"> </w:t>
      </w:r>
      <w:r w:rsidR="00664C43" w:rsidRPr="00EC21AD">
        <w:rPr>
          <w:sz w:val="28"/>
          <w:szCs w:val="28"/>
        </w:rPr>
        <w:t>Please s</w:t>
      </w:r>
      <w:r w:rsidR="00361819" w:rsidRPr="00EC21AD">
        <w:rPr>
          <w:sz w:val="28"/>
          <w:szCs w:val="28"/>
        </w:rPr>
        <w:t xml:space="preserve">ee </w:t>
      </w:r>
      <w:r w:rsidR="003C067A" w:rsidRPr="00EC21AD">
        <w:rPr>
          <w:sz w:val="28"/>
          <w:szCs w:val="28"/>
        </w:rPr>
        <w:t xml:space="preserve">the discussion of </w:t>
      </w:r>
      <w:r w:rsidR="00361819" w:rsidRPr="00EC21AD">
        <w:rPr>
          <w:sz w:val="28"/>
          <w:szCs w:val="28"/>
        </w:rPr>
        <w:t>Appendix 1</w:t>
      </w:r>
      <w:r w:rsidR="003C067A" w:rsidRPr="00EC21AD">
        <w:rPr>
          <w:sz w:val="28"/>
          <w:szCs w:val="28"/>
        </w:rPr>
        <w:t xml:space="preserve"> in </w:t>
      </w:r>
      <w:r w:rsidR="002B62F5">
        <w:rPr>
          <w:sz w:val="28"/>
          <w:szCs w:val="28"/>
        </w:rPr>
        <w:t>section 5</w:t>
      </w:r>
      <w:r w:rsidR="003C067A" w:rsidRPr="00EC21AD">
        <w:rPr>
          <w:sz w:val="28"/>
          <w:szCs w:val="28"/>
        </w:rPr>
        <w:t>.</w:t>
      </w:r>
    </w:p>
    <w:p w14:paraId="18020222" w14:textId="193137F9" w:rsidR="002155D2" w:rsidRPr="00EC21AD" w:rsidRDefault="005F2747" w:rsidP="00664C43">
      <w:pPr>
        <w:adjustRightInd w:val="0"/>
        <w:spacing w:line="480" w:lineRule="auto"/>
        <w:jc w:val="both"/>
        <w:rPr>
          <w:sz w:val="28"/>
          <w:szCs w:val="28"/>
        </w:rPr>
      </w:pPr>
      <w:r w:rsidRPr="00EC21AD">
        <w:rPr>
          <w:b/>
          <w:i/>
          <w:iCs/>
          <w:sz w:val="28"/>
          <w:szCs w:val="28"/>
        </w:rPr>
        <w:tab/>
      </w:r>
      <w:r w:rsidR="000B5C56" w:rsidRPr="00EC21AD">
        <w:rPr>
          <w:b/>
          <w:i/>
          <w:iCs/>
          <w:sz w:val="28"/>
          <w:szCs w:val="28"/>
        </w:rPr>
        <w:t>Rule 5: “Required Cover Sheet.”</w:t>
      </w:r>
      <w:r w:rsidR="000B5C56" w:rsidRPr="00EC21AD">
        <w:rPr>
          <w:sz w:val="28"/>
          <w:szCs w:val="28"/>
        </w:rPr>
        <w:t xml:space="preserve"> This proposed rule corresponds to current Rule 10 (“filing of cover sheet”). The provision has been restyled, but it is substantively equivalent. The proposed rule clarifies that the plaintiff must submit a completed cover sheet “when commencing a proceeding</w:t>
      </w:r>
      <w:r w:rsidR="000E3F8B">
        <w:rPr>
          <w:sz w:val="28"/>
          <w:szCs w:val="28"/>
        </w:rPr>
        <w:t xml:space="preserve"> . . . .</w:t>
      </w:r>
      <w:r w:rsidR="000B5C56" w:rsidRPr="00EC21AD">
        <w:rPr>
          <w:sz w:val="28"/>
          <w:szCs w:val="28"/>
        </w:rPr>
        <w:t xml:space="preserve">”  </w:t>
      </w:r>
      <w:r w:rsidR="000B5C56" w:rsidRPr="00EC21AD">
        <w:rPr>
          <w:sz w:val="28"/>
          <w:szCs w:val="28"/>
        </w:rPr>
        <w:tab/>
      </w:r>
    </w:p>
    <w:p w14:paraId="5FB6876E" w14:textId="1D41B57C" w:rsidR="00B0339E" w:rsidRPr="00EC21AD" w:rsidRDefault="00B0339E" w:rsidP="00B75C77">
      <w:pPr>
        <w:pStyle w:val="ListParagraph"/>
        <w:spacing w:line="480" w:lineRule="auto"/>
        <w:ind w:left="0" w:firstLine="720"/>
        <w:jc w:val="both"/>
        <w:rPr>
          <w:sz w:val="28"/>
          <w:szCs w:val="28"/>
        </w:rPr>
      </w:pPr>
      <w:r w:rsidRPr="00EC21AD">
        <w:rPr>
          <w:b/>
          <w:i/>
          <w:iCs/>
          <w:sz w:val="28"/>
          <w:szCs w:val="28"/>
        </w:rPr>
        <w:t>Rule 6: “Filing Pleadings and Other Documents.”</w:t>
      </w:r>
      <w:r w:rsidRPr="00EC21AD">
        <w:rPr>
          <w:sz w:val="28"/>
          <w:szCs w:val="28"/>
        </w:rPr>
        <w:t xml:space="preserve"> This rule is the analog of current Rule 5 (“filing”). The current rule requires that “pleadings and other papers” </w:t>
      </w:r>
      <w:r w:rsidRPr="00EC21AD">
        <w:rPr>
          <w:sz w:val="28"/>
          <w:szCs w:val="28"/>
        </w:rPr>
        <w:lastRenderedPageBreak/>
        <w:t xml:space="preserve">be filed “in the same manner as other civil cases are filed.” The restyled rule requires filing “in the same manner as pleadings and other documents are filed under Civil Rule 5.1.” The rules are otherwise comparable. During the discussion, </w:t>
      </w:r>
      <w:r w:rsidR="00D72CB8" w:rsidRPr="00EC21AD">
        <w:rPr>
          <w:sz w:val="28"/>
          <w:szCs w:val="28"/>
        </w:rPr>
        <w:t xml:space="preserve">the Task Force </w:t>
      </w:r>
      <w:r w:rsidRPr="00EC21AD">
        <w:rPr>
          <w:sz w:val="28"/>
          <w:szCs w:val="28"/>
        </w:rPr>
        <w:t>acknowledged Supreme Court Administrative Order No. 2024-63, which contains provisions regarding electronic filing in Tax Court cases.</w:t>
      </w:r>
    </w:p>
    <w:p w14:paraId="6D79F4BE" w14:textId="239F263D" w:rsidR="00B75C77" w:rsidRPr="00EC21AD" w:rsidRDefault="00B75C77" w:rsidP="00B75C77">
      <w:pPr>
        <w:pStyle w:val="ListParagraph"/>
        <w:spacing w:line="480" w:lineRule="auto"/>
        <w:ind w:left="0" w:firstLine="720"/>
        <w:jc w:val="both"/>
        <w:rPr>
          <w:sz w:val="28"/>
          <w:szCs w:val="28"/>
        </w:rPr>
      </w:pPr>
      <w:r w:rsidRPr="00EC21AD">
        <w:rPr>
          <w:b/>
          <w:i/>
          <w:iCs/>
          <w:sz w:val="28"/>
          <w:szCs w:val="28"/>
        </w:rPr>
        <w:t>Rule 7: “Clerk’s Stamp on Filed Documents.”</w:t>
      </w:r>
      <w:r w:rsidRPr="00EC21AD">
        <w:rPr>
          <w:sz w:val="28"/>
          <w:szCs w:val="28"/>
        </w:rPr>
        <w:t xml:space="preserve"> This rule corresponds with current Rule 7 (“documents stamped by Clerk”). </w:t>
      </w:r>
      <w:r w:rsidR="000D40B2" w:rsidRPr="00EC21AD">
        <w:rPr>
          <w:sz w:val="28"/>
          <w:szCs w:val="28"/>
        </w:rPr>
        <w:t>W</w:t>
      </w:r>
      <w:r w:rsidRPr="00EC21AD">
        <w:rPr>
          <w:sz w:val="28"/>
          <w:szCs w:val="28"/>
        </w:rPr>
        <w:t>hereas the current rule requires that the Clerk “shall affix</w:t>
      </w:r>
      <w:r w:rsidR="00692796">
        <w:rPr>
          <w:sz w:val="28"/>
          <w:szCs w:val="28"/>
        </w:rPr>
        <w:t xml:space="preserve"> . . . </w:t>
      </w:r>
      <w:r w:rsidRPr="00EC21AD">
        <w:rPr>
          <w:sz w:val="28"/>
          <w:szCs w:val="28"/>
        </w:rPr>
        <w:t>a stamp</w:t>
      </w:r>
      <w:r w:rsidR="000D40B2" w:rsidRPr="00EC21AD">
        <w:rPr>
          <w:sz w:val="28"/>
          <w:szCs w:val="28"/>
        </w:rPr>
        <w:t>,</w:t>
      </w:r>
      <w:r w:rsidRPr="00EC21AD">
        <w:rPr>
          <w:sz w:val="28"/>
          <w:szCs w:val="28"/>
        </w:rPr>
        <w:t xml:space="preserve">” </w:t>
      </w:r>
      <w:r w:rsidR="00CB602E" w:rsidRPr="00EC21AD">
        <w:rPr>
          <w:sz w:val="28"/>
          <w:szCs w:val="28"/>
        </w:rPr>
        <w:t xml:space="preserve">the restyled rule requires that the Clerk’s Office “must stamp” each filing. </w:t>
      </w:r>
      <w:r w:rsidRPr="00EC21AD">
        <w:rPr>
          <w:sz w:val="28"/>
          <w:szCs w:val="28"/>
        </w:rPr>
        <w:t xml:space="preserve">The restyled rule </w:t>
      </w:r>
      <w:r w:rsidR="00CB602E" w:rsidRPr="00EC21AD">
        <w:rPr>
          <w:sz w:val="28"/>
          <w:szCs w:val="28"/>
        </w:rPr>
        <w:t xml:space="preserve">also </w:t>
      </w:r>
      <w:r w:rsidRPr="00EC21AD">
        <w:rPr>
          <w:sz w:val="28"/>
          <w:szCs w:val="28"/>
        </w:rPr>
        <w:t>uses “Clerk’s Office” rather than “Clerk” because it’s improbable that the elected Clerk of the Court will personally do the stamping.</w:t>
      </w:r>
    </w:p>
    <w:p w14:paraId="4F1BA590" w14:textId="7824DBE3" w:rsidR="00D36122" w:rsidRPr="00EC21AD" w:rsidRDefault="0040283F" w:rsidP="00D36122">
      <w:pPr>
        <w:pStyle w:val="ListParagraph"/>
        <w:spacing w:line="480" w:lineRule="auto"/>
        <w:ind w:left="0" w:firstLine="720"/>
        <w:jc w:val="both"/>
        <w:rPr>
          <w:sz w:val="28"/>
          <w:szCs w:val="28"/>
        </w:rPr>
      </w:pPr>
      <w:r w:rsidRPr="00EC21AD">
        <w:rPr>
          <w:b/>
          <w:i/>
          <w:iCs/>
          <w:sz w:val="28"/>
          <w:szCs w:val="28"/>
        </w:rPr>
        <w:t>Rule 8: “Tax Court Numbering.”</w:t>
      </w:r>
      <w:r w:rsidRPr="00EC21AD">
        <w:rPr>
          <w:sz w:val="28"/>
          <w:szCs w:val="28"/>
        </w:rPr>
        <w:t xml:space="preserve"> This restyled rule corresponds to current Rule 4, “case numbering,” and although the proposed rule is stated in the active voice, it is substantively similar. But while the current rule is a single block of text, the restyled rule is organized into two sections. The current rule requires the clerk to assign a number to every case “filed with” the Tax Court. Proposed Rule 8(a) (“assigned number”), by comparison, requires the clerk to assign a number to every case “filed with or transferred to” the Tax Court. Proposed Rule 8(b) (“prefix”) has two subparts, one dealing with small tax claims, which are numbered with an “ST” </w:t>
      </w:r>
      <w:r w:rsidRPr="00EC21AD">
        <w:rPr>
          <w:sz w:val="28"/>
          <w:szCs w:val="28"/>
        </w:rPr>
        <w:lastRenderedPageBreak/>
        <w:t>prefix, and the other dealing with “all other cases,” which are numbered with a “TX” prefix.</w:t>
      </w:r>
    </w:p>
    <w:p w14:paraId="5ED05B22" w14:textId="628F311B" w:rsidR="0040283F" w:rsidRPr="00EC21AD" w:rsidRDefault="0040283F" w:rsidP="00D36122">
      <w:pPr>
        <w:pStyle w:val="ListParagraph"/>
        <w:spacing w:line="480" w:lineRule="auto"/>
        <w:ind w:left="0" w:firstLine="720"/>
        <w:jc w:val="both"/>
        <w:rPr>
          <w:sz w:val="28"/>
          <w:szCs w:val="28"/>
        </w:rPr>
      </w:pPr>
      <w:r w:rsidRPr="00EC21AD">
        <w:rPr>
          <w:b/>
          <w:i/>
          <w:iCs/>
          <w:sz w:val="28"/>
          <w:szCs w:val="28"/>
        </w:rPr>
        <w:t>Rule 9: “No Paper Copies.”</w:t>
      </w:r>
      <w:r w:rsidRPr="00EC21AD">
        <w:rPr>
          <w:sz w:val="28"/>
          <w:szCs w:val="28"/>
        </w:rPr>
        <w:t xml:space="preserve"> Current Rule 11 (“copies to judge or commissioner”) requires parties to provide a copy, impliedly a paper copy, of each filing to the assigned judicial officer. In the modern electronic environment, providing paper copies is unnecessary. Proposed Rule 9 informs readers that they are no longer required to provide paper copies to the assigned judge “unless otherwise ordered.”</w:t>
      </w:r>
    </w:p>
    <w:p w14:paraId="7CA6FDAF" w14:textId="77777777" w:rsidR="00936875" w:rsidRPr="00EC21AD" w:rsidRDefault="00936875" w:rsidP="00D36122">
      <w:pPr>
        <w:spacing w:line="480" w:lineRule="auto"/>
        <w:jc w:val="both"/>
        <w:rPr>
          <w:b/>
          <w:bCs/>
          <w:sz w:val="28"/>
          <w:szCs w:val="28"/>
          <w:u w:val="single"/>
        </w:rPr>
      </w:pPr>
      <w:r w:rsidRPr="00EC21AD">
        <w:rPr>
          <w:b/>
          <w:sz w:val="28"/>
          <w:szCs w:val="28"/>
          <w:u w:val="single"/>
        </w:rPr>
        <w:t>Part III. Case Transfers; Location of Proceedings; Juries</w:t>
      </w:r>
    </w:p>
    <w:p w14:paraId="2D5F301D" w14:textId="7DDAFB6E" w:rsidR="00936875" w:rsidRPr="00EC21AD" w:rsidRDefault="00936875" w:rsidP="00613CCB">
      <w:pPr>
        <w:spacing w:line="480" w:lineRule="auto"/>
        <w:jc w:val="both"/>
        <w:rPr>
          <w:sz w:val="28"/>
          <w:szCs w:val="28"/>
        </w:rPr>
      </w:pPr>
      <w:r w:rsidRPr="00EC21AD">
        <w:rPr>
          <w:b/>
          <w:sz w:val="28"/>
          <w:szCs w:val="28"/>
        </w:rPr>
        <w:tab/>
      </w:r>
      <w:r w:rsidRPr="00EC21AD">
        <w:rPr>
          <w:b/>
          <w:i/>
          <w:iCs/>
          <w:sz w:val="28"/>
          <w:szCs w:val="28"/>
        </w:rPr>
        <w:t xml:space="preserve">Rule 10: “Cases Transferred to the Tax Court.” </w:t>
      </w:r>
      <w:r w:rsidRPr="00EC21AD">
        <w:rPr>
          <w:sz w:val="28"/>
          <w:szCs w:val="28"/>
        </w:rPr>
        <w:t xml:space="preserve">This restyled rule is substantively similar to current Rule 6 (“cases transferred to the Tax Court”). The two sections of the restyled rule, however, are organized into several subparts, each with its own title, which makes it easier for readers to find sought after provisions. </w:t>
      </w:r>
      <w:r w:rsidR="00B7180C" w:rsidRPr="00EC21AD">
        <w:rPr>
          <w:sz w:val="28"/>
          <w:szCs w:val="28"/>
        </w:rPr>
        <w:t xml:space="preserve">The Task Force </w:t>
      </w:r>
      <w:r w:rsidRPr="00EC21AD">
        <w:rPr>
          <w:sz w:val="28"/>
          <w:szCs w:val="28"/>
        </w:rPr>
        <w:t>discussed the logistics of a case transfer to the Tax Court from a county other than Maricopa and agreed that the process was similar to a change of venue in a civil case. However, the restyled rule clarifies that in this circumstance, fees are not remitted to the Tax Court clerk, but rather, are remitted to the Clerk’s Office</w:t>
      </w:r>
      <w:r w:rsidR="0076360F">
        <w:rPr>
          <w:sz w:val="28"/>
          <w:szCs w:val="28"/>
        </w:rPr>
        <w:t>,</w:t>
      </w:r>
      <w:r w:rsidRPr="00EC21AD">
        <w:rPr>
          <w:sz w:val="28"/>
          <w:szCs w:val="28"/>
        </w:rPr>
        <w:t xml:space="preserve"> because the Tax Court clerk does not receive fee payments. The current rule specifies that fees in that circumstance are paid by “the parties,” whereas the restyled rule provides that fees for the transfer of an out-of-Maricopa case are paid by “the </w:t>
      </w:r>
      <w:r w:rsidRPr="00EC21AD">
        <w:rPr>
          <w:sz w:val="28"/>
          <w:szCs w:val="28"/>
        </w:rPr>
        <w:lastRenderedPageBreak/>
        <w:t>appropriate parties.” A newly added comment to the proposed rule contains a reference to A.R.S. § 12-165 and provisions relating to venue.</w:t>
      </w:r>
    </w:p>
    <w:p w14:paraId="37C5A705" w14:textId="40900A98" w:rsidR="00936875" w:rsidRPr="00EC21AD" w:rsidRDefault="00936875" w:rsidP="00613CCB">
      <w:pPr>
        <w:spacing w:line="480" w:lineRule="auto"/>
        <w:jc w:val="both"/>
        <w:rPr>
          <w:sz w:val="28"/>
          <w:szCs w:val="28"/>
        </w:rPr>
      </w:pPr>
      <w:r w:rsidRPr="00EC21AD">
        <w:rPr>
          <w:sz w:val="28"/>
          <w:szCs w:val="28"/>
        </w:rPr>
        <w:tab/>
      </w:r>
      <w:r w:rsidRPr="00EC21AD">
        <w:rPr>
          <w:b/>
          <w:i/>
          <w:iCs/>
          <w:sz w:val="28"/>
          <w:szCs w:val="28"/>
        </w:rPr>
        <w:t>Rule 11: “Tax Court Hearings and Trials Outside of Maricopa County.”</w:t>
      </w:r>
      <w:r w:rsidRPr="00EC21AD">
        <w:rPr>
          <w:sz w:val="28"/>
          <w:szCs w:val="28"/>
        </w:rPr>
        <w:t xml:space="preserve"> The proposed rule is substantively similar to current Rule 12 (“hearings and trials other than in Maricopa County”)</w:t>
      </w:r>
      <w:r w:rsidR="000D5AC1" w:rsidRPr="00EC21AD">
        <w:rPr>
          <w:sz w:val="28"/>
          <w:szCs w:val="28"/>
        </w:rPr>
        <w:t>.</w:t>
      </w:r>
      <w:r w:rsidRPr="00EC21AD">
        <w:rPr>
          <w:sz w:val="28"/>
          <w:szCs w:val="28"/>
        </w:rPr>
        <w:t xml:space="preserve"> The current rule allows a party to file an application that the proceeding be held outside of Maricopa County if the party “wishes” it; the proposed rule instead says that a party “may request” an out-of-Maricopa</w:t>
      </w:r>
      <w:r w:rsidR="001964C6">
        <w:rPr>
          <w:sz w:val="28"/>
          <w:szCs w:val="28"/>
        </w:rPr>
        <w:t>-County</w:t>
      </w:r>
      <w:r w:rsidRPr="00EC21AD">
        <w:rPr>
          <w:sz w:val="28"/>
          <w:szCs w:val="28"/>
        </w:rPr>
        <w:t xml:space="preserve"> proceeding. The current rule and the restyled rule both require a showing that the out-of-Maricopa</w:t>
      </w:r>
      <w:r w:rsidR="001964C6">
        <w:rPr>
          <w:sz w:val="28"/>
          <w:szCs w:val="28"/>
        </w:rPr>
        <w:t>-County</w:t>
      </w:r>
      <w:r w:rsidRPr="00EC21AD">
        <w:rPr>
          <w:sz w:val="28"/>
          <w:szCs w:val="28"/>
        </w:rPr>
        <w:t xml:space="preserve"> proceeding would be “more convenient,” but neither rule elaborates on the meaning of that term. Rather, the moving party has the burden of offering case-specific reasons, and a judicial officer will determine whether those reasons warrant a transfer. The </w:t>
      </w:r>
      <w:r w:rsidR="006F38E4" w:rsidRPr="00EC21AD">
        <w:rPr>
          <w:sz w:val="28"/>
          <w:szCs w:val="28"/>
        </w:rPr>
        <w:t>Task For</w:t>
      </w:r>
      <w:r w:rsidR="00DD2FBA" w:rsidRPr="00EC21AD">
        <w:rPr>
          <w:sz w:val="28"/>
          <w:szCs w:val="28"/>
        </w:rPr>
        <w:t xml:space="preserve">ce </w:t>
      </w:r>
      <w:r w:rsidRPr="00EC21AD">
        <w:rPr>
          <w:sz w:val="28"/>
          <w:szCs w:val="28"/>
        </w:rPr>
        <w:t>discussion of this rule resulted in the addition of a new last sentence in Rule 1, as</w:t>
      </w:r>
      <w:r w:rsidR="00DD2FBA" w:rsidRPr="00EC21AD">
        <w:rPr>
          <w:sz w:val="28"/>
          <w:szCs w:val="28"/>
        </w:rPr>
        <w:t xml:space="preserve"> noted in the discussion of Rule 1</w:t>
      </w:r>
      <w:r w:rsidRPr="00EC21AD">
        <w:rPr>
          <w:sz w:val="28"/>
          <w:szCs w:val="28"/>
        </w:rPr>
        <w:t xml:space="preserve"> above.</w:t>
      </w:r>
    </w:p>
    <w:p w14:paraId="47EB17B5" w14:textId="001B4471" w:rsidR="00A663EE" w:rsidRPr="00EC21AD" w:rsidRDefault="00936875" w:rsidP="00201D0A">
      <w:pPr>
        <w:spacing w:line="480" w:lineRule="auto"/>
        <w:jc w:val="both"/>
        <w:rPr>
          <w:sz w:val="28"/>
          <w:szCs w:val="28"/>
        </w:rPr>
      </w:pPr>
      <w:r w:rsidRPr="00EC21AD">
        <w:rPr>
          <w:sz w:val="28"/>
          <w:szCs w:val="28"/>
        </w:rPr>
        <w:tab/>
      </w:r>
      <w:r w:rsidRPr="00EC21AD">
        <w:rPr>
          <w:b/>
          <w:i/>
          <w:iCs/>
          <w:sz w:val="28"/>
          <w:szCs w:val="28"/>
        </w:rPr>
        <w:t>Rule 12: “Juries.”</w:t>
      </w:r>
      <w:r w:rsidRPr="00EC21AD">
        <w:rPr>
          <w:sz w:val="28"/>
          <w:szCs w:val="28"/>
        </w:rPr>
        <w:t xml:space="preserve"> The only notable change to this single-sentence rule was replacing the words “in the event a jury is required” with the words “if a party requests a jury.”</w:t>
      </w:r>
    </w:p>
    <w:p w14:paraId="2B42D622" w14:textId="77777777" w:rsidR="009A1E34" w:rsidRPr="00EC21AD" w:rsidRDefault="009A1E34" w:rsidP="00201D0A">
      <w:pPr>
        <w:spacing w:line="480" w:lineRule="auto"/>
        <w:jc w:val="both"/>
        <w:rPr>
          <w:b/>
          <w:bCs/>
          <w:sz w:val="28"/>
          <w:szCs w:val="28"/>
          <w:u w:val="single"/>
        </w:rPr>
      </w:pPr>
      <w:r w:rsidRPr="00EC21AD">
        <w:rPr>
          <w:b/>
          <w:sz w:val="28"/>
          <w:szCs w:val="28"/>
          <w:u w:val="single"/>
        </w:rPr>
        <w:t>Part IV. Further Proceedings</w:t>
      </w:r>
    </w:p>
    <w:p w14:paraId="3E1D9CB6" w14:textId="3EB9AF9F" w:rsidR="009A1E34" w:rsidRPr="00EC21AD" w:rsidRDefault="009A1E34" w:rsidP="00CB6554">
      <w:pPr>
        <w:spacing w:line="480" w:lineRule="auto"/>
        <w:jc w:val="both"/>
        <w:rPr>
          <w:sz w:val="28"/>
          <w:szCs w:val="28"/>
        </w:rPr>
      </w:pPr>
      <w:r w:rsidRPr="00EC21AD">
        <w:rPr>
          <w:b/>
          <w:sz w:val="28"/>
          <w:szCs w:val="28"/>
        </w:rPr>
        <w:tab/>
      </w:r>
      <w:r w:rsidRPr="00EC21AD">
        <w:rPr>
          <w:b/>
          <w:i/>
          <w:iCs/>
          <w:sz w:val="28"/>
          <w:szCs w:val="28"/>
        </w:rPr>
        <w:t>Rule 13: “Uniform Interrogatories”</w:t>
      </w:r>
      <w:r w:rsidR="00B82AFD" w:rsidRPr="00EC21AD">
        <w:rPr>
          <w:b/>
          <w:i/>
          <w:iCs/>
          <w:sz w:val="28"/>
          <w:szCs w:val="28"/>
        </w:rPr>
        <w:t xml:space="preserve"> and Appendix 2.</w:t>
      </w:r>
      <w:r w:rsidRPr="00EC21AD">
        <w:rPr>
          <w:b/>
          <w:sz w:val="28"/>
          <w:szCs w:val="28"/>
        </w:rPr>
        <w:t xml:space="preserve"> </w:t>
      </w:r>
      <w:r w:rsidRPr="00EC21AD">
        <w:rPr>
          <w:sz w:val="28"/>
          <w:szCs w:val="28"/>
        </w:rPr>
        <w:t>Th</w:t>
      </w:r>
      <w:r w:rsidR="00465FAD" w:rsidRPr="00EC21AD">
        <w:rPr>
          <w:sz w:val="28"/>
          <w:szCs w:val="28"/>
        </w:rPr>
        <w:t xml:space="preserve">e current </w:t>
      </w:r>
      <w:r w:rsidRPr="00EC21AD">
        <w:rPr>
          <w:sz w:val="28"/>
          <w:szCs w:val="28"/>
        </w:rPr>
        <w:t xml:space="preserve">rule </w:t>
      </w:r>
      <w:r w:rsidR="002F6BE3" w:rsidRPr="00EC21AD">
        <w:rPr>
          <w:sz w:val="28"/>
          <w:szCs w:val="28"/>
        </w:rPr>
        <w:t xml:space="preserve">regarding interrogatories </w:t>
      </w:r>
      <w:r w:rsidR="00465FAD" w:rsidRPr="00EC21AD">
        <w:rPr>
          <w:sz w:val="28"/>
          <w:szCs w:val="28"/>
        </w:rPr>
        <w:t xml:space="preserve">is Rule 16, </w:t>
      </w:r>
      <w:r w:rsidRPr="00EC21AD">
        <w:rPr>
          <w:sz w:val="28"/>
          <w:szCs w:val="28"/>
        </w:rPr>
        <w:t xml:space="preserve">but because of the renumbering described </w:t>
      </w:r>
      <w:r w:rsidRPr="00EC21AD">
        <w:rPr>
          <w:sz w:val="28"/>
          <w:szCs w:val="28"/>
        </w:rPr>
        <w:lastRenderedPageBreak/>
        <w:t>earlier</w:t>
      </w:r>
      <w:r w:rsidR="00240ACA">
        <w:rPr>
          <w:color w:val="212121"/>
          <w:sz w:val="28"/>
          <w:szCs w:val="28"/>
        </w:rPr>
        <w:t>—</w:t>
      </w:r>
      <w:r w:rsidRPr="00EC21AD">
        <w:rPr>
          <w:sz w:val="28"/>
          <w:szCs w:val="28"/>
        </w:rPr>
        <w:t>and to maintain the current number for Rule 14</w:t>
      </w:r>
      <w:r w:rsidR="00240ACA">
        <w:rPr>
          <w:color w:val="212121"/>
          <w:sz w:val="28"/>
          <w:szCs w:val="28"/>
        </w:rPr>
        <w:t>—</w:t>
      </w:r>
      <w:r w:rsidRPr="00EC21AD">
        <w:rPr>
          <w:sz w:val="28"/>
          <w:szCs w:val="28"/>
        </w:rPr>
        <w:t>it has been relocated as Rule 13. The content of this one-sentence restyling differs from the current rule</w:t>
      </w:r>
      <w:r w:rsidR="001964C6">
        <w:rPr>
          <w:sz w:val="28"/>
          <w:szCs w:val="28"/>
        </w:rPr>
        <w:t>: It</w:t>
      </w:r>
      <w:r w:rsidRPr="00EC21AD">
        <w:rPr>
          <w:sz w:val="28"/>
          <w:szCs w:val="28"/>
        </w:rPr>
        <w:t xml:space="preserve"> notes that the uniform interrogatories are for use in property tax disputes; the current version does not say this. </w:t>
      </w:r>
    </w:p>
    <w:p w14:paraId="58012A44" w14:textId="749348FD" w:rsidR="000948C7" w:rsidRPr="00EC21AD" w:rsidRDefault="009A1E34" w:rsidP="00CB6554">
      <w:pPr>
        <w:spacing w:line="480" w:lineRule="auto"/>
        <w:jc w:val="both"/>
        <w:rPr>
          <w:sz w:val="28"/>
          <w:szCs w:val="28"/>
        </w:rPr>
      </w:pPr>
      <w:r w:rsidRPr="00EC21AD">
        <w:rPr>
          <w:sz w:val="28"/>
          <w:szCs w:val="28"/>
        </w:rPr>
        <w:tab/>
      </w:r>
      <w:r w:rsidR="00CB6554" w:rsidRPr="00EC21AD">
        <w:rPr>
          <w:sz w:val="28"/>
          <w:szCs w:val="28"/>
        </w:rPr>
        <w:t>Task Force members</w:t>
      </w:r>
      <w:r w:rsidRPr="00EC21AD">
        <w:rPr>
          <w:sz w:val="28"/>
          <w:szCs w:val="28"/>
        </w:rPr>
        <w:t xml:space="preserve"> had differing views on the utility of these uniform interrogatories. One member characterized these interrogatories as antiquated and not useful. Another member noted that a variety of items</w:t>
      </w:r>
      <w:r w:rsidR="001964C6">
        <w:rPr>
          <w:sz w:val="28"/>
          <w:szCs w:val="28"/>
        </w:rPr>
        <w:t xml:space="preserve"> and questions</w:t>
      </w:r>
      <w:r w:rsidRPr="00EC21AD">
        <w:rPr>
          <w:sz w:val="28"/>
          <w:szCs w:val="28"/>
        </w:rPr>
        <w:t xml:space="preserve"> in the uniform interrogatories do</w:t>
      </w:r>
      <w:r w:rsidR="001964C6">
        <w:rPr>
          <w:sz w:val="28"/>
          <w:szCs w:val="28"/>
        </w:rPr>
        <w:t xml:space="preserve"> not</w:t>
      </w:r>
      <w:r w:rsidRPr="00EC21AD">
        <w:rPr>
          <w:sz w:val="28"/>
          <w:szCs w:val="28"/>
        </w:rPr>
        <w:t xml:space="preserve"> apply</w:t>
      </w:r>
      <w:r w:rsidR="001964C6">
        <w:rPr>
          <w:sz w:val="28"/>
          <w:szCs w:val="28"/>
        </w:rPr>
        <w:t xml:space="preserve"> in many cases</w:t>
      </w:r>
      <w:r w:rsidRPr="00EC21AD">
        <w:rPr>
          <w:sz w:val="28"/>
          <w:szCs w:val="28"/>
        </w:rPr>
        <w:t>, or request information already in the record or otherwise readily available. And they appear to be useful only to a single side, that is, a government agency serves them on a taxpayer but not the converse. Other members suggested that interrogatories</w:t>
      </w:r>
      <w:r w:rsidR="003A6E98" w:rsidRPr="00EC21AD">
        <w:rPr>
          <w:sz w:val="28"/>
          <w:szCs w:val="28"/>
        </w:rPr>
        <w:t xml:space="preserve"> in Tax Court litigation</w:t>
      </w:r>
      <w:r w:rsidRPr="00EC21AD">
        <w:rPr>
          <w:sz w:val="28"/>
          <w:szCs w:val="28"/>
        </w:rPr>
        <w:t xml:space="preserve"> should be</w:t>
      </w:r>
      <w:r w:rsidR="00302DBA">
        <w:rPr>
          <w:sz w:val="28"/>
          <w:szCs w:val="28"/>
        </w:rPr>
        <w:t xml:space="preserve"> more</w:t>
      </w:r>
      <w:r w:rsidRPr="00EC21AD">
        <w:rPr>
          <w:sz w:val="28"/>
          <w:szCs w:val="28"/>
        </w:rPr>
        <w:t xml:space="preserve"> balanced and customized to the needs of a particular case. </w:t>
      </w:r>
    </w:p>
    <w:p w14:paraId="1EA4DD1D" w14:textId="51641722" w:rsidR="00D05342" w:rsidRPr="00EC21AD" w:rsidRDefault="009A1E34" w:rsidP="00120EF3">
      <w:pPr>
        <w:spacing w:line="480" w:lineRule="auto"/>
        <w:ind w:firstLine="720"/>
        <w:jc w:val="both"/>
        <w:rPr>
          <w:sz w:val="28"/>
          <w:szCs w:val="28"/>
        </w:rPr>
      </w:pPr>
      <w:r w:rsidRPr="00EC21AD">
        <w:rPr>
          <w:sz w:val="28"/>
          <w:szCs w:val="28"/>
        </w:rPr>
        <w:t xml:space="preserve">Because of the Task Force timetable, however, and the length of these uniform interrogatories, a </w:t>
      </w:r>
      <w:r w:rsidR="00692796">
        <w:rPr>
          <w:sz w:val="28"/>
          <w:szCs w:val="28"/>
        </w:rPr>
        <w:t xml:space="preserve">full </w:t>
      </w:r>
      <w:r w:rsidRPr="00EC21AD">
        <w:rPr>
          <w:sz w:val="28"/>
          <w:szCs w:val="28"/>
        </w:rPr>
        <w:t>re</w:t>
      </w:r>
      <w:r w:rsidR="00A65CA6">
        <w:rPr>
          <w:sz w:val="28"/>
          <w:szCs w:val="28"/>
        </w:rPr>
        <w:t>view</w:t>
      </w:r>
      <w:r w:rsidRPr="00EC21AD">
        <w:rPr>
          <w:sz w:val="28"/>
          <w:szCs w:val="28"/>
        </w:rPr>
        <w:t xml:space="preserve"> </w:t>
      </w:r>
      <w:r w:rsidR="00FC5C44">
        <w:rPr>
          <w:sz w:val="28"/>
          <w:szCs w:val="28"/>
        </w:rPr>
        <w:t>wa</w:t>
      </w:r>
      <w:r w:rsidR="00F31B51">
        <w:rPr>
          <w:sz w:val="28"/>
          <w:szCs w:val="28"/>
        </w:rPr>
        <w:t>s</w:t>
      </w:r>
      <w:r w:rsidRPr="00EC21AD">
        <w:rPr>
          <w:sz w:val="28"/>
          <w:szCs w:val="28"/>
        </w:rPr>
        <w:t xml:space="preserve"> not feasible at this time; a rewrite of the interrogatories also might be outside the scope of A.O. No. 2024-87.</w:t>
      </w:r>
      <w:r w:rsidR="000948C7" w:rsidRPr="00EC21AD">
        <w:rPr>
          <w:sz w:val="28"/>
          <w:szCs w:val="28"/>
        </w:rPr>
        <w:t xml:space="preserve"> The Task Force nonetheless proposed</w:t>
      </w:r>
      <w:r w:rsidR="00DC323E" w:rsidRPr="00EC21AD">
        <w:rPr>
          <w:sz w:val="28"/>
          <w:szCs w:val="28"/>
        </w:rPr>
        <w:t xml:space="preserve"> that the Court adopt </w:t>
      </w:r>
      <w:r w:rsidR="00944338" w:rsidRPr="00EC21AD">
        <w:rPr>
          <w:sz w:val="28"/>
          <w:szCs w:val="28"/>
        </w:rPr>
        <w:t>the following</w:t>
      </w:r>
      <w:r w:rsidR="00DC323E" w:rsidRPr="00EC21AD">
        <w:rPr>
          <w:sz w:val="28"/>
          <w:szCs w:val="28"/>
        </w:rPr>
        <w:t xml:space="preserve"> </w:t>
      </w:r>
      <w:r w:rsidR="007A7691" w:rsidRPr="00EC21AD">
        <w:rPr>
          <w:sz w:val="28"/>
          <w:szCs w:val="28"/>
        </w:rPr>
        <w:t>“preliminary fixes</w:t>
      </w:r>
      <w:r w:rsidR="00692796">
        <w:rPr>
          <w:sz w:val="28"/>
          <w:szCs w:val="28"/>
        </w:rPr>
        <w:t>,</w:t>
      </w:r>
      <w:r w:rsidR="007A7691" w:rsidRPr="00EC21AD">
        <w:rPr>
          <w:sz w:val="28"/>
          <w:szCs w:val="28"/>
        </w:rPr>
        <w:t>”</w:t>
      </w:r>
      <w:r w:rsidR="00692796">
        <w:rPr>
          <w:sz w:val="28"/>
          <w:szCs w:val="28"/>
        </w:rPr>
        <w:t xml:space="preserve"> in any event</w:t>
      </w:r>
      <w:r w:rsidR="0080596C" w:rsidRPr="00EC21AD">
        <w:rPr>
          <w:sz w:val="28"/>
          <w:szCs w:val="28"/>
        </w:rPr>
        <w:t>.</w:t>
      </w:r>
    </w:p>
    <w:p w14:paraId="290472B2" w14:textId="0FDCA510" w:rsidR="00B46D2F" w:rsidRPr="00120EF3" w:rsidRDefault="00B46D2F" w:rsidP="00885885">
      <w:pPr>
        <w:spacing w:line="480" w:lineRule="auto"/>
        <w:ind w:firstLine="720"/>
        <w:jc w:val="both"/>
        <w:rPr>
          <w:sz w:val="28"/>
          <w:szCs w:val="28"/>
        </w:rPr>
      </w:pPr>
      <w:r w:rsidRPr="00EC21AD">
        <w:rPr>
          <w:sz w:val="28"/>
          <w:szCs w:val="28"/>
        </w:rPr>
        <w:t xml:space="preserve">First, </w:t>
      </w:r>
      <w:r w:rsidRPr="00120EF3">
        <w:rPr>
          <w:sz w:val="28"/>
          <w:szCs w:val="28"/>
        </w:rPr>
        <w:t xml:space="preserve">by statute, the valuation year is the year before the tax year. (See A.R.S. § 42-11001.)  The Assessor uses information for the valuation year to determine a full cash value for that year. Several of the uniform interrogatories, however, </w:t>
      </w:r>
      <w:r w:rsidRPr="00120EF3">
        <w:rPr>
          <w:sz w:val="28"/>
          <w:szCs w:val="28"/>
        </w:rPr>
        <w:lastRenderedPageBreak/>
        <w:t xml:space="preserve">confound this important distinction by soliciting information regarding values during the tax year. Rather than referring to the tax year, these interrogatories </w:t>
      </w:r>
      <w:r w:rsidR="006744ED" w:rsidRPr="006744ED">
        <w:rPr>
          <w:sz w:val="28"/>
          <w:szCs w:val="28"/>
        </w:rPr>
        <w:t>should</w:t>
      </w:r>
      <w:r w:rsidR="001964C6">
        <w:rPr>
          <w:sz w:val="28"/>
          <w:szCs w:val="28"/>
        </w:rPr>
        <w:t xml:space="preserve"> generally and for the most part</w:t>
      </w:r>
      <w:r w:rsidR="006744ED" w:rsidRPr="006744ED">
        <w:rPr>
          <w:sz w:val="28"/>
          <w:szCs w:val="28"/>
        </w:rPr>
        <w:t xml:space="preserve"> refer</w:t>
      </w:r>
      <w:r w:rsidRPr="00120EF3">
        <w:rPr>
          <w:sz w:val="28"/>
          <w:szCs w:val="28"/>
        </w:rPr>
        <w:t xml:space="preserve"> to the valuation year. </w:t>
      </w:r>
      <w:r w:rsidR="00980005" w:rsidRPr="00EC21AD">
        <w:rPr>
          <w:sz w:val="28"/>
          <w:szCs w:val="28"/>
        </w:rPr>
        <w:t xml:space="preserve">The </w:t>
      </w:r>
      <w:r w:rsidR="00D82195" w:rsidRPr="00EC21AD">
        <w:rPr>
          <w:sz w:val="28"/>
          <w:szCs w:val="28"/>
        </w:rPr>
        <w:t xml:space="preserve">Task Force </w:t>
      </w:r>
      <w:r w:rsidRPr="00120EF3">
        <w:rPr>
          <w:sz w:val="28"/>
          <w:szCs w:val="28"/>
        </w:rPr>
        <w:t xml:space="preserve">accordingly </w:t>
      </w:r>
      <w:r w:rsidR="00D82195" w:rsidRPr="00EC21AD">
        <w:rPr>
          <w:sz w:val="28"/>
          <w:szCs w:val="28"/>
        </w:rPr>
        <w:t xml:space="preserve"> recommend</w:t>
      </w:r>
      <w:r w:rsidR="00980005" w:rsidRPr="00EC21AD">
        <w:rPr>
          <w:sz w:val="28"/>
          <w:szCs w:val="28"/>
        </w:rPr>
        <w:t>s</w:t>
      </w:r>
      <w:r w:rsidR="00D82195" w:rsidRPr="00EC21AD">
        <w:rPr>
          <w:sz w:val="28"/>
          <w:szCs w:val="28"/>
        </w:rPr>
        <w:t xml:space="preserve"> </w:t>
      </w:r>
      <w:r w:rsidRPr="00120EF3">
        <w:rPr>
          <w:sz w:val="28"/>
          <w:szCs w:val="28"/>
        </w:rPr>
        <w:t>replacing “tax year” with “valuation year”</w:t>
      </w:r>
      <w:r w:rsidR="006744ED">
        <w:rPr>
          <w:sz w:val="28"/>
          <w:szCs w:val="28"/>
        </w:rPr>
        <w:t xml:space="preserve"> in</w:t>
      </w:r>
      <w:r w:rsidRPr="00120EF3">
        <w:rPr>
          <w:sz w:val="28"/>
          <w:szCs w:val="28"/>
        </w:rPr>
        <w:t xml:space="preserve"> uniform interrogatories 1, 4a, 4c, 4d, 10, 10c, 10e, 10f, 12, and 14. For further clarity, </w:t>
      </w:r>
      <w:r w:rsidR="00980005" w:rsidRPr="00EC21AD">
        <w:rPr>
          <w:sz w:val="28"/>
          <w:szCs w:val="28"/>
        </w:rPr>
        <w:t>the Task Force</w:t>
      </w:r>
      <w:r w:rsidRPr="00120EF3">
        <w:rPr>
          <w:sz w:val="28"/>
          <w:szCs w:val="28"/>
        </w:rPr>
        <w:t xml:space="preserve"> </w:t>
      </w:r>
      <w:r w:rsidR="00F61359" w:rsidRPr="00EC21AD">
        <w:rPr>
          <w:sz w:val="28"/>
          <w:szCs w:val="28"/>
        </w:rPr>
        <w:t>recomme</w:t>
      </w:r>
      <w:r w:rsidR="00B24B39" w:rsidRPr="00EC21AD">
        <w:rPr>
          <w:sz w:val="28"/>
          <w:szCs w:val="28"/>
        </w:rPr>
        <w:t>nds</w:t>
      </w:r>
      <w:r w:rsidR="00B67ED5" w:rsidRPr="00EC21AD">
        <w:rPr>
          <w:sz w:val="28"/>
          <w:szCs w:val="28"/>
        </w:rPr>
        <w:t xml:space="preserve"> </w:t>
      </w:r>
      <w:r w:rsidRPr="00120EF3">
        <w:rPr>
          <w:sz w:val="28"/>
          <w:szCs w:val="28"/>
        </w:rPr>
        <w:t>add</w:t>
      </w:r>
      <w:r w:rsidR="00B67ED5" w:rsidRPr="00EC21AD">
        <w:rPr>
          <w:sz w:val="28"/>
          <w:szCs w:val="28"/>
        </w:rPr>
        <w:t>ing</w:t>
      </w:r>
      <w:r w:rsidRPr="00120EF3">
        <w:rPr>
          <w:sz w:val="28"/>
          <w:szCs w:val="28"/>
        </w:rPr>
        <w:t xml:space="preserve"> to the body of the uniform interrogatories, before the first interrogatory, this new sentence: “For definitions of the terms ‘tax year’ and ‘valuation year’ as used in these interrogatories, see A.R.S. § 42-11001.” </w:t>
      </w:r>
    </w:p>
    <w:p w14:paraId="159ABF04" w14:textId="1EB50F89" w:rsidR="00134474" w:rsidRPr="00120EF3" w:rsidRDefault="00134474" w:rsidP="00885885">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sz w:val="28"/>
          <w:szCs w:val="28"/>
        </w:rPr>
        <w:t xml:space="preserve">Second, certain column headings for the income and expense summaries </w:t>
      </w:r>
      <w:r w:rsidR="00C952A4">
        <w:rPr>
          <w:rFonts w:ascii="Times New Roman" w:hAnsi="Times New Roman" w:cs="Times New Roman"/>
          <w:sz w:val="28"/>
          <w:szCs w:val="28"/>
        </w:rPr>
        <w:t xml:space="preserve">that are </w:t>
      </w:r>
      <w:r w:rsidRPr="00120EF3">
        <w:rPr>
          <w:rFonts w:ascii="Times New Roman" w:hAnsi="Times New Roman" w:cs="Times New Roman"/>
          <w:sz w:val="28"/>
          <w:szCs w:val="28"/>
        </w:rPr>
        <w:t>contained in the uniform interrogatories show years like this: “19__.” Those column headings are severely out-of-date</w:t>
      </w:r>
      <w:r w:rsidR="00DC2117" w:rsidRPr="00120EF3">
        <w:rPr>
          <w:rFonts w:ascii="Times New Roman" w:hAnsi="Times New Roman" w:cs="Times New Roman"/>
          <w:sz w:val="28"/>
          <w:szCs w:val="28"/>
        </w:rPr>
        <w:t>. T</w:t>
      </w:r>
      <w:r w:rsidRPr="00120EF3">
        <w:rPr>
          <w:rFonts w:ascii="Times New Roman" w:hAnsi="Times New Roman" w:cs="Times New Roman"/>
          <w:sz w:val="28"/>
          <w:szCs w:val="28"/>
        </w:rPr>
        <w:t>hey should be changed to “20__.”</w:t>
      </w:r>
    </w:p>
    <w:p w14:paraId="2BC03379" w14:textId="2321C181" w:rsidR="00C9519D" w:rsidRPr="00A7434F" w:rsidRDefault="00C9519D" w:rsidP="00120EF3">
      <w:pPr>
        <w:pStyle w:val="NoSpacing"/>
        <w:spacing w:line="480" w:lineRule="auto"/>
        <w:ind w:firstLine="720"/>
        <w:jc w:val="both"/>
        <w:rPr>
          <w:sz w:val="28"/>
          <w:szCs w:val="28"/>
        </w:rPr>
      </w:pPr>
      <w:r w:rsidRPr="00120EF3">
        <w:rPr>
          <w:rFonts w:ascii="Times New Roman" w:hAnsi="Times New Roman" w:cs="Times New Roman"/>
          <w:sz w:val="28"/>
          <w:szCs w:val="28"/>
        </w:rPr>
        <w:t xml:space="preserve">These recommendations are shown with </w:t>
      </w:r>
      <w:r w:rsidR="00F745A7">
        <w:rPr>
          <w:rFonts w:ascii="Times New Roman" w:hAnsi="Times New Roman" w:cs="Times New Roman"/>
          <w:sz w:val="28"/>
          <w:szCs w:val="28"/>
        </w:rPr>
        <w:t>strikethrough and underline</w:t>
      </w:r>
      <w:r w:rsidRPr="00120EF3">
        <w:rPr>
          <w:rFonts w:ascii="Times New Roman" w:hAnsi="Times New Roman" w:cs="Times New Roman"/>
          <w:sz w:val="28"/>
          <w:szCs w:val="28"/>
        </w:rPr>
        <w:t xml:space="preserve"> in Appendix 2.</w:t>
      </w:r>
      <w:r w:rsidR="00B24B39" w:rsidRPr="00120EF3">
        <w:rPr>
          <w:rFonts w:ascii="Times New Roman" w:hAnsi="Times New Roman" w:cs="Times New Roman"/>
          <w:sz w:val="28"/>
          <w:szCs w:val="28"/>
        </w:rPr>
        <w:t xml:space="preserve"> The Task Force also requests </w:t>
      </w:r>
      <w:r w:rsidR="00F17CB7" w:rsidRPr="00120EF3">
        <w:rPr>
          <w:rFonts w:ascii="Times New Roman" w:hAnsi="Times New Roman" w:cs="Times New Roman"/>
          <w:sz w:val="28"/>
          <w:szCs w:val="28"/>
        </w:rPr>
        <w:t>that the</w:t>
      </w:r>
      <w:r w:rsidR="00B24B39" w:rsidRPr="00120EF3">
        <w:rPr>
          <w:rFonts w:ascii="Times New Roman" w:hAnsi="Times New Roman" w:cs="Times New Roman"/>
          <w:sz w:val="28"/>
          <w:szCs w:val="28"/>
        </w:rPr>
        <w:t xml:space="preserve"> Court consider </w:t>
      </w:r>
      <w:r w:rsidR="00F17CB7" w:rsidRPr="00120EF3">
        <w:rPr>
          <w:rFonts w:ascii="Times New Roman" w:hAnsi="Times New Roman" w:cs="Times New Roman"/>
          <w:sz w:val="28"/>
          <w:szCs w:val="28"/>
        </w:rPr>
        <w:t>whether it would be beneficial to</w:t>
      </w:r>
      <w:r w:rsidR="00B250C9" w:rsidRPr="00120EF3">
        <w:rPr>
          <w:rFonts w:ascii="Times New Roman" w:hAnsi="Times New Roman" w:cs="Times New Roman"/>
          <w:sz w:val="28"/>
          <w:szCs w:val="28"/>
        </w:rPr>
        <w:t xml:space="preserve"> initiate another project</w:t>
      </w:r>
      <w:r w:rsidR="009D4672">
        <w:rPr>
          <w:rFonts w:ascii="Times New Roman" w:hAnsi="Times New Roman" w:cs="Times New Roman"/>
          <w:sz w:val="28"/>
          <w:szCs w:val="28"/>
        </w:rPr>
        <w:t xml:space="preserve"> for </w:t>
      </w:r>
      <w:r w:rsidR="00B250C9" w:rsidRPr="00120EF3">
        <w:rPr>
          <w:rFonts w:ascii="Times New Roman" w:hAnsi="Times New Roman" w:cs="Times New Roman"/>
          <w:sz w:val="28"/>
          <w:szCs w:val="28"/>
        </w:rPr>
        <w:t xml:space="preserve">a deeper </w:t>
      </w:r>
      <w:r w:rsidR="00573119">
        <w:rPr>
          <w:rFonts w:ascii="Times New Roman" w:hAnsi="Times New Roman" w:cs="Times New Roman"/>
          <w:sz w:val="28"/>
          <w:szCs w:val="28"/>
        </w:rPr>
        <w:t xml:space="preserve">review of </w:t>
      </w:r>
      <w:r w:rsidR="00B250C9" w:rsidRPr="00120EF3">
        <w:rPr>
          <w:rFonts w:ascii="Times New Roman" w:hAnsi="Times New Roman" w:cs="Times New Roman"/>
          <w:sz w:val="28"/>
          <w:szCs w:val="28"/>
        </w:rPr>
        <w:t>these uniform interrogatories.</w:t>
      </w:r>
    </w:p>
    <w:p w14:paraId="704384C5" w14:textId="52C71EF6" w:rsidR="009A1E34" w:rsidRPr="00EC21AD" w:rsidRDefault="009A1E34" w:rsidP="003C6230">
      <w:pPr>
        <w:spacing w:line="480" w:lineRule="auto"/>
        <w:jc w:val="both"/>
        <w:rPr>
          <w:sz w:val="28"/>
          <w:szCs w:val="28"/>
        </w:rPr>
      </w:pPr>
      <w:r w:rsidRPr="00EC21AD">
        <w:rPr>
          <w:sz w:val="28"/>
          <w:szCs w:val="28"/>
        </w:rPr>
        <w:tab/>
      </w:r>
      <w:r w:rsidRPr="00EC21AD">
        <w:rPr>
          <w:b/>
          <w:i/>
          <w:iCs/>
          <w:sz w:val="28"/>
          <w:szCs w:val="28"/>
        </w:rPr>
        <w:t>Rule 14: was “Pending Appeals Calendar,” and now “Pending Appeals Calendar; Stayed Cases.”</w:t>
      </w:r>
      <w:r w:rsidRPr="00EC21AD">
        <w:rPr>
          <w:sz w:val="28"/>
          <w:szCs w:val="28"/>
        </w:rPr>
        <w:t xml:space="preserve"> This rule is similar to current Rule 14 (“pending appeals calendar”), with three notable exceptions. First, the current rule includes a sentence that appears before the start of section (a). The restyling includes that sentence as a new section (a). Subsequent sections were re-lettered accordingly. Second, the </w:t>
      </w:r>
      <w:r w:rsidRPr="00EC21AD">
        <w:rPr>
          <w:sz w:val="28"/>
          <w:szCs w:val="28"/>
        </w:rPr>
        <w:lastRenderedPageBreak/>
        <w:t xml:space="preserve">multiple sections in the current rule have no titles; the restyled version adds a title to each section. </w:t>
      </w:r>
      <w:r w:rsidR="00DB2071" w:rsidRPr="00EC21AD">
        <w:rPr>
          <w:sz w:val="28"/>
          <w:szCs w:val="28"/>
        </w:rPr>
        <w:t xml:space="preserve">The Task Force </w:t>
      </w:r>
      <w:r w:rsidRPr="00EC21AD">
        <w:rPr>
          <w:sz w:val="28"/>
          <w:szCs w:val="28"/>
        </w:rPr>
        <w:t>discussed whether (b)(2) (“remaining issues”) should continue to require the consent of all parties, but</w:t>
      </w:r>
      <w:r w:rsidR="00DB2071" w:rsidRPr="00EC21AD">
        <w:rPr>
          <w:sz w:val="28"/>
          <w:szCs w:val="28"/>
        </w:rPr>
        <w:t xml:space="preserve"> it </w:t>
      </w:r>
      <w:r w:rsidRPr="00EC21AD">
        <w:rPr>
          <w:sz w:val="28"/>
          <w:szCs w:val="28"/>
        </w:rPr>
        <w:t>made no substantive change to that provision.</w:t>
      </w:r>
    </w:p>
    <w:p w14:paraId="69497FD6" w14:textId="6C79EC3A" w:rsidR="009A1E34" w:rsidRPr="00EC21AD" w:rsidRDefault="009A1E34" w:rsidP="00DD24F2">
      <w:pPr>
        <w:spacing w:line="480" w:lineRule="auto"/>
        <w:jc w:val="both"/>
        <w:rPr>
          <w:sz w:val="28"/>
          <w:szCs w:val="28"/>
        </w:rPr>
      </w:pPr>
      <w:r w:rsidRPr="00EC21AD">
        <w:rPr>
          <w:sz w:val="28"/>
          <w:szCs w:val="28"/>
        </w:rPr>
        <w:tab/>
        <w:t xml:space="preserve">The third exception involved the addition of a new </w:t>
      </w:r>
      <w:r w:rsidR="00DB7864" w:rsidRPr="00EC21AD">
        <w:rPr>
          <w:sz w:val="28"/>
          <w:szCs w:val="28"/>
        </w:rPr>
        <w:t xml:space="preserve">substantive </w:t>
      </w:r>
      <w:r w:rsidRPr="00EC21AD">
        <w:rPr>
          <w:sz w:val="28"/>
          <w:szCs w:val="28"/>
        </w:rPr>
        <w:t>procedure, which the</w:t>
      </w:r>
      <w:r w:rsidR="00DB7864" w:rsidRPr="00EC21AD">
        <w:rPr>
          <w:sz w:val="28"/>
          <w:szCs w:val="28"/>
        </w:rPr>
        <w:t xml:space="preserve"> Task Force</w:t>
      </w:r>
      <w:r w:rsidRPr="00EC21AD">
        <w:rPr>
          <w:sz w:val="28"/>
          <w:szCs w:val="28"/>
        </w:rPr>
        <w:t xml:space="preserve"> codified in Rule 14(f) (“stayed cases”)</w:t>
      </w:r>
      <w:r w:rsidR="00012D5C" w:rsidRPr="00EC21AD">
        <w:rPr>
          <w:sz w:val="28"/>
          <w:szCs w:val="28"/>
        </w:rPr>
        <w:t>.</w:t>
      </w:r>
      <w:r w:rsidRPr="00EC21AD">
        <w:rPr>
          <w:sz w:val="28"/>
          <w:szCs w:val="28"/>
        </w:rPr>
        <w:t xml:space="preserve"> Rule 14 currently applies when a dispositive case is pending on appeal. However, there are also circumstances where another case is pending in the Tax Court, and a disposition in that case could influence or even determine the disposition of other pending Tax Court cases. According, the new provision provides:</w:t>
      </w:r>
    </w:p>
    <w:p w14:paraId="43BA21C3" w14:textId="77777777" w:rsidR="009A1E34" w:rsidRPr="00EC21AD" w:rsidRDefault="009A1E34" w:rsidP="00DD24F2">
      <w:pPr>
        <w:pStyle w:val="NoSpacing"/>
        <w:numPr>
          <w:ilvl w:val="0"/>
          <w:numId w:val="18"/>
        </w:numPr>
        <w:spacing w:after="240"/>
        <w:jc w:val="both"/>
        <w:rPr>
          <w:rFonts w:ascii="Times New Roman" w:hAnsi="Times New Roman" w:cs="Times New Roman"/>
          <w:b/>
          <w:sz w:val="28"/>
          <w:szCs w:val="28"/>
        </w:rPr>
      </w:pPr>
      <w:r w:rsidRPr="00EC21AD">
        <w:rPr>
          <w:rFonts w:ascii="Times New Roman" w:hAnsi="Times New Roman" w:cs="Times New Roman"/>
          <w:b/>
          <w:bCs w:val="0"/>
          <w:sz w:val="28"/>
          <w:szCs w:val="28"/>
        </w:rPr>
        <w:t>Stayed</w:t>
      </w:r>
      <w:r w:rsidRPr="00EC21AD">
        <w:rPr>
          <w:rFonts w:ascii="Times New Roman" w:hAnsi="Times New Roman" w:cs="Times New Roman"/>
          <w:sz w:val="28"/>
          <w:szCs w:val="28"/>
        </w:rPr>
        <w:t xml:space="preserve"> </w:t>
      </w:r>
      <w:r w:rsidRPr="00EC21AD">
        <w:rPr>
          <w:rFonts w:ascii="Times New Roman" w:hAnsi="Times New Roman" w:cs="Times New Roman"/>
          <w:b/>
          <w:sz w:val="28"/>
          <w:szCs w:val="28"/>
        </w:rPr>
        <w:t xml:space="preserve">Cases. </w:t>
      </w:r>
      <w:r w:rsidRPr="00EC21AD">
        <w:rPr>
          <w:rFonts w:ascii="Times New Roman" w:hAnsi="Times New Roman" w:cs="Times New Roman"/>
          <w:sz w:val="28"/>
          <w:szCs w:val="28"/>
        </w:rPr>
        <w:t>On a party’s motion, the Tax Court may stay cases that may be fully or partially resolved by the outcome in another Tax Court case.</w:t>
      </w:r>
    </w:p>
    <w:p w14:paraId="56AE1AB1" w14:textId="068690DF" w:rsidR="009A1E34" w:rsidRPr="00EC21AD" w:rsidRDefault="009A1E34" w:rsidP="0041613C">
      <w:pPr>
        <w:pStyle w:val="NoSpacing"/>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By requiring a motion as a predicate to the stay, other parties would have an opportunity to respond and oppose the motion</w:t>
      </w:r>
      <w:r w:rsidR="00692796">
        <w:rPr>
          <w:rFonts w:ascii="Times New Roman" w:hAnsi="Times New Roman" w:cs="Times New Roman"/>
          <w:sz w:val="28"/>
          <w:szCs w:val="28"/>
        </w:rPr>
        <w:t xml:space="preserve"> if they wish</w:t>
      </w:r>
      <w:r w:rsidRPr="00EC21AD">
        <w:rPr>
          <w:rFonts w:ascii="Times New Roman" w:hAnsi="Times New Roman" w:cs="Times New Roman"/>
          <w:sz w:val="28"/>
          <w:szCs w:val="28"/>
        </w:rPr>
        <w:t>.</w:t>
      </w:r>
    </w:p>
    <w:p w14:paraId="5153206B" w14:textId="1C685094" w:rsidR="009A1E34" w:rsidRPr="00EC21AD" w:rsidRDefault="009A1E34" w:rsidP="0041613C">
      <w:pPr>
        <w:pStyle w:val="NoSpacing"/>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ab/>
      </w:r>
      <w:r w:rsidRPr="00EC21AD">
        <w:rPr>
          <w:rFonts w:ascii="Times New Roman" w:hAnsi="Times New Roman" w:cs="Times New Roman"/>
          <w:b/>
          <w:bCs w:val="0"/>
          <w:i/>
          <w:iCs/>
          <w:sz w:val="28"/>
          <w:szCs w:val="28"/>
        </w:rPr>
        <w:t>Rule 15: “Appeals.”</w:t>
      </w:r>
      <w:r w:rsidRPr="00EC21AD">
        <w:rPr>
          <w:rFonts w:ascii="Times New Roman" w:hAnsi="Times New Roman" w:cs="Times New Roman"/>
          <w:sz w:val="28"/>
          <w:szCs w:val="28"/>
        </w:rPr>
        <w:t xml:space="preserve"> This new rule fills a gap in the current rules about appeals from a Tax Court decision. The rule simply provides, “Any party aggrieved by a judgment of the Tax Court may appeal as provided by law and by the Arizona Rules of Civil Appellate Procedure (‘ARCAP’).”</w:t>
      </w:r>
      <w:r w:rsidR="00692796">
        <w:rPr>
          <w:rFonts w:ascii="Times New Roman" w:hAnsi="Times New Roman" w:cs="Times New Roman"/>
          <w:sz w:val="28"/>
          <w:szCs w:val="28"/>
        </w:rPr>
        <w:t xml:space="preserve"> This rule is not intended as any substantive expansion of existing appellate rights.</w:t>
      </w:r>
    </w:p>
    <w:p w14:paraId="57D9C8FE" w14:textId="26609AB6" w:rsidR="009A1E34" w:rsidRPr="00EC21AD" w:rsidRDefault="009A1E34" w:rsidP="00481CA3">
      <w:pPr>
        <w:pStyle w:val="NoSpacing"/>
        <w:tabs>
          <w:tab w:val="left" w:pos="792"/>
          <w:tab w:val="left" w:pos="1104"/>
        </w:tabs>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ab/>
      </w:r>
      <w:r w:rsidRPr="00EC21AD">
        <w:rPr>
          <w:rFonts w:ascii="Times New Roman" w:hAnsi="Times New Roman" w:cs="Times New Roman"/>
          <w:b/>
          <w:bCs w:val="0"/>
          <w:i/>
          <w:iCs/>
          <w:sz w:val="28"/>
          <w:szCs w:val="28"/>
        </w:rPr>
        <w:t>Rule 16: “Publication of Tax Court Decisions.”</w:t>
      </w:r>
      <w:r w:rsidRPr="00EC21AD">
        <w:rPr>
          <w:rFonts w:ascii="Times New Roman" w:hAnsi="Times New Roman" w:cs="Times New Roman"/>
          <w:sz w:val="28"/>
          <w:szCs w:val="28"/>
        </w:rPr>
        <w:t xml:space="preserve"> Current Rule 15 (“publication”) allows the Tax Court to designate a decision for publication “upon </w:t>
      </w:r>
      <w:r w:rsidRPr="00EC21AD">
        <w:rPr>
          <w:rFonts w:ascii="Times New Roman" w:hAnsi="Times New Roman" w:cs="Times New Roman"/>
          <w:sz w:val="28"/>
          <w:szCs w:val="28"/>
        </w:rPr>
        <w:lastRenderedPageBreak/>
        <w:t xml:space="preserve">its own motion or upon the motion of either party.” </w:t>
      </w:r>
      <w:r w:rsidR="00481CA3" w:rsidRPr="00EC21AD">
        <w:rPr>
          <w:rFonts w:ascii="Times New Roman" w:hAnsi="Times New Roman" w:cs="Times New Roman"/>
          <w:sz w:val="28"/>
          <w:szCs w:val="28"/>
        </w:rPr>
        <w:t>The Task Force</w:t>
      </w:r>
      <w:r w:rsidRPr="00EC21AD">
        <w:rPr>
          <w:rFonts w:ascii="Times New Roman" w:hAnsi="Times New Roman" w:cs="Times New Roman"/>
          <w:sz w:val="28"/>
          <w:szCs w:val="28"/>
        </w:rPr>
        <w:t xml:space="preserve"> revised this phrase to state, “on the request of any party, judge, or commissioner.” There are no other changes to this short rule.</w:t>
      </w:r>
    </w:p>
    <w:p w14:paraId="01DE3519" w14:textId="46AA7885" w:rsidR="00900BD4" w:rsidRPr="00EC21AD" w:rsidRDefault="009A1E34" w:rsidP="0041613C">
      <w:pPr>
        <w:pStyle w:val="NoSpacing"/>
        <w:spacing w:line="480" w:lineRule="auto"/>
        <w:jc w:val="both"/>
        <w:rPr>
          <w:rFonts w:ascii="Times New Roman" w:hAnsi="Times New Roman" w:cs="Times New Roman"/>
          <w:sz w:val="28"/>
          <w:szCs w:val="28"/>
        </w:rPr>
      </w:pPr>
      <w:r w:rsidRPr="00EC21AD">
        <w:rPr>
          <w:rFonts w:ascii="Times New Roman" w:hAnsi="Times New Roman" w:cs="Times New Roman"/>
          <w:sz w:val="28"/>
          <w:szCs w:val="28"/>
        </w:rPr>
        <w:tab/>
      </w:r>
      <w:r w:rsidRPr="00EC21AD">
        <w:rPr>
          <w:rFonts w:ascii="Times New Roman" w:hAnsi="Times New Roman" w:cs="Times New Roman"/>
          <w:b/>
          <w:bCs w:val="0"/>
          <w:i/>
          <w:iCs/>
          <w:sz w:val="28"/>
          <w:szCs w:val="28"/>
        </w:rPr>
        <w:t xml:space="preserve">Rule 17: “Posting of Tax </w:t>
      </w:r>
      <w:r w:rsidR="00ED238E" w:rsidRPr="00EC21AD">
        <w:rPr>
          <w:rFonts w:ascii="Times New Roman" w:hAnsi="Times New Roman" w:cs="Times New Roman"/>
          <w:b/>
          <w:bCs w:val="0"/>
          <w:i/>
          <w:iCs/>
          <w:sz w:val="28"/>
          <w:szCs w:val="28"/>
        </w:rPr>
        <w:t xml:space="preserve"> </w:t>
      </w:r>
      <w:r w:rsidRPr="00EC21AD">
        <w:rPr>
          <w:rFonts w:ascii="Times New Roman" w:hAnsi="Times New Roman" w:cs="Times New Roman"/>
          <w:b/>
          <w:bCs w:val="0"/>
          <w:i/>
          <w:iCs/>
          <w:sz w:val="28"/>
          <w:szCs w:val="28"/>
        </w:rPr>
        <w:t>Decisions.”</w:t>
      </w:r>
      <w:r w:rsidRPr="00EC21AD">
        <w:rPr>
          <w:rFonts w:ascii="Times New Roman" w:hAnsi="Times New Roman" w:cs="Times New Roman"/>
          <w:sz w:val="28"/>
          <w:szCs w:val="28"/>
        </w:rPr>
        <w:t xml:space="preserve"> This restyled rule is, for the most part, substantively similar to current Rule 15.1 (“distribution of Tax decisions”). Rule 17(a), however, aligns more closely with Rule 17(b) by allowing the Tax Court, “on the request of any party, judge, or commissioner,” to post an unpublished decision. </w:t>
      </w:r>
      <w:r w:rsidR="004C6E55" w:rsidRPr="00EC21AD">
        <w:rPr>
          <w:rFonts w:ascii="Times New Roman" w:hAnsi="Times New Roman" w:cs="Times New Roman"/>
          <w:sz w:val="28"/>
          <w:szCs w:val="28"/>
        </w:rPr>
        <w:t xml:space="preserve">The Task Force </w:t>
      </w:r>
      <w:r w:rsidRPr="00EC21AD">
        <w:rPr>
          <w:rFonts w:ascii="Times New Roman" w:hAnsi="Times New Roman" w:cs="Times New Roman"/>
          <w:sz w:val="28"/>
          <w:szCs w:val="28"/>
        </w:rPr>
        <w:t xml:space="preserve">made other stylistic changes to the body of the rule.  </w:t>
      </w:r>
    </w:p>
    <w:p w14:paraId="09E606B0" w14:textId="14DE6DA5" w:rsidR="009A1E34" w:rsidRPr="00EC21AD" w:rsidRDefault="004C6E55" w:rsidP="00120EF3">
      <w:pPr>
        <w:pStyle w:val="NoSpacing"/>
        <w:spacing w:line="480" w:lineRule="auto"/>
        <w:ind w:firstLine="720"/>
        <w:jc w:val="both"/>
        <w:rPr>
          <w:rFonts w:ascii="Times New Roman" w:hAnsi="Times New Roman" w:cs="Times New Roman"/>
          <w:sz w:val="28"/>
          <w:szCs w:val="28"/>
        </w:rPr>
      </w:pPr>
      <w:r w:rsidRPr="00EC21AD">
        <w:rPr>
          <w:rFonts w:ascii="Times New Roman" w:hAnsi="Times New Roman" w:cs="Times New Roman"/>
          <w:sz w:val="28"/>
          <w:szCs w:val="28"/>
        </w:rPr>
        <w:t>The Task Force</w:t>
      </w:r>
      <w:r w:rsidR="009A1E34" w:rsidRPr="00EC21AD">
        <w:rPr>
          <w:rFonts w:ascii="Times New Roman" w:hAnsi="Times New Roman" w:cs="Times New Roman"/>
          <w:sz w:val="28"/>
          <w:szCs w:val="28"/>
        </w:rPr>
        <w:t xml:space="preserve"> also made changes to the current comment. The comment no longer begins, “The addition of this new rule, </w:t>
      </w:r>
      <w:r w:rsidR="0050151B">
        <w:rPr>
          <w:rFonts w:ascii="Times New Roman" w:hAnsi="Times New Roman" w:cs="Times New Roman"/>
          <w:sz w:val="28"/>
          <w:szCs w:val="28"/>
        </w:rPr>
        <w:t>. . . .</w:t>
      </w:r>
      <w:r w:rsidR="009A1E34" w:rsidRPr="00EC21AD">
        <w:rPr>
          <w:rFonts w:ascii="Times New Roman" w:hAnsi="Times New Roman" w:cs="Times New Roman"/>
          <w:sz w:val="28"/>
          <w:szCs w:val="28"/>
        </w:rPr>
        <w:t>” because this rule was adopted in 2007 and it is no longer new. The concluding sentence of the current comment was deleted as unhelpful. (The last sentence says, “It is intended that unpublished decisions as referred to in this rule include superior court tax decisions not issued by the Tax Court, Tax Court small claim</w:t>
      </w:r>
      <w:r w:rsidR="001964C6">
        <w:rPr>
          <w:rFonts w:ascii="Times New Roman" w:hAnsi="Times New Roman" w:cs="Times New Roman"/>
          <w:sz w:val="28"/>
          <w:szCs w:val="28"/>
        </w:rPr>
        <w:t>s</w:t>
      </w:r>
      <w:r w:rsidR="009A1E34" w:rsidRPr="00EC21AD">
        <w:rPr>
          <w:rFonts w:ascii="Times New Roman" w:hAnsi="Times New Roman" w:cs="Times New Roman"/>
          <w:sz w:val="28"/>
          <w:szCs w:val="28"/>
        </w:rPr>
        <w:t xml:space="preserve"> cases, and any other type of tax decision.”) Note that this restyled rule has a whole number; unlike the current rules, there are no restyled rules in this proposed set with a number to the right of a decimal point. </w:t>
      </w:r>
    </w:p>
    <w:p w14:paraId="015D1626" w14:textId="7FF0EC0C" w:rsidR="00BF6F08" w:rsidRPr="00EC21AD" w:rsidRDefault="00BF6F08" w:rsidP="00C35D4A">
      <w:pPr>
        <w:tabs>
          <w:tab w:val="left" w:pos="1332"/>
        </w:tabs>
        <w:adjustRightInd w:val="0"/>
        <w:spacing w:line="480" w:lineRule="auto"/>
        <w:jc w:val="both"/>
        <w:rPr>
          <w:b/>
          <w:bCs/>
          <w:sz w:val="28"/>
          <w:szCs w:val="28"/>
          <w:u w:val="single"/>
        </w:rPr>
      </w:pPr>
      <w:r w:rsidRPr="00EC21AD">
        <w:rPr>
          <w:b/>
          <w:bCs/>
          <w:sz w:val="28"/>
          <w:szCs w:val="28"/>
          <w:u w:val="single"/>
        </w:rPr>
        <w:t>Part V.</w:t>
      </w:r>
      <w:r w:rsidR="009E436F" w:rsidRPr="00EC21AD">
        <w:rPr>
          <w:b/>
          <w:bCs/>
          <w:sz w:val="28"/>
          <w:szCs w:val="28"/>
          <w:u w:val="single"/>
        </w:rPr>
        <w:t xml:space="preserve"> Small Tax Claims Procedures</w:t>
      </w:r>
    </w:p>
    <w:p w14:paraId="7EF1F6E0" w14:textId="342118ED" w:rsidR="002E7F2A" w:rsidRPr="00EC21AD" w:rsidRDefault="00687291" w:rsidP="00120EF3">
      <w:pPr>
        <w:adjustRightInd w:val="0"/>
        <w:spacing w:line="480" w:lineRule="auto"/>
        <w:jc w:val="both"/>
        <w:rPr>
          <w:sz w:val="28"/>
          <w:szCs w:val="28"/>
        </w:rPr>
      </w:pPr>
      <w:r w:rsidRPr="00EC21AD">
        <w:rPr>
          <w:sz w:val="28"/>
          <w:szCs w:val="28"/>
        </w:rPr>
        <w:tab/>
      </w:r>
      <w:r w:rsidRPr="00120EF3">
        <w:rPr>
          <w:b/>
          <w:bCs/>
          <w:i/>
          <w:iCs/>
          <w:sz w:val="28"/>
          <w:szCs w:val="28"/>
        </w:rPr>
        <w:t>Rule 18: “Application of Small Tax Claims Rules.”</w:t>
      </w:r>
      <w:r w:rsidRPr="00EC21AD">
        <w:rPr>
          <w:sz w:val="28"/>
          <w:szCs w:val="28"/>
        </w:rPr>
        <w:t xml:space="preserve"> </w:t>
      </w:r>
      <w:r w:rsidR="000024E5" w:rsidRPr="00EC21AD">
        <w:rPr>
          <w:sz w:val="28"/>
          <w:szCs w:val="28"/>
        </w:rPr>
        <w:t>This short rule</w:t>
      </w:r>
      <w:r w:rsidR="00555124" w:rsidRPr="00EC21AD">
        <w:rPr>
          <w:sz w:val="28"/>
          <w:szCs w:val="28"/>
        </w:rPr>
        <w:t>, which is analogous to current Rule 17</w:t>
      </w:r>
      <w:r w:rsidR="00FF5FDA" w:rsidRPr="00EC21AD">
        <w:rPr>
          <w:sz w:val="28"/>
          <w:szCs w:val="28"/>
        </w:rPr>
        <w:t xml:space="preserve"> (“small claims procedures”)</w:t>
      </w:r>
      <w:r w:rsidR="000024E5" w:rsidRPr="00EC21AD">
        <w:rPr>
          <w:sz w:val="28"/>
          <w:szCs w:val="28"/>
        </w:rPr>
        <w:t xml:space="preserve"> informs readers that</w:t>
      </w:r>
      <w:r w:rsidR="00813803" w:rsidRPr="00EC21AD">
        <w:rPr>
          <w:sz w:val="28"/>
          <w:szCs w:val="28"/>
        </w:rPr>
        <w:t xml:space="preserve"> Rules </w:t>
      </w:r>
      <w:r w:rsidR="00813803" w:rsidRPr="00EC21AD">
        <w:rPr>
          <w:sz w:val="28"/>
          <w:szCs w:val="28"/>
        </w:rPr>
        <w:lastRenderedPageBreak/>
        <w:t>1 through 17 apply to all Tax Court cases, and Rules 19 through</w:t>
      </w:r>
      <w:r w:rsidR="00453C5E" w:rsidRPr="00EC21AD">
        <w:rPr>
          <w:sz w:val="28"/>
          <w:szCs w:val="28"/>
        </w:rPr>
        <w:t xml:space="preserve"> 26 apply only to small claims cases.</w:t>
      </w:r>
      <w:r w:rsidR="00555124" w:rsidRPr="00EC21AD">
        <w:rPr>
          <w:sz w:val="28"/>
          <w:szCs w:val="28"/>
        </w:rPr>
        <w:t xml:space="preserve"> </w:t>
      </w:r>
    </w:p>
    <w:p w14:paraId="3B9A739E" w14:textId="24A855C6" w:rsidR="002E05C6" w:rsidRPr="00EC21AD" w:rsidRDefault="002E7F2A" w:rsidP="00AA788F">
      <w:pPr>
        <w:adjustRightInd w:val="0"/>
        <w:spacing w:line="480" w:lineRule="auto"/>
        <w:ind w:firstLine="720"/>
        <w:jc w:val="both"/>
        <w:rPr>
          <w:sz w:val="28"/>
          <w:szCs w:val="28"/>
        </w:rPr>
      </w:pPr>
      <w:r w:rsidRPr="00120EF3">
        <w:rPr>
          <w:b/>
          <w:bCs/>
          <w:i/>
          <w:iCs/>
          <w:sz w:val="28"/>
          <w:szCs w:val="28"/>
        </w:rPr>
        <w:t>Rule 19: “Election of Small Claims Procedures.”</w:t>
      </w:r>
      <w:r w:rsidRPr="00EC21AD">
        <w:rPr>
          <w:sz w:val="28"/>
          <w:szCs w:val="28"/>
        </w:rPr>
        <w:t xml:space="preserve"> </w:t>
      </w:r>
      <w:r w:rsidR="009B22CA" w:rsidRPr="00EC21AD">
        <w:rPr>
          <w:sz w:val="28"/>
          <w:szCs w:val="28"/>
        </w:rPr>
        <w:t>This rule corresponds with current Rule 18 (“</w:t>
      </w:r>
      <w:r w:rsidR="004B40D2" w:rsidRPr="00EC21AD">
        <w:rPr>
          <w:sz w:val="28"/>
          <w:szCs w:val="28"/>
        </w:rPr>
        <w:t>election”)</w:t>
      </w:r>
      <w:r w:rsidR="00DE4E94" w:rsidRPr="00EC21AD">
        <w:rPr>
          <w:sz w:val="28"/>
          <w:szCs w:val="28"/>
        </w:rPr>
        <w:t>, and similarly requires a taxpayer to “elect” the use of the small claims procedure</w:t>
      </w:r>
      <w:r w:rsidR="00F7550E" w:rsidRPr="00EC21AD">
        <w:rPr>
          <w:sz w:val="28"/>
          <w:szCs w:val="28"/>
        </w:rPr>
        <w:t>. But u</w:t>
      </w:r>
      <w:r w:rsidR="004B40D2" w:rsidRPr="00EC21AD">
        <w:rPr>
          <w:sz w:val="28"/>
          <w:szCs w:val="28"/>
        </w:rPr>
        <w:t xml:space="preserve">nlike </w:t>
      </w:r>
      <w:r w:rsidR="0047710E">
        <w:rPr>
          <w:sz w:val="28"/>
          <w:szCs w:val="28"/>
        </w:rPr>
        <w:t xml:space="preserve">the </w:t>
      </w:r>
      <w:r w:rsidR="007228D6">
        <w:rPr>
          <w:sz w:val="28"/>
          <w:szCs w:val="28"/>
        </w:rPr>
        <w:t xml:space="preserve">single block paragraph of </w:t>
      </w:r>
      <w:r w:rsidR="004B40D2" w:rsidRPr="00EC21AD">
        <w:rPr>
          <w:sz w:val="28"/>
          <w:szCs w:val="28"/>
        </w:rPr>
        <w:t>the current rule, the proposed rule has several sections</w:t>
      </w:r>
      <w:r w:rsidR="00521C85" w:rsidRPr="00EC21AD">
        <w:rPr>
          <w:sz w:val="28"/>
          <w:szCs w:val="28"/>
        </w:rPr>
        <w:t>, including section (a) (“Election by Plaintiff”),</w:t>
      </w:r>
      <w:r w:rsidR="00E11F73" w:rsidRPr="00EC21AD">
        <w:rPr>
          <w:sz w:val="28"/>
          <w:szCs w:val="28"/>
        </w:rPr>
        <w:t xml:space="preserve"> section (b) (“Election by Taxpayer Defendant”), and (c) </w:t>
      </w:r>
      <w:r w:rsidR="00B12DA9">
        <w:rPr>
          <w:sz w:val="28"/>
          <w:szCs w:val="28"/>
        </w:rPr>
        <w:t>(</w:t>
      </w:r>
      <w:r w:rsidR="00E11F73" w:rsidRPr="00EC21AD">
        <w:rPr>
          <w:sz w:val="28"/>
          <w:szCs w:val="28"/>
        </w:rPr>
        <w:t>“Controverting a Defendant’s Election”)</w:t>
      </w:r>
      <w:r w:rsidR="006A7854">
        <w:rPr>
          <w:sz w:val="28"/>
          <w:szCs w:val="28"/>
        </w:rPr>
        <w:t>.</w:t>
      </w:r>
      <w:r w:rsidR="004B40D2" w:rsidRPr="00EC21AD">
        <w:rPr>
          <w:sz w:val="28"/>
          <w:szCs w:val="28"/>
        </w:rPr>
        <w:t xml:space="preserve"> </w:t>
      </w:r>
      <w:r w:rsidR="00793FD8" w:rsidRPr="00EC21AD">
        <w:rPr>
          <w:sz w:val="28"/>
          <w:szCs w:val="28"/>
        </w:rPr>
        <w:t>By statute,</w:t>
      </w:r>
      <w:r w:rsidR="00C31724" w:rsidRPr="00EC21AD">
        <w:rPr>
          <w:sz w:val="28"/>
          <w:szCs w:val="28"/>
        </w:rPr>
        <w:t xml:space="preserve"> the election to use a small claims procedure</w:t>
      </w:r>
      <w:r w:rsidR="00AA788F" w:rsidRPr="00EC21AD">
        <w:rPr>
          <w:sz w:val="28"/>
          <w:szCs w:val="28"/>
        </w:rPr>
        <w:t xml:space="preserve"> waives </w:t>
      </w:r>
      <w:r w:rsidR="00793FD8" w:rsidRPr="00EC21AD">
        <w:rPr>
          <w:sz w:val="28"/>
          <w:szCs w:val="28"/>
        </w:rPr>
        <w:t>a right to appeal, and to inform</w:t>
      </w:r>
      <w:r w:rsidR="004F6326" w:rsidRPr="00EC21AD">
        <w:rPr>
          <w:sz w:val="28"/>
          <w:szCs w:val="28"/>
        </w:rPr>
        <w:t xml:space="preserve"> readers of this important </w:t>
      </w:r>
      <w:r w:rsidR="00341128" w:rsidRPr="00EC21AD">
        <w:rPr>
          <w:sz w:val="28"/>
          <w:szCs w:val="28"/>
        </w:rPr>
        <w:t>point</w:t>
      </w:r>
      <w:r w:rsidR="004F6326" w:rsidRPr="00EC21AD">
        <w:rPr>
          <w:sz w:val="28"/>
          <w:szCs w:val="28"/>
        </w:rPr>
        <w:t xml:space="preserve">, </w:t>
      </w:r>
      <w:r w:rsidR="00793FD8" w:rsidRPr="00EC21AD">
        <w:rPr>
          <w:sz w:val="28"/>
          <w:szCs w:val="28"/>
        </w:rPr>
        <w:t>the Task Force</w:t>
      </w:r>
      <w:r w:rsidR="004F6326" w:rsidRPr="00EC21AD">
        <w:rPr>
          <w:sz w:val="28"/>
          <w:szCs w:val="28"/>
        </w:rPr>
        <w:t xml:space="preserve"> added section (d)</w:t>
      </w:r>
      <w:r w:rsidR="00F42A75" w:rsidRPr="00EC21AD">
        <w:rPr>
          <w:sz w:val="28"/>
          <w:szCs w:val="28"/>
        </w:rPr>
        <w:t>, which provides:</w:t>
      </w:r>
    </w:p>
    <w:p w14:paraId="380F3004" w14:textId="59897D29" w:rsidR="00F42A75" w:rsidRPr="00EC21AD" w:rsidRDefault="00B538A2" w:rsidP="0008562E">
      <w:pPr>
        <w:pStyle w:val="NoSpacing"/>
        <w:ind w:left="720"/>
        <w:jc w:val="both"/>
        <w:rPr>
          <w:rFonts w:ascii="Times New Roman" w:hAnsi="Times New Roman" w:cs="Times New Roman"/>
          <w:sz w:val="28"/>
          <w:szCs w:val="28"/>
        </w:rPr>
      </w:pPr>
      <w:r w:rsidRPr="00EC21AD">
        <w:rPr>
          <w:rFonts w:ascii="Times New Roman" w:hAnsi="Times New Roman" w:cs="Times New Roman"/>
          <w:b/>
          <w:sz w:val="28"/>
          <w:szCs w:val="28"/>
        </w:rPr>
        <w:t xml:space="preserve">No Right to Appeal. </w:t>
      </w:r>
      <w:r w:rsidRPr="00EC21AD">
        <w:rPr>
          <w:rFonts w:ascii="Times New Roman" w:hAnsi="Times New Roman" w:cs="Times New Roman"/>
          <w:bCs w:val="0"/>
          <w:sz w:val="28"/>
          <w:szCs w:val="28"/>
        </w:rPr>
        <w:t xml:space="preserve">Pursuant to </w:t>
      </w:r>
      <w:r w:rsidRPr="00EC21AD">
        <w:rPr>
          <w:rFonts w:ascii="Times New Roman" w:hAnsi="Times New Roman" w:cs="Times New Roman"/>
          <w:sz w:val="28"/>
          <w:szCs w:val="28"/>
        </w:rPr>
        <w:t xml:space="preserve">A.R.S. § 12-174, there is no right to appeal judgments in Small Tax Claims cases. </w:t>
      </w:r>
    </w:p>
    <w:p w14:paraId="36AF37D0" w14:textId="77777777" w:rsidR="0008562E" w:rsidRPr="00A7434F" w:rsidRDefault="0008562E" w:rsidP="00120EF3">
      <w:pPr>
        <w:pStyle w:val="NoSpacing"/>
        <w:ind w:left="720"/>
        <w:jc w:val="both"/>
        <w:rPr>
          <w:sz w:val="28"/>
          <w:szCs w:val="28"/>
        </w:rPr>
      </w:pPr>
    </w:p>
    <w:p w14:paraId="5BA403C5" w14:textId="430CE7D3" w:rsidR="00697FD6"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20: “Reclassification of a Small Tax Claim</w:t>
      </w:r>
      <w:r w:rsidR="001964C6">
        <w:rPr>
          <w:rFonts w:ascii="Times New Roman" w:hAnsi="Times New Roman" w:cs="Times New Roman"/>
          <w:b/>
          <w:bCs w:val="0"/>
          <w:i/>
          <w:iCs/>
          <w:sz w:val="28"/>
          <w:szCs w:val="28"/>
        </w:rPr>
        <w:t>s</w:t>
      </w:r>
      <w:r w:rsidRPr="00120EF3">
        <w:rPr>
          <w:rFonts w:ascii="Times New Roman" w:hAnsi="Times New Roman" w:cs="Times New Roman"/>
          <w:b/>
          <w:bCs w:val="0"/>
          <w:i/>
          <w:iCs/>
          <w:sz w:val="28"/>
          <w:szCs w:val="28"/>
        </w:rPr>
        <w:t xml:space="preserve"> Case After a Defendant’s Election.”</w:t>
      </w:r>
      <w:r w:rsidRPr="00120EF3">
        <w:rPr>
          <w:rFonts w:ascii="Times New Roman" w:hAnsi="Times New Roman" w:cs="Times New Roman"/>
          <w:sz w:val="28"/>
          <w:szCs w:val="28"/>
        </w:rPr>
        <w:t xml:space="preserve"> </w:t>
      </w:r>
      <w:r w:rsidR="00195347" w:rsidRPr="00120EF3">
        <w:rPr>
          <w:rFonts w:ascii="Times New Roman" w:hAnsi="Times New Roman" w:cs="Times New Roman"/>
          <w:sz w:val="28"/>
          <w:szCs w:val="28"/>
        </w:rPr>
        <w:t>Th</w:t>
      </w:r>
      <w:r w:rsidR="00673685" w:rsidRPr="00120EF3">
        <w:rPr>
          <w:rFonts w:ascii="Times New Roman" w:hAnsi="Times New Roman" w:cs="Times New Roman"/>
          <w:sz w:val="28"/>
          <w:szCs w:val="28"/>
        </w:rPr>
        <w:t>is rule corresponds with current Rule 19 (“reclassification when defendant taxpayer elects”)</w:t>
      </w:r>
      <w:r w:rsidR="00EC2D60" w:rsidRPr="00120EF3">
        <w:rPr>
          <w:rFonts w:ascii="Times New Roman" w:hAnsi="Times New Roman" w:cs="Times New Roman"/>
          <w:sz w:val="28"/>
          <w:szCs w:val="28"/>
        </w:rPr>
        <w:t>, although the restyled rule is stated in the active voice</w:t>
      </w:r>
      <w:r w:rsidR="00746CD3" w:rsidRPr="00120EF3">
        <w:rPr>
          <w:rFonts w:ascii="Times New Roman" w:hAnsi="Times New Roman" w:cs="Times New Roman"/>
          <w:sz w:val="28"/>
          <w:szCs w:val="28"/>
        </w:rPr>
        <w:t xml:space="preserve"> and change</w:t>
      </w:r>
      <w:r w:rsidR="00771910">
        <w:rPr>
          <w:rFonts w:ascii="Times New Roman" w:hAnsi="Times New Roman" w:cs="Times New Roman"/>
          <w:sz w:val="28"/>
          <w:szCs w:val="28"/>
        </w:rPr>
        <w:t>d</w:t>
      </w:r>
      <w:r w:rsidRPr="00120EF3">
        <w:rPr>
          <w:rFonts w:ascii="Times New Roman" w:hAnsi="Times New Roman" w:cs="Times New Roman"/>
          <w:sz w:val="28"/>
          <w:szCs w:val="28"/>
        </w:rPr>
        <w:t xml:space="preserve"> “clerk” to “Clerk’s Office” (now, “the Clerk’s Office must assign the case a new number</w:t>
      </w:r>
      <w:r w:rsidR="00240ACA">
        <w:rPr>
          <w:rFonts w:ascii="Times New Roman" w:hAnsi="Times New Roman" w:cs="Times New Roman"/>
          <w:sz w:val="28"/>
          <w:szCs w:val="28"/>
        </w:rPr>
        <w:t xml:space="preserve"> . . . .</w:t>
      </w:r>
      <w:r w:rsidRPr="00120EF3">
        <w:rPr>
          <w:rFonts w:ascii="Times New Roman" w:hAnsi="Times New Roman" w:cs="Times New Roman"/>
          <w:sz w:val="28"/>
          <w:szCs w:val="28"/>
        </w:rPr>
        <w:t xml:space="preserve">”). </w:t>
      </w:r>
      <w:r w:rsidR="00746CD3" w:rsidRPr="00120EF3">
        <w:rPr>
          <w:rFonts w:ascii="Times New Roman" w:hAnsi="Times New Roman" w:cs="Times New Roman"/>
          <w:sz w:val="28"/>
          <w:szCs w:val="28"/>
        </w:rPr>
        <w:t>The Task Force</w:t>
      </w:r>
      <w:r w:rsidRPr="00120EF3">
        <w:rPr>
          <w:rFonts w:ascii="Times New Roman" w:hAnsi="Times New Roman" w:cs="Times New Roman"/>
          <w:sz w:val="28"/>
          <w:szCs w:val="28"/>
        </w:rPr>
        <w:t xml:space="preserve"> considered replacing the word “controverted,” which appears twice in Rule 20, with a simpler word, such as “opposed.” </w:t>
      </w:r>
      <w:r w:rsidR="00746CD3" w:rsidRPr="00120EF3">
        <w:rPr>
          <w:rFonts w:ascii="Times New Roman" w:hAnsi="Times New Roman" w:cs="Times New Roman"/>
          <w:sz w:val="28"/>
          <w:szCs w:val="28"/>
        </w:rPr>
        <w:t>It</w:t>
      </w:r>
      <w:r w:rsidRPr="00120EF3">
        <w:rPr>
          <w:rFonts w:ascii="Times New Roman" w:hAnsi="Times New Roman" w:cs="Times New Roman"/>
          <w:sz w:val="28"/>
          <w:szCs w:val="28"/>
        </w:rPr>
        <w:t xml:space="preserve"> observed, however, that “controverted” is used in the Civil Rules on compulsory arbitration, and that “controverted” has not been problematic in either </w:t>
      </w:r>
      <w:r w:rsidRPr="00120EF3">
        <w:rPr>
          <w:rFonts w:ascii="Times New Roman" w:hAnsi="Times New Roman" w:cs="Times New Roman"/>
          <w:sz w:val="28"/>
          <w:szCs w:val="28"/>
        </w:rPr>
        <w:lastRenderedPageBreak/>
        <w:t xml:space="preserve">those rules or the Tax Court rules. Accordingly, </w:t>
      </w:r>
      <w:r w:rsidR="00746CD3" w:rsidRPr="00120EF3">
        <w:rPr>
          <w:rFonts w:ascii="Times New Roman" w:hAnsi="Times New Roman" w:cs="Times New Roman"/>
          <w:sz w:val="28"/>
          <w:szCs w:val="28"/>
        </w:rPr>
        <w:t>it</w:t>
      </w:r>
      <w:r w:rsidRPr="00120EF3">
        <w:rPr>
          <w:rFonts w:ascii="Times New Roman" w:hAnsi="Times New Roman" w:cs="Times New Roman"/>
          <w:sz w:val="28"/>
          <w:szCs w:val="28"/>
        </w:rPr>
        <w:t xml:space="preserve"> declined to substitute a different word.</w:t>
      </w:r>
    </w:p>
    <w:p w14:paraId="4B10F465" w14:textId="198CE165" w:rsidR="0008562E"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21: “Reclassification When Small Tax Claim</w:t>
      </w:r>
      <w:r w:rsidR="00240ACA">
        <w:rPr>
          <w:rFonts w:ascii="Times New Roman" w:hAnsi="Times New Roman" w:cs="Times New Roman"/>
          <w:b/>
          <w:bCs w:val="0"/>
          <w:i/>
          <w:iCs/>
          <w:sz w:val="28"/>
          <w:szCs w:val="28"/>
        </w:rPr>
        <w:t>s</w:t>
      </w:r>
      <w:r w:rsidRPr="00120EF3">
        <w:rPr>
          <w:rFonts w:ascii="Times New Roman" w:hAnsi="Times New Roman" w:cs="Times New Roman"/>
          <w:b/>
          <w:bCs w:val="0"/>
          <w:i/>
          <w:iCs/>
          <w:sz w:val="28"/>
          <w:szCs w:val="28"/>
        </w:rPr>
        <w:t xml:space="preserve"> Requirements Not Met.”</w:t>
      </w:r>
      <w:r w:rsidRPr="00120EF3">
        <w:rPr>
          <w:rFonts w:ascii="Times New Roman" w:hAnsi="Times New Roman" w:cs="Times New Roman"/>
          <w:sz w:val="28"/>
          <w:szCs w:val="28"/>
        </w:rPr>
        <w:t xml:space="preserve"> </w:t>
      </w:r>
      <w:r w:rsidR="00DD1919" w:rsidRPr="00120EF3">
        <w:rPr>
          <w:rFonts w:ascii="Times New Roman" w:hAnsi="Times New Roman" w:cs="Times New Roman"/>
          <w:sz w:val="28"/>
          <w:szCs w:val="28"/>
        </w:rPr>
        <w:t>This rule corresponds with current Rule 20</w:t>
      </w:r>
      <w:r w:rsidR="008A13D7" w:rsidRPr="00120EF3">
        <w:rPr>
          <w:rFonts w:ascii="Times New Roman" w:hAnsi="Times New Roman" w:cs="Times New Roman"/>
          <w:sz w:val="28"/>
          <w:szCs w:val="28"/>
        </w:rPr>
        <w:t xml:space="preserve"> (“reclassification when requirements not met”)</w:t>
      </w:r>
      <w:r w:rsidR="004E4E76" w:rsidRPr="00120EF3">
        <w:rPr>
          <w:rFonts w:ascii="Times New Roman" w:hAnsi="Times New Roman" w:cs="Times New Roman"/>
          <w:sz w:val="28"/>
          <w:szCs w:val="28"/>
        </w:rPr>
        <w:t xml:space="preserve">, although the restyled rule is </w:t>
      </w:r>
      <w:r w:rsidR="0010084E" w:rsidRPr="00120EF3">
        <w:rPr>
          <w:rFonts w:ascii="Times New Roman" w:hAnsi="Times New Roman" w:cs="Times New Roman"/>
          <w:sz w:val="28"/>
          <w:szCs w:val="28"/>
        </w:rPr>
        <w:t>in two sections rather than a single paragraph</w:t>
      </w:r>
      <w:r w:rsidR="008A13D7" w:rsidRPr="00120EF3">
        <w:rPr>
          <w:rFonts w:ascii="Times New Roman" w:hAnsi="Times New Roman" w:cs="Times New Roman"/>
          <w:sz w:val="28"/>
          <w:szCs w:val="28"/>
        </w:rPr>
        <w:t xml:space="preserve">. </w:t>
      </w:r>
      <w:r w:rsidRPr="00120EF3">
        <w:rPr>
          <w:rFonts w:ascii="Times New Roman" w:hAnsi="Times New Roman" w:cs="Times New Roman"/>
          <w:sz w:val="28"/>
          <w:szCs w:val="28"/>
        </w:rPr>
        <w:t xml:space="preserve">In two instances, one in section (a) (“reclassification generally”) and the other in section (b) (“fees”), </w:t>
      </w:r>
      <w:r w:rsidR="001E5CB4">
        <w:rPr>
          <w:rFonts w:ascii="Times New Roman" w:hAnsi="Times New Roman" w:cs="Times New Roman"/>
          <w:sz w:val="28"/>
          <w:szCs w:val="28"/>
        </w:rPr>
        <w:t xml:space="preserve">the Task Force </w:t>
      </w:r>
      <w:r w:rsidRPr="00120EF3">
        <w:rPr>
          <w:rFonts w:ascii="Times New Roman" w:hAnsi="Times New Roman" w:cs="Times New Roman"/>
          <w:sz w:val="28"/>
          <w:szCs w:val="28"/>
        </w:rPr>
        <w:t>again changed “clerk” to “Clerk’s Office.” And in a phrase in section (a) that begins “must then assign the case a new number as provided in Rule 4,”</w:t>
      </w:r>
      <w:r w:rsidR="009F4AE8" w:rsidRPr="00120EF3">
        <w:rPr>
          <w:rFonts w:ascii="Times New Roman" w:hAnsi="Times New Roman" w:cs="Times New Roman"/>
          <w:sz w:val="28"/>
          <w:szCs w:val="28"/>
        </w:rPr>
        <w:t xml:space="preserve"> the Task Force</w:t>
      </w:r>
      <w:r w:rsidRPr="00120EF3">
        <w:rPr>
          <w:rFonts w:ascii="Times New Roman" w:hAnsi="Times New Roman" w:cs="Times New Roman"/>
          <w:sz w:val="28"/>
          <w:szCs w:val="28"/>
        </w:rPr>
        <w:t xml:space="preserve"> changed the rule reference to Rule 8, which is the correct reference </w:t>
      </w:r>
      <w:r w:rsidR="00F94825">
        <w:rPr>
          <w:rFonts w:ascii="Times New Roman" w:hAnsi="Times New Roman" w:cs="Times New Roman"/>
          <w:sz w:val="28"/>
          <w:szCs w:val="28"/>
        </w:rPr>
        <w:t>under</w:t>
      </w:r>
      <w:r w:rsidRPr="00120EF3">
        <w:rPr>
          <w:rFonts w:ascii="Times New Roman" w:hAnsi="Times New Roman" w:cs="Times New Roman"/>
          <w:sz w:val="28"/>
          <w:szCs w:val="28"/>
        </w:rPr>
        <w:t xml:space="preserve"> the </w:t>
      </w:r>
      <w:r w:rsidR="009F4AE8" w:rsidRPr="00120EF3">
        <w:rPr>
          <w:rFonts w:ascii="Times New Roman" w:hAnsi="Times New Roman" w:cs="Times New Roman"/>
          <w:sz w:val="28"/>
          <w:szCs w:val="28"/>
        </w:rPr>
        <w:t xml:space="preserve">proposed </w:t>
      </w:r>
      <w:r w:rsidRPr="00120EF3">
        <w:rPr>
          <w:rFonts w:ascii="Times New Roman" w:hAnsi="Times New Roman" w:cs="Times New Roman"/>
          <w:sz w:val="28"/>
          <w:szCs w:val="28"/>
        </w:rPr>
        <w:t>revisions.</w:t>
      </w:r>
    </w:p>
    <w:p w14:paraId="1DAB619F" w14:textId="29DD87A3" w:rsidR="0008562E"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22: “Clerk’s Office Service of Small Tax Claim Complaint.”</w:t>
      </w:r>
      <w:r w:rsidRPr="00120EF3">
        <w:rPr>
          <w:rFonts w:ascii="Times New Roman" w:hAnsi="Times New Roman" w:cs="Times New Roman"/>
          <w:sz w:val="28"/>
          <w:szCs w:val="28"/>
        </w:rPr>
        <w:t xml:space="preserve"> </w:t>
      </w:r>
      <w:r w:rsidR="009F6EF0" w:rsidRPr="00120EF3">
        <w:rPr>
          <w:rFonts w:ascii="Times New Roman" w:hAnsi="Times New Roman" w:cs="Times New Roman"/>
          <w:sz w:val="28"/>
          <w:szCs w:val="28"/>
        </w:rPr>
        <w:t>This rule is based on current Rule 21 (“clerk to serve small tax</w:t>
      </w:r>
      <w:r w:rsidR="00C517C8" w:rsidRPr="00120EF3">
        <w:rPr>
          <w:rFonts w:ascii="Times New Roman" w:hAnsi="Times New Roman" w:cs="Times New Roman"/>
          <w:sz w:val="28"/>
          <w:szCs w:val="28"/>
        </w:rPr>
        <w:t xml:space="preserve"> complaint”)</w:t>
      </w:r>
      <w:r w:rsidR="000B450B">
        <w:rPr>
          <w:rFonts w:ascii="Times New Roman" w:hAnsi="Times New Roman" w:cs="Times New Roman"/>
          <w:sz w:val="28"/>
          <w:szCs w:val="28"/>
        </w:rPr>
        <w:t>.</w:t>
      </w:r>
      <w:r w:rsidRPr="00120EF3">
        <w:rPr>
          <w:rFonts w:ascii="Times New Roman" w:hAnsi="Times New Roman" w:cs="Times New Roman"/>
          <w:sz w:val="28"/>
          <w:szCs w:val="28"/>
        </w:rPr>
        <w:t xml:space="preserve"> For consistency with other rules, and for the same rationale,</w:t>
      </w:r>
      <w:r w:rsidR="00C517C8" w:rsidRPr="00120EF3">
        <w:rPr>
          <w:rFonts w:ascii="Times New Roman" w:hAnsi="Times New Roman" w:cs="Times New Roman"/>
          <w:sz w:val="28"/>
          <w:szCs w:val="28"/>
        </w:rPr>
        <w:t xml:space="preserve"> the Task Force</w:t>
      </w:r>
      <w:r w:rsidRPr="00120EF3">
        <w:rPr>
          <w:rFonts w:ascii="Times New Roman" w:hAnsi="Times New Roman" w:cs="Times New Roman"/>
          <w:sz w:val="28"/>
          <w:szCs w:val="28"/>
        </w:rPr>
        <w:t xml:space="preserve"> changed the word “Clerk” in the title of this rule to “Clerk’s Office,” and “</w:t>
      </w:r>
      <w:r w:rsidR="001A6706" w:rsidRPr="00120EF3">
        <w:rPr>
          <w:rFonts w:ascii="Times New Roman" w:hAnsi="Times New Roman" w:cs="Times New Roman"/>
          <w:sz w:val="28"/>
          <w:szCs w:val="28"/>
        </w:rPr>
        <w:t>Clerk of the Tax Court</w:t>
      </w:r>
      <w:r w:rsidRPr="00120EF3">
        <w:rPr>
          <w:rFonts w:ascii="Times New Roman" w:hAnsi="Times New Roman" w:cs="Times New Roman"/>
          <w:sz w:val="28"/>
          <w:szCs w:val="28"/>
        </w:rPr>
        <w:t xml:space="preserve">” in the first sentence </w:t>
      </w:r>
      <w:r w:rsidR="00F831DF">
        <w:rPr>
          <w:rFonts w:ascii="Times New Roman" w:hAnsi="Times New Roman" w:cs="Times New Roman"/>
          <w:sz w:val="28"/>
          <w:szCs w:val="28"/>
        </w:rPr>
        <w:t xml:space="preserve">of the current rule </w:t>
      </w:r>
      <w:r w:rsidRPr="00120EF3">
        <w:rPr>
          <w:rFonts w:ascii="Times New Roman" w:hAnsi="Times New Roman" w:cs="Times New Roman"/>
          <w:sz w:val="28"/>
          <w:szCs w:val="28"/>
        </w:rPr>
        <w:t xml:space="preserve">to “Clerk’s Office” </w:t>
      </w:r>
      <w:r w:rsidR="00F831DF">
        <w:rPr>
          <w:rFonts w:ascii="Times New Roman" w:hAnsi="Times New Roman" w:cs="Times New Roman"/>
          <w:sz w:val="28"/>
          <w:szCs w:val="28"/>
        </w:rPr>
        <w:t>in the proposed version.</w:t>
      </w:r>
    </w:p>
    <w:p w14:paraId="175CE9A2" w14:textId="4CAFA526" w:rsidR="0008562E"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23: “Representation in Small Tax Claims Cases.”</w:t>
      </w:r>
      <w:r w:rsidRPr="00120EF3">
        <w:rPr>
          <w:rFonts w:ascii="Times New Roman" w:hAnsi="Times New Roman" w:cs="Times New Roman"/>
          <w:sz w:val="28"/>
          <w:szCs w:val="28"/>
        </w:rPr>
        <w:t xml:space="preserve"> A.R.S. § 12-174(B) permits a party in a small claims case to be self-represented, represented by an attorney, or represented by “any other person the court allows to participate in the hearing.” Current Rule 22 (“non-lawyer representation in small tax claims”) provides that the Tax Court “shall establish a procedure consistent with the Statute </w:t>
      </w:r>
      <w:r w:rsidRPr="00120EF3">
        <w:rPr>
          <w:rFonts w:ascii="Times New Roman" w:hAnsi="Times New Roman" w:cs="Times New Roman"/>
          <w:sz w:val="28"/>
          <w:szCs w:val="28"/>
        </w:rPr>
        <w:lastRenderedPageBreak/>
        <w:t xml:space="preserve">and Rules of Court” for permitting non-lawyer representation. </w:t>
      </w:r>
      <w:r w:rsidR="004E6916" w:rsidRPr="00120EF3">
        <w:rPr>
          <w:rFonts w:ascii="Times New Roman" w:hAnsi="Times New Roman" w:cs="Times New Roman"/>
          <w:sz w:val="28"/>
          <w:szCs w:val="28"/>
        </w:rPr>
        <w:t>The Task Force</w:t>
      </w:r>
      <w:r w:rsidRPr="00120EF3">
        <w:rPr>
          <w:rFonts w:ascii="Times New Roman" w:hAnsi="Times New Roman" w:cs="Times New Roman"/>
          <w:sz w:val="28"/>
          <w:szCs w:val="28"/>
        </w:rPr>
        <w:t xml:space="preserve"> discussed the current procedure, which includes an online posting of an application for non-lawyer representation</w:t>
      </w:r>
      <w:r w:rsidR="00A86C2F">
        <w:rPr>
          <w:rFonts w:ascii="Times New Roman" w:hAnsi="Times New Roman" w:cs="Times New Roman"/>
          <w:sz w:val="28"/>
          <w:szCs w:val="28"/>
        </w:rPr>
        <w:t>,</w:t>
      </w:r>
      <w:r w:rsidRPr="00120EF3">
        <w:rPr>
          <w:rFonts w:ascii="Times New Roman" w:hAnsi="Times New Roman" w:cs="Times New Roman"/>
          <w:sz w:val="28"/>
          <w:szCs w:val="28"/>
        </w:rPr>
        <w:t xml:space="preserve"> and the maintenance by court staff of a list of approved applications with assigned “TXR” numbers. Several individuals on that list are CPAs, and no new applications have been submitted during the Chair’s term as presiding Tax Court judge.</w:t>
      </w:r>
    </w:p>
    <w:p w14:paraId="3CFDBB48" w14:textId="75EFF016" w:rsidR="0008562E"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sz w:val="28"/>
          <w:szCs w:val="28"/>
        </w:rPr>
        <w:t xml:space="preserve">To align the rule with the procedure, members modified the second sentence of this </w:t>
      </w:r>
      <w:r w:rsidR="00C82214" w:rsidRPr="00120EF3">
        <w:rPr>
          <w:rFonts w:ascii="Times New Roman" w:hAnsi="Times New Roman" w:cs="Times New Roman"/>
          <w:sz w:val="28"/>
          <w:szCs w:val="28"/>
        </w:rPr>
        <w:t xml:space="preserve">proposed </w:t>
      </w:r>
      <w:r w:rsidRPr="00120EF3">
        <w:rPr>
          <w:rFonts w:ascii="Times New Roman" w:hAnsi="Times New Roman" w:cs="Times New Roman"/>
          <w:sz w:val="28"/>
          <w:szCs w:val="28"/>
        </w:rPr>
        <w:t>rule to provide, “The Tax Court must provide and post on its website a written application for this purpose.”</w:t>
      </w:r>
      <w:r w:rsidR="003F7DE8" w:rsidRPr="00120EF3">
        <w:rPr>
          <w:rFonts w:ascii="Times New Roman" w:hAnsi="Times New Roman" w:cs="Times New Roman"/>
          <w:sz w:val="28"/>
          <w:szCs w:val="28"/>
        </w:rPr>
        <w:t xml:space="preserve"> The Task Force</w:t>
      </w:r>
      <w:r w:rsidRPr="00120EF3">
        <w:rPr>
          <w:rFonts w:ascii="Times New Roman" w:hAnsi="Times New Roman" w:cs="Times New Roman"/>
          <w:sz w:val="28"/>
          <w:szCs w:val="28"/>
        </w:rPr>
        <w:t xml:space="preserve"> also concluded that the word “non-lawyer” in the rule’s title was unnecessary and deleted it.</w:t>
      </w:r>
    </w:p>
    <w:p w14:paraId="6823A8BC" w14:textId="01F846CC" w:rsidR="0008562E"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24: “Dismissal of Small Tax Claims Cases.”</w:t>
      </w:r>
      <w:r w:rsidRPr="00120EF3">
        <w:rPr>
          <w:rFonts w:ascii="Times New Roman" w:hAnsi="Times New Roman" w:cs="Times New Roman"/>
          <w:sz w:val="28"/>
          <w:szCs w:val="28"/>
        </w:rPr>
        <w:t xml:space="preserve"> </w:t>
      </w:r>
      <w:r w:rsidR="00203C00" w:rsidRPr="00120EF3">
        <w:rPr>
          <w:rFonts w:ascii="Times New Roman" w:hAnsi="Times New Roman" w:cs="Times New Roman"/>
          <w:sz w:val="28"/>
          <w:szCs w:val="28"/>
        </w:rPr>
        <w:t xml:space="preserve">The title of the corresponding current rule, Rule 23, is “dismissal before judgment.” </w:t>
      </w:r>
      <w:r w:rsidRPr="00120EF3">
        <w:rPr>
          <w:rFonts w:ascii="Times New Roman" w:hAnsi="Times New Roman" w:cs="Times New Roman"/>
          <w:sz w:val="28"/>
          <w:szCs w:val="28"/>
        </w:rPr>
        <w:t>In the first sentence of th</w:t>
      </w:r>
      <w:r w:rsidR="00E55C55" w:rsidRPr="00120EF3">
        <w:rPr>
          <w:rFonts w:ascii="Times New Roman" w:hAnsi="Times New Roman" w:cs="Times New Roman"/>
          <w:sz w:val="28"/>
          <w:szCs w:val="28"/>
        </w:rPr>
        <w:t>e proposed</w:t>
      </w:r>
      <w:r w:rsidRPr="00120EF3">
        <w:rPr>
          <w:rFonts w:ascii="Times New Roman" w:hAnsi="Times New Roman" w:cs="Times New Roman"/>
          <w:sz w:val="28"/>
          <w:szCs w:val="28"/>
        </w:rPr>
        <w:t xml:space="preserve"> rule, which pertains to the filing of a notice of dismissal, </w:t>
      </w:r>
      <w:r w:rsidR="00E55C55" w:rsidRPr="00120EF3">
        <w:rPr>
          <w:rFonts w:ascii="Times New Roman" w:hAnsi="Times New Roman" w:cs="Times New Roman"/>
          <w:sz w:val="28"/>
          <w:szCs w:val="28"/>
        </w:rPr>
        <w:t>the Task Force</w:t>
      </w:r>
      <w:r w:rsidRPr="00120EF3">
        <w:rPr>
          <w:rFonts w:ascii="Times New Roman" w:hAnsi="Times New Roman" w:cs="Times New Roman"/>
          <w:sz w:val="28"/>
          <w:szCs w:val="28"/>
        </w:rPr>
        <w:t xml:space="preserve"> changed “Tax Court clerk” to “Clerk’s Office.” The proposed rule, like the current rule, permits the filing of a notice “before an opposing party serves either an answer or a motion for summary judgment.” Members discussed changing “motion for summary judgment” to “other response,” but they concluded that “motion for summary judgment” was appropriate because it’s used in a similar manner in corresponding Civil Rule 41(a)(1)(A)(i). A subsequent sentence of </w:t>
      </w:r>
      <w:r w:rsidR="00587DD5">
        <w:rPr>
          <w:rFonts w:ascii="Times New Roman" w:hAnsi="Times New Roman" w:cs="Times New Roman"/>
          <w:sz w:val="28"/>
          <w:szCs w:val="28"/>
        </w:rPr>
        <w:t>propose</w:t>
      </w:r>
      <w:r w:rsidR="00FE3E84">
        <w:rPr>
          <w:rFonts w:ascii="Times New Roman" w:hAnsi="Times New Roman" w:cs="Times New Roman"/>
          <w:sz w:val="28"/>
          <w:szCs w:val="28"/>
        </w:rPr>
        <w:t xml:space="preserve">d </w:t>
      </w:r>
      <w:r w:rsidRPr="00120EF3">
        <w:rPr>
          <w:rFonts w:ascii="Times New Roman" w:hAnsi="Times New Roman" w:cs="Times New Roman"/>
          <w:sz w:val="28"/>
          <w:szCs w:val="28"/>
        </w:rPr>
        <w:t xml:space="preserve">Rule 24 concerns the signing of a dismissal order, which members </w:t>
      </w:r>
      <w:r w:rsidRPr="00120EF3">
        <w:rPr>
          <w:rFonts w:ascii="Times New Roman" w:hAnsi="Times New Roman" w:cs="Times New Roman"/>
          <w:sz w:val="28"/>
          <w:szCs w:val="28"/>
        </w:rPr>
        <w:lastRenderedPageBreak/>
        <w:t>modified to provide that it may be signed by the Tax Court clerk (with a small “c” rather than a capital</w:t>
      </w:r>
      <w:r w:rsidR="00FE3E84">
        <w:rPr>
          <w:rFonts w:ascii="Times New Roman" w:hAnsi="Times New Roman" w:cs="Times New Roman"/>
          <w:sz w:val="28"/>
          <w:szCs w:val="28"/>
        </w:rPr>
        <w:t xml:space="preserve"> “C”</w:t>
      </w:r>
      <w:r w:rsidRPr="00120EF3">
        <w:rPr>
          <w:rFonts w:ascii="Times New Roman" w:hAnsi="Times New Roman" w:cs="Times New Roman"/>
          <w:sz w:val="28"/>
          <w:szCs w:val="28"/>
        </w:rPr>
        <w:t>)</w:t>
      </w:r>
      <w:r w:rsidR="00611FC1">
        <w:rPr>
          <w:rFonts w:ascii="Times New Roman" w:hAnsi="Times New Roman" w:cs="Times New Roman"/>
          <w:sz w:val="28"/>
          <w:szCs w:val="28"/>
        </w:rPr>
        <w:t>.</w:t>
      </w:r>
      <w:r w:rsidR="0022781E" w:rsidRPr="00120EF3">
        <w:rPr>
          <w:rFonts w:ascii="Times New Roman" w:hAnsi="Times New Roman" w:cs="Times New Roman"/>
          <w:sz w:val="28"/>
          <w:szCs w:val="28"/>
        </w:rPr>
        <w:t xml:space="preserve"> Like the current rule, the proposed rule provides that the dis</w:t>
      </w:r>
      <w:r w:rsidR="00167A73" w:rsidRPr="00120EF3">
        <w:rPr>
          <w:rFonts w:ascii="Times New Roman" w:hAnsi="Times New Roman" w:cs="Times New Roman"/>
          <w:sz w:val="28"/>
          <w:szCs w:val="28"/>
        </w:rPr>
        <w:t>missal is “with prejudice,” but unlike the current rule, the proposed rule explains the meaning of that term (</w:t>
      </w:r>
      <w:r w:rsidR="00AC67C4" w:rsidRPr="00120EF3">
        <w:rPr>
          <w:rFonts w:ascii="Times New Roman" w:hAnsi="Times New Roman" w:cs="Times New Roman"/>
          <w:sz w:val="28"/>
          <w:szCs w:val="28"/>
        </w:rPr>
        <w:t>“</w:t>
      </w:r>
      <w:r w:rsidR="00C73947" w:rsidRPr="00EC21AD">
        <w:rPr>
          <w:rFonts w:ascii="Times New Roman" w:hAnsi="Times New Roman" w:cs="Times New Roman"/>
          <w:sz w:val="28"/>
          <w:szCs w:val="28"/>
        </w:rPr>
        <w:t>meaning a taxpayer is barred from bringing a later case on the same claim for the same tax period”</w:t>
      </w:r>
      <w:r w:rsidR="00E64EFE">
        <w:rPr>
          <w:rFonts w:ascii="Times New Roman" w:hAnsi="Times New Roman" w:cs="Times New Roman"/>
          <w:sz w:val="28"/>
          <w:szCs w:val="28"/>
        </w:rPr>
        <w:t>)</w:t>
      </w:r>
      <w:r w:rsidR="00A50942">
        <w:rPr>
          <w:rFonts w:ascii="Times New Roman" w:hAnsi="Times New Roman" w:cs="Times New Roman"/>
          <w:sz w:val="28"/>
          <w:szCs w:val="28"/>
        </w:rPr>
        <w:t>.</w:t>
      </w:r>
    </w:p>
    <w:p w14:paraId="69D7D037" w14:textId="3CA6B0CD" w:rsidR="00BB7381"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24: “Repealed.”</w:t>
      </w:r>
      <w:r w:rsidRPr="00120EF3">
        <w:rPr>
          <w:rFonts w:ascii="Times New Roman" w:hAnsi="Times New Roman" w:cs="Times New Roman"/>
          <w:sz w:val="28"/>
          <w:szCs w:val="28"/>
        </w:rPr>
        <w:t xml:space="preserve"> The next rule in the sequence</w:t>
      </w:r>
      <w:r w:rsidR="00C73947" w:rsidRPr="00120EF3">
        <w:rPr>
          <w:rFonts w:ascii="Times New Roman" w:hAnsi="Times New Roman" w:cs="Times New Roman"/>
          <w:sz w:val="28"/>
          <w:szCs w:val="28"/>
        </w:rPr>
        <w:t xml:space="preserve">, </w:t>
      </w:r>
      <w:r w:rsidRPr="00120EF3">
        <w:rPr>
          <w:rFonts w:ascii="Times New Roman" w:hAnsi="Times New Roman" w:cs="Times New Roman"/>
          <w:sz w:val="28"/>
          <w:szCs w:val="28"/>
        </w:rPr>
        <w:t xml:space="preserve">which corresponds with current Rule 24, has the full title, “Repealed by Supreme Court order filed August 28, 2013, effective January 1, 2014.” There is no associated text, and </w:t>
      </w:r>
      <w:r w:rsidR="0054526C" w:rsidRPr="00120EF3">
        <w:rPr>
          <w:rFonts w:ascii="Times New Roman" w:hAnsi="Times New Roman" w:cs="Times New Roman"/>
          <w:sz w:val="28"/>
          <w:szCs w:val="28"/>
        </w:rPr>
        <w:t>the Task Force</w:t>
      </w:r>
      <w:r w:rsidRPr="00120EF3">
        <w:rPr>
          <w:rFonts w:ascii="Times New Roman" w:hAnsi="Times New Roman" w:cs="Times New Roman"/>
          <w:sz w:val="28"/>
          <w:szCs w:val="28"/>
        </w:rPr>
        <w:t xml:space="preserve"> concluded that it was not necessary to keep this rule in the proposed set. The rule </w:t>
      </w:r>
      <w:r w:rsidR="0054526C" w:rsidRPr="00120EF3">
        <w:rPr>
          <w:rFonts w:ascii="Times New Roman" w:hAnsi="Times New Roman" w:cs="Times New Roman"/>
          <w:sz w:val="28"/>
          <w:szCs w:val="28"/>
        </w:rPr>
        <w:t>would</w:t>
      </w:r>
      <w:r w:rsidRPr="00120EF3">
        <w:rPr>
          <w:rFonts w:ascii="Times New Roman" w:hAnsi="Times New Roman" w:cs="Times New Roman"/>
          <w:sz w:val="28"/>
          <w:szCs w:val="28"/>
        </w:rPr>
        <w:t xml:space="preserve"> therefore be deleted</w:t>
      </w:r>
      <w:r w:rsidR="0054526C" w:rsidRPr="00120EF3">
        <w:rPr>
          <w:rFonts w:ascii="Times New Roman" w:hAnsi="Times New Roman" w:cs="Times New Roman"/>
          <w:sz w:val="28"/>
          <w:szCs w:val="28"/>
        </w:rPr>
        <w:t>, and the</w:t>
      </w:r>
      <w:r w:rsidRPr="00120EF3">
        <w:rPr>
          <w:rFonts w:ascii="Times New Roman" w:hAnsi="Times New Roman" w:cs="Times New Roman"/>
          <w:sz w:val="28"/>
          <w:szCs w:val="28"/>
        </w:rPr>
        <w:t xml:space="preserve"> two remaining rules </w:t>
      </w:r>
      <w:r w:rsidR="00771672">
        <w:rPr>
          <w:rFonts w:ascii="Times New Roman" w:hAnsi="Times New Roman" w:cs="Times New Roman"/>
          <w:sz w:val="28"/>
          <w:szCs w:val="28"/>
        </w:rPr>
        <w:t>would</w:t>
      </w:r>
      <w:r w:rsidRPr="00120EF3">
        <w:rPr>
          <w:rFonts w:ascii="Times New Roman" w:hAnsi="Times New Roman" w:cs="Times New Roman"/>
          <w:sz w:val="28"/>
          <w:szCs w:val="28"/>
        </w:rPr>
        <w:t xml:space="preserve"> be renumbered accordingly.</w:t>
      </w:r>
    </w:p>
    <w:p w14:paraId="77B018C1" w14:textId="1E13815D" w:rsidR="0008562E" w:rsidRPr="00120EF3"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 xml:space="preserve">Rule 25: “Hearings and Trials in Small Tax Claims Cases.” </w:t>
      </w:r>
      <w:r w:rsidR="00F66EA5" w:rsidRPr="00120EF3">
        <w:rPr>
          <w:rFonts w:ascii="Times New Roman" w:hAnsi="Times New Roman" w:cs="Times New Roman"/>
          <w:sz w:val="28"/>
          <w:szCs w:val="28"/>
        </w:rPr>
        <w:t>The</w:t>
      </w:r>
      <w:r w:rsidR="00707B6A" w:rsidRPr="00120EF3">
        <w:rPr>
          <w:rFonts w:ascii="Times New Roman" w:hAnsi="Times New Roman" w:cs="Times New Roman"/>
          <w:sz w:val="28"/>
          <w:szCs w:val="28"/>
        </w:rPr>
        <w:t xml:space="preserve"> proposed rule corresponds with current Rule 25 (“small claims hearings and trials”) </w:t>
      </w:r>
      <w:r w:rsidR="00B90DD5" w:rsidRPr="00120EF3">
        <w:rPr>
          <w:rFonts w:ascii="Times New Roman" w:hAnsi="Times New Roman" w:cs="Times New Roman"/>
          <w:sz w:val="28"/>
          <w:szCs w:val="28"/>
        </w:rPr>
        <w:t xml:space="preserve">and although </w:t>
      </w:r>
      <w:r w:rsidR="00707B6A" w:rsidRPr="00120EF3">
        <w:rPr>
          <w:rFonts w:ascii="Times New Roman" w:hAnsi="Times New Roman" w:cs="Times New Roman"/>
          <w:sz w:val="28"/>
          <w:szCs w:val="28"/>
        </w:rPr>
        <w:t xml:space="preserve">restyled, </w:t>
      </w:r>
      <w:r w:rsidR="00B90DD5" w:rsidRPr="00120EF3">
        <w:rPr>
          <w:rFonts w:ascii="Times New Roman" w:hAnsi="Times New Roman" w:cs="Times New Roman"/>
          <w:sz w:val="28"/>
          <w:szCs w:val="28"/>
        </w:rPr>
        <w:t xml:space="preserve">it </w:t>
      </w:r>
      <w:r w:rsidR="00707B6A" w:rsidRPr="00120EF3">
        <w:rPr>
          <w:rFonts w:ascii="Times New Roman" w:hAnsi="Times New Roman" w:cs="Times New Roman"/>
          <w:sz w:val="28"/>
          <w:szCs w:val="28"/>
        </w:rPr>
        <w:t>is substantively similar.</w:t>
      </w:r>
      <w:r w:rsidR="00B90DD5" w:rsidRPr="00120EF3">
        <w:rPr>
          <w:rFonts w:ascii="Times New Roman" w:hAnsi="Times New Roman" w:cs="Times New Roman"/>
          <w:sz w:val="28"/>
          <w:szCs w:val="28"/>
        </w:rPr>
        <w:t xml:space="preserve"> Task Force</w:t>
      </w:r>
      <w:r w:rsidRPr="00120EF3">
        <w:rPr>
          <w:rFonts w:ascii="Times New Roman" w:hAnsi="Times New Roman" w:cs="Times New Roman"/>
          <w:sz w:val="28"/>
          <w:szCs w:val="28"/>
        </w:rPr>
        <w:t xml:space="preserve"> </w:t>
      </w:r>
      <w:r w:rsidR="00B90DD5" w:rsidRPr="00120EF3">
        <w:rPr>
          <w:rFonts w:ascii="Times New Roman" w:hAnsi="Times New Roman" w:cs="Times New Roman"/>
          <w:sz w:val="28"/>
          <w:szCs w:val="28"/>
        </w:rPr>
        <w:t xml:space="preserve">members </w:t>
      </w:r>
      <w:r w:rsidRPr="00120EF3">
        <w:rPr>
          <w:rFonts w:ascii="Times New Roman" w:hAnsi="Times New Roman" w:cs="Times New Roman"/>
          <w:sz w:val="28"/>
          <w:szCs w:val="28"/>
        </w:rPr>
        <w:t>agreed that a provision that “the court is not required to make an audio or video recording of the hearing or trial” is appropriate because there is no right to appeal a small tax claims judgment, hence there is no need for a verbatim recording.</w:t>
      </w:r>
    </w:p>
    <w:p w14:paraId="36BCDC1F" w14:textId="2932ECB7" w:rsidR="00317B4A" w:rsidRDefault="0008562E"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b/>
          <w:bCs w:val="0"/>
          <w:i/>
          <w:iCs/>
          <w:sz w:val="28"/>
          <w:szCs w:val="28"/>
        </w:rPr>
        <w:t>Rule 26: “Introduction of Evidence in Small Tax Claims Trials.”</w:t>
      </w:r>
      <w:r w:rsidRPr="00120EF3">
        <w:rPr>
          <w:rFonts w:ascii="Times New Roman" w:hAnsi="Times New Roman" w:cs="Times New Roman"/>
          <w:sz w:val="28"/>
          <w:szCs w:val="28"/>
        </w:rPr>
        <w:t xml:space="preserve"> </w:t>
      </w:r>
      <w:r w:rsidR="00317B4A" w:rsidRPr="00120EF3">
        <w:rPr>
          <w:rFonts w:ascii="Times New Roman" w:hAnsi="Times New Roman" w:cs="Times New Roman"/>
          <w:sz w:val="28"/>
          <w:szCs w:val="28"/>
        </w:rPr>
        <w:t>This proposed rule differs</w:t>
      </w:r>
      <w:r w:rsidR="00771418" w:rsidRPr="00120EF3">
        <w:rPr>
          <w:rFonts w:ascii="Times New Roman" w:hAnsi="Times New Roman" w:cs="Times New Roman"/>
          <w:sz w:val="28"/>
          <w:szCs w:val="28"/>
        </w:rPr>
        <w:t xml:space="preserve"> in part from current Rule 26 (“introduction in evidence”). </w:t>
      </w:r>
      <w:r w:rsidR="00EE4475" w:rsidRPr="00120EF3">
        <w:rPr>
          <w:rFonts w:ascii="Times New Roman" w:hAnsi="Times New Roman" w:cs="Times New Roman"/>
          <w:sz w:val="28"/>
          <w:szCs w:val="28"/>
        </w:rPr>
        <w:t>The current rule p</w:t>
      </w:r>
      <w:r w:rsidR="00D57E97" w:rsidRPr="00120EF3">
        <w:rPr>
          <w:rFonts w:ascii="Times New Roman" w:hAnsi="Times New Roman" w:cs="Times New Roman"/>
          <w:sz w:val="28"/>
          <w:szCs w:val="28"/>
        </w:rPr>
        <w:t>rovides</w:t>
      </w:r>
      <w:r w:rsidR="00D75262" w:rsidRPr="00120EF3">
        <w:rPr>
          <w:rFonts w:ascii="Times New Roman" w:hAnsi="Times New Roman" w:cs="Times New Roman"/>
          <w:sz w:val="28"/>
          <w:szCs w:val="28"/>
        </w:rPr>
        <w:t>,</w:t>
      </w:r>
      <w:r w:rsidR="00D57E97" w:rsidRPr="00120EF3">
        <w:rPr>
          <w:rFonts w:ascii="Times New Roman" w:hAnsi="Times New Roman" w:cs="Times New Roman"/>
          <w:sz w:val="28"/>
          <w:szCs w:val="28"/>
        </w:rPr>
        <w:t xml:space="preserve"> “</w:t>
      </w:r>
      <w:r w:rsidR="00D75262" w:rsidRPr="00120EF3">
        <w:rPr>
          <w:rFonts w:ascii="Times New Roman" w:hAnsi="Times New Roman" w:cs="Times New Roman"/>
          <w:sz w:val="28"/>
          <w:szCs w:val="28"/>
        </w:rPr>
        <w:t xml:space="preserve">Subject to the foregoing, </w:t>
      </w:r>
      <w:r w:rsidR="00D57E97" w:rsidRPr="00120EF3">
        <w:rPr>
          <w:rFonts w:ascii="Times New Roman" w:hAnsi="Times New Roman" w:cs="Times New Roman"/>
          <w:sz w:val="28"/>
          <w:szCs w:val="28"/>
        </w:rPr>
        <w:t xml:space="preserve">the Arizona Rules of Evidence shall </w:t>
      </w:r>
      <w:r w:rsidR="00D57E97" w:rsidRPr="00120EF3">
        <w:rPr>
          <w:rFonts w:ascii="Times New Roman" w:hAnsi="Times New Roman" w:cs="Times New Roman"/>
          <w:sz w:val="28"/>
          <w:szCs w:val="28"/>
        </w:rPr>
        <w:lastRenderedPageBreak/>
        <w:t>govern the taking of evidenc</w:t>
      </w:r>
      <w:r w:rsidR="00D75262" w:rsidRPr="00120EF3">
        <w:rPr>
          <w:rFonts w:ascii="Times New Roman" w:hAnsi="Times New Roman" w:cs="Times New Roman"/>
          <w:sz w:val="28"/>
          <w:szCs w:val="28"/>
        </w:rPr>
        <w:t>e, except</w:t>
      </w:r>
      <w:r w:rsidR="00296024" w:rsidRPr="00120EF3">
        <w:rPr>
          <w:rFonts w:ascii="Times New Roman" w:hAnsi="Times New Roman" w:cs="Times New Roman"/>
          <w:sz w:val="28"/>
          <w:szCs w:val="28"/>
        </w:rPr>
        <w:t xml:space="preserve"> that</w:t>
      </w:r>
      <w:r w:rsidR="00240ACA">
        <w:rPr>
          <w:rFonts w:ascii="Times New Roman" w:hAnsi="Times New Roman" w:cs="Times New Roman"/>
          <w:sz w:val="28"/>
          <w:szCs w:val="28"/>
        </w:rPr>
        <w:t xml:space="preserve"> . . . .</w:t>
      </w:r>
      <w:r w:rsidR="00D75262" w:rsidRPr="00120EF3">
        <w:rPr>
          <w:rFonts w:ascii="Times New Roman" w:hAnsi="Times New Roman" w:cs="Times New Roman"/>
          <w:sz w:val="28"/>
          <w:szCs w:val="28"/>
        </w:rPr>
        <w:t>”</w:t>
      </w:r>
      <w:r w:rsidR="00EE402A" w:rsidRPr="00120EF3">
        <w:rPr>
          <w:rFonts w:ascii="Times New Roman" w:hAnsi="Times New Roman" w:cs="Times New Roman"/>
          <w:sz w:val="28"/>
          <w:szCs w:val="28"/>
        </w:rPr>
        <w:t xml:space="preserve"> The phrases “subject to the foregoing” and </w:t>
      </w:r>
      <w:r w:rsidR="00296024" w:rsidRPr="00120EF3">
        <w:rPr>
          <w:rFonts w:ascii="Times New Roman" w:hAnsi="Times New Roman" w:cs="Times New Roman"/>
          <w:sz w:val="28"/>
          <w:szCs w:val="28"/>
        </w:rPr>
        <w:t>“except that,” coupled with the application of the Rules of Evidence, make the current rule unnecessar</w:t>
      </w:r>
      <w:r w:rsidR="00240ACA">
        <w:rPr>
          <w:rFonts w:ascii="Times New Roman" w:hAnsi="Times New Roman" w:cs="Times New Roman"/>
          <w:sz w:val="28"/>
          <w:szCs w:val="28"/>
        </w:rPr>
        <w:t>ily</w:t>
      </w:r>
      <w:r w:rsidR="00296024" w:rsidRPr="00120EF3">
        <w:rPr>
          <w:rFonts w:ascii="Times New Roman" w:hAnsi="Times New Roman" w:cs="Times New Roman"/>
          <w:sz w:val="28"/>
          <w:szCs w:val="28"/>
        </w:rPr>
        <w:t xml:space="preserve"> complex for a simplified proceeding. </w:t>
      </w:r>
      <w:r w:rsidR="00A329DF" w:rsidRPr="00120EF3">
        <w:rPr>
          <w:rFonts w:ascii="Times New Roman" w:hAnsi="Times New Roman" w:cs="Times New Roman"/>
          <w:sz w:val="28"/>
          <w:szCs w:val="28"/>
        </w:rPr>
        <w:t xml:space="preserve">The proposed rule is more straightforward and omits </w:t>
      </w:r>
      <w:r w:rsidR="00BB7381" w:rsidRPr="00120EF3">
        <w:rPr>
          <w:rFonts w:ascii="Times New Roman" w:hAnsi="Times New Roman" w:cs="Times New Roman"/>
          <w:sz w:val="28"/>
          <w:szCs w:val="28"/>
        </w:rPr>
        <w:t>the reference to the Rules of Evidence.</w:t>
      </w:r>
    </w:p>
    <w:p w14:paraId="11C43C9C" w14:textId="145442EC" w:rsidR="00F7277C" w:rsidRPr="00120EF3" w:rsidRDefault="00221A87" w:rsidP="00120EF3">
      <w:pPr>
        <w:pStyle w:val="NoSpacing"/>
        <w:spacing w:line="480" w:lineRule="auto"/>
        <w:ind w:left="-108" w:firstLine="828"/>
        <w:jc w:val="both"/>
        <w:rPr>
          <w:rFonts w:ascii="Times New Roman" w:hAnsi="Times New Roman" w:cs="Times New Roman"/>
          <w:sz w:val="28"/>
          <w:szCs w:val="28"/>
        </w:rPr>
      </w:pPr>
      <w:r>
        <w:rPr>
          <w:rFonts w:ascii="Times New Roman" w:hAnsi="Times New Roman" w:cs="Times New Roman"/>
          <w:b/>
          <w:bCs w:val="0"/>
          <w:sz w:val="28"/>
          <w:szCs w:val="28"/>
          <w:u w:val="single"/>
        </w:rPr>
        <w:t>(5</w:t>
      </w:r>
      <w:r w:rsidRPr="00F7277C">
        <w:rPr>
          <w:rFonts w:ascii="Times New Roman" w:hAnsi="Times New Roman" w:cs="Times New Roman"/>
          <w:b/>
          <w:bCs w:val="0"/>
          <w:sz w:val="28"/>
          <w:szCs w:val="28"/>
          <w:u w:val="single"/>
        </w:rPr>
        <w:t>)</w:t>
      </w:r>
      <w:r w:rsidRPr="00120EF3">
        <w:rPr>
          <w:rFonts w:ascii="Times New Roman" w:hAnsi="Times New Roman" w:cs="Times New Roman"/>
          <w:b/>
          <w:bCs w:val="0"/>
          <w:sz w:val="28"/>
          <w:szCs w:val="28"/>
        </w:rPr>
        <w:t xml:space="preserve">    </w:t>
      </w:r>
      <w:r w:rsidRPr="00120EF3">
        <w:rPr>
          <w:rFonts w:ascii="Times New Roman" w:hAnsi="Times New Roman" w:cs="Times New Roman"/>
          <w:b/>
          <w:bCs w:val="0"/>
          <w:sz w:val="28"/>
          <w:szCs w:val="28"/>
          <w:u w:val="single"/>
        </w:rPr>
        <w:t>Appendix 1: Forms.</w:t>
      </w:r>
      <w:r w:rsidR="001673DA" w:rsidRPr="00120EF3">
        <w:rPr>
          <w:rFonts w:ascii="Times New Roman" w:hAnsi="Times New Roman" w:cs="Times New Roman"/>
          <w:b/>
          <w:bCs w:val="0"/>
          <w:sz w:val="28"/>
          <w:szCs w:val="28"/>
        </w:rPr>
        <w:t xml:space="preserve"> </w:t>
      </w:r>
      <w:r w:rsidR="00F7277C" w:rsidRPr="00120EF3">
        <w:rPr>
          <w:rFonts w:ascii="Times New Roman" w:hAnsi="Times New Roman" w:cs="Times New Roman"/>
          <w:sz w:val="28"/>
          <w:szCs w:val="28"/>
        </w:rPr>
        <w:t xml:space="preserve">Proposed Appendix 1 is new. It would include three new forms: Form 1, a caption for a TX case; Form 2, a caption for an ST case; and Form 3, which is titled “Defendant’s Election of Small Tax Claims Procedure.” </w:t>
      </w:r>
      <w:r w:rsidR="0033713E">
        <w:rPr>
          <w:rFonts w:ascii="Times New Roman" w:hAnsi="Times New Roman" w:cs="Times New Roman"/>
          <w:sz w:val="28"/>
          <w:szCs w:val="28"/>
        </w:rPr>
        <w:t xml:space="preserve">Proposed Forms 1 and 2 are based on a </w:t>
      </w:r>
      <w:r w:rsidR="005B65FE">
        <w:rPr>
          <w:rFonts w:ascii="Times New Roman" w:hAnsi="Times New Roman" w:cs="Times New Roman"/>
          <w:sz w:val="28"/>
          <w:szCs w:val="28"/>
        </w:rPr>
        <w:t>form of caption contained in a packet of materials</w:t>
      </w:r>
      <w:r w:rsidR="00250D6E">
        <w:rPr>
          <w:rFonts w:ascii="Times New Roman" w:hAnsi="Times New Roman" w:cs="Times New Roman"/>
          <w:sz w:val="28"/>
          <w:szCs w:val="28"/>
        </w:rPr>
        <w:t xml:space="preserve"> on the Tax Court webpage for preparing a small claims complaint, but the proposed forms have notable differences.</w:t>
      </w:r>
    </w:p>
    <w:p w14:paraId="6C9E3FC8" w14:textId="0840594A" w:rsidR="00F7277C" w:rsidRPr="00120EF3" w:rsidRDefault="00B248A7" w:rsidP="00120EF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F7277C" w:rsidRPr="00120EF3">
        <w:rPr>
          <w:rFonts w:ascii="Times New Roman" w:hAnsi="Times New Roman" w:cs="Times New Roman"/>
          <w:sz w:val="28"/>
          <w:szCs w:val="28"/>
        </w:rPr>
        <w:t>In Form 1, the dualities of “plaintiff/petitioner,” “defendant/respondent,” and “complaint/petition” were reduced to single words (“plaintiff,” “defendant,” and “complaint”), which</w:t>
      </w:r>
      <w:r w:rsidR="00250D6E">
        <w:rPr>
          <w:rFonts w:ascii="Times New Roman" w:hAnsi="Times New Roman" w:cs="Times New Roman"/>
          <w:sz w:val="28"/>
          <w:szCs w:val="28"/>
        </w:rPr>
        <w:t xml:space="preserve"> the Task Force</w:t>
      </w:r>
      <w:r w:rsidR="00F7277C" w:rsidRPr="00120EF3">
        <w:rPr>
          <w:rFonts w:ascii="Times New Roman" w:hAnsi="Times New Roman" w:cs="Times New Roman"/>
          <w:sz w:val="28"/>
          <w:szCs w:val="28"/>
        </w:rPr>
        <w:t xml:space="preserve"> believed was consistent with applicable statutes (including A.R.S. § 12-173, as well as Title 42 statutes)</w:t>
      </w:r>
      <w:r w:rsidR="00A50942">
        <w:rPr>
          <w:rFonts w:ascii="Times New Roman" w:hAnsi="Times New Roman" w:cs="Times New Roman"/>
          <w:sz w:val="28"/>
          <w:szCs w:val="28"/>
        </w:rPr>
        <w:t>.</w:t>
      </w:r>
      <w:r w:rsidR="00F7277C" w:rsidRPr="00120EF3">
        <w:rPr>
          <w:rFonts w:ascii="Times New Roman" w:hAnsi="Times New Roman" w:cs="Times New Roman"/>
          <w:sz w:val="28"/>
          <w:szCs w:val="28"/>
        </w:rPr>
        <w:t xml:space="preserve"> </w:t>
      </w:r>
    </w:p>
    <w:p w14:paraId="7490C461" w14:textId="054F82CB" w:rsidR="00F7277C" w:rsidRPr="00120EF3" w:rsidRDefault="004F6768" w:rsidP="00120EF3">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Form</w:t>
      </w:r>
      <w:r w:rsidR="00F7277C" w:rsidRPr="00120EF3">
        <w:rPr>
          <w:rFonts w:ascii="Times New Roman" w:hAnsi="Times New Roman" w:cs="Times New Roman"/>
          <w:sz w:val="28"/>
          <w:szCs w:val="28"/>
        </w:rPr>
        <w:t xml:space="preserve"> 2 </w:t>
      </w:r>
      <w:r>
        <w:rPr>
          <w:rFonts w:ascii="Times New Roman" w:hAnsi="Times New Roman" w:cs="Times New Roman"/>
          <w:sz w:val="28"/>
          <w:szCs w:val="28"/>
        </w:rPr>
        <w:t>is</w:t>
      </w:r>
      <w:r w:rsidR="00F7277C" w:rsidRPr="00120EF3">
        <w:rPr>
          <w:rFonts w:ascii="Times New Roman" w:hAnsi="Times New Roman" w:cs="Times New Roman"/>
          <w:sz w:val="28"/>
          <w:szCs w:val="28"/>
        </w:rPr>
        <w:t xml:space="preserve"> similar to </w:t>
      </w:r>
      <w:r>
        <w:rPr>
          <w:rFonts w:ascii="Times New Roman" w:hAnsi="Times New Roman" w:cs="Times New Roman"/>
          <w:sz w:val="28"/>
          <w:szCs w:val="28"/>
        </w:rPr>
        <w:t>Form 1</w:t>
      </w:r>
      <w:r w:rsidR="00F7277C" w:rsidRPr="00120EF3">
        <w:rPr>
          <w:rFonts w:ascii="Times New Roman" w:hAnsi="Times New Roman" w:cs="Times New Roman"/>
          <w:sz w:val="28"/>
          <w:szCs w:val="28"/>
        </w:rPr>
        <w:t>, except the caption</w:t>
      </w:r>
      <w:r>
        <w:rPr>
          <w:rFonts w:ascii="Times New Roman" w:hAnsi="Times New Roman" w:cs="Times New Roman"/>
          <w:sz w:val="28"/>
          <w:szCs w:val="28"/>
        </w:rPr>
        <w:t xml:space="preserve"> of Form 2</w:t>
      </w:r>
      <w:r w:rsidR="00F7277C" w:rsidRPr="00120EF3">
        <w:rPr>
          <w:rFonts w:ascii="Times New Roman" w:hAnsi="Times New Roman" w:cs="Times New Roman"/>
          <w:sz w:val="28"/>
          <w:szCs w:val="28"/>
        </w:rPr>
        <w:t xml:space="preserve"> includes the words “(SMALL TAX CLAIMS PROCEDURE)”.</w:t>
      </w:r>
    </w:p>
    <w:p w14:paraId="29D2EC41" w14:textId="02B36582" w:rsidR="00F7277C" w:rsidRPr="00120EF3" w:rsidRDefault="00F7277C" w:rsidP="00120EF3">
      <w:pPr>
        <w:pStyle w:val="NoSpacing"/>
        <w:spacing w:line="480" w:lineRule="auto"/>
        <w:ind w:firstLine="720"/>
        <w:jc w:val="both"/>
        <w:rPr>
          <w:rFonts w:ascii="Times New Roman" w:hAnsi="Times New Roman" w:cs="Times New Roman"/>
          <w:sz w:val="28"/>
          <w:szCs w:val="28"/>
        </w:rPr>
      </w:pPr>
      <w:r w:rsidRPr="00120EF3">
        <w:rPr>
          <w:rFonts w:ascii="Times New Roman" w:hAnsi="Times New Roman" w:cs="Times New Roman"/>
          <w:sz w:val="28"/>
          <w:szCs w:val="28"/>
        </w:rPr>
        <w:t xml:space="preserve">Form 3 is intended solely for use by a defendant. The case number was changed from “ST” to “TX” because this form, although requesting an ST designation, would be filed in a TX case. To ensure that the defendant’s election has </w:t>
      </w:r>
      <w:r w:rsidRPr="00120EF3">
        <w:rPr>
          <w:rFonts w:ascii="Times New Roman" w:hAnsi="Times New Roman" w:cs="Times New Roman"/>
          <w:sz w:val="28"/>
          <w:szCs w:val="28"/>
        </w:rPr>
        <w:lastRenderedPageBreak/>
        <w:t xml:space="preserve">a proper basis, Form 3 includes a single sentence of text that says, “Defendant taxpayer certifies that this case meets the requirements of A.R.S. § 12-172 and elects to use the Small Tax Claims procedure.” After concluding their discussion of Form 3, members added text in Rule 19(b) that referred to the form in the </w:t>
      </w:r>
      <w:r w:rsidR="002B68D6">
        <w:rPr>
          <w:rFonts w:ascii="Times New Roman" w:hAnsi="Times New Roman" w:cs="Times New Roman"/>
          <w:sz w:val="28"/>
          <w:szCs w:val="28"/>
        </w:rPr>
        <w:t>A</w:t>
      </w:r>
      <w:r w:rsidRPr="00120EF3">
        <w:rPr>
          <w:rFonts w:ascii="Times New Roman" w:hAnsi="Times New Roman" w:cs="Times New Roman"/>
          <w:sz w:val="28"/>
          <w:szCs w:val="28"/>
        </w:rPr>
        <w:t>ppendix.</w:t>
      </w:r>
    </w:p>
    <w:p w14:paraId="4BBB07D8" w14:textId="180913ED" w:rsidR="00C1272C" w:rsidRPr="00EC21AD" w:rsidRDefault="005A2AD2" w:rsidP="00120EF3">
      <w:pPr>
        <w:pStyle w:val="ListParagraph"/>
        <w:adjustRightInd w:val="0"/>
        <w:spacing w:line="480" w:lineRule="auto"/>
        <w:ind w:left="0" w:firstLine="720"/>
        <w:jc w:val="both"/>
        <w:rPr>
          <w:color w:val="000000" w:themeColor="text1"/>
          <w:sz w:val="28"/>
          <w:szCs w:val="28"/>
        </w:rPr>
      </w:pPr>
      <w:r w:rsidRPr="00120EF3">
        <w:rPr>
          <w:b/>
          <w:bCs/>
          <w:sz w:val="28"/>
          <w:szCs w:val="28"/>
          <w:u w:val="single"/>
        </w:rPr>
        <w:t>(6)</w:t>
      </w:r>
      <w:r w:rsidR="00AA01BF" w:rsidRPr="00AA01BF">
        <w:rPr>
          <w:b/>
          <w:bCs/>
          <w:sz w:val="28"/>
          <w:szCs w:val="28"/>
        </w:rPr>
        <w:t xml:space="preserve">     </w:t>
      </w:r>
      <w:r w:rsidR="00CC1B45" w:rsidRPr="00EC21AD">
        <w:rPr>
          <w:b/>
          <w:bCs/>
          <w:sz w:val="28"/>
          <w:szCs w:val="28"/>
          <w:u w:val="single"/>
        </w:rPr>
        <w:t>Conclusion.</w:t>
      </w:r>
      <w:r w:rsidR="00CC1B45" w:rsidRPr="00EC21AD">
        <w:rPr>
          <w:sz w:val="28"/>
          <w:szCs w:val="28"/>
        </w:rPr>
        <w:t xml:space="preserve"> </w:t>
      </w:r>
      <w:r w:rsidR="0092270C" w:rsidRPr="00EC21AD">
        <w:rPr>
          <w:sz w:val="28"/>
          <w:szCs w:val="28"/>
        </w:rPr>
        <w:t>Petitioner requests the Court open this Supplemental Petition for pu</w:t>
      </w:r>
      <w:r w:rsidR="00A52728" w:rsidRPr="00EC21AD">
        <w:rPr>
          <w:sz w:val="28"/>
          <w:szCs w:val="28"/>
        </w:rPr>
        <w:t>blic comment—as provided in A.O. No. 2024-87, paragraph 2</w:t>
      </w:r>
      <w:r w:rsidR="00B61495" w:rsidRPr="00EC21AD">
        <w:rPr>
          <w:sz w:val="28"/>
          <w:szCs w:val="28"/>
        </w:rPr>
        <w:t>—and to thereafter permit the Task Force sufficient time to review and reply to any comments.</w:t>
      </w:r>
      <w:r w:rsidR="00213CAC" w:rsidRPr="00EC21AD">
        <w:rPr>
          <w:sz w:val="28"/>
          <w:szCs w:val="28"/>
        </w:rPr>
        <w:t xml:space="preserve"> Petitioner proposes the following</w:t>
      </w:r>
      <w:r w:rsidR="00013117" w:rsidRPr="00EC21AD">
        <w:rPr>
          <w:sz w:val="28"/>
          <w:szCs w:val="28"/>
        </w:rPr>
        <w:t>: that this Supplemental Petition be open for public comments for 60 days</w:t>
      </w:r>
      <w:r w:rsidR="00927AC2" w:rsidRPr="00EC21AD">
        <w:rPr>
          <w:sz w:val="28"/>
          <w:szCs w:val="28"/>
        </w:rPr>
        <w:t xml:space="preserve"> from the filing date, i.e., until October 18, 2024</w:t>
      </w:r>
      <w:r w:rsidR="002061F4" w:rsidRPr="00EC21AD">
        <w:rPr>
          <w:sz w:val="28"/>
          <w:szCs w:val="28"/>
        </w:rPr>
        <w:t>; and that Petitioner have</w:t>
      </w:r>
      <w:r w:rsidR="00927AC2" w:rsidRPr="00EC21AD">
        <w:rPr>
          <w:sz w:val="28"/>
          <w:szCs w:val="28"/>
        </w:rPr>
        <w:t xml:space="preserve"> until November 4, 2024, to file a Reply to the comments</w:t>
      </w:r>
      <w:r w:rsidR="008B38C4" w:rsidRPr="00EC21AD">
        <w:rPr>
          <w:sz w:val="28"/>
          <w:szCs w:val="28"/>
        </w:rPr>
        <w:t>.</w:t>
      </w:r>
    </w:p>
    <w:p w14:paraId="53AABD6F" w14:textId="1B2DD7E4" w:rsidR="009B67DA" w:rsidRPr="00120EF3" w:rsidRDefault="00746515" w:rsidP="00C1272C">
      <w:pPr>
        <w:pStyle w:val="ListParagraph"/>
        <w:adjustRightInd w:val="0"/>
        <w:spacing w:line="480" w:lineRule="auto"/>
        <w:ind w:left="0" w:firstLine="720"/>
        <w:jc w:val="both"/>
        <w:rPr>
          <w:color w:val="000000" w:themeColor="text1"/>
          <w:sz w:val="28"/>
          <w:szCs w:val="28"/>
        </w:rPr>
      </w:pPr>
      <w:r w:rsidRPr="00120EF3">
        <w:rPr>
          <w:sz w:val="28"/>
          <w:szCs w:val="28"/>
        </w:rPr>
        <w:t xml:space="preserve">Petitioner further requests the Court to consider this Supplement Petition, </w:t>
      </w:r>
      <w:r w:rsidR="00B90AF6" w:rsidRPr="00B90AF6">
        <w:rPr>
          <w:sz w:val="28"/>
          <w:szCs w:val="28"/>
        </w:rPr>
        <w:t>and</w:t>
      </w:r>
      <w:r w:rsidR="00B90AF6" w:rsidRPr="00EC21AD">
        <w:rPr>
          <w:sz w:val="28"/>
          <w:szCs w:val="28"/>
        </w:rPr>
        <w:t xml:space="preserve"> any</w:t>
      </w:r>
      <w:r w:rsidRPr="00120EF3">
        <w:rPr>
          <w:sz w:val="28"/>
          <w:szCs w:val="28"/>
        </w:rPr>
        <w:t xml:space="preserve"> comments and Reply, at </w:t>
      </w:r>
      <w:r w:rsidR="002537A6" w:rsidRPr="00120EF3">
        <w:rPr>
          <w:sz w:val="28"/>
          <w:szCs w:val="28"/>
        </w:rPr>
        <w:t>its December 2024 Rules Agenda,</w:t>
      </w:r>
      <w:r w:rsidR="00DD052F" w:rsidRPr="00120EF3">
        <w:rPr>
          <w:sz w:val="28"/>
          <w:szCs w:val="28"/>
        </w:rPr>
        <w:t xml:space="preserve"> if feasible,</w:t>
      </w:r>
      <w:r w:rsidR="002537A6" w:rsidRPr="00120EF3">
        <w:rPr>
          <w:sz w:val="28"/>
          <w:szCs w:val="28"/>
        </w:rPr>
        <w:t xml:space="preserve"> or in due course as the Court determines.</w:t>
      </w:r>
      <w:r w:rsidR="00A81227" w:rsidRPr="00120EF3">
        <w:rPr>
          <w:color w:val="000000" w:themeColor="text1"/>
          <w:sz w:val="28"/>
          <w:szCs w:val="28"/>
        </w:rPr>
        <w:tab/>
      </w:r>
    </w:p>
    <w:p w14:paraId="13CD3151" w14:textId="48BFF6D5" w:rsidR="00BF4500" w:rsidRPr="00EC21AD" w:rsidRDefault="00C41CA7" w:rsidP="009B67DA">
      <w:pPr>
        <w:pStyle w:val="BodyText"/>
        <w:tabs>
          <w:tab w:val="left" w:pos="711"/>
        </w:tabs>
        <w:spacing w:line="480" w:lineRule="auto"/>
        <w:jc w:val="both"/>
        <w:rPr>
          <w:color w:val="000000" w:themeColor="text1"/>
          <w:szCs w:val="28"/>
        </w:rPr>
      </w:pPr>
      <w:r w:rsidRPr="00EC21AD">
        <w:rPr>
          <w:bCs/>
          <w:color w:val="000000" w:themeColor="text1"/>
          <w:szCs w:val="28"/>
        </w:rPr>
        <w:t xml:space="preserve">            </w:t>
      </w:r>
      <w:r w:rsidR="00BF4500" w:rsidRPr="00EC21AD">
        <w:rPr>
          <w:bCs/>
          <w:color w:val="000000" w:themeColor="text1"/>
          <w:szCs w:val="28"/>
        </w:rPr>
        <w:t xml:space="preserve">            </w:t>
      </w:r>
      <w:r w:rsidR="00BF4500" w:rsidRPr="00EC21AD">
        <w:rPr>
          <w:color w:val="000000" w:themeColor="text1"/>
          <w:szCs w:val="28"/>
        </w:rPr>
        <w:t xml:space="preserve">DATED this </w:t>
      </w:r>
      <w:r w:rsidR="009B67DA" w:rsidRPr="00EC21AD">
        <w:rPr>
          <w:color w:val="000000" w:themeColor="text1"/>
          <w:szCs w:val="28"/>
        </w:rPr>
        <w:t>1</w:t>
      </w:r>
      <w:r w:rsidR="00B90AF6">
        <w:rPr>
          <w:color w:val="000000" w:themeColor="text1"/>
          <w:szCs w:val="28"/>
        </w:rPr>
        <w:t>9</w:t>
      </w:r>
      <w:r w:rsidR="009B67DA" w:rsidRPr="00EC21AD">
        <w:rPr>
          <w:color w:val="000000" w:themeColor="text1"/>
          <w:szCs w:val="28"/>
        </w:rPr>
        <w:t>th</w:t>
      </w:r>
      <w:r w:rsidR="00BF4500" w:rsidRPr="00EC21AD">
        <w:rPr>
          <w:color w:val="000000" w:themeColor="text1"/>
          <w:szCs w:val="28"/>
        </w:rPr>
        <w:t xml:space="preserve"> day of </w:t>
      </w:r>
      <w:r w:rsidR="007B4BD1" w:rsidRPr="00EC21AD">
        <w:rPr>
          <w:color w:val="000000" w:themeColor="text1"/>
          <w:szCs w:val="28"/>
        </w:rPr>
        <w:t>August</w:t>
      </w:r>
      <w:r w:rsidR="00BF4500" w:rsidRPr="00EC21AD">
        <w:rPr>
          <w:color w:val="000000" w:themeColor="text1"/>
          <w:szCs w:val="28"/>
        </w:rPr>
        <w:t xml:space="preserve"> 202</w:t>
      </w:r>
      <w:r w:rsidR="007B4BD1" w:rsidRPr="00EC21AD">
        <w:rPr>
          <w:color w:val="000000" w:themeColor="text1"/>
          <w:szCs w:val="28"/>
        </w:rPr>
        <w:t>4</w:t>
      </w:r>
      <w:r w:rsidR="00BF4500" w:rsidRPr="00EC21AD">
        <w:rPr>
          <w:color w:val="000000" w:themeColor="text1"/>
          <w:szCs w:val="28"/>
        </w:rPr>
        <w:t>.</w:t>
      </w:r>
    </w:p>
    <w:p w14:paraId="41E9B835" w14:textId="77777777" w:rsidR="00BF4500" w:rsidRPr="00EC21AD" w:rsidRDefault="00BF4500" w:rsidP="00BF4500">
      <w:pPr>
        <w:spacing w:before="120"/>
        <w:jc w:val="both"/>
        <w:rPr>
          <w:color w:val="000000" w:themeColor="text1"/>
          <w:sz w:val="28"/>
          <w:szCs w:val="28"/>
        </w:rPr>
      </w:pPr>
      <w:r w:rsidRPr="00EC21AD">
        <w:rPr>
          <w:color w:val="000000" w:themeColor="text1"/>
          <w:sz w:val="28"/>
          <w:szCs w:val="28"/>
        </w:rPr>
        <w:tab/>
      </w:r>
      <w:r w:rsidRPr="00EC21AD">
        <w:rPr>
          <w:color w:val="000000" w:themeColor="text1"/>
          <w:sz w:val="28"/>
          <w:szCs w:val="28"/>
        </w:rPr>
        <w:tab/>
      </w:r>
      <w:r w:rsidRPr="00EC21AD">
        <w:rPr>
          <w:color w:val="000000" w:themeColor="text1"/>
          <w:sz w:val="28"/>
          <w:szCs w:val="28"/>
        </w:rPr>
        <w:tab/>
      </w:r>
      <w:r w:rsidRPr="00EC21AD">
        <w:rPr>
          <w:color w:val="000000" w:themeColor="text1"/>
          <w:sz w:val="28"/>
          <w:szCs w:val="28"/>
        </w:rPr>
        <w:tab/>
      </w:r>
      <w:r w:rsidRPr="00EC21AD">
        <w:rPr>
          <w:i/>
          <w:color w:val="000000" w:themeColor="text1"/>
          <w:sz w:val="28"/>
          <w:szCs w:val="28"/>
        </w:rPr>
        <w:t>_/s/ Sara J. Agne_____</w:t>
      </w:r>
      <w:r w:rsidRPr="00EC21AD">
        <w:rPr>
          <w:color w:val="000000" w:themeColor="text1"/>
          <w:sz w:val="28"/>
          <w:szCs w:val="28"/>
        </w:rPr>
        <w:t>__________</w:t>
      </w:r>
    </w:p>
    <w:p w14:paraId="3E4CA38B" w14:textId="77777777" w:rsidR="00BF4500" w:rsidRPr="00EC21AD" w:rsidRDefault="00BF4500" w:rsidP="00BF4500">
      <w:pPr>
        <w:jc w:val="both"/>
        <w:rPr>
          <w:color w:val="000000" w:themeColor="text1"/>
          <w:sz w:val="28"/>
          <w:szCs w:val="28"/>
        </w:rPr>
      </w:pPr>
      <w:r w:rsidRPr="00EC21AD">
        <w:rPr>
          <w:color w:val="000000" w:themeColor="text1"/>
          <w:sz w:val="28"/>
          <w:szCs w:val="28"/>
        </w:rPr>
        <w:tab/>
      </w:r>
      <w:r w:rsidRPr="00EC21AD">
        <w:rPr>
          <w:color w:val="000000" w:themeColor="text1"/>
          <w:sz w:val="28"/>
          <w:szCs w:val="28"/>
        </w:rPr>
        <w:tab/>
      </w:r>
      <w:r w:rsidRPr="00EC21AD">
        <w:rPr>
          <w:color w:val="000000" w:themeColor="text1"/>
          <w:sz w:val="28"/>
          <w:szCs w:val="28"/>
        </w:rPr>
        <w:tab/>
      </w:r>
      <w:r w:rsidRPr="00EC21AD">
        <w:rPr>
          <w:color w:val="000000" w:themeColor="text1"/>
          <w:sz w:val="28"/>
          <w:szCs w:val="28"/>
        </w:rPr>
        <w:tab/>
        <w:t>Sara J. Agne</w:t>
      </w:r>
    </w:p>
    <w:p w14:paraId="1D2AE09E" w14:textId="02F64B7E" w:rsidR="00BF4500" w:rsidRPr="00EC21AD" w:rsidRDefault="00BF4500" w:rsidP="00BF4500">
      <w:pPr>
        <w:spacing w:after="120"/>
        <w:jc w:val="both"/>
        <w:rPr>
          <w:color w:val="000000" w:themeColor="text1"/>
          <w:sz w:val="28"/>
          <w:szCs w:val="28"/>
        </w:rPr>
      </w:pPr>
      <w:r w:rsidRPr="00EC21AD">
        <w:rPr>
          <w:color w:val="000000" w:themeColor="text1"/>
          <w:sz w:val="28"/>
          <w:szCs w:val="28"/>
        </w:rPr>
        <w:tab/>
      </w:r>
      <w:r w:rsidRPr="00EC21AD">
        <w:rPr>
          <w:color w:val="000000" w:themeColor="text1"/>
          <w:sz w:val="28"/>
          <w:szCs w:val="28"/>
        </w:rPr>
        <w:tab/>
      </w:r>
      <w:r w:rsidRPr="00EC21AD">
        <w:rPr>
          <w:color w:val="000000" w:themeColor="text1"/>
          <w:sz w:val="28"/>
          <w:szCs w:val="28"/>
        </w:rPr>
        <w:tab/>
      </w:r>
      <w:r w:rsidRPr="00EC21AD">
        <w:rPr>
          <w:color w:val="000000" w:themeColor="text1"/>
          <w:sz w:val="28"/>
          <w:szCs w:val="28"/>
        </w:rPr>
        <w:tab/>
      </w:r>
      <w:r w:rsidR="00323CBF" w:rsidRPr="00EC21AD">
        <w:rPr>
          <w:color w:val="000000" w:themeColor="text1"/>
          <w:sz w:val="28"/>
          <w:szCs w:val="28"/>
        </w:rPr>
        <w:t>Presiding Judge</w:t>
      </w:r>
      <w:r w:rsidRPr="00EC21AD">
        <w:rPr>
          <w:color w:val="000000" w:themeColor="text1"/>
          <w:sz w:val="28"/>
          <w:szCs w:val="28"/>
        </w:rPr>
        <w:t>, A</w:t>
      </w:r>
      <w:r w:rsidR="00323CBF" w:rsidRPr="00EC21AD">
        <w:rPr>
          <w:color w:val="000000" w:themeColor="text1"/>
          <w:sz w:val="28"/>
          <w:szCs w:val="28"/>
        </w:rPr>
        <w:t>rizona Tax Court</w:t>
      </w:r>
    </w:p>
    <w:p w14:paraId="4B6A2D60" w14:textId="435B957D" w:rsidR="000A6CAF" w:rsidRDefault="000A6CAF" w:rsidP="000A6CAF">
      <w:pPr>
        <w:rPr>
          <w:color w:val="000000" w:themeColor="text1"/>
          <w:sz w:val="28"/>
          <w:szCs w:val="28"/>
          <w:u w:val="single"/>
        </w:rPr>
        <w:sectPr w:rsidR="000A6CAF" w:rsidSect="00E067E4">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pPr>
    </w:p>
    <w:p w14:paraId="45C30350" w14:textId="272C559B" w:rsidR="005869D9" w:rsidRPr="00120EF3" w:rsidRDefault="005869D9" w:rsidP="005869D9">
      <w:pPr>
        <w:jc w:val="center"/>
        <w:rPr>
          <w:b/>
          <w:bCs/>
          <w:sz w:val="28"/>
          <w:szCs w:val="28"/>
          <w:u w:val="single"/>
        </w:rPr>
      </w:pPr>
      <w:r w:rsidRPr="00120EF3">
        <w:rPr>
          <w:b/>
          <w:bCs/>
          <w:sz w:val="28"/>
          <w:szCs w:val="28"/>
          <w:u w:val="single"/>
        </w:rPr>
        <w:lastRenderedPageBreak/>
        <w:t>Table of Contents</w:t>
      </w:r>
    </w:p>
    <w:p w14:paraId="6562F10C" w14:textId="77777777" w:rsidR="005869D9" w:rsidRPr="00120EF3" w:rsidRDefault="005869D9" w:rsidP="005869D9">
      <w:pPr>
        <w:jc w:val="center"/>
        <w:rPr>
          <w:sz w:val="28"/>
          <w:szCs w:val="28"/>
          <w:u w:val="single"/>
        </w:rPr>
      </w:pPr>
    </w:p>
    <w:tbl>
      <w:tblPr>
        <w:tblStyle w:val="TableGrid"/>
        <w:tblW w:w="0" w:type="auto"/>
        <w:tblLook w:val="04A0" w:firstRow="1" w:lastRow="0" w:firstColumn="1" w:lastColumn="0" w:noHBand="0" w:noVBand="1"/>
      </w:tblPr>
      <w:tblGrid>
        <w:gridCol w:w="4495"/>
        <w:gridCol w:w="4855"/>
      </w:tblGrid>
      <w:tr w:rsidR="005869D9" w:rsidRPr="00EC21AD" w14:paraId="0EE281A2" w14:textId="77777777" w:rsidTr="002611C3">
        <w:tc>
          <w:tcPr>
            <w:tcW w:w="4495" w:type="dxa"/>
          </w:tcPr>
          <w:p w14:paraId="1FC64329" w14:textId="77777777" w:rsidR="005869D9" w:rsidRPr="00120EF3" w:rsidRDefault="005869D9" w:rsidP="002611C3">
            <w:pPr>
              <w:rPr>
                <w:b/>
                <w:bCs/>
                <w:sz w:val="28"/>
                <w:szCs w:val="28"/>
              </w:rPr>
            </w:pPr>
            <w:r w:rsidRPr="00120EF3">
              <w:rPr>
                <w:b/>
                <w:bCs/>
                <w:sz w:val="28"/>
                <w:szCs w:val="28"/>
              </w:rPr>
              <w:t>Current Rule # and Title</w:t>
            </w:r>
          </w:p>
        </w:tc>
        <w:tc>
          <w:tcPr>
            <w:tcW w:w="4855" w:type="dxa"/>
          </w:tcPr>
          <w:p w14:paraId="140B41A8" w14:textId="77777777" w:rsidR="005869D9" w:rsidRPr="00120EF3" w:rsidRDefault="005869D9" w:rsidP="002611C3">
            <w:pPr>
              <w:rPr>
                <w:b/>
                <w:bCs/>
                <w:sz w:val="28"/>
                <w:szCs w:val="28"/>
              </w:rPr>
            </w:pPr>
            <w:r w:rsidRPr="00120EF3">
              <w:rPr>
                <w:b/>
                <w:bCs/>
                <w:sz w:val="28"/>
                <w:szCs w:val="28"/>
              </w:rPr>
              <w:t>Proposed New Rule # and Title</w:t>
            </w:r>
          </w:p>
        </w:tc>
      </w:tr>
      <w:tr w:rsidR="005869D9" w:rsidRPr="00EC21AD" w14:paraId="52327A4A" w14:textId="77777777" w:rsidTr="002611C3">
        <w:tc>
          <w:tcPr>
            <w:tcW w:w="4495" w:type="dxa"/>
          </w:tcPr>
          <w:p w14:paraId="2293CECA" w14:textId="77777777" w:rsidR="005869D9" w:rsidRPr="00120EF3" w:rsidRDefault="005869D9" w:rsidP="002611C3">
            <w:pPr>
              <w:rPr>
                <w:sz w:val="28"/>
                <w:szCs w:val="28"/>
              </w:rPr>
            </w:pPr>
            <w:r w:rsidRPr="00120EF3">
              <w:rPr>
                <w:sz w:val="28"/>
                <w:szCs w:val="28"/>
              </w:rPr>
              <w:t>--</w:t>
            </w:r>
          </w:p>
        </w:tc>
        <w:tc>
          <w:tcPr>
            <w:tcW w:w="4855" w:type="dxa"/>
          </w:tcPr>
          <w:p w14:paraId="1B70D1EF" w14:textId="77777777" w:rsidR="005869D9" w:rsidRPr="00120EF3" w:rsidRDefault="005869D9" w:rsidP="002611C3">
            <w:pPr>
              <w:rPr>
                <w:b/>
                <w:bCs/>
                <w:sz w:val="28"/>
                <w:szCs w:val="28"/>
              </w:rPr>
            </w:pPr>
            <w:r w:rsidRPr="00120EF3">
              <w:rPr>
                <w:b/>
                <w:bCs/>
                <w:sz w:val="28"/>
                <w:szCs w:val="28"/>
              </w:rPr>
              <w:t>Part I. General Provisions</w:t>
            </w:r>
          </w:p>
        </w:tc>
      </w:tr>
      <w:tr w:rsidR="005869D9" w:rsidRPr="00EC21AD" w14:paraId="63EA3282" w14:textId="77777777" w:rsidTr="002611C3">
        <w:tc>
          <w:tcPr>
            <w:tcW w:w="4495" w:type="dxa"/>
          </w:tcPr>
          <w:p w14:paraId="758A591F" w14:textId="74448EC8" w:rsidR="005869D9" w:rsidRPr="00120EF3" w:rsidRDefault="005869D9" w:rsidP="002611C3">
            <w:pPr>
              <w:rPr>
                <w:sz w:val="28"/>
                <w:szCs w:val="28"/>
              </w:rPr>
            </w:pPr>
            <w:r w:rsidRPr="00120EF3">
              <w:rPr>
                <w:sz w:val="28"/>
                <w:szCs w:val="28"/>
              </w:rPr>
              <w:t xml:space="preserve">                                                                                                                                                                                                                                                                                                                                                                                                                                                                                                                                                                                                                                                                                                                                                                                                                                                                                                                                                                                                                                                                                                                                                                                                                                                                                                                                                                                                                                                                                                                                                                                                                                                                                                                                                                                                                                                                                                                                                                                                                                                                                                                                  1 Administration</w:t>
            </w:r>
          </w:p>
        </w:tc>
        <w:tc>
          <w:tcPr>
            <w:tcW w:w="4855" w:type="dxa"/>
          </w:tcPr>
          <w:p w14:paraId="5789FE36" w14:textId="77777777" w:rsidR="005869D9" w:rsidRPr="00120EF3" w:rsidRDefault="005869D9" w:rsidP="002611C3">
            <w:pPr>
              <w:rPr>
                <w:sz w:val="28"/>
                <w:szCs w:val="28"/>
              </w:rPr>
            </w:pPr>
            <w:r w:rsidRPr="00120EF3">
              <w:rPr>
                <w:sz w:val="28"/>
                <w:szCs w:val="28"/>
              </w:rPr>
              <w:t>1 Arizona Tax Court</w:t>
            </w:r>
          </w:p>
        </w:tc>
      </w:tr>
      <w:tr w:rsidR="005869D9" w:rsidRPr="00EC21AD" w14:paraId="1CD60B81" w14:textId="77777777" w:rsidTr="002611C3">
        <w:trPr>
          <w:trHeight w:val="58"/>
        </w:trPr>
        <w:tc>
          <w:tcPr>
            <w:tcW w:w="4495" w:type="dxa"/>
          </w:tcPr>
          <w:p w14:paraId="2AA09DB6" w14:textId="77777777" w:rsidR="005869D9" w:rsidRPr="00120EF3" w:rsidRDefault="005869D9" w:rsidP="002611C3">
            <w:pPr>
              <w:rPr>
                <w:sz w:val="28"/>
                <w:szCs w:val="28"/>
              </w:rPr>
            </w:pPr>
            <w:r w:rsidRPr="00120EF3">
              <w:rPr>
                <w:sz w:val="28"/>
                <w:szCs w:val="28"/>
              </w:rPr>
              <w:t>2 Practice and Procedure</w:t>
            </w:r>
          </w:p>
        </w:tc>
        <w:tc>
          <w:tcPr>
            <w:tcW w:w="4855" w:type="dxa"/>
          </w:tcPr>
          <w:p w14:paraId="6ECF2BF3" w14:textId="77777777" w:rsidR="005869D9" w:rsidRPr="00120EF3" w:rsidRDefault="005869D9" w:rsidP="002611C3">
            <w:pPr>
              <w:rPr>
                <w:sz w:val="28"/>
                <w:szCs w:val="28"/>
              </w:rPr>
            </w:pPr>
            <w:r w:rsidRPr="00120EF3">
              <w:rPr>
                <w:sz w:val="28"/>
                <w:szCs w:val="28"/>
              </w:rPr>
              <w:t>2 Applicable Court Rules</w:t>
            </w:r>
          </w:p>
        </w:tc>
      </w:tr>
      <w:tr w:rsidR="005869D9" w:rsidRPr="00EC21AD" w14:paraId="67BDCC42" w14:textId="77777777" w:rsidTr="002611C3">
        <w:tc>
          <w:tcPr>
            <w:tcW w:w="4495" w:type="dxa"/>
          </w:tcPr>
          <w:p w14:paraId="5A842203" w14:textId="77777777" w:rsidR="005869D9" w:rsidRPr="00120EF3" w:rsidRDefault="005869D9" w:rsidP="002611C3">
            <w:pPr>
              <w:rPr>
                <w:sz w:val="28"/>
                <w:szCs w:val="28"/>
              </w:rPr>
            </w:pPr>
            <w:r w:rsidRPr="00120EF3">
              <w:rPr>
                <w:sz w:val="28"/>
                <w:szCs w:val="28"/>
              </w:rPr>
              <w:t>3 Tax Court Clerk</w:t>
            </w:r>
          </w:p>
        </w:tc>
        <w:tc>
          <w:tcPr>
            <w:tcW w:w="4855" w:type="dxa"/>
          </w:tcPr>
          <w:p w14:paraId="1A19B83D" w14:textId="77777777" w:rsidR="005869D9" w:rsidRPr="00120EF3" w:rsidRDefault="005869D9" w:rsidP="002611C3">
            <w:pPr>
              <w:rPr>
                <w:sz w:val="28"/>
                <w:szCs w:val="28"/>
              </w:rPr>
            </w:pPr>
            <w:r w:rsidRPr="00120EF3">
              <w:rPr>
                <w:sz w:val="28"/>
                <w:szCs w:val="28"/>
              </w:rPr>
              <w:t>3 Tax Court clerk</w:t>
            </w:r>
          </w:p>
        </w:tc>
      </w:tr>
      <w:tr w:rsidR="005869D9" w:rsidRPr="00EC21AD" w14:paraId="6151AF50" w14:textId="77777777" w:rsidTr="002611C3">
        <w:tc>
          <w:tcPr>
            <w:tcW w:w="4495" w:type="dxa"/>
          </w:tcPr>
          <w:p w14:paraId="7751E07B" w14:textId="77777777" w:rsidR="005869D9" w:rsidRPr="00120EF3" w:rsidRDefault="005869D9" w:rsidP="002611C3">
            <w:pPr>
              <w:rPr>
                <w:sz w:val="28"/>
                <w:szCs w:val="28"/>
              </w:rPr>
            </w:pPr>
          </w:p>
        </w:tc>
        <w:tc>
          <w:tcPr>
            <w:tcW w:w="4855" w:type="dxa"/>
          </w:tcPr>
          <w:p w14:paraId="1B1DCD17" w14:textId="77777777" w:rsidR="005869D9" w:rsidRPr="00120EF3" w:rsidRDefault="005869D9" w:rsidP="002611C3">
            <w:pPr>
              <w:rPr>
                <w:b/>
                <w:bCs/>
                <w:sz w:val="28"/>
                <w:szCs w:val="28"/>
              </w:rPr>
            </w:pPr>
            <w:r w:rsidRPr="00120EF3">
              <w:rPr>
                <w:b/>
                <w:bCs/>
                <w:sz w:val="28"/>
                <w:szCs w:val="28"/>
              </w:rPr>
              <w:t>Part II. Filing Documents in Tax Court</w:t>
            </w:r>
          </w:p>
        </w:tc>
      </w:tr>
      <w:tr w:rsidR="005869D9" w:rsidRPr="00EC21AD" w14:paraId="3BFFAA5F" w14:textId="77777777" w:rsidTr="002611C3">
        <w:tc>
          <w:tcPr>
            <w:tcW w:w="4495" w:type="dxa"/>
          </w:tcPr>
          <w:p w14:paraId="15BF869A" w14:textId="77777777" w:rsidR="005869D9" w:rsidRPr="00120EF3" w:rsidRDefault="005869D9" w:rsidP="002611C3">
            <w:pPr>
              <w:rPr>
                <w:sz w:val="28"/>
                <w:szCs w:val="28"/>
              </w:rPr>
            </w:pPr>
            <w:r w:rsidRPr="00120EF3">
              <w:rPr>
                <w:sz w:val="28"/>
                <w:szCs w:val="28"/>
              </w:rPr>
              <w:t>4 Case Numbering</w:t>
            </w:r>
          </w:p>
        </w:tc>
        <w:tc>
          <w:tcPr>
            <w:tcW w:w="4855" w:type="dxa"/>
          </w:tcPr>
          <w:p w14:paraId="6F9B830E" w14:textId="77777777" w:rsidR="005869D9" w:rsidRPr="00120EF3" w:rsidRDefault="005869D9" w:rsidP="002611C3">
            <w:pPr>
              <w:rPr>
                <w:sz w:val="28"/>
                <w:szCs w:val="28"/>
              </w:rPr>
            </w:pPr>
            <w:r w:rsidRPr="00120EF3">
              <w:rPr>
                <w:sz w:val="28"/>
                <w:szCs w:val="28"/>
              </w:rPr>
              <w:t>4 Caption</w:t>
            </w:r>
          </w:p>
        </w:tc>
      </w:tr>
      <w:tr w:rsidR="005869D9" w:rsidRPr="00EC21AD" w14:paraId="0456BD08" w14:textId="77777777" w:rsidTr="002611C3">
        <w:tc>
          <w:tcPr>
            <w:tcW w:w="4495" w:type="dxa"/>
          </w:tcPr>
          <w:p w14:paraId="5A37C2C5" w14:textId="77777777" w:rsidR="005869D9" w:rsidRPr="00120EF3" w:rsidRDefault="005869D9" w:rsidP="002611C3">
            <w:pPr>
              <w:rPr>
                <w:sz w:val="28"/>
                <w:szCs w:val="28"/>
              </w:rPr>
            </w:pPr>
            <w:r w:rsidRPr="00120EF3">
              <w:rPr>
                <w:sz w:val="28"/>
                <w:szCs w:val="28"/>
              </w:rPr>
              <w:t>5 Filing</w:t>
            </w:r>
          </w:p>
        </w:tc>
        <w:tc>
          <w:tcPr>
            <w:tcW w:w="4855" w:type="dxa"/>
          </w:tcPr>
          <w:p w14:paraId="2837EB9D" w14:textId="36977403" w:rsidR="005869D9" w:rsidRPr="00120EF3" w:rsidRDefault="005869D9" w:rsidP="002611C3">
            <w:pPr>
              <w:rPr>
                <w:sz w:val="28"/>
                <w:szCs w:val="28"/>
              </w:rPr>
            </w:pPr>
            <w:r w:rsidRPr="00120EF3">
              <w:rPr>
                <w:sz w:val="28"/>
                <w:szCs w:val="28"/>
              </w:rPr>
              <w:t>5 Required Cover</w:t>
            </w:r>
            <w:r w:rsidR="008A5B1A">
              <w:rPr>
                <w:sz w:val="28"/>
                <w:szCs w:val="28"/>
              </w:rPr>
              <w:t>s</w:t>
            </w:r>
            <w:r w:rsidRPr="00120EF3">
              <w:rPr>
                <w:sz w:val="28"/>
                <w:szCs w:val="28"/>
              </w:rPr>
              <w:t>heet</w:t>
            </w:r>
          </w:p>
        </w:tc>
      </w:tr>
      <w:tr w:rsidR="005869D9" w:rsidRPr="00EC21AD" w14:paraId="5A121345" w14:textId="77777777" w:rsidTr="002611C3">
        <w:tc>
          <w:tcPr>
            <w:tcW w:w="4495" w:type="dxa"/>
          </w:tcPr>
          <w:p w14:paraId="0E9E8AF7" w14:textId="77777777" w:rsidR="005869D9" w:rsidRPr="00120EF3" w:rsidRDefault="005869D9" w:rsidP="002611C3">
            <w:pPr>
              <w:ind w:left="333" w:hanging="333"/>
              <w:rPr>
                <w:sz w:val="28"/>
                <w:szCs w:val="28"/>
              </w:rPr>
            </w:pPr>
            <w:r w:rsidRPr="00120EF3">
              <w:rPr>
                <w:sz w:val="28"/>
                <w:szCs w:val="28"/>
              </w:rPr>
              <w:t>6 Cases Transferred to the Tax Court</w:t>
            </w:r>
          </w:p>
        </w:tc>
        <w:tc>
          <w:tcPr>
            <w:tcW w:w="4855" w:type="dxa"/>
          </w:tcPr>
          <w:p w14:paraId="7345DBE7" w14:textId="77777777" w:rsidR="005869D9" w:rsidRPr="00120EF3" w:rsidRDefault="005869D9" w:rsidP="002611C3">
            <w:pPr>
              <w:rPr>
                <w:sz w:val="28"/>
                <w:szCs w:val="28"/>
              </w:rPr>
            </w:pPr>
            <w:r w:rsidRPr="00120EF3">
              <w:rPr>
                <w:sz w:val="28"/>
                <w:szCs w:val="28"/>
              </w:rPr>
              <w:t>6 Filing Pleadings and Other Documents</w:t>
            </w:r>
          </w:p>
        </w:tc>
      </w:tr>
      <w:tr w:rsidR="005869D9" w:rsidRPr="00EC21AD" w14:paraId="5B0A1309" w14:textId="77777777" w:rsidTr="002611C3">
        <w:tc>
          <w:tcPr>
            <w:tcW w:w="4495" w:type="dxa"/>
          </w:tcPr>
          <w:p w14:paraId="027A1CB4" w14:textId="77777777" w:rsidR="005869D9" w:rsidRPr="00120EF3" w:rsidRDefault="005869D9" w:rsidP="002611C3">
            <w:pPr>
              <w:ind w:left="342" w:hanging="342"/>
              <w:rPr>
                <w:sz w:val="28"/>
                <w:szCs w:val="28"/>
              </w:rPr>
            </w:pPr>
            <w:r w:rsidRPr="00120EF3">
              <w:rPr>
                <w:sz w:val="28"/>
                <w:szCs w:val="28"/>
              </w:rPr>
              <w:t>7 Documents Stamped by Clerk</w:t>
            </w:r>
          </w:p>
        </w:tc>
        <w:tc>
          <w:tcPr>
            <w:tcW w:w="4855" w:type="dxa"/>
          </w:tcPr>
          <w:p w14:paraId="21ABE8AE" w14:textId="77777777" w:rsidR="005869D9" w:rsidRPr="00120EF3" w:rsidRDefault="005869D9" w:rsidP="002611C3">
            <w:pPr>
              <w:rPr>
                <w:sz w:val="28"/>
                <w:szCs w:val="28"/>
              </w:rPr>
            </w:pPr>
            <w:r w:rsidRPr="00120EF3">
              <w:rPr>
                <w:sz w:val="28"/>
                <w:szCs w:val="28"/>
              </w:rPr>
              <w:t>7 Clerk’s Stamp on Filed Documents</w:t>
            </w:r>
          </w:p>
        </w:tc>
      </w:tr>
      <w:tr w:rsidR="005869D9" w:rsidRPr="00EC21AD" w14:paraId="51A42D3B" w14:textId="77777777" w:rsidTr="002611C3">
        <w:tc>
          <w:tcPr>
            <w:tcW w:w="4495" w:type="dxa"/>
          </w:tcPr>
          <w:p w14:paraId="2C89171D" w14:textId="77777777" w:rsidR="005869D9" w:rsidRPr="00120EF3" w:rsidRDefault="005869D9" w:rsidP="002611C3">
            <w:pPr>
              <w:ind w:left="342" w:hanging="342"/>
              <w:rPr>
                <w:sz w:val="28"/>
                <w:szCs w:val="28"/>
              </w:rPr>
            </w:pPr>
            <w:r w:rsidRPr="00120EF3">
              <w:rPr>
                <w:sz w:val="28"/>
                <w:szCs w:val="28"/>
              </w:rPr>
              <w:t>8 Caption</w:t>
            </w:r>
          </w:p>
        </w:tc>
        <w:tc>
          <w:tcPr>
            <w:tcW w:w="4855" w:type="dxa"/>
          </w:tcPr>
          <w:p w14:paraId="22487B05" w14:textId="77777777" w:rsidR="005869D9" w:rsidRPr="00120EF3" w:rsidRDefault="005869D9" w:rsidP="002611C3">
            <w:pPr>
              <w:ind w:left="342" w:hanging="360"/>
              <w:rPr>
                <w:sz w:val="28"/>
                <w:szCs w:val="28"/>
              </w:rPr>
            </w:pPr>
            <w:r w:rsidRPr="00120EF3">
              <w:rPr>
                <w:sz w:val="28"/>
                <w:szCs w:val="28"/>
              </w:rPr>
              <w:t>8 Tax Court Case Numbering</w:t>
            </w:r>
          </w:p>
        </w:tc>
      </w:tr>
      <w:tr w:rsidR="005869D9" w:rsidRPr="00EC21AD" w14:paraId="52833CAB" w14:textId="77777777" w:rsidTr="002611C3">
        <w:tc>
          <w:tcPr>
            <w:tcW w:w="4495" w:type="dxa"/>
          </w:tcPr>
          <w:p w14:paraId="2268160A" w14:textId="77777777" w:rsidR="005869D9" w:rsidRPr="00120EF3" w:rsidRDefault="005869D9" w:rsidP="002611C3">
            <w:pPr>
              <w:ind w:left="342" w:hanging="342"/>
              <w:rPr>
                <w:sz w:val="28"/>
                <w:szCs w:val="28"/>
              </w:rPr>
            </w:pPr>
            <w:r w:rsidRPr="00120EF3">
              <w:rPr>
                <w:sz w:val="28"/>
                <w:szCs w:val="28"/>
              </w:rPr>
              <w:t>9 Forms of Papers</w:t>
            </w:r>
          </w:p>
        </w:tc>
        <w:tc>
          <w:tcPr>
            <w:tcW w:w="4855" w:type="dxa"/>
          </w:tcPr>
          <w:p w14:paraId="0E223CCD" w14:textId="77777777" w:rsidR="005869D9" w:rsidRPr="00120EF3" w:rsidRDefault="005869D9" w:rsidP="002611C3">
            <w:pPr>
              <w:ind w:left="436" w:hanging="454"/>
              <w:rPr>
                <w:sz w:val="28"/>
                <w:szCs w:val="28"/>
              </w:rPr>
            </w:pPr>
            <w:r w:rsidRPr="00120EF3">
              <w:rPr>
                <w:sz w:val="28"/>
                <w:szCs w:val="28"/>
              </w:rPr>
              <w:t>9 No Paper Copies</w:t>
            </w:r>
          </w:p>
        </w:tc>
      </w:tr>
      <w:tr w:rsidR="005869D9" w:rsidRPr="00EC21AD" w14:paraId="4783E81F" w14:textId="77777777" w:rsidTr="002611C3">
        <w:tc>
          <w:tcPr>
            <w:tcW w:w="4495" w:type="dxa"/>
          </w:tcPr>
          <w:p w14:paraId="0FBB4ECE" w14:textId="77777777" w:rsidR="005869D9" w:rsidRPr="00120EF3" w:rsidRDefault="005869D9" w:rsidP="002611C3">
            <w:pPr>
              <w:ind w:left="342" w:hanging="342"/>
              <w:rPr>
                <w:sz w:val="28"/>
                <w:szCs w:val="28"/>
              </w:rPr>
            </w:pPr>
            <w:r w:rsidRPr="00120EF3">
              <w:rPr>
                <w:sz w:val="28"/>
                <w:szCs w:val="28"/>
              </w:rPr>
              <w:t>10 Filing of Cover Sheet</w:t>
            </w:r>
          </w:p>
        </w:tc>
        <w:tc>
          <w:tcPr>
            <w:tcW w:w="4855" w:type="dxa"/>
          </w:tcPr>
          <w:p w14:paraId="1FCAF0C8" w14:textId="77777777" w:rsidR="005869D9" w:rsidRPr="00120EF3" w:rsidRDefault="005869D9" w:rsidP="002611C3">
            <w:pPr>
              <w:ind w:hanging="18"/>
              <w:rPr>
                <w:sz w:val="28"/>
                <w:szCs w:val="28"/>
              </w:rPr>
            </w:pPr>
          </w:p>
        </w:tc>
      </w:tr>
      <w:tr w:rsidR="005869D9" w:rsidRPr="00EC21AD" w14:paraId="577338B5" w14:textId="77777777" w:rsidTr="002611C3">
        <w:tc>
          <w:tcPr>
            <w:tcW w:w="4495" w:type="dxa"/>
          </w:tcPr>
          <w:p w14:paraId="2A6CC155" w14:textId="77777777" w:rsidR="005869D9" w:rsidRPr="00120EF3" w:rsidRDefault="005869D9" w:rsidP="002611C3">
            <w:pPr>
              <w:ind w:left="423" w:hanging="423"/>
              <w:rPr>
                <w:sz w:val="28"/>
                <w:szCs w:val="28"/>
              </w:rPr>
            </w:pPr>
            <w:r w:rsidRPr="00120EF3">
              <w:rPr>
                <w:sz w:val="28"/>
                <w:szCs w:val="28"/>
              </w:rPr>
              <w:t>11 Copies to Judge or Commissioner</w:t>
            </w:r>
          </w:p>
        </w:tc>
        <w:tc>
          <w:tcPr>
            <w:tcW w:w="4855" w:type="dxa"/>
          </w:tcPr>
          <w:p w14:paraId="2941AC14" w14:textId="77777777" w:rsidR="005869D9" w:rsidRPr="00120EF3" w:rsidRDefault="005869D9" w:rsidP="002611C3">
            <w:pPr>
              <w:ind w:hanging="18"/>
              <w:rPr>
                <w:sz w:val="28"/>
                <w:szCs w:val="28"/>
              </w:rPr>
            </w:pPr>
          </w:p>
        </w:tc>
      </w:tr>
      <w:tr w:rsidR="005869D9" w:rsidRPr="00EC21AD" w14:paraId="2D31406E" w14:textId="77777777" w:rsidTr="002611C3">
        <w:tc>
          <w:tcPr>
            <w:tcW w:w="4495" w:type="dxa"/>
          </w:tcPr>
          <w:p w14:paraId="7A534F7E" w14:textId="77777777" w:rsidR="005869D9" w:rsidRPr="00120EF3" w:rsidRDefault="005869D9" w:rsidP="002611C3">
            <w:pPr>
              <w:ind w:left="423" w:hanging="423"/>
              <w:rPr>
                <w:sz w:val="28"/>
                <w:szCs w:val="28"/>
              </w:rPr>
            </w:pPr>
          </w:p>
        </w:tc>
        <w:tc>
          <w:tcPr>
            <w:tcW w:w="4855" w:type="dxa"/>
          </w:tcPr>
          <w:p w14:paraId="691D8982" w14:textId="77777777" w:rsidR="005869D9" w:rsidRPr="00120EF3" w:rsidRDefault="005869D9" w:rsidP="002611C3">
            <w:pPr>
              <w:ind w:hanging="18"/>
              <w:rPr>
                <w:b/>
                <w:bCs/>
                <w:sz w:val="28"/>
                <w:szCs w:val="28"/>
              </w:rPr>
            </w:pPr>
            <w:r w:rsidRPr="00120EF3">
              <w:rPr>
                <w:b/>
                <w:bCs/>
                <w:sz w:val="28"/>
                <w:szCs w:val="28"/>
              </w:rPr>
              <w:t>Part III. Case Transfers; Location of Proceedings; Juries</w:t>
            </w:r>
          </w:p>
        </w:tc>
      </w:tr>
      <w:tr w:rsidR="005869D9" w:rsidRPr="00EC21AD" w14:paraId="75236DBF" w14:textId="77777777" w:rsidTr="002611C3">
        <w:tc>
          <w:tcPr>
            <w:tcW w:w="4495" w:type="dxa"/>
          </w:tcPr>
          <w:p w14:paraId="55818DA2" w14:textId="77777777" w:rsidR="005869D9" w:rsidRPr="00120EF3" w:rsidRDefault="005869D9" w:rsidP="002611C3">
            <w:pPr>
              <w:ind w:left="342" w:hanging="342"/>
              <w:rPr>
                <w:sz w:val="28"/>
                <w:szCs w:val="28"/>
              </w:rPr>
            </w:pPr>
          </w:p>
        </w:tc>
        <w:tc>
          <w:tcPr>
            <w:tcW w:w="4855" w:type="dxa"/>
          </w:tcPr>
          <w:p w14:paraId="6623593D" w14:textId="77777777" w:rsidR="005869D9" w:rsidRPr="00120EF3" w:rsidRDefault="005869D9" w:rsidP="002611C3">
            <w:pPr>
              <w:ind w:hanging="18"/>
              <w:rPr>
                <w:sz w:val="28"/>
                <w:szCs w:val="28"/>
              </w:rPr>
            </w:pPr>
            <w:r w:rsidRPr="00120EF3">
              <w:rPr>
                <w:sz w:val="28"/>
                <w:szCs w:val="28"/>
              </w:rPr>
              <w:t>10 Cases Transferred to the Tax Court</w:t>
            </w:r>
          </w:p>
        </w:tc>
      </w:tr>
      <w:tr w:rsidR="005869D9" w:rsidRPr="00EC21AD" w14:paraId="3B2492EF" w14:textId="77777777" w:rsidTr="002611C3">
        <w:tc>
          <w:tcPr>
            <w:tcW w:w="4495" w:type="dxa"/>
          </w:tcPr>
          <w:p w14:paraId="6B362A80" w14:textId="77777777" w:rsidR="005869D9" w:rsidRPr="00120EF3" w:rsidRDefault="005869D9" w:rsidP="002611C3">
            <w:pPr>
              <w:ind w:left="342" w:hanging="342"/>
              <w:rPr>
                <w:sz w:val="28"/>
                <w:szCs w:val="28"/>
              </w:rPr>
            </w:pPr>
            <w:r w:rsidRPr="00120EF3">
              <w:rPr>
                <w:sz w:val="28"/>
                <w:szCs w:val="28"/>
              </w:rPr>
              <w:t>12 Hearings and Trials Other than in Maricopa County</w:t>
            </w:r>
          </w:p>
        </w:tc>
        <w:tc>
          <w:tcPr>
            <w:tcW w:w="4855" w:type="dxa"/>
          </w:tcPr>
          <w:p w14:paraId="180962EB" w14:textId="77777777" w:rsidR="005869D9" w:rsidRPr="00120EF3" w:rsidRDefault="005869D9" w:rsidP="002611C3">
            <w:pPr>
              <w:ind w:hanging="18"/>
              <w:rPr>
                <w:sz w:val="28"/>
                <w:szCs w:val="28"/>
              </w:rPr>
            </w:pPr>
            <w:r w:rsidRPr="00120EF3">
              <w:rPr>
                <w:sz w:val="28"/>
                <w:szCs w:val="28"/>
              </w:rPr>
              <w:t>11 Tax Court Hearings and Trials Outside of Maricopa County</w:t>
            </w:r>
          </w:p>
        </w:tc>
      </w:tr>
      <w:tr w:rsidR="005869D9" w:rsidRPr="00EC21AD" w14:paraId="1C9341F6" w14:textId="77777777" w:rsidTr="002611C3">
        <w:tc>
          <w:tcPr>
            <w:tcW w:w="4495" w:type="dxa"/>
          </w:tcPr>
          <w:p w14:paraId="0525B232" w14:textId="77777777" w:rsidR="005869D9" w:rsidRPr="00120EF3" w:rsidRDefault="005869D9" w:rsidP="002611C3">
            <w:pPr>
              <w:ind w:left="342" w:hanging="342"/>
              <w:rPr>
                <w:sz w:val="28"/>
                <w:szCs w:val="28"/>
              </w:rPr>
            </w:pPr>
            <w:r w:rsidRPr="00120EF3">
              <w:rPr>
                <w:sz w:val="28"/>
                <w:szCs w:val="28"/>
              </w:rPr>
              <w:t>13 Juries</w:t>
            </w:r>
          </w:p>
        </w:tc>
        <w:tc>
          <w:tcPr>
            <w:tcW w:w="4855" w:type="dxa"/>
          </w:tcPr>
          <w:p w14:paraId="1231D3B3" w14:textId="77777777" w:rsidR="005869D9" w:rsidRPr="00120EF3" w:rsidRDefault="005869D9" w:rsidP="002611C3">
            <w:pPr>
              <w:ind w:hanging="18"/>
              <w:rPr>
                <w:sz w:val="28"/>
                <w:szCs w:val="28"/>
              </w:rPr>
            </w:pPr>
            <w:r w:rsidRPr="00120EF3">
              <w:rPr>
                <w:sz w:val="28"/>
                <w:szCs w:val="28"/>
              </w:rPr>
              <w:t>12 Juries</w:t>
            </w:r>
          </w:p>
        </w:tc>
      </w:tr>
      <w:tr w:rsidR="005869D9" w:rsidRPr="00EC21AD" w14:paraId="724E6E79" w14:textId="77777777" w:rsidTr="002611C3">
        <w:tc>
          <w:tcPr>
            <w:tcW w:w="4495" w:type="dxa"/>
          </w:tcPr>
          <w:p w14:paraId="58563C3A" w14:textId="77777777" w:rsidR="005869D9" w:rsidRPr="00120EF3" w:rsidRDefault="005869D9" w:rsidP="002611C3">
            <w:pPr>
              <w:ind w:left="342" w:hanging="342"/>
              <w:rPr>
                <w:sz w:val="28"/>
                <w:szCs w:val="28"/>
              </w:rPr>
            </w:pPr>
          </w:p>
        </w:tc>
        <w:tc>
          <w:tcPr>
            <w:tcW w:w="4855" w:type="dxa"/>
          </w:tcPr>
          <w:p w14:paraId="7F51704E" w14:textId="77777777" w:rsidR="005869D9" w:rsidRPr="00120EF3" w:rsidRDefault="005869D9" w:rsidP="002611C3">
            <w:pPr>
              <w:ind w:hanging="18"/>
              <w:rPr>
                <w:b/>
                <w:bCs/>
                <w:sz w:val="28"/>
                <w:szCs w:val="28"/>
              </w:rPr>
            </w:pPr>
            <w:r w:rsidRPr="00120EF3">
              <w:rPr>
                <w:b/>
                <w:bCs/>
                <w:sz w:val="28"/>
                <w:szCs w:val="28"/>
              </w:rPr>
              <w:t>Part IV. Further Proceedings</w:t>
            </w:r>
          </w:p>
        </w:tc>
      </w:tr>
      <w:tr w:rsidR="005869D9" w:rsidRPr="00EC21AD" w14:paraId="2A9A7DC6" w14:textId="77777777" w:rsidTr="002611C3">
        <w:tc>
          <w:tcPr>
            <w:tcW w:w="4495" w:type="dxa"/>
          </w:tcPr>
          <w:p w14:paraId="45F107D3" w14:textId="77777777" w:rsidR="005869D9" w:rsidRPr="00120EF3" w:rsidRDefault="005869D9" w:rsidP="002611C3">
            <w:pPr>
              <w:ind w:left="342" w:hanging="342"/>
              <w:rPr>
                <w:sz w:val="28"/>
                <w:szCs w:val="28"/>
              </w:rPr>
            </w:pPr>
          </w:p>
        </w:tc>
        <w:tc>
          <w:tcPr>
            <w:tcW w:w="4855" w:type="dxa"/>
          </w:tcPr>
          <w:p w14:paraId="4AC60AD6" w14:textId="77777777" w:rsidR="005869D9" w:rsidRPr="00120EF3" w:rsidRDefault="005869D9" w:rsidP="002611C3">
            <w:pPr>
              <w:ind w:hanging="18"/>
              <w:rPr>
                <w:bCs/>
                <w:sz w:val="28"/>
                <w:szCs w:val="28"/>
              </w:rPr>
            </w:pPr>
            <w:r w:rsidRPr="00120EF3">
              <w:rPr>
                <w:bCs/>
                <w:sz w:val="28"/>
                <w:szCs w:val="28"/>
              </w:rPr>
              <w:t>13 Uniform Interrogatories</w:t>
            </w:r>
          </w:p>
        </w:tc>
      </w:tr>
      <w:tr w:rsidR="005869D9" w:rsidRPr="00EC21AD" w14:paraId="5FB74CBA" w14:textId="77777777" w:rsidTr="002611C3">
        <w:tc>
          <w:tcPr>
            <w:tcW w:w="4495" w:type="dxa"/>
          </w:tcPr>
          <w:p w14:paraId="03D7DA18" w14:textId="77777777" w:rsidR="005869D9" w:rsidRPr="00120EF3" w:rsidRDefault="005869D9" w:rsidP="002611C3">
            <w:pPr>
              <w:ind w:left="342" w:hanging="342"/>
              <w:rPr>
                <w:sz w:val="28"/>
                <w:szCs w:val="28"/>
              </w:rPr>
            </w:pPr>
            <w:r w:rsidRPr="00120EF3">
              <w:rPr>
                <w:sz w:val="28"/>
                <w:szCs w:val="28"/>
              </w:rPr>
              <w:t>14 Pending Appeals Calendar</w:t>
            </w:r>
          </w:p>
        </w:tc>
        <w:tc>
          <w:tcPr>
            <w:tcW w:w="4855" w:type="dxa"/>
          </w:tcPr>
          <w:p w14:paraId="0AD670F0" w14:textId="0B6654FD" w:rsidR="005869D9" w:rsidRPr="00120EF3" w:rsidRDefault="005869D9" w:rsidP="00DE6FE8">
            <w:pPr>
              <w:ind w:hanging="14"/>
              <w:rPr>
                <w:sz w:val="28"/>
                <w:szCs w:val="28"/>
              </w:rPr>
            </w:pPr>
            <w:r w:rsidRPr="00120EF3">
              <w:rPr>
                <w:sz w:val="28"/>
                <w:szCs w:val="28"/>
              </w:rPr>
              <w:t>14 Pending Appeals Calendar</w:t>
            </w:r>
            <w:r w:rsidR="00087E1C">
              <w:rPr>
                <w:sz w:val="28"/>
                <w:szCs w:val="28"/>
              </w:rPr>
              <w:t>; Stayed Cases</w:t>
            </w:r>
          </w:p>
        </w:tc>
      </w:tr>
      <w:tr w:rsidR="005869D9" w:rsidRPr="00EC21AD" w14:paraId="40428B35" w14:textId="77777777" w:rsidTr="002611C3">
        <w:tc>
          <w:tcPr>
            <w:tcW w:w="4495" w:type="dxa"/>
          </w:tcPr>
          <w:p w14:paraId="1607557D" w14:textId="77777777" w:rsidR="005869D9" w:rsidRPr="00120EF3" w:rsidRDefault="005869D9" w:rsidP="002611C3">
            <w:pPr>
              <w:ind w:left="342" w:hanging="342"/>
              <w:rPr>
                <w:sz w:val="28"/>
                <w:szCs w:val="28"/>
              </w:rPr>
            </w:pPr>
          </w:p>
        </w:tc>
        <w:tc>
          <w:tcPr>
            <w:tcW w:w="4855" w:type="dxa"/>
          </w:tcPr>
          <w:p w14:paraId="32674EB0" w14:textId="77777777" w:rsidR="005869D9" w:rsidRPr="00120EF3" w:rsidRDefault="005869D9" w:rsidP="002611C3">
            <w:pPr>
              <w:ind w:left="338" w:hanging="352"/>
              <w:rPr>
                <w:sz w:val="28"/>
                <w:szCs w:val="28"/>
              </w:rPr>
            </w:pPr>
            <w:r w:rsidRPr="00120EF3">
              <w:rPr>
                <w:sz w:val="28"/>
                <w:szCs w:val="28"/>
              </w:rPr>
              <w:t>15 Appeals</w:t>
            </w:r>
          </w:p>
        </w:tc>
      </w:tr>
      <w:tr w:rsidR="005869D9" w:rsidRPr="00EC21AD" w14:paraId="23A3661F" w14:textId="77777777" w:rsidTr="002611C3">
        <w:tc>
          <w:tcPr>
            <w:tcW w:w="4495" w:type="dxa"/>
          </w:tcPr>
          <w:p w14:paraId="53E33EDA" w14:textId="77777777" w:rsidR="005869D9" w:rsidRPr="00120EF3" w:rsidRDefault="005869D9" w:rsidP="002611C3">
            <w:pPr>
              <w:rPr>
                <w:sz w:val="28"/>
                <w:szCs w:val="28"/>
              </w:rPr>
            </w:pPr>
            <w:r w:rsidRPr="00120EF3">
              <w:rPr>
                <w:sz w:val="28"/>
                <w:szCs w:val="28"/>
              </w:rPr>
              <w:t>15 Publication</w:t>
            </w:r>
          </w:p>
        </w:tc>
        <w:tc>
          <w:tcPr>
            <w:tcW w:w="4855" w:type="dxa"/>
          </w:tcPr>
          <w:p w14:paraId="4FEF1FCA" w14:textId="77777777" w:rsidR="005869D9" w:rsidRPr="00120EF3" w:rsidRDefault="005869D9" w:rsidP="002611C3">
            <w:pPr>
              <w:ind w:hanging="18"/>
              <w:rPr>
                <w:sz w:val="28"/>
                <w:szCs w:val="28"/>
              </w:rPr>
            </w:pPr>
            <w:r w:rsidRPr="00120EF3">
              <w:rPr>
                <w:sz w:val="28"/>
                <w:szCs w:val="28"/>
              </w:rPr>
              <w:t>16 Publication of Tax Court Decisions</w:t>
            </w:r>
          </w:p>
        </w:tc>
      </w:tr>
      <w:tr w:rsidR="005869D9" w:rsidRPr="00EC21AD" w14:paraId="7995F941" w14:textId="77777777" w:rsidTr="002611C3">
        <w:tc>
          <w:tcPr>
            <w:tcW w:w="4495" w:type="dxa"/>
          </w:tcPr>
          <w:p w14:paraId="4E916FA7" w14:textId="77777777" w:rsidR="005869D9" w:rsidRPr="00120EF3" w:rsidRDefault="005869D9" w:rsidP="002611C3">
            <w:pPr>
              <w:rPr>
                <w:sz w:val="28"/>
                <w:szCs w:val="28"/>
              </w:rPr>
            </w:pPr>
            <w:r w:rsidRPr="00120EF3">
              <w:rPr>
                <w:sz w:val="28"/>
                <w:szCs w:val="28"/>
              </w:rPr>
              <w:t>15.1 Distribution of Tax Decisions</w:t>
            </w:r>
          </w:p>
        </w:tc>
        <w:tc>
          <w:tcPr>
            <w:tcW w:w="4855" w:type="dxa"/>
          </w:tcPr>
          <w:p w14:paraId="3C7542F1" w14:textId="076D1B48" w:rsidR="005869D9" w:rsidRPr="00120EF3" w:rsidRDefault="005869D9" w:rsidP="002611C3">
            <w:pPr>
              <w:ind w:hanging="18"/>
              <w:rPr>
                <w:sz w:val="28"/>
                <w:szCs w:val="28"/>
              </w:rPr>
            </w:pPr>
            <w:r w:rsidRPr="00120EF3">
              <w:rPr>
                <w:sz w:val="28"/>
                <w:szCs w:val="28"/>
              </w:rPr>
              <w:t xml:space="preserve">17 </w:t>
            </w:r>
            <w:r w:rsidR="001A0E00" w:rsidRPr="00120EF3">
              <w:rPr>
                <w:sz w:val="28"/>
                <w:szCs w:val="28"/>
              </w:rPr>
              <w:t xml:space="preserve">Posting </w:t>
            </w:r>
            <w:r w:rsidRPr="00120EF3">
              <w:rPr>
                <w:sz w:val="28"/>
                <w:szCs w:val="28"/>
              </w:rPr>
              <w:t>of Tax Decisions</w:t>
            </w:r>
          </w:p>
        </w:tc>
      </w:tr>
      <w:tr w:rsidR="005869D9" w:rsidRPr="00EC21AD" w14:paraId="5A6CD7B7" w14:textId="77777777" w:rsidTr="002611C3">
        <w:tc>
          <w:tcPr>
            <w:tcW w:w="4495" w:type="dxa"/>
          </w:tcPr>
          <w:p w14:paraId="09882D6D" w14:textId="77777777" w:rsidR="005869D9" w:rsidRPr="00120EF3" w:rsidRDefault="005869D9" w:rsidP="002611C3">
            <w:pPr>
              <w:rPr>
                <w:sz w:val="28"/>
                <w:szCs w:val="28"/>
              </w:rPr>
            </w:pPr>
            <w:r w:rsidRPr="00120EF3">
              <w:rPr>
                <w:sz w:val="28"/>
                <w:szCs w:val="28"/>
              </w:rPr>
              <w:t>16 Uniform Interrogatories</w:t>
            </w:r>
          </w:p>
        </w:tc>
        <w:tc>
          <w:tcPr>
            <w:tcW w:w="4855" w:type="dxa"/>
          </w:tcPr>
          <w:p w14:paraId="484356FC" w14:textId="77777777" w:rsidR="005869D9" w:rsidRPr="00120EF3" w:rsidRDefault="005869D9" w:rsidP="002611C3">
            <w:pPr>
              <w:ind w:hanging="18"/>
              <w:rPr>
                <w:sz w:val="28"/>
                <w:szCs w:val="28"/>
              </w:rPr>
            </w:pPr>
          </w:p>
        </w:tc>
      </w:tr>
      <w:tr w:rsidR="005869D9" w:rsidRPr="00EC21AD" w14:paraId="7AB08298" w14:textId="77777777" w:rsidTr="002611C3">
        <w:tc>
          <w:tcPr>
            <w:tcW w:w="4495" w:type="dxa"/>
          </w:tcPr>
          <w:p w14:paraId="1C9C5CFA" w14:textId="77777777" w:rsidR="005869D9" w:rsidRPr="00120EF3" w:rsidRDefault="005869D9" w:rsidP="002611C3">
            <w:pPr>
              <w:rPr>
                <w:sz w:val="28"/>
                <w:szCs w:val="28"/>
              </w:rPr>
            </w:pPr>
            <w:r w:rsidRPr="00120EF3">
              <w:rPr>
                <w:sz w:val="28"/>
                <w:szCs w:val="28"/>
              </w:rPr>
              <w:t>Appendix to Rule 16</w:t>
            </w:r>
          </w:p>
        </w:tc>
        <w:tc>
          <w:tcPr>
            <w:tcW w:w="4855" w:type="dxa"/>
          </w:tcPr>
          <w:p w14:paraId="35A79FF6" w14:textId="77777777" w:rsidR="005869D9" w:rsidRPr="00120EF3" w:rsidRDefault="005869D9" w:rsidP="002611C3">
            <w:pPr>
              <w:ind w:hanging="18"/>
              <w:rPr>
                <w:sz w:val="28"/>
                <w:szCs w:val="28"/>
              </w:rPr>
            </w:pPr>
            <w:r w:rsidRPr="00120EF3">
              <w:rPr>
                <w:sz w:val="28"/>
                <w:szCs w:val="28"/>
              </w:rPr>
              <w:t>--</w:t>
            </w:r>
          </w:p>
        </w:tc>
      </w:tr>
      <w:tr w:rsidR="005869D9" w:rsidRPr="00EC21AD" w14:paraId="4230DD16" w14:textId="77777777" w:rsidTr="002611C3">
        <w:tc>
          <w:tcPr>
            <w:tcW w:w="4495" w:type="dxa"/>
          </w:tcPr>
          <w:p w14:paraId="608F0671" w14:textId="77777777" w:rsidR="005869D9" w:rsidRPr="00120EF3" w:rsidRDefault="005869D9" w:rsidP="002611C3">
            <w:pPr>
              <w:rPr>
                <w:sz w:val="28"/>
                <w:szCs w:val="28"/>
              </w:rPr>
            </w:pPr>
            <w:r w:rsidRPr="00120EF3">
              <w:rPr>
                <w:sz w:val="28"/>
                <w:szCs w:val="28"/>
              </w:rPr>
              <w:t>--</w:t>
            </w:r>
          </w:p>
        </w:tc>
        <w:tc>
          <w:tcPr>
            <w:tcW w:w="4855" w:type="dxa"/>
          </w:tcPr>
          <w:p w14:paraId="69F6F564" w14:textId="77777777" w:rsidR="005869D9" w:rsidRPr="00120EF3" w:rsidRDefault="005869D9" w:rsidP="002611C3">
            <w:pPr>
              <w:ind w:hanging="18"/>
              <w:rPr>
                <w:b/>
                <w:bCs/>
                <w:sz w:val="28"/>
                <w:szCs w:val="28"/>
              </w:rPr>
            </w:pPr>
            <w:r w:rsidRPr="00120EF3">
              <w:rPr>
                <w:b/>
                <w:bCs/>
                <w:sz w:val="28"/>
                <w:szCs w:val="28"/>
              </w:rPr>
              <w:t>Part V. Small Tax Claims Procedures</w:t>
            </w:r>
          </w:p>
        </w:tc>
      </w:tr>
      <w:tr w:rsidR="005869D9" w:rsidRPr="00EC21AD" w14:paraId="2A38C776" w14:textId="77777777" w:rsidTr="002611C3">
        <w:tc>
          <w:tcPr>
            <w:tcW w:w="4495" w:type="dxa"/>
          </w:tcPr>
          <w:p w14:paraId="679E7413" w14:textId="77777777" w:rsidR="005869D9" w:rsidRPr="00120EF3" w:rsidRDefault="005869D9" w:rsidP="002611C3">
            <w:pPr>
              <w:rPr>
                <w:sz w:val="28"/>
                <w:szCs w:val="28"/>
              </w:rPr>
            </w:pPr>
            <w:r w:rsidRPr="00120EF3">
              <w:rPr>
                <w:sz w:val="28"/>
                <w:szCs w:val="28"/>
              </w:rPr>
              <w:t>17 Small Claims Procedures</w:t>
            </w:r>
          </w:p>
        </w:tc>
        <w:tc>
          <w:tcPr>
            <w:tcW w:w="4855" w:type="dxa"/>
          </w:tcPr>
          <w:p w14:paraId="44D7E9FF" w14:textId="77777777" w:rsidR="005869D9" w:rsidRPr="00120EF3" w:rsidRDefault="005869D9" w:rsidP="002611C3">
            <w:pPr>
              <w:ind w:hanging="18"/>
              <w:rPr>
                <w:sz w:val="28"/>
                <w:szCs w:val="28"/>
              </w:rPr>
            </w:pPr>
            <w:r w:rsidRPr="00120EF3">
              <w:rPr>
                <w:sz w:val="28"/>
                <w:szCs w:val="28"/>
              </w:rPr>
              <w:t>18 Application of Small Tax Claims Rules</w:t>
            </w:r>
          </w:p>
        </w:tc>
      </w:tr>
      <w:tr w:rsidR="005869D9" w:rsidRPr="00EC21AD" w14:paraId="5A2947A5" w14:textId="77777777" w:rsidTr="002611C3">
        <w:tc>
          <w:tcPr>
            <w:tcW w:w="4495" w:type="dxa"/>
          </w:tcPr>
          <w:p w14:paraId="5F48BBF4" w14:textId="77777777" w:rsidR="005869D9" w:rsidRPr="00120EF3" w:rsidRDefault="005869D9" w:rsidP="002611C3">
            <w:pPr>
              <w:rPr>
                <w:sz w:val="28"/>
                <w:szCs w:val="28"/>
              </w:rPr>
            </w:pPr>
            <w:r w:rsidRPr="00120EF3">
              <w:rPr>
                <w:sz w:val="28"/>
                <w:szCs w:val="28"/>
              </w:rPr>
              <w:t>18 Election</w:t>
            </w:r>
          </w:p>
        </w:tc>
        <w:tc>
          <w:tcPr>
            <w:tcW w:w="4855" w:type="dxa"/>
          </w:tcPr>
          <w:p w14:paraId="045F616D" w14:textId="77777777" w:rsidR="005869D9" w:rsidRPr="00120EF3" w:rsidRDefault="005869D9" w:rsidP="002611C3">
            <w:pPr>
              <w:ind w:hanging="18"/>
              <w:rPr>
                <w:sz w:val="28"/>
                <w:szCs w:val="28"/>
              </w:rPr>
            </w:pPr>
            <w:r w:rsidRPr="00120EF3">
              <w:rPr>
                <w:sz w:val="28"/>
                <w:szCs w:val="28"/>
              </w:rPr>
              <w:t>19 Election of Small Claims Procedures</w:t>
            </w:r>
          </w:p>
        </w:tc>
      </w:tr>
      <w:tr w:rsidR="005869D9" w:rsidRPr="00EC21AD" w14:paraId="42A60661" w14:textId="77777777" w:rsidTr="002611C3">
        <w:tc>
          <w:tcPr>
            <w:tcW w:w="4495" w:type="dxa"/>
          </w:tcPr>
          <w:p w14:paraId="7CAE75DB" w14:textId="77777777" w:rsidR="005869D9" w:rsidRPr="00120EF3" w:rsidRDefault="005869D9" w:rsidP="002611C3">
            <w:pPr>
              <w:ind w:left="333" w:hanging="333"/>
              <w:rPr>
                <w:sz w:val="28"/>
                <w:szCs w:val="28"/>
              </w:rPr>
            </w:pPr>
            <w:r w:rsidRPr="00120EF3">
              <w:rPr>
                <w:sz w:val="28"/>
                <w:szCs w:val="28"/>
              </w:rPr>
              <w:lastRenderedPageBreak/>
              <w:t>19 Reclassification when Defendant Taxpayer Elects</w:t>
            </w:r>
          </w:p>
        </w:tc>
        <w:tc>
          <w:tcPr>
            <w:tcW w:w="4855" w:type="dxa"/>
          </w:tcPr>
          <w:p w14:paraId="4BEC487F" w14:textId="7FDB3D1C" w:rsidR="005869D9" w:rsidRPr="00120EF3" w:rsidRDefault="005869D9" w:rsidP="002611C3">
            <w:pPr>
              <w:ind w:hanging="18"/>
              <w:rPr>
                <w:sz w:val="28"/>
                <w:szCs w:val="28"/>
              </w:rPr>
            </w:pPr>
            <w:r w:rsidRPr="00120EF3">
              <w:rPr>
                <w:sz w:val="28"/>
                <w:szCs w:val="28"/>
              </w:rPr>
              <w:t>20 Reclassification of a Small Tax Claim</w:t>
            </w:r>
            <w:r w:rsidR="001964C6">
              <w:rPr>
                <w:sz w:val="28"/>
                <w:szCs w:val="28"/>
              </w:rPr>
              <w:t>s</w:t>
            </w:r>
            <w:r w:rsidRPr="00120EF3">
              <w:rPr>
                <w:sz w:val="28"/>
                <w:szCs w:val="28"/>
              </w:rPr>
              <w:t xml:space="preserve"> Case After a Defendant’s Election</w:t>
            </w:r>
          </w:p>
        </w:tc>
      </w:tr>
      <w:tr w:rsidR="005869D9" w:rsidRPr="00EC21AD" w14:paraId="2DF5B3D4" w14:textId="77777777" w:rsidTr="002611C3">
        <w:tc>
          <w:tcPr>
            <w:tcW w:w="4495" w:type="dxa"/>
          </w:tcPr>
          <w:p w14:paraId="764F93B2" w14:textId="77777777" w:rsidR="005869D9" w:rsidRPr="00120EF3" w:rsidRDefault="005869D9" w:rsidP="002611C3">
            <w:pPr>
              <w:ind w:left="333" w:hanging="333"/>
              <w:rPr>
                <w:sz w:val="28"/>
                <w:szCs w:val="28"/>
              </w:rPr>
            </w:pPr>
            <w:r w:rsidRPr="00120EF3">
              <w:rPr>
                <w:sz w:val="28"/>
                <w:szCs w:val="28"/>
              </w:rPr>
              <w:t>20 Reclassification when Requirements Not Met</w:t>
            </w:r>
          </w:p>
        </w:tc>
        <w:tc>
          <w:tcPr>
            <w:tcW w:w="4855" w:type="dxa"/>
          </w:tcPr>
          <w:p w14:paraId="65E21969" w14:textId="7E9B2CCA" w:rsidR="005869D9" w:rsidRPr="00120EF3" w:rsidRDefault="005869D9" w:rsidP="00E2328B">
            <w:pPr>
              <w:ind w:left="-14" w:hanging="4"/>
              <w:rPr>
                <w:sz w:val="28"/>
                <w:szCs w:val="28"/>
              </w:rPr>
            </w:pPr>
            <w:r w:rsidRPr="00120EF3">
              <w:rPr>
                <w:sz w:val="28"/>
                <w:szCs w:val="28"/>
              </w:rPr>
              <w:t>21 Reclassification When Small Tax Claim</w:t>
            </w:r>
            <w:r w:rsidR="00240ACA">
              <w:rPr>
                <w:sz w:val="28"/>
                <w:szCs w:val="28"/>
              </w:rPr>
              <w:t>s</w:t>
            </w:r>
            <w:r w:rsidRPr="00120EF3">
              <w:rPr>
                <w:sz w:val="28"/>
                <w:szCs w:val="28"/>
              </w:rPr>
              <w:t xml:space="preserve"> Requirements Not Met</w:t>
            </w:r>
          </w:p>
        </w:tc>
      </w:tr>
      <w:tr w:rsidR="005869D9" w:rsidRPr="00EC21AD" w14:paraId="6C6F6A72" w14:textId="77777777" w:rsidTr="002611C3">
        <w:tc>
          <w:tcPr>
            <w:tcW w:w="4495" w:type="dxa"/>
          </w:tcPr>
          <w:p w14:paraId="460087F5" w14:textId="77777777" w:rsidR="005869D9" w:rsidRPr="00120EF3" w:rsidRDefault="005869D9" w:rsidP="002611C3">
            <w:pPr>
              <w:ind w:left="333" w:hanging="333"/>
              <w:rPr>
                <w:sz w:val="28"/>
                <w:szCs w:val="28"/>
              </w:rPr>
            </w:pPr>
            <w:r w:rsidRPr="00120EF3">
              <w:rPr>
                <w:sz w:val="28"/>
                <w:szCs w:val="28"/>
              </w:rPr>
              <w:t>21 Clerk to Serve Small Tax Complain</w:t>
            </w:r>
          </w:p>
        </w:tc>
        <w:tc>
          <w:tcPr>
            <w:tcW w:w="4855" w:type="dxa"/>
          </w:tcPr>
          <w:p w14:paraId="1D6CA7D5" w14:textId="1BDC5A72" w:rsidR="005869D9" w:rsidRPr="00120EF3" w:rsidRDefault="005869D9" w:rsidP="002611C3">
            <w:pPr>
              <w:ind w:hanging="18"/>
              <w:rPr>
                <w:sz w:val="28"/>
                <w:szCs w:val="28"/>
              </w:rPr>
            </w:pPr>
            <w:r w:rsidRPr="00120EF3">
              <w:rPr>
                <w:sz w:val="28"/>
                <w:szCs w:val="28"/>
              </w:rPr>
              <w:t xml:space="preserve">22 Clerk’s </w:t>
            </w:r>
            <w:r w:rsidR="00067A1B">
              <w:rPr>
                <w:sz w:val="28"/>
                <w:szCs w:val="28"/>
              </w:rPr>
              <w:t xml:space="preserve">Office </w:t>
            </w:r>
            <w:r w:rsidRPr="00120EF3">
              <w:rPr>
                <w:sz w:val="28"/>
                <w:szCs w:val="28"/>
              </w:rPr>
              <w:t>Service of Small Tax Claim Complaint</w:t>
            </w:r>
          </w:p>
        </w:tc>
      </w:tr>
      <w:tr w:rsidR="005869D9" w:rsidRPr="00EC21AD" w14:paraId="243CECF4" w14:textId="77777777" w:rsidTr="002611C3">
        <w:tc>
          <w:tcPr>
            <w:tcW w:w="4495" w:type="dxa"/>
          </w:tcPr>
          <w:p w14:paraId="09538FFA" w14:textId="77777777" w:rsidR="005869D9" w:rsidRPr="00120EF3" w:rsidRDefault="005869D9" w:rsidP="002611C3">
            <w:pPr>
              <w:ind w:left="333" w:hanging="333"/>
              <w:rPr>
                <w:sz w:val="28"/>
                <w:szCs w:val="28"/>
              </w:rPr>
            </w:pPr>
            <w:r w:rsidRPr="00120EF3">
              <w:rPr>
                <w:sz w:val="28"/>
                <w:szCs w:val="28"/>
              </w:rPr>
              <w:t>22 Non-Lawyer Representation in Small Tax Claims</w:t>
            </w:r>
          </w:p>
        </w:tc>
        <w:tc>
          <w:tcPr>
            <w:tcW w:w="4855" w:type="dxa"/>
          </w:tcPr>
          <w:p w14:paraId="65C72756" w14:textId="2193D9B7" w:rsidR="005869D9" w:rsidRPr="00120EF3" w:rsidRDefault="005869D9" w:rsidP="002611C3">
            <w:pPr>
              <w:ind w:hanging="18"/>
              <w:rPr>
                <w:sz w:val="28"/>
                <w:szCs w:val="28"/>
              </w:rPr>
            </w:pPr>
            <w:r w:rsidRPr="00120EF3">
              <w:rPr>
                <w:sz w:val="28"/>
                <w:szCs w:val="28"/>
              </w:rPr>
              <w:t>23 Representation in Small Tax Claims Cases</w:t>
            </w:r>
          </w:p>
        </w:tc>
      </w:tr>
      <w:tr w:rsidR="005869D9" w:rsidRPr="00EC21AD" w14:paraId="3C5D8931" w14:textId="77777777" w:rsidTr="002611C3">
        <w:tc>
          <w:tcPr>
            <w:tcW w:w="4495" w:type="dxa"/>
          </w:tcPr>
          <w:p w14:paraId="505B16E5" w14:textId="77777777" w:rsidR="005869D9" w:rsidRPr="00120EF3" w:rsidRDefault="005869D9" w:rsidP="002611C3">
            <w:pPr>
              <w:rPr>
                <w:sz w:val="28"/>
                <w:szCs w:val="28"/>
              </w:rPr>
            </w:pPr>
            <w:r w:rsidRPr="00120EF3">
              <w:rPr>
                <w:sz w:val="28"/>
                <w:szCs w:val="28"/>
              </w:rPr>
              <w:t>23 Dismissal Before Judgment</w:t>
            </w:r>
          </w:p>
        </w:tc>
        <w:tc>
          <w:tcPr>
            <w:tcW w:w="4855" w:type="dxa"/>
          </w:tcPr>
          <w:p w14:paraId="518A2941" w14:textId="77777777" w:rsidR="005869D9" w:rsidRPr="00120EF3" w:rsidRDefault="005869D9" w:rsidP="002611C3">
            <w:pPr>
              <w:ind w:hanging="18"/>
              <w:rPr>
                <w:sz w:val="28"/>
                <w:szCs w:val="28"/>
              </w:rPr>
            </w:pPr>
            <w:r w:rsidRPr="00120EF3">
              <w:rPr>
                <w:sz w:val="28"/>
                <w:szCs w:val="28"/>
              </w:rPr>
              <w:t>24 Dismissal of Small Tax Claims Cases</w:t>
            </w:r>
          </w:p>
        </w:tc>
      </w:tr>
      <w:tr w:rsidR="005869D9" w:rsidRPr="00EC21AD" w14:paraId="41848C69" w14:textId="77777777" w:rsidTr="002611C3">
        <w:tc>
          <w:tcPr>
            <w:tcW w:w="4495" w:type="dxa"/>
          </w:tcPr>
          <w:p w14:paraId="6B64E9D3" w14:textId="77777777" w:rsidR="005869D9" w:rsidRPr="00120EF3" w:rsidRDefault="005869D9" w:rsidP="002611C3">
            <w:pPr>
              <w:ind w:left="333" w:hanging="333"/>
              <w:rPr>
                <w:sz w:val="28"/>
                <w:szCs w:val="28"/>
              </w:rPr>
            </w:pPr>
            <w:r w:rsidRPr="00120EF3">
              <w:rPr>
                <w:sz w:val="28"/>
                <w:szCs w:val="28"/>
              </w:rPr>
              <w:t>24 Repealed by Supreme Court Order Filed August 28, 2013, Effective January 1, 2014</w:t>
            </w:r>
          </w:p>
        </w:tc>
        <w:tc>
          <w:tcPr>
            <w:tcW w:w="4855" w:type="dxa"/>
          </w:tcPr>
          <w:p w14:paraId="196B395E" w14:textId="4013FE06" w:rsidR="005869D9" w:rsidRPr="00120EF3" w:rsidRDefault="00067A1B" w:rsidP="002611C3">
            <w:pPr>
              <w:ind w:hanging="18"/>
              <w:rPr>
                <w:sz w:val="28"/>
                <w:szCs w:val="28"/>
              </w:rPr>
            </w:pPr>
            <w:r>
              <w:rPr>
                <w:sz w:val="28"/>
                <w:szCs w:val="28"/>
              </w:rPr>
              <w:t>--</w:t>
            </w:r>
          </w:p>
        </w:tc>
      </w:tr>
      <w:tr w:rsidR="005869D9" w:rsidRPr="00EC21AD" w14:paraId="5D6A5A08" w14:textId="77777777" w:rsidTr="002611C3">
        <w:tc>
          <w:tcPr>
            <w:tcW w:w="4495" w:type="dxa"/>
          </w:tcPr>
          <w:p w14:paraId="150B7A01" w14:textId="77777777" w:rsidR="005869D9" w:rsidRPr="00120EF3" w:rsidRDefault="005869D9" w:rsidP="002611C3">
            <w:pPr>
              <w:ind w:left="333" w:hanging="333"/>
              <w:rPr>
                <w:sz w:val="28"/>
                <w:szCs w:val="28"/>
              </w:rPr>
            </w:pPr>
            <w:r w:rsidRPr="00120EF3">
              <w:rPr>
                <w:sz w:val="28"/>
                <w:szCs w:val="28"/>
              </w:rPr>
              <w:t>25 Small Claims Hearings and Trials</w:t>
            </w:r>
          </w:p>
        </w:tc>
        <w:tc>
          <w:tcPr>
            <w:tcW w:w="4855" w:type="dxa"/>
          </w:tcPr>
          <w:p w14:paraId="74543461" w14:textId="5A04FD07" w:rsidR="005869D9" w:rsidRPr="00120EF3" w:rsidRDefault="005869D9" w:rsidP="002611C3">
            <w:pPr>
              <w:ind w:hanging="18"/>
              <w:rPr>
                <w:sz w:val="28"/>
                <w:szCs w:val="28"/>
              </w:rPr>
            </w:pPr>
            <w:r w:rsidRPr="00120EF3">
              <w:rPr>
                <w:sz w:val="28"/>
                <w:szCs w:val="28"/>
              </w:rPr>
              <w:t>2</w:t>
            </w:r>
            <w:r w:rsidR="00E90470">
              <w:rPr>
                <w:sz w:val="28"/>
                <w:szCs w:val="28"/>
              </w:rPr>
              <w:t>5</w:t>
            </w:r>
            <w:r w:rsidRPr="00120EF3">
              <w:rPr>
                <w:sz w:val="28"/>
                <w:szCs w:val="28"/>
              </w:rPr>
              <w:t xml:space="preserve"> Hearings and Trials in Small Tax Claims Cases</w:t>
            </w:r>
          </w:p>
        </w:tc>
      </w:tr>
      <w:tr w:rsidR="005869D9" w:rsidRPr="00EC21AD" w14:paraId="78AF824A" w14:textId="77777777" w:rsidTr="002611C3">
        <w:tc>
          <w:tcPr>
            <w:tcW w:w="4495" w:type="dxa"/>
          </w:tcPr>
          <w:p w14:paraId="540CDB38" w14:textId="77777777" w:rsidR="005869D9" w:rsidRPr="00120EF3" w:rsidRDefault="005869D9" w:rsidP="002611C3">
            <w:pPr>
              <w:rPr>
                <w:sz w:val="28"/>
                <w:szCs w:val="28"/>
              </w:rPr>
            </w:pPr>
            <w:r w:rsidRPr="00120EF3">
              <w:rPr>
                <w:sz w:val="28"/>
                <w:szCs w:val="28"/>
              </w:rPr>
              <w:t>26 Introduction of Evidence</w:t>
            </w:r>
          </w:p>
        </w:tc>
        <w:tc>
          <w:tcPr>
            <w:tcW w:w="4855" w:type="dxa"/>
          </w:tcPr>
          <w:p w14:paraId="0C42C5EB" w14:textId="0C6BCF03" w:rsidR="005869D9" w:rsidRPr="00120EF3" w:rsidRDefault="005869D9" w:rsidP="002611C3">
            <w:pPr>
              <w:ind w:hanging="18"/>
              <w:rPr>
                <w:sz w:val="28"/>
                <w:szCs w:val="28"/>
              </w:rPr>
            </w:pPr>
            <w:r w:rsidRPr="00120EF3">
              <w:rPr>
                <w:sz w:val="28"/>
                <w:szCs w:val="28"/>
              </w:rPr>
              <w:t>2</w:t>
            </w:r>
            <w:r w:rsidR="00E90470">
              <w:rPr>
                <w:sz w:val="28"/>
                <w:szCs w:val="28"/>
              </w:rPr>
              <w:t>6</w:t>
            </w:r>
            <w:r w:rsidRPr="00120EF3">
              <w:rPr>
                <w:sz w:val="28"/>
                <w:szCs w:val="28"/>
              </w:rPr>
              <w:t xml:space="preserve"> Introduction of Evidence in Small Tax Claims Trials</w:t>
            </w:r>
          </w:p>
        </w:tc>
      </w:tr>
      <w:tr w:rsidR="005869D9" w:rsidRPr="00EC21AD" w14:paraId="3C1521FA" w14:textId="77777777" w:rsidTr="002611C3">
        <w:tc>
          <w:tcPr>
            <w:tcW w:w="4495" w:type="dxa"/>
          </w:tcPr>
          <w:p w14:paraId="00263A63" w14:textId="77777777" w:rsidR="005869D9" w:rsidRPr="00120EF3" w:rsidRDefault="005869D9" w:rsidP="002611C3">
            <w:pPr>
              <w:rPr>
                <w:sz w:val="28"/>
                <w:szCs w:val="28"/>
              </w:rPr>
            </w:pPr>
            <w:r w:rsidRPr="00120EF3">
              <w:rPr>
                <w:sz w:val="28"/>
                <w:szCs w:val="28"/>
              </w:rPr>
              <w:t>--</w:t>
            </w:r>
          </w:p>
        </w:tc>
        <w:tc>
          <w:tcPr>
            <w:tcW w:w="4855" w:type="dxa"/>
          </w:tcPr>
          <w:p w14:paraId="559A91D9" w14:textId="27E86D47" w:rsidR="005869D9" w:rsidRPr="00120EF3" w:rsidRDefault="005869D9" w:rsidP="002611C3">
            <w:pPr>
              <w:ind w:hanging="18"/>
              <w:rPr>
                <w:sz w:val="28"/>
                <w:szCs w:val="28"/>
              </w:rPr>
            </w:pPr>
            <w:r w:rsidRPr="00120EF3">
              <w:rPr>
                <w:sz w:val="28"/>
                <w:szCs w:val="28"/>
              </w:rPr>
              <w:t>Appendix 1: Forms</w:t>
            </w:r>
          </w:p>
          <w:p w14:paraId="25DA2048" w14:textId="77777777" w:rsidR="005869D9" w:rsidRPr="00120EF3" w:rsidRDefault="005869D9" w:rsidP="002611C3">
            <w:pPr>
              <w:ind w:hanging="18"/>
              <w:rPr>
                <w:sz w:val="28"/>
                <w:szCs w:val="28"/>
              </w:rPr>
            </w:pPr>
            <w:r w:rsidRPr="00120EF3">
              <w:rPr>
                <w:sz w:val="28"/>
                <w:szCs w:val="28"/>
              </w:rPr>
              <w:t xml:space="preserve">Appendix 2: Uniform Interrogatories for Use in Property Tax Disputes </w:t>
            </w:r>
          </w:p>
        </w:tc>
      </w:tr>
    </w:tbl>
    <w:p w14:paraId="11C55A07" w14:textId="77777777" w:rsidR="005869D9" w:rsidRPr="00120EF3" w:rsidRDefault="005869D9" w:rsidP="005869D9">
      <w:pPr>
        <w:rPr>
          <w:sz w:val="28"/>
          <w:szCs w:val="28"/>
        </w:rPr>
      </w:pPr>
    </w:p>
    <w:p w14:paraId="6B0F51D3" w14:textId="77777777" w:rsidR="005869D9" w:rsidRPr="00EC21AD" w:rsidRDefault="005869D9" w:rsidP="00201D0A">
      <w:pPr>
        <w:tabs>
          <w:tab w:val="left" w:pos="900"/>
        </w:tabs>
        <w:rPr>
          <w:sz w:val="28"/>
          <w:szCs w:val="28"/>
        </w:rPr>
      </w:pPr>
    </w:p>
    <w:sectPr w:rsidR="005869D9" w:rsidRPr="00EC21AD" w:rsidSect="000A6CAF">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E3DB" w14:textId="77777777" w:rsidR="00B61A3D" w:rsidRDefault="00B61A3D">
      <w:r>
        <w:separator/>
      </w:r>
    </w:p>
  </w:endnote>
  <w:endnote w:type="continuationSeparator" w:id="0">
    <w:p w14:paraId="0BB928FA" w14:textId="77777777" w:rsidR="00B61A3D" w:rsidRDefault="00B61A3D">
      <w:r>
        <w:continuationSeparator/>
      </w:r>
    </w:p>
  </w:endnote>
  <w:endnote w:type="continuationNotice" w:id="1">
    <w:p w14:paraId="2FAF05AD" w14:textId="77777777" w:rsidR="00B61A3D" w:rsidRDefault="00B61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66262"/>
      <w:docPartObj>
        <w:docPartGallery w:val="Page Numbers (Bottom of Page)"/>
        <w:docPartUnique/>
      </w:docPartObj>
    </w:sdtPr>
    <w:sdtEndPr>
      <w:rPr>
        <w:noProof/>
      </w:rPr>
    </w:sdtEndPr>
    <w:sdtContent>
      <w:p w14:paraId="730290E8" w14:textId="112D4A1B" w:rsidR="00201D4F" w:rsidRDefault="00201D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095D" w14:textId="77777777" w:rsidR="00B61A3D" w:rsidRDefault="00B61A3D">
      <w:r>
        <w:separator/>
      </w:r>
    </w:p>
  </w:footnote>
  <w:footnote w:type="continuationSeparator" w:id="0">
    <w:p w14:paraId="5D47496D" w14:textId="77777777" w:rsidR="00B61A3D" w:rsidRDefault="00B61A3D">
      <w:r>
        <w:continuationSeparator/>
      </w:r>
    </w:p>
  </w:footnote>
  <w:footnote w:type="continuationNotice" w:id="1">
    <w:p w14:paraId="2071E8A3" w14:textId="77777777" w:rsidR="00B61A3D" w:rsidRDefault="00B61A3D"/>
  </w:footnote>
  <w:footnote w:id="2">
    <w:p w14:paraId="6EBF90AB" w14:textId="000A4EC0" w:rsidR="004C6D5A" w:rsidRPr="000E1A89" w:rsidRDefault="004C6D5A" w:rsidP="004C6D5A">
      <w:pPr>
        <w:pStyle w:val="FootnoteText"/>
        <w:jc w:val="both"/>
        <w:rPr>
          <w:sz w:val="28"/>
          <w:szCs w:val="28"/>
        </w:rPr>
      </w:pPr>
      <w:r w:rsidRPr="000E1A89">
        <w:rPr>
          <w:rStyle w:val="FootnoteReference"/>
          <w:sz w:val="28"/>
          <w:szCs w:val="28"/>
        </w:rPr>
        <w:footnoteRef/>
      </w:r>
      <w:r w:rsidRPr="000E1A89">
        <w:rPr>
          <w:sz w:val="28"/>
          <w:szCs w:val="28"/>
        </w:rPr>
        <w:t xml:space="preserve"> The following individuals were Task Force members: Jodi Bain (Bain Law Firm), James Busby (The Cavanaugh Law Firm), Joshua Carden (Carden Law Firm), Elena Cottam (Superior Court in Maricopa County), Jessica Fotinos (Clerk’s Office, Superior Court in Maricopa County), Hon. Brian Furuya (Court of Appeals, Div. 1), Dawn Gabel (Dickinson Wright), Edward Hermes (Snell &amp; Wilmer), Douglas John (Frazer Ryan Goldberg &amp; Arnold), Paul Moore (Mooney, Wright, Moore, and Wilhoit), Jack O’Connor (Maricopa County Attorney’s Office), James Susa (DeConcini, McDonald, Yetwin &amp; Lacy), Scot Teasdale (Attorney General’s Office, Tax Section), and Benjamin Updike (Attorney General’s Office, Tax Section). The Order appointed Petitioner as the Task Force Chair. Theresa Barrett, Veronica Gonzales, Mark Meltzer, and David Tascoe served as AOC staff for the Task 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3FE2749F" w:rsidR="003D73E0" w:rsidRDefault="003D73E0" w:rsidP="009A7FFC">
    <w:pPr>
      <w:pStyle w:val="Header"/>
      <w:tabs>
        <w:tab w:val="left" w:pos="3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8B4A74"/>
    <w:multiLevelType w:val="hybridMultilevel"/>
    <w:tmpl w:val="F6B40988"/>
    <w:lvl w:ilvl="0" w:tplc="655E627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AD3D47"/>
    <w:multiLevelType w:val="hybridMultilevel"/>
    <w:tmpl w:val="FCB410AE"/>
    <w:lvl w:ilvl="0" w:tplc="3AF063FE">
      <w:start w:val="1"/>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708EF"/>
    <w:multiLevelType w:val="hybridMultilevel"/>
    <w:tmpl w:val="F670EF26"/>
    <w:lvl w:ilvl="0" w:tplc="023652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4037D0"/>
    <w:multiLevelType w:val="hybridMultilevel"/>
    <w:tmpl w:val="4C7EEF0E"/>
    <w:lvl w:ilvl="0" w:tplc="7F824568">
      <w:start w:val="6"/>
      <w:numFmt w:val="lowerLetter"/>
      <w:lvlText w:val="(%1)"/>
      <w:lvlJc w:val="left"/>
      <w:pPr>
        <w:ind w:left="1080" w:hanging="360"/>
      </w:pPr>
      <w:rPr>
        <w:rFonts w:ascii="Book Antiqua" w:hAnsi="Book Antiqua" w:cstheme="minorBidi" w:hint="default"/>
        <w:b w:val="0"/>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16F5C"/>
    <w:multiLevelType w:val="hybridMultilevel"/>
    <w:tmpl w:val="62BE898A"/>
    <w:lvl w:ilvl="0" w:tplc="268ACD4C">
      <w:start w:val="1"/>
      <w:numFmt w:val="decimal"/>
      <w:lvlText w:val="(%1)"/>
      <w:lvlJc w:val="left"/>
      <w:pPr>
        <w:ind w:left="1068" w:hanging="360"/>
      </w:pPr>
      <w:rPr>
        <w:rFonts w:hint="default"/>
        <w:b/>
        <w:u w:val="single"/>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7"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10"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9"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85C98"/>
    <w:multiLevelType w:val="hybridMultilevel"/>
    <w:tmpl w:val="20942054"/>
    <w:lvl w:ilvl="0" w:tplc="E96ED38E">
      <w:start w:val="1"/>
      <w:numFmt w:val="decimal"/>
      <w:lvlText w:val="%1."/>
      <w:lvlJc w:val="left"/>
      <w:pPr>
        <w:ind w:left="120" w:hanging="228"/>
      </w:pPr>
      <w:rPr>
        <w:rFonts w:ascii="Book Antiqua" w:eastAsia="Book Antiqua" w:hAnsi="Book Antiqua" w:cs="Book Antiqua" w:hint="default"/>
        <w:b/>
        <w:bCs/>
        <w:i w:val="0"/>
        <w:iCs w:val="0"/>
        <w:w w:val="100"/>
        <w:sz w:val="26"/>
        <w:szCs w:val="26"/>
        <w:lang w:val="en-US" w:eastAsia="en-US" w:bidi="ar-SA"/>
      </w:rPr>
    </w:lvl>
    <w:lvl w:ilvl="1" w:tplc="DBEC8C46">
      <w:start w:val="1"/>
      <w:numFmt w:val="lowerLetter"/>
      <w:lvlText w:val="(%2)"/>
      <w:lvlJc w:val="left"/>
      <w:pPr>
        <w:ind w:left="720" w:hanging="720"/>
      </w:pPr>
      <w:rPr>
        <w:rFonts w:ascii="Book Antiqua" w:eastAsia="Book Antiqua" w:hAnsi="Book Antiqua" w:cs="Book Antiqua" w:hint="default"/>
        <w:b/>
        <w:bCs/>
        <w:i/>
        <w:iCs/>
        <w:spacing w:val="-1"/>
        <w:w w:val="100"/>
        <w:sz w:val="26"/>
        <w:szCs w:val="26"/>
        <w:lang w:val="en-US" w:eastAsia="en-US" w:bidi="ar-SA"/>
      </w:rPr>
    </w:lvl>
    <w:lvl w:ilvl="2" w:tplc="9F0E55D0">
      <w:numFmt w:val="bullet"/>
      <w:lvlText w:val="•"/>
      <w:lvlJc w:val="left"/>
      <w:pPr>
        <w:ind w:left="2016" w:hanging="720"/>
      </w:pPr>
      <w:rPr>
        <w:rFonts w:hint="default"/>
        <w:lang w:val="en-US" w:eastAsia="en-US" w:bidi="ar-SA"/>
      </w:rPr>
    </w:lvl>
    <w:lvl w:ilvl="3" w:tplc="85A6A220">
      <w:numFmt w:val="bullet"/>
      <w:lvlText w:val="•"/>
      <w:lvlJc w:val="left"/>
      <w:pPr>
        <w:ind w:left="2964" w:hanging="720"/>
      </w:pPr>
      <w:rPr>
        <w:rFonts w:hint="default"/>
        <w:lang w:val="en-US" w:eastAsia="en-US" w:bidi="ar-SA"/>
      </w:rPr>
    </w:lvl>
    <w:lvl w:ilvl="4" w:tplc="571660C0">
      <w:numFmt w:val="bullet"/>
      <w:lvlText w:val="•"/>
      <w:lvlJc w:val="left"/>
      <w:pPr>
        <w:ind w:left="3912" w:hanging="720"/>
      </w:pPr>
      <w:rPr>
        <w:rFonts w:hint="default"/>
        <w:lang w:val="en-US" w:eastAsia="en-US" w:bidi="ar-SA"/>
      </w:rPr>
    </w:lvl>
    <w:lvl w:ilvl="5" w:tplc="4552B6EC">
      <w:numFmt w:val="bullet"/>
      <w:lvlText w:val="•"/>
      <w:lvlJc w:val="left"/>
      <w:pPr>
        <w:ind w:left="4860" w:hanging="720"/>
      </w:pPr>
      <w:rPr>
        <w:rFonts w:hint="default"/>
        <w:lang w:val="en-US" w:eastAsia="en-US" w:bidi="ar-SA"/>
      </w:rPr>
    </w:lvl>
    <w:lvl w:ilvl="6" w:tplc="17240E40">
      <w:numFmt w:val="bullet"/>
      <w:lvlText w:val="•"/>
      <w:lvlJc w:val="left"/>
      <w:pPr>
        <w:ind w:left="5808" w:hanging="720"/>
      </w:pPr>
      <w:rPr>
        <w:rFonts w:hint="default"/>
        <w:lang w:val="en-US" w:eastAsia="en-US" w:bidi="ar-SA"/>
      </w:rPr>
    </w:lvl>
    <w:lvl w:ilvl="7" w:tplc="FD703CE6">
      <w:numFmt w:val="bullet"/>
      <w:lvlText w:val="•"/>
      <w:lvlJc w:val="left"/>
      <w:pPr>
        <w:ind w:left="6756" w:hanging="720"/>
      </w:pPr>
      <w:rPr>
        <w:rFonts w:hint="default"/>
        <w:lang w:val="en-US" w:eastAsia="en-US" w:bidi="ar-SA"/>
      </w:rPr>
    </w:lvl>
    <w:lvl w:ilvl="8" w:tplc="A7AC046E">
      <w:numFmt w:val="bullet"/>
      <w:lvlText w:val="•"/>
      <w:lvlJc w:val="left"/>
      <w:pPr>
        <w:ind w:left="7704" w:hanging="720"/>
      </w:pPr>
      <w:rPr>
        <w:rFonts w:hint="default"/>
        <w:lang w:val="en-US" w:eastAsia="en-US" w:bidi="ar-SA"/>
      </w:rPr>
    </w:lvl>
  </w:abstractNum>
  <w:num w:numId="1" w16cid:durableId="1942637963">
    <w:abstractNumId w:val="9"/>
  </w:num>
  <w:num w:numId="2" w16cid:durableId="1156414821">
    <w:abstractNumId w:val="14"/>
  </w:num>
  <w:num w:numId="3" w16cid:durableId="979530036">
    <w:abstractNumId w:val="17"/>
  </w:num>
  <w:num w:numId="4" w16cid:durableId="51929032">
    <w:abstractNumId w:val="6"/>
  </w:num>
  <w:num w:numId="5" w16cid:durableId="2132356216">
    <w:abstractNumId w:val="18"/>
  </w:num>
  <w:num w:numId="6" w16cid:durableId="706413915">
    <w:abstractNumId w:val="15"/>
  </w:num>
  <w:num w:numId="7" w16cid:durableId="1168054269">
    <w:abstractNumId w:val="10"/>
  </w:num>
  <w:num w:numId="8" w16cid:durableId="1143962861">
    <w:abstractNumId w:val="13"/>
  </w:num>
  <w:num w:numId="9" w16cid:durableId="627322406">
    <w:abstractNumId w:val="12"/>
  </w:num>
  <w:num w:numId="10" w16cid:durableId="121316220">
    <w:abstractNumId w:val="19"/>
  </w:num>
  <w:num w:numId="11" w16cid:durableId="1747994092">
    <w:abstractNumId w:val="7"/>
  </w:num>
  <w:num w:numId="12" w16cid:durableId="739981299">
    <w:abstractNumId w:val="11"/>
  </w:num>
  <w:num w:numId="13" w16cid:durableId="1033309515">
    <w:abstractNumId w:val="8"/>
  </w:num>
  <w:num w:numId="14" w16cid:durableId="1007050902">
    <w:abstractNumId w:val="16"/>
  </w:num>
  <w:num w:numId="15" w16cid:durableId="396169147">
    <w:abstractNumId w:val="0"/>
  </w:num>
  <w:num w:numId="16" w16cid:durableId="1132136388">
    <w:abstractNumId w:val="20"/>
  </w:num>
  <w:num w:numId="17" w16cid:durableId="886377155">
    <w:abstractNumId w:val="5"/>
  </w:num>
  <w:num w:numId="18" w16cid:durableId="106655507">
    <w:abstractNumId w:val="4"/>
  </w:num>
  <w:num w:numId="19" w16cid:durableId="1587377857">
    <w:abstractNumId w:val="2"/>
  </w:num>
  <w:num w:numId="20" w16cid:durableId="1764258932">
    <w:abstractNumId w:val="1"/>
  </w:num>
  <w:num w:numId="21" w16cid:durableId="1238856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02E3"/>
    <w:rsid w:val="00001F43"/>
    <w:rsid w:val="000024E5"/>
    <w:rsid w:val="00003E49"/>
    <w:rsid w:val="000050F5"/>
    <w:rsid w:val="000054CC"/>
    <w:rsid w:val="00010DBC"/>
    <w:rsid w:val="00012D5C"/>
    <w:rsid w:val="00013117"/>
    <w:rsid w:val="00013A4A"/>
    <w:rsid w:val="00014F13"/>
    <w:rsid w:val="00016835"/>
    <w:rsid w:val="00020070"/>
    <w:rsid w:val="00020D99"/>
    <w:rsid w:val="0002547F"/>
    <w:rsid w:val="000334C1"/>
    <w:rsid w:val="00037423"/>
    <w:rsid w:val="00037F84"/>
    <w:rsid w:val="000409A2"/>
    <w:rsid w:val="0004121D"/>
    <w:rsid w:val="00041D4B"/>
    <w:rsid w:val="00041FC5"/>
    <w:rsid w:val="0004337F"/>
    <w:rsid w:val="00044350"/>
    <w:rsid w:val="000464BC"/>
    <w:rsid w:val="000476BF"/>
    <w:rsid w:val="00054594"/>
    <w:rsid w:val="00060CD5"/>
    <w:rsid w:val="00060D21"/>
    <w:rsid w:val="00062089"/>
    <w:rsid w:val="00063A90"/>
    <w:rsid w:val="00063E23"/>
    <w:rsid w:val="00064955"/>
    <w:rsid w:val="0006529A"/>
    <w:rsid w:val="00067A1B"/>
    <w:rsid w:val="00070435"/>
    <w:rsid w:val="000710A2"/>
    <w:rsid w:val="0008562E"/>
    <w:rsid w:val="00085A65"/>
    <w:rsid w:val="00087023"/>
    <w:rsid w:val="00087E1C"/>
    <w:rsid w:val="00093D71"/>
    <w:rsid w:val="000948C7"/>
    <w:rsid w:val="00094B58"/>
    <w:rsid w:val="000A555C"/>
    <w:rsid w:val="000A5E92"/>
    <w:rsid w:val="000A6CAF"/>
    <w:rsid w:val="000A717F"/>
    <w:rsid w:val="000B2CEB"/>
    <w:rsid w:val="000B450B"/>
    <w:rsid w:val="000B4577"/>
    <w:rsid w:val="000B53D4"/>
    <w:rsid w:val="000B5C56"/>
    <w:rsid w:val="000B659A"/>
    <w:rsid w:val="000B7448"/>
    <w:rsid w:val="000C0E99"/>
    <w:rsid w:val="000C0EDF"/>
    <w:rsid w:val="000C0F9A"/>
    <w:rsid w:val="000C5CB0"/>
    <w:rsid w:val="000D0999"/>
    <w:rsid w:val="000D2BBB"/>
    <w:rsid w:val="000D40B2"/>
    <w:rsid w:val="000D4B2B"/>
    <w:rsid w:val="000D5AC1"/>
    <w:rsid w:val="000E08B7"/>
    <w:rsid w:val="000E0AB2"/>
    <w:rsid w:val="000E1A89"/>
    <w:rsid w:val="000E373A"/>
    <w:rsid w:val="000E37DB"/>
    <w:rsid w:val="000E3B3A"/>
    <w:rsid w:val="000E3F8B"/>
    <w:rsid w:val="000E7EE1"/>
    <w:rsid w:val="000F1FAD"/>
    <w:rsid w:val="000F3925"/>
    <w:rsid w:val="000F4BE1"/>
    <w:rsid w:val="000F4E13"/>
    <w:rsid w:val="000F7DEC"/>
    <w:rsid w:val="0010084E"/>
    <w:rsid w:val="00101F9C"/>
    <w:rsid w:val="00102304"/>
    <w:rsid w:val="001057A7"/>
    <w:rsid w:val="00105CC7"/>
    <w:rsid w:val="00110A8D"/>
    <w:rsid w:val="00111272"/>
    <w:rsid w:val="00112975"/>
    <w:rsid w:val="00114090"/>
    <w:rsid w:val="00120C0B"/>
    <w:rsid w:val="00120EF3"/>
    <w:rsid w:val="001220E0"/>
    <w:rsid w:val="00123672"/>
    <w:rsid w:val="001239F6"/>
    <w:rsid w:val="0012563E"/>
    <w:rsid w:val="00127C43"/>
    <w:rsid w:val="00130FC7"/>
    <w:rsid w:val="001310F3"/>
    <w:rsid w:val="00134474"/>
    <w:rsid w:val="00135C63"/>
    <w:rsid w:val="0014152E"/>
    <w:rsid w:val="0014244E"/>
    <w:rsid w:val="001451DE"/>
    <w:rsid w:val="001464F3"/>
    <w:rsid w:val="00154866"/>
    <w:rsid w:val="00156144"/>
    <w:rsid w:val="00157DAA"/>
    <w:rsid w:val="00157FAE"/>
    <w:rsid w:val="00161146"/>
    <w:rsid w:val="0016454E"/>
    <w:rsid w:val="001649DE"/>
    <w:rsid w:val="00164DE3"/>
    <w:rsid w:val="00166E88"/>
    <w:rsid w:val="001673DA"/>
    <w:rsid w:val="00167A73"/>
    <w:rsid w:val="00171E26"/>
    <w:rsid w:val="00171F82"/>
    <w:rsid w:val="0017409A"/>
    <w:rsid w:val="00175091"/>
    <w:rsid w:val="00181CAC"/>
    <w:rsid w:val="00194284"/>
    <w:rsid w:val="00194DFD"/>
    <w:rsid w:val="00195347"/>
    <w:rsid w:val="001964C6"/>
    <w:rsid w:val="001966BD"/>
    <w:rsid w:val="001A07C4"/>
    <w:rsid w:val="001A0E00"/>
    <w:rsid w:val="001A3658"/>
    <w:rsid w:val="001A3D7F"/>
    <w:rsid w:val="001A4C88"/>
    <w:rsid w:val="001A6706"/>
    <w:rsid w:val="001A7EF9"/>
    <w:rsid w:val="001B030F"/>
    <w:rsid w:val="001B0C2B"/>
    <w:rsid w:val="001B10B9"/>
    <w:rsid w:val="001B1F1A"/>
    <w:rsid w:val="001B21C8"/>
    <w:rsid w:val="001B355F"/>
    <w:rsid w:val="001B3723"/>
    <w:rsid w:val="001B3802"/>
    <w:rsid w:val="001B3B17"/>
    <w:rsid w:val="001B6095"/>
    <w:rsid w:val="001B636D"/>
    <w:rsid w:val="001B684A"/>
    <w:rsid w:val="001C02A3"/>
    <w:rsid w:val="001C49BB"/>
    <w:rsid w:val="001C5315"/>
    <w:rsid w:val="001C7389"/>
    <w:rsid w:val="001D3A81"/>
    <w:rsid w:val="001E0228"/>
    <w:rsid w:val="001E171A"/>
    <w:rsid w:val="001E46BA"/>
    <w:rsid w:val="001E5139"/>
    <w:rsid w:val="001E5CB4"/>
    <w:rsid w:val="001E6803"/>
    <w:rsid w:val="001E6998"/>
    <w:rsid w:val="001F0B40"/>
    <w:rsid w:val="001F256D"/>
    <w:rsid w:val="001F3F71"/>
    <w:rsid w:val="001F4307"/>
    <w:rsid w:val="00201D0A"/>
    <w:rsid w:val="00201D4F"/>
    <w:rsid w:val="002036A9"/>
    <w:rsid w:val="00203A57"/>
    <w:rsid w:val="00203C00"/>
    <w:rsid w:val="0020422E"/>
    <w:rsid w:val="00204415"/>
    <w:rsid w:val="00204848"/>
    <w:rsid w:val="002052B7"/>
    <w:rsid w:val="002061F4"/>
    <w:rsid w:val="00206EE6"/>
    <w:rsid w:val="00211DDE"/>
    <w:rsid w:val="002126D9"/>
    <w:rsid w:val="00213CAC"/>
    <w:rsid w:val="002155D2"/>
    <w:rsid w:val="002166E4"/>
    <w:rsid w:val="00220D01"/>
    <w:rsid w:val="002211C6"/>
    <w:rsid w:val="00221A87"/>
    <w:rsid w:val="00222344"/>
    <w:rsid w:val="002226D5"/>
    <w:rsid w:val="00224D59"/>
    <w:rsid w:val="00226009"/>
    <w:rsid w:val="0022781E"/>
    <w:rsid w:val="0022786E"/>
    <w:rsid w:val="0023149C"/>
    <w:rsid w:val="00232EFC"/>
    <w:rsid w:val="0023737F"/>
    <w:rsid w:val="00240ACA"/>
    <w:rsid w:val="00244FF6"/>
    <w:rsid w:val="00246E9A"/>
    <w:rsid w:val="002478EE"/>
    <w:rsid w:val="00250D6E"/>
    <w:rsid w:val="00251D2C"/>
    <w:rsid w:val="002537A6"/>
    <w:rsid w:val="002545BD"/>
    <w:rsid w:val="00254E37"/>
    <w:rsid w:val="00255617"/>
    <w:rsid w:val="0025762B"/>
    <w:rsid w:val="00257927"/>
    <w:rsid w:val="002611C3"/>
    <w:rsid w:val="002720BF"/>
    <w:rsid w:val="00272AD8"/>
    <w:rsid w:val="0027365A"/>
    <w:rsid w:val="00273E1D"/>
    <w:rsid w:val="0028442C"/>
    <w:rsid w:val="002849B6"/>
    <w:rsid w:val="00286573"/>
    <w:rsid w:val="00287E6F"/>
    <w:rsid w:val="00291B34"/>
    <w:rsid w:val="00291DBF"/>
    <w:rsid w:val="0029218E"/>
    <w:rsid w:val="00294568"/>
    <w:rsid w:val="002954B2"/>
    <w:rsid w:val="00296024"/>
    <w:rsid w:val="002967EB"/>
    <w:rsid w:val="0029769D"/>
    <w:rsid w:val="00297DBE"/>
    <w:rsid w:val="002A1AB4"/>
    <w:rsid w:val="002A3826"/>
    <w:rsid w:val="002A484D"/>
    <w:rsid w:val="002A62C5"/>
    <w:rsid w:val="002B0DE3"/>
    <w:rsid w:val="002B1ED0"/>
    <w:rsid w:val="002B405E"/>
    <w:rsid w:val="002B62F5"/>
    <w:rsid w:val="002B64DA"/>
    <w:rsid w:val="002B68D6"/>
    <w:rsid w:val="002B7350"/>
    <w:rsid w:val="002B74F1"/>
    <w:rsid w:val="002C0C51"/>
    <w:rsid w:val="002C260D"/>
    <w:rsid w:val="002C3D60"/>
    <w:rsid w:val="002D036E"/>
    <w:rsid w:val="002D22D6"/>
    <w:rsid w:val="002D4D28"/>
    <w:rsid w:val="002D5B9B"/>
    <w:rsid w:val="002D6EC5"/>
    <w:rsid w:val="002E05C6"/>
    <w:rsid w:val="002E4504"/>
    <w:rsid w:val="002E475E"/>
    <w:rsid w:val="002E7F2A"/>
    <w:rsid w:val="002F00C4"/>
    <w:rsid w:val="002F0726"/>
    <w:rsid w:val="002F576D"/>
    <w:rsid w:val="002F57DE"/>
    <w:rsid w:val="002F6BE3"/>
    <w:rsid w:val="002F7963"/>
    <w:rsid w:val="00302DBA"/>
    <w:rsid w:val="0030696F"/>
    <w:rsid w:val="003076CF"/>
    <w:rsid w:val="0031002A"/>
    <w:rsid w:val="00310AD7"/>
    <w:rsid w:val="00311D4B"/>
    <w:rsid w:val="00311EE5"/>
    <w:rsid w:val="00313583"/>
    <w:rsid w:val="00316C1C"/>
    <w:rsid w:val="00317B4A"/>
    <w:rsid w:val="00321B38"/>
    <w:rsid w:val="00323CBF"/>
    <w:rsid w:val="00324150"/>
    <w:rsid w:val="00324AD1"/>
    <w:rsid w:val="0032792F"/>
    <w:rsid w:val="00327FF9"/>
    <w:rsid w:val="00330089"/>
    <w:rsid w:val="00330E95"/>
    <w:rsid w:val="00331E30"/>
    <w:rsid w:val="0033284B"/>
    <w:rsid w:val="003344F0"/>
    <w:rsid w:val="00334604"/>
    <w:rsid w:val="00335AF8"/>
    <w:rsid w:val="0033713E"/>
    <w:rsid w:val="003405F9"/>
    <w:rsid w:val="00341128"/>
    <w:rsid w:val="00344753"/>
    <w:rsid w:val="00345A37"/>
    <w:rsid w:val="00347BB9"/>
    <w:rsid w:val="00350383"/>
    <w:rsid w:val="003513A4"/>
    <w:rsid w:val="00352526"/>
    <w:rsid w:val="00352D09"/>
    <w:rsid w:val="00355052"/>
    <w:rsid w:val="00361816"/>
    <w:rsid w:val="00361819"/>
    <w:rsid w:val="0036217A"/>
    <w:rsid w:val="00362318"/>
    <w:rsid w:val="00363E5E"/>
    <w:rsid w:val="00367112"/>
    <w:rsid w:val="003815A3"/>
    <w:rsid w:val="00381690"/>
    <w:rsid w:val="00382EE8"/>
    <w:rsid w:val="00384804"/>
    <w:rsid w:val="00384D36"/>
    <w:rsid w:val="003918B4"/>
    <w:rsid w:val="00393717"/>
    <w:rsid w:val="00394454"/>
    <w:rsid w:val="0039538C"/>
    <w:rsid w:val="00395568"/>
    <w:rsid w:val="00396EBB"/>
    <w:rsid w:val="003A03CA"/>
    <w:rsid w:val="003A171B"/>
    <w:rsid w:val="003A5F66"/>
    <w:rsid w:val="003A6B61"/>
    <w:rsid w:val="003A6E98"/>
    <w:rsid w:val="003A770F"/>
    <w:rsid w:val="003B254D"/>
    <w:rsid w:val="003B2982"/>
    <w:rsid w:val="003B3201"/>
    <w:rsid w:val="003B73EF"/>
    <w:rsid w:val="003B7753"/>
    <w:rsid w:val="003C067A"/>
    <w:rsid w:val="003C307E"/>
    <w:rsid w:val="003C39A4"/>
    <w:rsid w:val="003C429B"/>
    <w:rsid w:val="003C6230"/>
    <w:rsid w:val="003C7139"/>
    <w:rsid w:val="003D73E0"/>
    <w:rsid w:val="003D7AF4"/>
    <w:rsid w:val="003E067A"/>
    <w:rsid w:val="003E070B"/>
    <w:rsid w:val="003F0B50"/>
    <w:rsid w:val="003F0F10"/>
    <w:rsid w:val="003F4265"/>
    <w:rsid w:val="003F496D"/>
    <w:rsid w:val="003F7502"/>
    <w:rsid w:val="003F7970"/>
    <w:rsid w:val="003F7DE8"/>
    <w:rsid w:val="00401662"/>
    <w:rsid w:val="0040283F"/>
    <w:rsid w:val="004057D7"/>
    <w:rsid w:val="00410385"/>
    <w:rsid w:val="0041229A"/>
    <w:rsid w:val="00415027"/>
    <w:rsid w:val="004155D1"/>
    <w:rsid w:val="0041613C"/>
    <w:rsid w:val="004173C6"/>
    <w:rsid w:val="004179A7"/>
    <w:rsid w:val="00420CE5"/>
    <w:rsid w:val="004230D5"/>
    <w:rsid w:val="00423F44"/>
    <w:rsid w:val="00430699"/>
    <w:rsid w:val="00432A28"/>
    <w:rsid w:val="004330F3"/>
    <w:rsid w:val="00434DBF"/>
    <w:rsid w:val="004401D5"/>
    <w:rsid w:val="00442A84"/>
    <w:rsid w:val="00445AB6"/>
    <w:rsid w:val="004462DA"/>
    <w:rsid w:val="00450A4A"/>
    <w:rsid w:val="00452A0D"/>
    <w:rsid w:val="00453C5E"/>
    <w:rsid w:val="0046459A"/>
    <w:rsid w:val="00465E46"/>
    <w:rsid w:val="00465FAD"/>
    <w:rsid w:val="0046620F"/>
    <w:rsid w:val="00466D75"/>
    <w:rsid w:val="00472065"/>
    <w:rsid w:val="00473EF1"/>
    <w:rsid w:val="00475773"/>
    <w:rsid w:val="00476DFD"/>
    <w:rsid w:val="0047710E"/>
    <w:rsid w:val="00480FBD"/>
    <w:rsid w:val="00481CA3"/>
    <w:rsid w:val="004825C5"/>
    <w:rsid w:val="00485351"/>
    <w:rsid w:val="00486157"/>
    <w:rsid w:val="0049007D"/>
    <w:rsid w:val="00492C2C"/>
    <w:rsid w:val="004935AD"/>
    <w:rsid w:val="00494527"/>
    <w:rsid w:val="00494627"/>
    <w:rsid w:val="0049649B"/>
    <w:rsid w:val="004A330A"/>
    <w:rsid w:val="004A44E0"/>
    <w:rsid w:val="004A6EA3"/>
    <w:rsid w:val="004B066C"/>
    <w:rsid w:val="004B18E3"/>
    <w:rsid w:val="004B40BB"/>
    <w:rsid w:val="004B40D2"/>
    <w:rsid w:val="004C3115"/>
    <w:rsid w:val="004C6D5A"/>
    <w:rsid w:val="004C6E55"/>
    <w:rsid w:val="004C7ADF"/>
    <w:rsid w:val="004D1355"/>
    <w:rsid w:val="004D2C6B"/>
    <w:rsid w:val="004D4BA4"/>
    <w:rsid w:val="004D5499"/>
    <w:rsid w:val="004E1324"/>
    <w:rsid w:val="004E14B8"/>
    <w:rsid w:val="004E2347"/>
    <w:rsid w:val="004E4E76"/>
    <w:rsid w:val="004E6916"/>
    <w:rsid w:val="004E7A7D"/>
    <w:rsid w:val="004F26BF"/>
    <w:rsid w:val="004F4B28"/>
    <w:rsid w:val="004F57C6"/>
    <w:rsid w:val="004F6326"/>
    <w:rsid w:val="004F6768"/>
    <w:rsid w:val="0050151B"/>
    <w:rsid w:val="0050155B"/>
    <w:rsid w:val="00503870"/>
    <w:rsid w:val="00505EF3"/>
    <w:rsid w:val="005105E1"/>
    <w:rsid w:val="00516E1B"/>
    <w:rsid w:val="00516E35"/>
    <w:rsid w:val="00521B46"/>
    <w:rsid w:val="00521C85"/>
    <w:rsid w:val="005237EA"/>
    <w:rsid w:val="0052528B"/>
    <w:rsid w:val="005262E4"/>
    <w:rsid w:val="00527221"/>
    <w:rsid w:val="005319F9"/>
    <w:rsid w:val="0054369C"/>
    <w:rsid w:val="00544249"/>
    <w:rsid w:val="0054526C"/>
    <w:rsid w:val="00545D39"/>
    <w:rsid w:val="00552154"/>
    <w:rsid w:val="00552B6E"/>
    <w:rsid w:val="00555124"/>
    <w:rsid w:val="00557D60"/>
    <w:rsid w:val="00562710"/>
    <w:rsid w:val="005638E1"/>
    <w:rsid w:val="00563CD4"/>
    <w:rsid w:val="005645B4"/>
    <w:rsid w:val="0056732A"/>
    <w:rsid w:val="0057310B"/>
    <w:rsid w:val="00573119"/>
    <w:rsid w:val="0057739D"/>
    <w:rsid w:val="005869D9"/>
    <w:rsid w:val="00587DD5"/>
    <w:rsid w:val="00590E40"/>
    <w:rsid w:val="005A2AD2"/>
    <w:rsid w:val="005A3D15"/>
    <w:rsid w:val="005A5730"/>
    <w:rsid w:val="005A7BDB"/>
    <w:rsid w:val="005B36D9"/>
    <w:rsid w:val="005B4351"/>
    <w:rsid w:val="005B5D85"/>
    <w:rsid w:val="005B65FE"/>
    <w:rsid w:val="005B6D80"/>
    <w:rsid w:val="005C08D4"/>
    <w:rsid w:val="005C0A6F"/>
    <w:rsid w:val="005C1AEF"/>
    <w:rsid w:val="005C3208"/>
    <w:rsid w:val="005C470C"/>
    <w:rsid w:val="005C7C06"/>
    <w:rsid w:val="005D03AF"/>
    <w:rsid w:val="005D0458"/>
    <w:rsid w:val="005D2313"/>
    <w:rsid w:val="005D3F4B"/>
    <w:rsid w:val="005E3FC8"/>
    <w:rsid w:val="005F11EA"/>
    <w:rsid w:val="005F18D5"/>
    <w:rsid w:val="005F22A6"/>
    <w:rsid w:val="005F2747"/>
    <w:rsid w:val="005F3D17"/>
    <w:rsid w:val="005F4E2E"/>
    <w:rsid w:val="005F7BBA"/>
    <w:rsid w:val="006007F5"/>
    <w:rsid w:val="00600973"/>
    <w:rsid w:val="0060188F"/>
    <w:rsid w:val="00603B13"/>
    <w:rsid w:val="006052DE"/>
    <w:rsid w:val="00605591"/>
    <w:rsid w:val="006072CC"/>
    <w:rsid w:val="00611FC1"/>
    <w:rsid w:val="00613518"/>
    <w:rsid w:val="0061354D"/>
    <w:rsid w:val="00613CCB"/>
    <w:rsid w:val="00615DBF"/>
    <w:rsid w:val="0061656B"/>
    <w:rsid w:val="006233D0"/>
    <w:rsid w:val="00623CFC"/>
    <w:rsid w:val="00626697"/>
    <w:rsid w:val="00630551"/>
    <w:rsid w:val="006356D7"/>
    <w:rsid w:val="00635700"/>
    <w:rsid w:val="00636615"/>
    <w:rsid w:val="006405AD"/>
    <w:rsid w:val="00642063"/>
    <w:rsid w:val="00645647"/>
    <w:rsid w:val="00645AC0"/>
    <w:rsid w:val="00647023"/>
    <w:rsid w:val="006557B8"/>
    <w:rsid w:val="00656710"/>
    <w:rsid w:val="00657E55"/>
    <w:rsid w:val="00660C0F"/>
    <w:rsid w:val="00661B33"/>
    <w:rsid w:val="00664C43"/>
    <w:rsid w:val="0067029C"/>
    <w:rsid w:val="00672F03"/>
    <w:rsid w:val="00673685"/>
    <w:rsid w:val="006744ED"/>
    <w:rsid w:val="00681559"/>
    <w:rsid w:val="00681CE7"/>
    <w:rsid w:val="00681F27"/>
    <w:rsid w:val="00682068"/>
    <w:rsid w:val="00687291"/>
    <w:rsid w:val="0068781D"/>
    <w:rsid w:val="006901EE"/>
    <w:rsid w:val="00690D8F"/>
    <w:rsid w:val="00692796"/>
    <w:rsid w:val="0069371E"/>
    <w:rsid w:val="00695322"/>
    <w:rsid w:val="00697FD6"/>
    <w:rsid w:val="006A27E1"/>
    <w:rsid w:val="006A280D"/>
    <w:rsid w:val="006A51FD"/>
    <w:rsid w:val="006A7854"/>
    <w:rsid w:val="006A79DB"/>
    <w:rsid w:val="006B0340"/>
    <w:rsid w:val="006B4552"/>
    <w:rsid w:val="006B55F6"/>
    <w:rsid w:val="006C307F"/>
    <w:rsid w:val="006C5FF5"/>
    <w:rsid w:val="006D1CE7"/>
    <w:rsid w:val="006D5FFA"/>
    <w:rsid w:val="006E189D"/>
    <w:rsid w:val="006E3663"/>
    <w:rsid w:val="006E3C3C"/>
    <w:rsid w:val="006E3F35"/>
    <w:rsid w:val="006F1AB6"/>
    <w:rsid w:val="006F38E4"/>
    <w:rsid w:val="006F60FA"/>
    <w:rsid w:val="006F747A"/>
    <w:rsid w:val="00702467"/>
    <w:rsid w:val="00705211"/>
    <w:rsid w:val="007057BD"/>
    <w:rsid w:val="00705BFA"/>
    <w:rsid w:val="00707B6A"/>
    <w:rsid w:val="00712033"/>
    <w:rsid w:val="007129DD"/>
    <w:rsid w:val="007131E9"/>
    <w:rsid w:val="007150BB"/>
    <w:rsid w:val="00716C66"/>
    <w:rsid w:val="007228D6"/>
    <w:rsid w:val="00726D5D"/>
    <w:rsid w:val="0073244C"/>
    <w:rsid w:val="007406F1"/>
    <w:rsid w:val="00742558"/>
    <w:rsid w:val="00746515"/>
    <w:rsid w:val="00746CD3"/>
    <w:rsid w:val="00751184"/>
    <w:rsid w:val="00751F83"/>
    <w:rsid w:val="00753937"/>
    <w:rsid w:val="00754B4B"/>
    <w:rsid w:val="00756A84"/>
    <w:rsid w:val="00761798"/>
    <w:rsid w:val="0076276B"/>
    <w:rsid w:val="0076360F"/>
    <w:rsid w:val="00763789"/>
    <w:rsid w:val="00764052"/>
    <w:rsid w:val="007640C5"/>
    <w:rsid w:val="00765125"/>
    <w:rsid w:val="00771418"/>
    <w:rsid w:val="00771672"/>
    <w:rsid w:val="00771910"/>
    <w:rsid w:val="00781282"/>
    <w:rsid w:val="00782F11"/>
    <w:rsid w:val="00785F30"/>
    <w:rsid w:val="00793E22"/>
    <w:rsid w:val="00793FD8"/>
    <w:rsid w:val="00794736"/>
    <w:rsid w:val="00795FE8"/>
    <w:rsid w:val="007A0816"/>
    <w:rsid w:val="007A4A1D"/>
    <w:rsid w:val="007A7691"/>
    <w:rsid w:val="007A7B86"/>
    <w:rsid w:val="007B3A55"/>
    <w:rsid w:val="007B3BE9"/>
    <w:rsid w:val="007B4BD1"/>
    <w:rsid w:val="007B6D4A"/>
    <w:rsid w:val="007C0C6A"/>
    <w:rsid w:val="007C0D6E"/>
    <w:rsid w:val="007C2E0D"/>
    <w:rsid w:val="007D0C4B"/>
    <w:rsid w:val="007D46B7"/>
    <w:rsid w:val="007D5D7A"/>
    <w:rsid w:val="007D7FF1"/>
    <w:rsid w:val="007E18FD"/>
    <w:rsid w:val="007E3B02"/>
    <w:rsid w:val="007E44D6"/>
    <w:rsid w:val="007E5791"/>
    <w:rsid w:val="007E62D4"/>
    <w:rsid w:val="007F4F56"/>
    <w:rsid w:val="007F5F06"/>
    <w:rsid w:val="007F7932"/>
    <w:rsid w:val="007F7F7B"/>
    <w:rsid w:val="00804A92"/>
    <w:rsid w:val="008054A3"/>
    <w:rsid w:val="0080596C"/>
    <w:rsid w:val="00805D51"/>
    <w:rsid w:val="00810ECF"/>
    <w:rsid w:val="008110D0"/>
    <w:rsid w:val="00811B6D"/>
    <w:rsid w:val="00813803"/>
    <w:rsid w:val="00814B5C"/>
    <w:rsid w:val="00814FA8"/>
    <w:rsid w:val="00816622"/>
    <w:rsid w:val="00822E89"/>
    <w:rsid w:val="00823614"/>
    <w:rsid w:val="008248E9"/>
    <w:rsid w:val="008306AA"/>
    <w:rsid w:val="00833F02"/>
    <w:rsid w:val="00834896"/>
    <w:rsid w:val="0084007C"/>
    <w:rsid w:val="00846612"/>
    <w:rsid w:val="008503F2"/>
    <w:rsid w:val="00851A26"/>
    <w:rsid w:val="00851AF9"/>
    <w:rsid w:val="008551A5"/>
    <w:rsid w:val="008552BE"/>
    <w:rsid w:val="008553B7"/>
    <w:rsid w:val="008612AD"/>
    <w:rsid w:val="0086339C"/>
    <w:rsid w:val="00867E15"/>
    <w:rsid w:val="00871C88"/>
    <w:rsid w:val="0087246F"/>
    <w:rsid w:val="00874930"/>
    <w:rsid w:val="0088092B"/>
    <w:rsid w:val="008813A5"/>
    <w:rsid w:val="0088177D"/>
    <w:rsid w:val="00884CC4"/>
    <w:rsid w:val="00885885"/>
    <w:rsid w:val="00886563"/>
    <w:rsid w:val="0088794C"/>
    <w:rsid w:val="008908F0"/>
    <w:rsid w:val="00891749"/>
    <w:rsid w:val="00892F9D"/>
    <w:rsid w:val="00893543"/>
    <w:rsid w:val="008A13D7"/>
    <w:rsid w:val="008A18F8"/>
    <w:rsid w:val="008A468C"/>
    <w:rsid w:val="008A5B1A"/>
    <w:rsid w:val="008A761D"/>
    <w:rsid w:val="008A7F7D"/>
    <w:rsid w:val="008B1BED"/>
    <w:rsid w:val="008B227A"/>
    <w:rsid w:val="008B38C4"/>
    <w:rsid w:val="008B5A58"/>
    <w:rsid w:val="008B6C1D"/>
    <w:rsid w:val="008C3B5A"/>
    <w:rsid w:val="008C404A"/>
    <w:rsid w:val="008C490A"/>
    <w:rsid w:val="008C66B6"/>
    <w:rsid w:val="008C75AD"/>
    <w:rsid w:val="008D13D4"/>
    <w:rsid w:val="008D3E3D"/>
    <w:rsid w:val="008D53B1"/>
    <w:rsid w:val="008E446E"/>
    <w:rsid w:val="008E556D"/>
    <w:rsid w:val="008E716B"/>
    <w:rsid w:val="008E7E85"/>
    <w:rsid w:val="008E7EF9"/>
    <w:rsid w:val="008F16F0"/>
    <w:rsid w:val="008F1825"/>
    <w:rsid w:val="008F26A1"/>
    <w:rsid w:val="008F5ED6"/>
    <w:rsid w:val="008F7969"/>
    <w:rsid w:val="00900AD8"/>
    <w:rsid w:val="00900BD4"/>
    <w:rsid w:val="00900F23"/>
    <w:rsid w:val="00903404"/>
    <w:rsid w:val="00906CA3"/>
    <w:rsid w:val="00906EDB"/>
    <w:rsid w:val="0091039C"/>
    <w:rsid w:val="009107A9"/>
    <w:rsid w:val="00910A20"/>
    <w:rsid w:val="00910CC0"/>
    <w:rsid w:val="00911252"/>
    <w:rsid w:val="009125CB"/>
    <w:rsid w:val="00916B32"/>
    <w:rsid w:val="00921717"/>
    <w:rsid w:val="00921F3A"/>
    <w:rsid w:val="0092270C"/>
    <w:rsid w:val="009264C1"/>
    <w:rsid w:val="00926F3F"/>
    <w:rsid w:val="00927AC2"/>
    <w:rsid w:val="00932BE0"/>
    <w:rsid w:val="0093382E"/>
    <w:rsid w:val="00933DFC"/>
    <w:rsid w:val="00933F65"/>
    <w:rsid w:val="009357A6"/>
    <w:rsid w:val="00936875"/>
    <w:rsid w:val="00937D74"/>
    <w:rsid w:val="00937EA2"/>
    <w:rsid w:val="00944338"/>
    <w:rsid w:val="0094553E"/>
    <w:rsid w:val="00946825"/>
    <w:rsid w:val="009476BD"/>
    <w:rsid w:val="00955820"/>
    <w:rsid w:val="00957BBA"/>
    <w:rsid w:val="00957C9F"/>
    <w:rsid w:val="0096094E"/>
    <w:rsid w:val="009667CB"/>
    <w:rsid w:val="00971353"/>
    <w:rsid w:val="00972473"/>
    <w:rsid w:val="00975846"/>
    <w:rsid w:val="00976F01"/>
    <w:rsid w:val="00980005"/>
    <w:rsid w:val="009815B0"/>
    <w:rsid w:val="00983A04"/>
    <w:rsid w:val="00985AC4"/>
    <w:rsid w:val="009862E6"/>
    <w:rsid w:val="009906A8"/>
    <w:rsid w:val="0099102F"/>
    <w:rsid w:val="00991211"/>
    <w:rsid w:val="00994665"/>
    <w:rsid w:val="00995D85"/>
    <w:rsid w:val="009A1E34"/>
    <w:rsid w:val="009A2705"/>
    <w:rsid w:val="009A272E"/>
    <w:rsid w:val="009A5EF1"/>
    <w:rsid w:val="009A7FFC"/>
    <w:rsid w:val="009B0D47"/>
    <w:rsid w:val="009B0EBD"/>
    <w:rsid w:val="009B1A02"/>
    <w:rsid w:val="009B22CA"/>
    <w:rsid w:val="009B3E3D"/>
    <w:rsid w:val="009B67DA"/>
    <w:rsid w:val="009B6C86"/>
    <w:rsid w:val="009C0878"/>
    <w:rsid w:val="009C17BB"/>
    <w:rsid w:val="009C3B71"/>
    <w:rsid w:val="009C57F5"/>
    <w:rsid w:val="009C6444"/>
    <w:rsid w:val="009C7A3B"/>
    <w:rsid w:val="009D0FBC"/>
    <w:rsid w:val="009D231B"/>
    <w:rsid w:val="009D3EE4"/>
    <w:rsid w:val="009D4672"/>
    <w:rsid w:val="009E0D1A"/>
    <w:rsid w:val="009E436F"/>
    <w:rsid w:val="009E6F30"/>
    <w:rsid w:val="009F136F"/>
    <w:rsid w:val="009F2FD6"/>
    <w:rsid w:val="009F4AE8"/>
    <w:rsid w:val="009F5930"/>
    <w:rsid w:val="009F6EF0"/>
    <w:rsid w:val="00A01980"/>
    <w:rsid w:val="00A04EA2"/>
    <w:rsid w:val="00A053BE"/>
    <w:rsid w:val="00A05FD7"/>
    <w:rsid w:val="00A124E0"/>
    <w:rsid w:val="00A125DB"/>
    <w:rsid w:val="00A1651A"/>
    <w:rsid w:val="00A20696"/>
    <w:rsid w:val="00A210DF"/>
    <w:rsid w:val="00A22B07"/>
    <w:rsid w:val="00A22BA4"/>
    <w:rsid w:val="00A233E4"/>
    <w:rsid w:val="00A25376"/>
    <w:rsid w:val="00A30C03"/>
    <w:rsid w:val="00A32156"/>
    <w:rsid w:val="00A329DF"/>
    <w:rsid w:val="00A348F0"/>
    <w:rsid w:val="00A34B57"/>
    <w:rsid w:val="00A37AED"/>
    <w:rsid w:val="00A37E4E"/>
    <w:rsid w:val="00A4013E"/>
    <w:rsid w:val="00A40C31"/>
    <w:rsid w:val="00A41958"/>
    <w:rsid w:val="00A4670C"/>
    <w:rsid w:val="00A50942"/>
    <w:rsid w:val="00A52141"/>
    <w:rsid w:val="00A52728"/>
    <w:rsid w:val="00A530BF"/>
    <w:rsid w:val="00A53180"/>
    <w:rsid w:val="00A53BD3"/>
    <w:rsid w:val="00A56423"/>
    <w:rsid w:val="00A5758A"/>
    <w:rsid w:val="00A61FF5"/>
    <w:rsid w:val="00A65852"/>
    <w:rsid w:val="00A65CA6"/>
    <w:rsid w:val="00A663EE"/>
    <w:rsid w:val="00A72632"/>
    <w:rsid w:val="00A73AC8"/>
    <w:rsid w:val="00A7434F"/>
    <w:rsid w:val="00A81227"/>
    <w:rsid w:val="00A81C59"/>
    <w:rsid w:val="00A828FF"/>
    <w:rsid w:val="00A8531D"/>
    <w:rsid w:val="00A863B5"/>
    <w:rsid w:val="00A86C2F"/>
    <w:rsid w:val="00A929EB"/>
    <w:rsid w:val="00A92E07"/>
    <w:rsid w:val="00A96BA7"/>
    <w:rsid w:val="00AA01BF"/>
    <w:rsid w:val="00AA6BB9"/>
    <w:rsid w:val="00AA788F"/>
    <w:rsid w:val="00AB3C45"/>
    <w:rsid w:val="00AB524B"/>
    <w:rsid w:val="00AC67C4"/>
    <w:rsid w:val="00AC6BB0"/>
    <w:rsid w:val="00AC7E22"/>
    <w:rsid w:val="00AD2845"/>
    <w:rsid w:val="00AD7A89"/>
    <w:rsid w:val="00AE4619"/>
    <w:rsid w:val="00AF3BF5"/>
    <w:rsid w:val="00B01300"/>
    <w:rsid w:val="00B0203E"/>
    <w:rsid w:val="00B021F3"/>
    <w:rsid w:val="00B0339E"/>
    <w:rsid w:val="00B1014B"/>
    <w:rsid w:val="00B10577"/>
    <w:rsid w:val="00B11672"/>
    <w:rsid w:val="00B12BA8"/>
    <w:rsid w:val="00B12DA9"/>
    <w:rsid w:val="00B229F2"/>
    <w:rsid w:val="00B233A6"/>
    <w:rsid w:val="00B23469"/>
    <w:rsid w:val="00B248A7"/>
    <w:rsid w:val="00B24B39"/>
    <w:rsid w:val="00B250C9"/>
    <w:rsid w:val="00B2522B"/>
    <w:rsid w:val="00B256DE"/>
    <w:rsid w:val="00B30395"/>
    <w:rsid w:val="00B3063F"/>
    <w:rsid w:val="00B307CE"/>
    <w:rsid w:val="00B3187A"/>
    <w:rsid w:val="00B3367B"/>
    <w:rsid w:val="00B35726"/>
    <w:rsid w:val="00B35AAC"/>
    <w:rsid w:val="00B376AE"/>
    <w:rsid w:val="00B37B4B"/>
    <w:rsid w:val="00B40842"/>
    <w:rsid w:val="00B454EE"/>
    <w:rsid w:val="00B45779"/>
    <w:rsid w:val="00B46592"/>
    <w:rsid w:val="00B46D2F"/>
    <w:rsid w:val="00B50747"/>
    <w:rsid w:val="00B51A40"/>
    <w:rsid w:val="00B523A9"/>
    <w:rsid w:val="00B538A2"/>
    <w:rsid w:val="00B550F5"/>
    <w:rsid w:val="00B554C6"/>
    <w:rsid w:val="00B57432"/>
    <w:rsid w:val="00B57EBF"/>
    <w:rsid w:val="00B60C05"/>
    <w:rsid w:val="00B61495"/>
    <w:rsid w:val="00B61A3D"/>
    <w:rsid w:val="00B61D1E"/>
    <w:rsid w:val="00B64E18"/>
    <w:rsid w:val="00B6555F"/>
    <w:rsid w:val="00B661E5"/>
    <w:rsid w:val="00B670AE"/>
    <w:rsid w:val="00B676F4"/>
    <w:rsid w:val="00B67ED5"/>
    <w:rsid w:val="00B70A7F"/>
    <w:rsid w:val="00B7180C"/>
    <w:rsid w:val="00B75C77"/>
    <w:rsid w:val="00B75C90"/>
    <w:rsid w:val="00B76747"/>
    <w:rsid w:val="00B77A7A"/>
    <w:rsid w:val="00B80328"/>
    <w:rsid w:val="00B8057F"/>
    <w:rsid w:val="00B8061E"/>
    <w:rsid w:val="00B80737"/>
    <w:rsid w:val="00B8093E"/>
    <w:rsid w:val="00B82AFD"/>
    <w:rsid w:val="00B87299"/>
    <w:rsid w:val="00B90AF6"/>
    <w:rsid w:val="00B90DD5"/>
    <w:rsid w:val="00B91E14"/>
    <w:rsid w:val="00B91FCC"/>
    <w:rsid w:val="00B928BE"/>
    <w:rsid w:val="00B93225"/>
    <w:rsid w:val="00B93C99"/>
    <w:rsid w:val="00BA0419"/>
    <w:rsid w:val="00BA0D86"/>
    <w:rsid w:val="00BA1306"/>
    <w:rsid w:val="00BA2D21"/>
    <w:rsid w:val="00BA340C"/>
    <w:rsid w:val="00BA7349"/>
    <w:rsid w:val="00BB6AE2"/>
    <w:rsid w:val="00BB7381"/>
    <w:rsid w:val="00BC3783"/>
    <w:rsid w:val="00BC38CE"/>
    <w:rsid w:val="00BC4462"/>
    <w:rsid w:val="00BD1C29"/>
    <w:rsid w:val="00BD1C33"/>
    <w:rsid w:val="00BD373E"/>
    <w:rsid w:val="00BD3B93"/>
    <w:rsid w:val="00BD7844"/>
    <w:rsid w:val="00BD7A24"/>
    <w:rsid w:val="00BE057C"/>
    <w:rsid w:val="00BE207B"/>
    <w:rsid w:val="00BE23B0"/>
    <w:rsid w:val="00BE2F8C"/>
    <w:rsid w:val="00BE361E"/>
    <w:rsid w:val="00BE51C3"/>
    <w:rsid w:val="00BE6694"/>
    <w:rsid w:val="00BF4500"/>
    <w:rsid w:val="00BF6F08"/>
    <w:rsid w:val="00C00376"/>
    <w:rsid w:val="00C0037F"/>
    <w:rsid w:val="00C03006"/>
    <w:rsid w:val="00C04654"/>
    <w:rsid w:val="00C06B90"/>
    <w:rsid w:val="00C0704A"/>
    <w:rsid w:val="00C10B4D"/>
    <w:rsid w:val="00C120DF"/>
    <w:rsid w:val="00C121E4"/>
    <w:rsid w:val="00C1272C"/>
    <w:rsid w:val="00C15B5A"/>
    <w:rsid w:val="00C16580"/>
    <w:rsid w:val="00C20483"/>
    <w:rsid w:val="00C21DD5"/>
    <w:rsid w:val="00C25222"/>
    <w:rsid w:val="00C31724"/>
    <w:rsid w:val="00C351DA"/>
    <w:rsid w:val="00C35435"/>
    <w:rsid w:val="00C35D4A"/>
    <w:rsid w:val="00C41CA7"/>
    <w:rsid w:val="00C452C4"/>
    <w:rsid w:val="00C470E5"/>
    <w:rsid w:val="00C47C3F"/>
    <w:rsid w:val="00C5038B"/>
    <w:rsid w:val="00C517C8"/>
    <w:rsid w:val="00C543A4"/>
    <w:rsid w:val="00C54EF8"/>
    <w:rsid w:val="00C55B9E"/>
    <w:rsid w:val="00C6333A"/>
    <w:rsid w:val="00C64742"/>
    <w:rsid w:val="00C64DDE"/>
    <w:rsid w:val="00C64F7B"/>
    <w:rsid w:val="00C6522C"/>
    <w:rsid w:val="00C65B7C"/>
    <w:rsid w:val="00C67CA5"/>
    <w:rsid w:val="00C72C98"/>
    <w:rsid w:val="00C73947"/>
    <w:rsid w:val="00C776D6"/>
    <w:rsid w:val="00C82214"/>
    <w:rsid w:val="00C841AA"/>
    <w:rsid w:val="00C85D57"/>
    <w:rsid w:val="00C87389"/>
    <w:rsid w:val="00C90839"/>
    <w:rsid w:val="00C9519D"/>
    <w:rsid w:val="00C952A4"/>
    <w:rsid w:val="00C96601"/>
    <w:rsid w:val="00CA0594"/>
    <w:rsid w:val="00CB05DC"/>
    <w:rsid w:val="00CB085A"/>
    <w:rsid w:val="00CB0A48"/>
    <w:rsid w:val="00CB1BEA"/>
    <w:rsid w:val="00CB602E"/>
    <w:rsid w:val="00CB6554"/>
    <w:rsid w:val="00CB69C5"/>
    <w:rsid w:val="00CC0A43"/>
    <w:rsid w:val="00CC1B45"/>
    <w:rsid w:val="00CC1F71"/>
    <w:rsid w:val="00CC699D"/>
    <w:rsid w:val="00CD19F0"/>
    <w:rsid w:val="00CD570C"/>
    <w:rsid w:val="00CD7EEC"/>
    <w:rsid w:val="00CE1FE7"/>
    <w:rsid w:val="00CE246E"/>
    <w:rsid w:val="00CE6A50"/>
    <w:rsid w:val="00CF05AC"/>
    <w:rsid w:val="00CF6BC5"/>
    <w:rsid w:val="00CF7F52"/>
    <w:rsid w:val="00D00E1D"/>
    <w:rsid w:val="00D01816"/>
    <w:rsid w:val="00D0366F"/>
    <w:rsid w:val="00D036AF"/>
    <w:rsid w:val="00D05342"/>
    <w:rsid w:val="00D0560D"/>
    <w:rsid w:val="00D071E2"/>
    <w:rsid w:val="00D07980"/>
    <w:rsid w:val="00D20265"/>
    <w:rsid w:val="00D21D5D"/>
    <w:rsid w:val="00D25ED1"/>
    <w:rsid w:val="00D2783D"/>
    <w:rsid w:val="00D27B00"/>
    <w:rsid w:val="00D27E20"/>
    <w:rsid w:val="00D3283E"/>
    <w:rsid w:val="00D34176"/>
    <w:rsid w:val="00D36122"/>
    <w:rsid w:val="00D42F00"/>
    <w:rsid w:val="00D42FC5"/>
    <w:rsid w:val="00D4359D"/>
    <w:rsid w:val="00D46226"/>
    <w:rsid w:val="00D50085"/>
    <w:rsid w:val="00D52EB6"/>
    <w:rsid w:val="00D52FE5"/>
    <w:rsid w:val="00D53F7E"/>
    <w:rsid w:val="00D5650D"/>
    <w:rsid w:val="00D56EA1"/>
    <w:rsid w:val="00D57E97"/>
    <w:rsid w:val="00D63884"/>
    <w:rsid w:val="00D63A59"/>
    <w:rsid w:val="00D706E2"/>
    <w:rsid w:val="00D72696"/>
    <w:rsid w:val="00D72CB8"/>
    <w:rsid w:val="00D75262"/>
    <w:rsid w:val="00D76284"/>
    <w:rsid w:val="00D82195"/>
    <w:rsid w:val="00D8417E"/>
    <w:rsid w:val="00D845DF"/>
    <w:rsid w:val="00D87F80"/>
    <w:rsid w:val="00D90A35"/>
    <w:rsid w:val="00D90C79"/>
    <w:rsid w:val="00D918F2"/>
    <w:rsid w:val="00D930DA"/>
    <w:rsid w:val="00D933AC"/>
    <w:rsid w:val="00D94362"/>
    <w:rsid w:val="00D9442D"/>
    <w:rsid w:val="00D948AF"/>
    <w:rsid w:val="00D94D81"/>
    <w:rsid w:val="00DA2517"/>
    <w:rsid w:val="00DB06C6"/>
    <w:rsid w:val="00DB0CD7"/>
    <w:rsid w:val="00DB2071"/>
    <w:rsid w:val="00DB24C2"/>
    <w:rsid w:val="00DB344A"/>
    <w:rsid w:val="00DB5D2F"/>
    <w:rsid w:val="00DB702C"/>
    <w:rsid w:val="00DB7864"/>
    <w:rsid w:val="00DC2117"/>
    <w:rsid w:val="00DC2A1F"/>
    <w:rsid w:val="00DC323E"/>
    <w:rsid w:val="00DC48F8"/>
    <w:rsid w:val="00DC4916"/>
    <w:rsid w:val="00DC4A55"/>
    <w:rsid w:val="00DC5878"/>
    <w:rsid w:val="00DC58AA"/>
    <w:rsid w:val="00DC7770"/>
    <w:rsid w:val="00DD052F"/>
    <w:rsid w:val="00DD090C"/>
    <w:rsid w:val="00DD1919"/>
    <w:rsid w:val="00DD24F2"/>
    <w:rsid w:val="00DD2FBA"/>
    <w:rsid w:val="00DD540B"/>
    <w:rsid w:val="00DD6110"/>
    <w:rsid w:val="00DE060D"/>
    <w:rsid w:val="00DE1B0D"/>
    <w:rsid w:val="00DE4E94"/>
    <w:rsid w:val="00DE6792"/>
    <w:rsid w:val="00DE6FE8"/>
    <w:rsid w:val="00DF0B5D"/>
    <w:rsid w:val="00DF26A2"/>
    <w:rsid w:val="00DF2BB5"/>
    <w:rsid w:val="00DF3F66"/>
    <w:rsid w:val="00DF4649"/>
    <w:rsid w:val="00DF54BF"/>
    <w:rsid w:val="00DF5556"/>
    <w:rsid w:val="00DF6F3F"/>
    <w:rsid w:val="00E0019F"/>
    <w:rsid w:val="00E01020"/>
    <w:rsid w:val="00E012C2"/>
    <w:rsid w:val="00E0210F"/>
    <w:rsid w:val="00E02B31"/>
    <w:rsid w:val="00E03BB6"/>
    <w:rsid w:val="00E03DC7"/>
    <w:rsid w:val="00E05418"/>
    <w:rsid w:val="00E067E4"/>
    <w:rsid w:val="00E06AFB"/>
    <w:rsid w:val="00E10DBA"/>
    <w:rsid w:val="00E11F73"/>
    <w:rsid w:val="00E22194"/>
    <w:rsid w:val="00E2328B"/>
    <w:rsid w:val="00E318D6"/>
    <w:rsid w:val="00E32482"/>
    <w:rsid w:val="00E3334E"/>
    <w:rsid w:val="00E369D4"/>
    <w:rsid w:val="00E40858"/>
    <w:rsid w:val="00E41DB0"/>
    <w:rsid w:val="00E46152"/>
    <w:rsid w:val="00E503AA"/>
    <w:rsid w:val="00E55C55"/>
    <w:rsid w:val="00E612C7"/>
    <w:rsid w:val="00E62FB9"/>
    <w:rsid w:val="00E64EFE"/>
    <w:rsid w:val="00E65792"/>
    <w:rsid w:val="00E66A0A"/>
    <w:rsid w:val="00E66AFE"/>
    <w:rsid w:val="00E7148A"/>
    <w:rsid w:val="00E73680"/>
    <w:rsid w:val="00E74909"/>
    <w:rsid w:val="00E76827"/>
    <w:rsid w:val="00E7723D"/>
    <w:rsid w:val="00E77328"/>
    <w:rsid w:val="00E80105"/>
    <w:rsid w:val="00E801CC"/>
    <w:rsid w:val="00E80E74"/>
    <w:rsid w:val="00E82446"/>
    <w:rsid w:val="00E8375F"/>
    <w:rsid w:val="00E8448E"/>
    <w:rsid w:val="00E849B8"/>
    <w:rsid w:val="00E84CFE"/>
    <w:rsid w:val="00E90470"/>
    <w:rsid w:val="00E930DA"/>
    <w:rsid w:val="00E96302"/>
    <w:rsid w:val="00EA0EFB"/>
    <w:rsid w:val="00EA14C0"/>
    <w:rsid w:val="00EA4672"/>
    <w:rsid w:val="00EA630A"/>
    <w:rsid w:val="00EB028F"/>
    <w:rsid w:val="00EC02BB"/>
    <w:rsid w:val="00EC21AD"/>
    <w:rsid w:val="00EC2D60"/>
    <w:rsid w:val="00ED04A5"/>
    <w:rsid w:val="00ED238E"/>
    <w:rsid w:val="00ED467E"/>
    <w:rsid w:val="00ED5A3B"/>
    <w:rsid w:val="00ED7967"/>
    <w:rsid w:val="00EE0A66"/>
    <w:rsid w:val="00EE0B76"/>
    <w:rsid w:val="00EE0C1E"/>
    <w:rsid w:val="00EE1238"/>
    <w:rsid w:val="00EE1F00"/>
    <w:rsid w:val="00EE2BC2"/>
    <w:rsid w:val="00EE402A"/>
    <w:rsid w:val="00EE40B0"/>
    <w:rsid w:val="00EE40CC"/>
    <w:rsid w:val="00EE4124"/>
    <w:rsid w:val="00EE4475"/>
    <w:rsid w:val="00EE4847"/>
    <w:rsid w:val="00EE4D4F"/>
    <w:rsid w:val="00EF134E"/>
    <w:rsid w:val="00EF190C"/>
    <w:rsid w:val="00EF205B"/>
    <w:rsid w:val="00F01351"/>
    <w:rsid w:val="00F01E03"/>
    <w:rsid w:val="00F02711"/>
    <w:rsid w:val="00F03FDF"/>
    <w:rsid w:val="00F0477F"/>
    <w:rsid w:val="00F04FDA"/>
    <w:rsid w:val="00F0605D"/>
    <w:rsid w:val="00F1569D"/>
    <w:rsid w:val="00F15D8F"/>
    <w:rsid w:val="00F17CB7"/>
    <w:rsid w:val="00F23D05"/>
    <w:rsid w:val="00F2479C"/>
    <w:rsid w:val="00F26A28"/>
    <w:rsid w:val="00F26FFD"/>
    <w:rsid w:val="00F27BF6"/>
    <w:rsid w:val="00F30C8D"/>
    <w:rsid w:val="00F31320"/>
    <w:rsid w:val="00F3179C"/>
    <w:rsid w:val="00F31B51"/>
    <w:rsid w:val="00F321B7"/>
    <w:rsid w:val="00F334A3"/>
    <w:rsid w:val="00F33F76"/>
    <w:rsid w:val="00F37275"/>
    <w:rsid w:val="00F40359"/>
    <w:rsid w:val="00F40A84"/>
    <w:rsid w:val="00F41CF4"/>
    <w:rsid w:val="00F42A75"/>
    <w:rsid w:val="00F4386D"/>
    <w:rsid w:val="00F43AE5"/>
    <w:rsid w:val="00F47875"/>
    <w:rsid w:val="00F51D92"/>
    <w:rsid w:val="00F61359"/>
    <w:rsid w:val="00F618AD"/>
    <w:rsid w:val="00F624A5"/>
    <w:rsid w:val="00F62556"/>
    <w:rsid w:val="00F6283F"/>
    <w:rsid w:val="00F63014"/>
    <w:rsid w:val="00F66EA5"/>
    <w:rsid w:val="00F67A8A"/>
    <w:rsid w:val="00F7277C"/>
    <w:rsid w:val="00F72D74"/>
    <w:rsid w:val="00F73E2A"/>
    <w:rsid w:val="00F745A7"/>
    <w:rsid w:val="00F7550E"/>
    <w:rsid w:val="00F80A42"/>
    <w:rsid w:val="00F81DA8"/>
    <w:rsid w:val="00F81DB9"/>
    <w:rsid w:val="00F82A57"/>
    <w:rsid w:val="00F831DF"/>
    <w:rsid w:val="00F84736"/>
    <w:rsid w:val="00F86D8F"/>
    <w:rsid w:val="00F92959"/>
    <w:rsid w:val="00F94293"/>
    <w:rsid w:val="00F94825"/>
    <w:rsid w:val="00FA09C0"/>
    <w:rsid w:val="00FA19C1"/>
    <w:rsid w:val="00FA20F3"/>
    <w:rsid w:val="00FA26C0"/>
    <w:rsid w:val="00FA2AD9"/>
    <w:rsid w:val="00FB1AFC"/>
    <w:rsid w:val="00FB243E"/>
    <w:rsid w:val="00FB25DB"/>
    <w:rsid w:val="00FB4B90"/>
    <w:rsid w:val="00FB4EDF"/>
    <w:rsid w:val="00FB64A8"/>
    <w:rsid w:val="00FC0B07"/>
    <w:rsid w:val="00FC11C4"/>
    <w:rsid w:val="00FC137D"/>
    <w:rsid w:val="00FC3BAC"/>
    <w:rsid w:val="00FC49A7"/>
    <w:rsid w:val="00FC5C44"/>
    <w:rsid w:val="00FC6165"/>
    <w:rsid w:val="00FD47C6"/>
    <w:rsid w:val="00FE096C"/>
    <w:rsid w:val="00FE3E84"/>
    <w:rsid w:val="00FE4B86"/>
    <w:rsid w:val="00FE5750"/>
    <w:rsid w:val="00FE6038"/>
    <w:rsid w:val="00FE7840"/>
    <w:rsid w:val="00FF1A3D"/>
    <w:rsid w:val="00FF2B36"/>
    <w:rsid w:val="00FF304D"/>
    <w:rsid w:val="00FF3615"/>
    <w:rsid w:val="00FF3ADB"/>
    <w:rsid w:val="00FF560F"/>
    <w:rsid w:val="00FF5FDA"/>
    <w:rsid w:val="00FF643E"/>
    <w:rsid w:val="00FF7A81"/>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9F30B"/>
  <w15:docId w15:val="{498B5922-777B-48A3-B130-4B291C6E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 w:type="paragraph" w:styleId="NoSpacing">
    <w:name w:val="No Spacing"/>
    <w:uiPriority w:val="1"/>
    <w:qFormat/>
    <w:rsid w:val="002155D2"/>
    <w:rPr>
      <w:rFonts w:asciiTheme="minorHAnsi" w:eastAsiaTheme="minorHAnsi" w:hAnsiTheme="minorHAnsi" w:cstheme="minorBidi"/>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219904284">
          <w:marLeft w:val="0"/>
          <w:marRight w:val="0"/>
          <w:marTop w:val="0"/>
          <w:marBottom w:val="0"/>
          <w:divBdr>
            <w:top w:val="none" w:sz="0" w:space="0" w:color="auto"/>
            <w:left w:val="none" w:sz="0" w:space="0" w:color="auto"/>
            <w:bottom w:val="none" w:sz="0" w:space="0" w:color="auto"/>
            <w:right w:val="none" w:sz="0" w:space="0" w:color="auto"/>
          </w:divBdr>
        </w:div>
        <w:div w:id="392849303">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6507">
          <w:marLeft w:val="0"/>
          <w:marRight w:val="0"/>
          <w:marTop w:val="0"/>
          <w:marBottom w:val="0"/>
          <w:divBdr>
            <w:top w:val="none" w:sz="0" w:space="0" w:color="auto"/>
            <w:left w:val="none" w:sz="0" w:space="0" w:color="auto"/>
            <w:bottom w:val="none" w:sz="0" w:space="0" w:color="auto"/>
            <w:right w:val="none" w:sz="0" w:space="0" w:color="auto"/>
          </w:divBdr>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335F04-B767-43DF-A39A-55A85D294014}">
  <ds:schemaRefs>
    <ds:schemaRef ds:uri="http://schemas.microsoft.com/sharepoint/v3/contenttype/forms"/>
  </ds:schemaRefs>
</ds:datastoreItem>
</file>

<file path=customXml/itemProps2.xml><?xml version="1.0" encoding="utf-8"?>
<ds:datastoreItem xmlns:ds="http://schemas.openxmlformats.org/officeDocument/2006/customXml" ds:itemID="{60759736-6924-461F-AC59-5AB3629F6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D3BA1-CE08-4F29-9747-977F7F0E7A31}">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5740</Words>
  <Characters>31055</Characters>
  <Application>Microsoft Office Word</Application>
  <DocSecurity>0</DocSecurity>
  <Lines>1411</Lines>
  <Paragraphs>623</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cp:lastModifiedBy>Gonzales, Veronica</cp:lastModifiedBy>
  <cp:revision>11</cp:revision>
  <cp:lastPrinted>2023-01-09T23:57:00Z</cp:lastPrinted>
  <dcterms:created xsi:type="dcterms:W3CDTF">2024-08-19T04:49:00Z</dcterms:created>
  <dcterms:modified xsi:type="dcterms:W3CDTF">2024-08-19T15:39:00Z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