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62C1" w14:textId="4CD81312" w:rsidR="007C68E7" w:rsidRPr="005D3C1B" w:rsidRDefault="007C68E7" w:rsidP="00CB365B">
      <w:pPr>
        <w:rPr>
          <w:sz w:val="28"/>
          <w:szCs w:val="28"/>
        </w:rPr>
      </w:pPr>
      <w:r w:rsidRPr="005D3C1B">
        <w:rPr>
          <w:sz w:val="28"/>
          <w:szCs w:val="28"/>
        </w:rPr>
        <w:t>Mark Meltzer, as staff to and on behalf of the</w:t>
      </w:r>
    </w:p>
    <w:p w14:paraId="2231C063" w14:textId="0CA1842D" w:rsidR="009001C1" w:rsidRPr="005D3C1B" w:rsidRDefault="009001C1" w:rsidP="00CB365B">
      <w:pPr>
        <w:rPr>
          <w:sz w:val="28"/>
          <w:szCs w:val="28"/>
        </w:rPr>
      </w:pPr>
      <w:r w:rsidRPr="005D3C1B">
        <w:rPr>
          <w:sz w:val="28"/>
          <w:szCs w:val="28"/>
        </w:rPr>
        <w:t xml:space="preserve">Task Force on </w:t>
      </w:r>
      <w:r w:rsidR="00C1064F" w:rsidRPr="005D3C1B">
        <w:rPr>
          <w:sz w:val="28"/>
          <w:szCs w:val="28"/>
        </w:rPr>
        <w:t>Rules of Procedure for Special Actions</w:t>
      </w:r>
    </w:p>
    <w:p w14:paraId="4A185624" w14:textId="77777777" w:rsidR="00CB365B" w:rsidRPr="005D3C1B" w:rsidRDefault="00CB365B" w:rsidP="00CB365B">
      <w:pPr>
        <w:rPr>
          <w:sz w:val="28"/>
          <w:szCs w:val="28"/>
        </w:rPr>
      </w:pPr>
      <w:r w:rsidRPr="005D3C1B">
        <w:rPr>
          <w:sz w:val="28"/>
          <w:szCs w:val="28"/>
        </w:rPr>
        <w:t>1501 W. Washington St.</w:t>
      </w:r>
    </w:p>
    <w:p w14:paraId="636AF617" w14:textId="77777777" w:rsidR="00CB365B" w:rsidRPr="005D3C1B" w:rsidRDefault="00CB365B" w:rsidP="00CB365B">
      <w:pPr>
        <w:rPr>
          <w:sz w:val="28"/>
          <w:szCs w:val="28"/>
        </w:rPr>
      </w:pPr>
      <w:r w:rsidRPr="005D3C1B">
        <w:rPr>
          <w:sz w:val="28"/>
          <w:szCs w:val="28"/>
        </w:rPr>
        <w:t>Phoenix, AZ 85007</w:t>
      </w:r>
    </w:p>
    <w:p w14:paraId="672A6659" w14:textId="77777777" w:rsidR="00CB365B" w:rsidRPr="005D3C1B" w:rsidRDefault="00CB365B" w:rsidP="00CB365B">
      <w:pPr>
        <w:rPr>
          <w:sz w:val="28"/>
          <w:szCs w:val="28"/>
        </w:rPr>
      </w:pPr>
    </w:p>
    <w:p w14:paraId="0A37501D" w14:textId="77777777" w:rsidR="00CB365B" w:rsidRPr="005D3C1B" w:rsidRDefault="00CB365B" w:rsidP="00CB365B">
      <w:pPr>
        <w:spacing w:line="480" w:lineRule="auto"/>
        <w:jc w:val="center"/>
        <w:rPr>
          <w:sz w:val="28"/>
          <w:szCs w:val="28"/>
        </w:rPr>
      </w:pPr>
    </w:p>
    <w:p w14:paraId="5DAB6C7B" w14:textId="77777777" w:rsidR="00CB365B" w:rsidRPr="005D3C1B" w:rsidRDefault="00CB365B" w:rsidP="00CB365B">
      <w:pPr>
        <w:spacing w:line="480" w:lineRule="auto"/>
        <w:jc w:val="center"/>
        <w:rPr>
          <w:sz w:val="28"/>
          <w:szCs w:val="28"/>
          <w:u w:val="single"/>
        </w:rPr>
      </w:pPr>
    </w:p>
    <w:p w14:paraId="542C35A1" w14:textId="307D6761" w:rsidR="00CB365B" w:rsidRPr="005D3C1B" w:rsidRDefault="00FF3871" w:rsidP="00B721D0">
      <w:pPr>
        <w:tabs>
          <w:tab w:val="left" w:pos="708"/>
          <w:tab w:val="center" w:pos="4680"/>
        </w:tabs>
        <w:rPr>
          <w:sz w:val="28"/>
          <w:szCs w:val="28"/>
        </w:rPr>
      </w:pPr>
      <w:r>
        <w:rPr>
          <w:sz w:val="28"/>
          <w:szCs w:val="28"/>
        </w:rPr>
        <w:tab/>
      </w:r>
      <w:r>
        <w:rPr>
          <w:sz w:val="28"/>
          <w:szCs w:val="28"/>
        </w:rPr>
        <w:tab/>
      </w:r>
      <w:r w:rsidR="00CB365B" w:rsidRPr="005D3C1B">
        <w:rPr>
          <w:sz w:val="28"/>
          <w:szCs w:val="28"/>
        </w:rPr>
        <w:t>SUPREME COURT</w:t>
      </w:r>
      <w:r w:rsidR="003E7184" w:rsidRPr="005D3C1B">
        <w:rPr>
          <w:sz w:val="28"/>
          <w:szCs w:val="28"/>
        </w:rPr>
        <w:t xml:space="preserve"> OF ARIZONA</w:t>
      </w:r>
    </w:p>
    <w:p w14:paraId="02EB378F" w14:textId="77777777" w:rsidR="00CB365B" w:rsidRPr="005D3C1B" w:rsidRDefault="00CB365B" w:rsidP="00CB365B">
      <w:pPr>
        <w:jc w:val="center"/>
        <w:rPr>
          <w:sz w:val="28"/>
          <w:szCs w:val="28"/>
        </w:rPr>
      </w:pPr>
    </w:p>
    <w:p w14:paraId="6A05A809" w14:textId="77777777" w:rsidR="00CB365B" w:rsidRPr="005D3C1B" w:rsidRDefault="00CB365B" w:rsidP="00CB365B">
      <w:pPr>
        <w:rPr>
          <w:sz w:val="28"/>
          <w:szCs w:val="28"/>
        </w:rPr>
      </w:pPr>
    </w:p>
    <w:p w14:paraId="729C3AD4" w14:textId="6B2AB910" w:rsidR="00CB365B" w:rsidRPr="005D3C1B" w:rsidRDefault="00CB365B" w:rsidP="00CB365B">
      <w:pPr>
        <w:rPr>
          <w:sz w:val="28"/>
          <w:szCs w:val="28"/>
        </w:rPr>
      </w:pPr>
      <w:r w:rsidRPr="005D3C1B">
        <w:rPr>
          <w:sz w:val="28"/>
          <w:szCs w:val="28"/>
        </w:rPr>
        <w:t xml:space="preserve">PETITION TO </w:t>
      </w:r>
      <w:r w:rsidR="00D108B2" w:rsidRPr="005D3C1B">
        <w:rPr>
          <w:sz w:val="28"/>
          <w:szCs w:val="28"/>
        </w:rPr>
        <w:t>AMEND</w:t>
      </w:r>
      <w:r w:rsidRPr="005D3C1B">
        <w:rPr>
          <w:sz w:val="28"/>
          <w:szCs w:val="28"/>
        </w:rPr>
        <w:t xml:space="preserve"> </w:t>
      </w:r>
      <w:r w:rsidR="00922880" w:rsidRPr="005D3C1B">
        <w:rPr>
          <w:sz w:val="28"/>
          <w:szCs w:val="28"/>
        </w:rPr>
        <w:t>THE</w:t>
      </w:r>
      <w:r w:rsidRPr="005D3C1B">
        <w:rPr>
          <w:sz w:val="28"/>
          <w:szCs w:val="28"/>
        </w:rPr>
        <w:t xml:space="preserve">   </w:t>
      </w:r>
      <w:r w:rsidR="00876707" w:rsidRPr="005D3C1B">
        <w:rPr>
          <w:sz w:val="28"/>
          <w:szCs w:val="28"/>
        </w:rPr>
        <w:tab/>
        <w:t xml:space="preserve">)  </w:t>
      </w:r>
      <w:r w:rsidR="000336B7" w:rsidRPr="005D3C1B">
        <w:rPr>
          <w:sz w:val="28"/>
          <w:szCs w:val="28"/>
        </w:rPr>
        <w:t xml:space="preserve"> </w:t>
      </w:r>
      <w:r w:rsidR="00A509D4" w:rsidRPr="005D3C1B">
        <w:rPr>
          <w:sz w:val="28"/>
          <w:szCs w:val="28"/>
        </w:rPr>
        <w:t>Supreme Court No. R-</w:t>
      </w:r>
      <w:r w:rsidR="00C1064F" w:rsidRPr="005D3C1B">
        <w:rPr>
          <w:sz w:val="28"/>
          <w:szCs w:val="28"/>
        </w:rPr>
        <w:t>23</w:t>
      </w:r>
      <w:r w:rsidR="009B3702" w:rsidRPr="005D3C1B">
        <w:rPr>
          <w:sz w:val="28"/>
          <w:szCs w:val="28"/>
        </w:rPr>
        <w:t>-0055</w:t>
      </w:r>
    </w:p>
    <w:p w14:paraId="566A2C2C" w14:textId="77777777" w:rsidR="003E7184" w:rsidRPr="005D3C1B" w:rsidRDefault="00CB365B" w:rsidP="00CE1520">
      <w:pPr>
        <w:rPr>
          <w:sz w:val="28"/>
          <w:szCs w:val="28"/>
        </w:rPr>
      </w:pPr>
      <w:r w:rsidRPr="005D3C1B">
        <w:rPr>
          <w:sz w:val="28"/>
          <w:szCs w:val="28"/>
        </w:rPr>
        <w:t>RULES OF</w:t>
      </w:r>
      <w:r w:rsidR="009001C1" w:rsidRPr="005D3C1B">
        <w:rPr>
          <w:sz w:val="28"/>
          <w:szCs w:val="28"/>
        </w:rPr>
        <w:t xml:space="preserve"> </w:t>
      </w:r>
      <w:r w:rsidR="00C1064F" w:rsidRPr="005D3C1B">
        <w:rPr>
          <w:sz w:val="28"/>
          <w:szCs w:val="28"/>
        </w:rPr>
        <w:t>PROCEDURE FOR</w:t>
      </w:r>
      <w:r w:rsidR="00786331" w:rsidRPr="005D3C1B">
        <w:rPr>
          <w:sz w:val="28"/>
          <w:szCs w:val="28"/>
        </w:rPr>
        <w:tab/>
      </w:r>
      <w:r w:rsidR="003E7184" w:rsidRPr="005D3C1B">
        <w:rPr>
          <w:sz w:val="28"/>
          <w:szCs w:val="28"/>
        </w:rPr>
        <w:t>)</w:t>
      </w:r>
      <w:r w:rsidR="00C457F7" w:rsidRPr="005D3C1B">
        <w:rPr>
          <w:sz w:val="28"/>
          <w:szCs w:val="28"/>
        </w:rPr>
        <w:tab/>
      </w:r>
    </w:p>
    <w:p w14:paraId="20861744" w14:textId="5AFCCCA9" w:rsidR="00C457F7" w:rsidRPr="005D3C1B" w:rsidRDefault="00C1064F" w:rsidP="00876707">
      <w:pPr>
        <w:ind w:left="4320" w:hanging="4320"/>
        <w:rPr>
          <w:b/>
          <w:bCs/>
          <w:sz w:val="28"/>
          <w:szCs w:val="28"/>
        </w:rPr>
      </w:pPr>
      <w:r w:rsidRPr="005D3C1B">
        <w:rPr>
          <w:sz w:val="28"/>
          <w:szCs w:val="28"/>
        </w:rPr>
        <w:t>SPECIAL ACTIONS</w:t>
      </w:r>
      <w:r w:rsidR="00876707" w:rsidRPr="005D3C1B">
        <w:rPr>
          <w:sz w:val="28"/>
          <w:szCs w:val="28"/>
        </w:rPr>
        <w:t xml:space="preserve">                         </w:t>
      </w:r>
      <w:r w:rsidR="00F176BA" w:rsidRPr="005D3C1B">
        <w:rPr>
          <w:sz w:val="28"/>
          <w:szCs w:val="28"/>
        </w:rPr>
        <w:t xml:space="preserve">  )</w:t>
      </w:r>
      <w:r w:rsidR="00C457F7" w:rsidRPr="005D3C1B">
        <w:rPr>
          <w:sz w:val="28"/>
          <w:szCs w:val="28"/>
        </w:rPr>
        <w:t xml:space="preserve">   </w:t>
      </w:r>
      <w:r w:rsidR="00885143" w:rsidRPr="005D3C1B">
        <w:rPr>
          <w:b/>
          <w:bCs/>
          <w:sz w:val="28"/>
          <w:szCs w:val="28"/>
        </w:rPr>
        <w:t>REPLY</w:t>
      </w:r>
    </w:p>
    <w:p w14:paraId="3C5DCD53" w14:textId="262D6179" w:rsidR="000511BF" w:rsidRPr="005D3C1B" w:rsidRDefault="00876707" w:rsidP="00C1064F">
      <w:pPr>
        <w:ind w:left="4320"/>
        <w:rPr>
          <w:sz w:val="28"/>
          <w:szCs w:val="28"/>
        </w:rPr>
      </w:pPr>
      <w:r w:rsidRPr="005D3C1B">
        <w:rPr>
          <w:sz w:val="28"/>
          <w:szCs w:val="28"/>
        </w:rPr>
        <w:t xml:space="preserve">)  </w:t>
      </w:r>
      <w:r w:rsidR="00C457F7" w:rsidRPr="005D3C1B">
        <w:rPr>
          <w:sz w:val="28"/>
          <w:szCs w:val="28"/>
        </w:rPr>
        <w:t xml:space="preserve"> </w:t>
      </w:r>
    </w:p>
    <w:p w14:paraId="60629183" w14:textId="77777777" w:rsidR="00C1064F" w:rsidRPr="005D3C1B" w:rsidRDefault="00C1064F" w:rsidP="00C1064F">
      <w:pPr>
        <w:ind w:left="4320" w:hanging="4320"/>
        <w:rPr>
          <w:sz w:val="28"/>
          <w:szCs w:val="28"/>
        </w:rPr>
      </w:pPr>
      <w:r w:rsidRPr="005D3C1B">
        <w:rPr>
          <w:sz w:val="28"/>
          <w:szCs w:val="28"/>
        </w:rPr>
        <w:t>_______________________________)</w:t>
      </w:r>
    </w:p>
    <w:p w14:paraId="5A39BBE3" w14:textId="77777777" w:rsidR="00C1064F" w:rsidRPr="005D3C1B" w:rsidRDefault="00C1064F" w:rsidP="00C1064F">
      <w:pPr>
        <w:ind w:left="4320" w:hanging="4320"/>
        <w:rPr>
          <w:sz w:val="28"/>
          <w:szCs w:val="28"/>
        </w:rPr>
      </w:pPr>
    </w:p>
    <w:p w14:paraId="691F3331" w14:textId="0EC4C68B" w:rsidR="00E1322A" w:rsidRPr="005D3C1B" w:rsidRDefault="00145F5B" w:rsidP="00145F5B">
      <w:pPr>
        <w:pStyle w:val="ListParagraph"/>
        <w:numPr>
          <w:ilvl w:val="0"/>
          <w:numId w:val="24"/>
        </w:numPr>
        <w:autoSpaceDE w:val="0"/>
        <w:autoSpaceDN w:val="0"/>
        <w:adjustRightInd w:val="0"/>
        <w:spacing w:line="480" w:lineRule="auto"/>
        <w:ind w:left="0" w:firstLine="720"/>
        <w:jc w:val="both"/>
        <w:rPr>
          <w:sz w:val="28"/>
          <w:szCs w:val="28"/>
        </w:rPr>
      </w:pPr>
      <w:r w:rsidRPr="005D3C1B">
        <w:rPr>
          <w:b/>
          <w:bCs/>
          <w:sz w:val="28"/>
          <w:szCs w:val="28"/>
        </w:rPr>
        <w:t>Introduction.</w:t>
      </w:r>
      <w:r w:rsidRPr="005D3C1B">
        <w:rPr>
          <w:sz w:val="28"/>
          <w:szCs w:val="28"/>
        </w:rPr>
        <w:t xml:space="preserve"> </w:t>
      </w:r>
      <w:r w:rsidR="007C68E7" w:rsidRPr="005D3C1B">
        <w:rPr>
          <w:sz w:val="28"/>
          <w:szCs w:val="28"/>
        </w:rPr>
        <w:t xml:space="preserve">Undersigned is filing this </w:t>
      </w:r>
      <w:r w:rsidR="00FB76E4" w:rsidRPr="005D3C1B">
        <w:rPr>
          <w:sz w:val="28"/>
          <w:szCs w:val="28"/>
        </w:rPr>
        <w:t xml:space="preserve">Reply </w:t>
      </w:r>
      <w:r w:rsidR="007C68E7" w:rsidRPr="005D3C1B">
        <w:rPr>
          <w:sz w:val="28"/>
          <w:szCs w:val="28"/>
        </w:rPr>
        <w:t xml:space="preserve">as staff for, and with the authority of, the Supreme Court’s Task Force on Rules of Procedure for Special Actions (“Task Force”).  </w:t>
      </w:r>
    </w:p>
    <w:p w14:paraId="0CD7D014" w14:textId="2E0189FB" w:rsidR="004A49B9" w:rsidRPr="005D3C1B" w:rsidRDefault="0096364E" w:rsidP="000B7AB7">
      <w:pPr>
        <w:pStyle w:val="ListParagraph"/>
        <w:autoSpaceDE w:val="0"/>
        <w:autoSpaceDN w:val="0"/>
        <w:adjustRightInd w:val="0"/>
        <w:spacing w:line="480" w:lineRule="auto"/>
        <w:ind w:left="0" w:firstLine="720"/>
        <w:jc w:val="both"/>
        <w:rPr>
          <w:sz w:val="28"/>
          <w:szCs w:val="28"/>
        </w:rPr>
      </w:pPr>
      <w:r w:rsidRPr="005D3C1B">
        <w:rPr>
          <w:sz w:val="28"/>
          <w:szCs w:val="28"/>
        </w:rPr>
        <w:t xml:space="preserve">Almost a dozen comments were posted on the Court Rules Forum in </w:t>
      </w:r>
      <w:r w:rsidR="000B7AB7" w:rsidRPr="005D3C1B">
        <w:rPr>
          <w:sz w:val="28"/>
          <w:szCs w:val="28"/>
        </w:rPr>
        <w:t xml:space="preserve">response to the </w:t>
      </w:r>
      <w:r w:rsidR="008673F7" w:rsidRPr="005D3C1B">
        <w:rPr>
          <w:sz w:val="28"/>
          <w:szCs w:val="28"/>
        </w:rPr>
        <w:t>February 22, 2024,</w:t>
      </w:r>
      <w:r w:rsidR="008B0071" w:rsidRPr="005D3C1B">
        <w:rPr>
          <w:sz w:val="28"/>
          <w:szCs w:val="28"/>
        </w:rPr>
        <w:t xml:space="preserve"> </w:t>
      </w:r>
      <w:r w:rsidR="00445EF1" w:rsidRPr="005D3C1B">
        <w:rPr>
          <w:sz w:val="28"/>
          <w:szCs w:val="28"/>
        </w:rPr>
        <w:t xml:space="preserve">Task Force </w:t>
      </w:r>
      <w:r w:rsidR="008B0071" w:rsidRPr="005D3C1B">
        <w:rPr>
          <w:sz w:val="28"/>
          <w:szCs w:val="28"/>
        </w:rPr>
        <w:t xml:space="preserve">rule </w:t>
      </w:r>
      <w:r w:rsidR="000B7AB7" w:rsidRPr="005D3C1B">
        <w:rPr>
          <w:sz w:val="28"/>
          <w:szCs w:val="28"/>
        </w:rPr>
        <w:t xml:space="preserve">petition. Some comments addressed a single subject, while others addressed multiple subjects. </w:t>
      </w:r>
      <w:r w:rsidR="00361283" w:rsidRPr="005D3C1B">
        <w:rPr>
          <w:sz w:val="28"/>
          <w:szCs w:val="28"/>
        </w:rPr>
        <w:t xml:space="preserve">A few comments </w:t>
      </w:r>
      <w:r w:rsidR="00E13B1F" w:rsidRPr="005D3C1B">
        <w:rPr>
          <w:sz w:val="28"/>
          <w:szCs w:val="28"/>
        </w:rPr>
        <w:t>expressly supported the work of the Task Force</w:t>
      </w:r>
      <w:r w:rsidR="00F3498C">
        <w:rPr>
          <w:sz w:val="28"/>
          <w:szCs w:val="28"/>
        </w:rPr>
        <w:t>, while others</w:t>
      </w:r>
      <w:r w:rsidR="005D3C1B">
        <w:rPr>
          <w:sz w:val="28"/>
          <w:szCs w:val="28"/>
        </w:rPr>
        <w:t xml:space="preserve"> raised</w:t>
      </w:r>
      <w:r w:rsidR="00A45459" w:rsidRPr="005D3C1B">
        <w:rPr>
          <w:sz w:val="28"/>
          <w:szCs w:val="28"/>
        </w:rPr>
        <w:t xml:space="preserve"> </w:t>
      </w:r>
      <w:r w:rsidR="00F673E3" w:rsidRPr="005D3C1B">
        <w:rPr>
          <w:sz w:val="28"/>
          <w:szCs w:val="28"/>
        </w:rPr>
        <w:t>stakeholder concern</w:t>
      </w:r>
      <w:r w:rsidR="005D3C1B">
        <w:rPr>
          <w:sz w:val="28"/>
          <w:szCs w:val="28"/>
        </w:rPr>
        <w:t>s</w:t>
      </w:r>
      <w:r w:rsidR="000A5EE7" w:rsidRPr="005D3C1B">
        <w:rPr>
          <w:sz w:val="28"/>
          <w:szCs w:val="28"/>
        </w:rPr>
        <w:t xml:space="preserve"> or</w:t>
      </w:r>
      <w:r w:rsidR="0087406C" w:rsidRPr="005D3C1B">
        <w:rPr>
          <w:sz w:val="28"/>
          <w:szCs w:val="28"/>
        </w:rPr>
        <w:t xml:space="preserve"> </w:t>
      </w:r>
      <w:r w:rsidR="00393654" w:rsidRPr="005D3C1B">
        <w:rPr>
          <w:sz w:val="28"/>
          <w:szCs w:val="28"/>
        </w:rPr>
        <w:t>suggest</w:t>
      </w:r>
      <w:r w:rsidR="005D3C1B">
        <w:rPr>
          <w:sz w:val="28"/>
          <w:szCs w:val="28"/>
        </w:rPr>
        <w:t>ed</w:t>
      </w:r>
      <w:r w:rsidR="00F673E3" w:rsidRPr="005D3C1B">
        <w:rPr>
          <w:sz w:val="28"/>
          <w:szCs w:val="28"/>
        </w:rPr>
        <w:t xml:space="preserve"> way</w:t>
      </w:r>
      <w:r w:rsidR="00197D3E" w:rsidRPr="005D3C1B">
        <w:rPr>
          <w:sz w:val="28"/>
          <w:szCs w:val="28"/>
        </w:rPr>
        <w:t>s</w:t>
      </w:r>
      <w:r w:rsidR="00F673E3" w:rsidRPr="005D3C1B">
        <w:rPr>
          <w:sz w:val="28"/>
          <w:szCs w:val="28"/>
        </w:rPr>
        <w:t xml:space="preserve"> </w:t>
      </w:r>
      <w:r w:rsidR="00197D3E" w:rsidRPr="005D3C1B">
        <w:rPr>
          <w:sz w:val="28"/>
          <w:szCs w:val="28"/>
        </w:rPr>
        <w:t>to improve</w:t>
      </w:r>
      <w:r w:rsidR="00F673E3" w:rsidRPr="005D3C1B">
        <w:rPr>
          <w:sz w:val="28"/>
          <w:szCs w:val="28"/>
        </w:rPr>
        <w:t xml:space="preserve"> the </w:t>
      </w:r>
      <w:r w:rsidR="007022BE" w:rsidRPr="005D3C1B">
        <w:rPr>
          <w:sz w:val="28"/>
          <w:szCs w:val="28"/>
        </w:rPr>
        <w:t>proposed rules</w:t>
      </w:r>
      <w:r w:rsidR="00F673E3" w:rsidRPr="005D3C1B">
        <w:rPr>
          <w:sz w:val="28"/>
          <w:szCs w:val="28"/>
        </w:rPr>
        <w:t xml:space="preserve">. </w:t>
      </w:r>
      <w:r w:rsidR="00445466" w:rsidRPr="005D3C1B">
        <w:rPr>
          <w:sz w:val="28"/>
          <w:szCs w:val="28"/>
        </w:rPr>
        <w:t>M</w:t>
      </w:r>
      <w:r w:rsidR="005B0399" w:rsidRPr="005D3C1B">
        <w:rPr>
          <w:sz w:val="28"/>
          <w:szCs w:val="28"/>
        </w:rPr>
        <w:t xml:space="preserve">ost of the </w:t>
      </w:r>
      <w:r w:rsidR="001866AD" w:rsidRPr="005D3C1B">
        <w:rPr>
          <w:sz w:val="28"/>
          <w:szCs w:val="28"/>
        </w:rPr>
        <w:t xml:space="preserve">formal and informal </w:t>
      </w:r>
      <w:r w:rsidR="005B0399" w:rsidRPr="005D3C1B">
        <w:rPr>
          <w:sz w:val="28"/>
          <w:szCs w:val="28"/>
        </w:rPr>
        <w:t>feedback</w:t>
      </w:r>
      <w:r w:rsidR="00EA54AE" w:rsidRPr="005D3C1B">
        <w:rPr>
          <w:sz w:val="28"/>
          <w:szCs w:val="28"/>
        </w:rPr>
        <w:t xml:space="preserve"> </w:t>
      </w:r>
      <w:r w:rsidR="00E85A7D" w:rsidRPr="005D3C1B">
        <w:rPr>
          <w:sz w:val="28"/>
          <w:szCs w:val="28"/>
        </w:rPr>
        <w:t xml:space="preserve">during the past few months </w:t>
      </w:r>
      <w:r w:rsidR="00EA54AE" w:rsidRPr="005D3C1B">
        <w:rPr>
          <w:sz w:val="28"/>
          <w:szCs w:val="28"/>
        </w:rPr>
        <w:t>acknowledge</w:t>
      </w:r>
      <w:r w:rsidR="00BE576B" w:rsidRPr="005D3C1B">
        <w:rPr>
          <w:sz w:val="28"/>
          <w:szCs w:val="28"/>
        </w:rPr>
        <w:t>d</w:t>
      </w:r>
      <w:r w:rsidR="00EA54AE" w:rsidRPr="005D3C1B">
        <w:rPr>
          <w:sz w:val="28"/>
          <w:szCs w:val="28"/>
        </w:rPr>
        <w:t xml:space="preserve"> that the proposed rules </w:t>
      </w:r>
      <w:r w:rsidR="00F84878" w:rsidRPr="005D3C1B">
        <w:rPr>
          <w:sz w:val="28"/>
          <w:szCs w:val="28"/>
        </w:rPr>
        <w:t xml:space="preserve">significantly </w:t>
      </w:r>
      <w:r w:rsidR="00EA54AE" w:rsidRPr="005D3C1B">
        <w:rPr>
          <w:sz w:val="28"/>
          <w:szCs w:val="28"/>
        </w:rPr>
        <w:t>improv</w:t>
      </w:r>
      <w:r w:rsidR="00F84878" w:rsidRPr="005D3C1B">
        <w:rPr>
          <w:sz w:val="28"/>
          <w:szCs w:val="28"/>
        </w:rPr>
        <w:t>e</w:t>
      </w:r>
      <w:r w:rsidR="00EA54AE" w:rsidRPr="005D3C1B">
        <w:rPr>
          <w:sz w:val="28"/>
          <w:szCs w:val="28"/>
        </w:rPr>
        <w:t xml:space="preserve"> the current special action rules</w:t>
      </w:r>
      <w:r w:rsidR="00BE576B" w:rsidRPr="005D3C1B">
        <w:rPr>
          <w:sz w:val="28"/>
          <w:szCs w:val="28"/>
        </w:rPr>
        <w:t>,</w:t>
      </w:r>
      <w:r w:rsidR="007C0D40" w:rsidRPr="005D3C1B">
        <w:rPr>
          <w:sz w:val="28"/>
          <w:szCs w:val="28"/>
        </w:rPr>
        <w:t xml:space="preserve"> </w:t>
      </w:r>
      <w:r w:rsidR="00BE194B" w:rsidRPr="005D3C1B">
        <w:rPr>
          <w:sz w:val="28"/>
          <w:szCs w:val="28"/>
        </w:rPr>
        <w:t xml:space="preserve">first, </w:t>
      </w:r>
      <w:r w:rsidR="00F839B1" w:rsidRPr="005D3C1B">
        <w:rPr>
          <w:sz w:val="28"/>
          <w:szCs w:val="28"/>
        </w:rPr>
        <w:t>by restyling, that is, by</w:t>
      </w:r>
      <w:r w:rsidR="006E5554" w:rsidRPr="005D3C1B">
        <w:rPr>
          <w:sz w:val="28"/>
          <w:szCs w:val="28"/>
        </w:rPr>
        <w:t xml:space="preserve"> </w:t>
      </w:r>
      <w:r w:rsidR="00137A1C" w:rsidRPr="005D3C1B">
        <w:rPr>
          <w:sz w:val="28"/>
          <w:szCs w:val="28"/>
        </w:rPr>
        <w:t xml:space="preserve">adopting </w:t>
      </w:r>
      <w:r w:rsidR="002642E9" w:rsidRPr="005D3C1B">
        <w:rPr>
          <w:sz w:val="28"/>
          <w:szCs w:val="28"/>
        </w:rPr>
        <w:t>clearer</w:t>
      </w:r>
      <w:r w:rsidR="00BE2F54" w:rsidRPr="005D3C1B">
        <w:rPr>
          <w:sz w:val="28"/>
          <w:szCs w:val="28"/>
        </w:rPr>
        <w:t xml:space="preserve"> language</w:t>
      </w:r>
      <w:r w:rsidR="00484B9D" w:rsidRPr="005D3C1B">
        <w:rPr>
          <w:sz w:val="28"/>
          <w:szCs w:val="28"/>
        </w:rPr>
        <w:t xml:space="preserve"> and </w:t>
      </w:r>
      <w:r w:rsidR="007C0D40" w:rsidRPr="005D3C1B">
        <w:rPr>
          <w:sz w:val="28"/>
          <w:szCs w:val="28"/>
        </w:rPr>
        <w:t xml:space="preserve">more </w:t>
      </w:r>
      <w:r w:rsidR="000250BC" w:rsidRPr="005D3C1B">
        <w:rPr>
          <w:sz w:val="28"/>
          <w:szCs w:val="28"/>
        </w:rPr>
        <w:t>user-friendly</w:t>
      </w:r>
      <w:r w:rsidR="00476F09" w:rsidRPr="005D3C1B">
        <w:rPr>
          <w:sz w:val="28"/>
          <w:szCs w:val="28"/>
        </w:rPr>
        <w:t xml:space="preserve"> </w:t>
      </w:r>
      <w:r w:rsidR="00D94AF5" w:rsidRPr="005D3C1B">
        <w:rPr>
          <w:sz w:val="28"/>
          <w:szCs w:val="28"/>
        </w:rPr>
        <w:t xml:space="preserve">organization, </w:t>
      </w:r>
      <w:r w:rsidR="00484B9D" w:rsidRPr="005D3C1B">
        <w:rPr>
          <w:sz w:val="28"/>
          <w:szCs w:val="28"/>
        </w:rPr>
        <w:t xml:space="preserve">and </w:t>
      </w:r>
      <w:r w:rsidR="00BE194B" w:rsidRPr="005D3C1B">
        <w:rPr>
          <w:sz w:val="28"/>
          <w:szCs w:val="28"/>
        </w:rPr>
        <w:t xml:space="preserve">second, </w:t>
      </w:r>
      <w:r w:rsidR="00BF00C2" w:rsidRPr="005D3C1B">
        <w:rPr>
          <w:sz w:val="28"/>
          <w:szCs w:val="28"/>
        </w:rPr>
        <w:t xml:space="preserve">with </w:t>
      </w:r>
      <w:r w:rsidR="00BF00C2" w:rsidRPr="005D3C1B">
        <w:rPr>
          <w:sz w:val="28"/>
          <w:szCs w:val="28"/>
        </w:rPr>
        <w:lastRenderedPageBreak/>
        <w:t>enhancements to</w:t>
      </w:r>
      <w:r w:rsidR="003152A0" w:rsidRPr="005D3C1B">
        <w:rPr>
          <w:sz w:val="28"/>
          <w:szCs w:val="28"/>
        </w:rPr>
        <w:t xml:space="preserve"> </w:t>
      </w:r>
      <w:r w:rsidR="008D2AE4">
        <w:rPr>
          <w:sz w:val="28"/>
          <w:szCs w:val="28"/>
        </w:rPr>
        <w:t xml:space="preserve">the rules’ </w:t>
      </w:r>
      <w:r w:rsidR="00F839B1" w:rsidRPr="005D3C1B">
        <w:rPr>
          <w:sz w:val="28"/>
          <w:szCs w:val="28"/>
        </w:rPr>
        <w:t xml:space="preserve">substantive </w:t>
      </w:r>
      <w:r w:rsidR="00DB50D0" w:rsidRPr="005D3C1B">
        <w:rPr>
          <w:sz w:val="28"/>
          <w:szCs w:val="28"/>
        </w:rPr>
        <w:t>functionality</w:t>
      </w:r>
      <w:r w:rsidR="000250BC" w:rsidRPr="005D3C1B">
        <w:rPr>
          <w:sz w:val="28"/>
          <w:szCs w:val="28"/>
        </w:rPr>
        <w:t xml:space="preserve"> by </w:t>
      </w:r>
      <w:r w:rsidR="00BC0D9D" w:rsidRPr="005D3C1B">
        <w:rPr>
          <w:sz w:val="28"/>
          <w:szCs w:val="28"/>
        </w:rPr>
        <w:t>including</w:t>
      </w:r>
      <w:r w:rsidR="000250BC" w:rsidRPr="005D3C1B">
        <w:rPr>
          <w:sz w:val="28"/>
          <w:szCs w:val="28"/>
        </w:rPr>
        <w:t xml:space="preserve"> topics</w:t>
      </w:r>
      <w:r w:rsidR="008D0E14" w:rsidRPr="005D3C1B">
        <w:rPr>
          <w:sz w:val="28"/>
          <w:szCs w:val="28"/>
        </w:rPr>
        <w:t>—</w:t>
      </w:r>
      <w:r w:rsidR="00137A1C" w:rsidRPr="005D3C1B">
        <w:rPr>
          <w:sz w:val="28"/>
          <w:szCs w:val="28"/>
        </w:rPr>
        <w:t xml:space="preserve"> such as</w:t>
      </w:r>
      <w:r w:rsidR="002642E9" w:rsidRPr="005D3C1B">
        <w:rPr>
          <w:sz w:val="28"/>
          <w:szCs w:val="28"/>
        </w:rPr>
        <w:t xml:space="preserve"> factors </w:t>
      </w:r>
      <w:r w:rsidR="00BC0D9D" w:rsidRPr="005D3C1B">
        <w:rPr>
          <w:sz w:val="28"/>
          <w:szCs w:val="28"/>
        </w:rPr>
        <w:t xml:space="preserve">in new Rule 11 </w:t>
      </w:r>
      <w:r w:rsidR="002642E9" w:rsidRPr="005D3C1B">
        <w:rPr>
          <w:sz w:val="28"/>
          <w:szCs w:val="28"/>
        </w:rPr>
        <w:t>for exercising discretion</w:t>
      </w:r>
      <w:r w:rsidR="008D0E14" w:rsidRPr="005D3C1B">
        <w:rPr>
          <w:sz w:val="28"/>
          <w:szCs w:val="28"/>
        </w:rPr>
        <w:t>—</w:t>
      </w:r>
      <w:r w:rsidR="007714FA" w:rsidRPr="005D3C1B">
        <w:rPr>
          <w:sz w:val="28"/>
          <w:szCs w:val="28"/>
        </w:rPr>
        <w:t>that the current rules</w:t>
      </w:r>
      <w:r w:rsidR="00B63654" w:rsidRPr="005D3C1B">
        <w:rPr>
          <w:sz w:val="28"/>
          <w:szCs w:val="28"/>
        </w:rPr>
        <w:t xml:space="preserve"> </w:t>
      </w:r>
      <w:r w:rsidR="007E3B22" w:rsidRPr="005D3C1B">
        <w:rPr>
          <w:sz w:val="28"/>
          <w:szCs w:val="28"/>
        </w:rPr>
        <w:t>do not address</w:t>
      </w:r>
      <w:r w:rsidR="002767E7" w:rsidRPr="005D3C1B">
        <w:rPr>
          <w:sz w:val="28"/>
          <w:szCs w:val="28"/>
        </w:rPr>
        <w:t>.</w:t>
      </w:r>
    </w:p>
    <w:p w14:paraId="4CA46128" w14:textId="31713575" w:rsidR="00A273F6" w:rsidRPr="005D3C1B" w:rsidRDefault="00F242DB" w:rsidP="000B7AB7">
      <w:pPr>
        <w:pStyle w:val="ListParagraph"/>
        <w:autoSpaceDE w:val="0"/>
        <w:autoSpaceDN w:val="0"/>
        <w:adjustRightInd w:val="0"/>
        <w:spacing w:line="480" w:lineRule="auto"/>
        <w:ind w:left="0" w:firstLine="720"/>
        <w:jc w:val="both"/>
        <w:rPr>
          <w:sz w:val="28"/>
          <w:szCs w:val="28"/>
        </w:rPr>
      </w:pPr>
      <w:r w:rsidRPr="005D3C1B">
        <w:rPr>
          <w:sz w:val="28"/>
          <w:szCs w:val="28"/>
        </w:rPr>
        <w:t xml:space="preserve">This Reply responds to </w:t>
      </w:r>
      <w:r w:rsidR="007F21DD" w:rsidRPr="005D3C1B">
        <w:rPr>
          <w:sz w:val="28"/>
          <w:szCs w:val="28"/>
        </w:rPr>
        <w:t>the Rules Forum</w:t>
      </w:r>
      <w:r w:rsidRPr="005D3C1B">
        <w:rPr>
          <w:sz w:val="28"/>
          <w:szCs w:val="28"/>
        </w:rPr>
        <w:t xml:space="preserve"> comments </w:t>
      </w:r>
      <w:r w:rsidR="001A7E7E" w:rsidRPr="005D3C1B">
        <w:rPr>
          <w:sz w:val="28"/>
          <w:szCs w:val="28"/>
        </w:rPr>
        <w:t>by</w:t>
      </w:r>
      <w:r w:rsidR="00571234" w:rsidRPr="005D3C1B">
        <w:rPr>
          <w:sz w:val="28"/>
          <w:szCs w:val="28"/>
        </w:rPr>
        <w:t xml:space="preserve"> reference to particular</w:t>
      </w:r>
      <w:r w:rsidR="00D85BBF" w:rsidRPr="005D3C1B">
        <w:rPr>
          <w:sz w:val="28"/>
          <w:szCs w:val="28"/>
        </w:rPr>
        <w:t xml:space="preserve"> rule</w:t>
      </w:r>
      <w:r w:rsidR="00571234" w:rsidRPr="005D3C1B">
        <w:rPr>
          <w:sz w:val="28"/>
          <w:szCs w:val="28"/>
        </w:rPr>
        <w:t>s</w:t>
      </w:r>
      <w:r w:rsidR="00D85BBF" w:rsidRPr="005D3C1B">
        <w:rPr>
          <w:sz w:val="28"/>
          <w:szCs w:val="28"/>
        </w:rPr>
        <w:t xml:space="preserve">. </w:t>
      </w:r>
      <w:r w:rsidR="00DE7885" w:rsidRPr="005D3C1B">
        <w:rPr>
          <w:sz w:val="28"/>
          <w:szCs w:val="28"/>
        </w:rPr>
        <w:t>This Reply also identifies</w:t>
      </w:r>
      <w:r w:rsidR="0055534F" w:rsidRPr="005D3C1B">
        <w:rPr>
          <w:sz w:val="28"/>
          <w:szCs w:val="28"/>
        </w:rPr>
        <w:t xml:space="preserve"> rule amendments that were</w:t>
      </w:r>
      <w:r w:rsidR="00D85BBF" w:rsidRPr="005D3C1B">
        <w:rPr>
          <w:sz w:val="28"/>
          <w:szCs w:val="28"/>
        </w:rPr>
        <w:t xml:space="preserve"> </w:t>
      </w:r>
      <w:r w:rsidR="0055534F" w:rsidRPr="005D3C1B">
        <w:rPr>
          <w:sz w:val="28"/>
          <w:szCs w:val="28"/>
        </w:rPr>
        <w:t>proposed on the Task Force</w:t>
      </w:r>
      <w:r w:rsidR="00122230" w:rsidRPr="005D3C1B">
        <w:rPr>
          <w:sz w:val="28"/>
          <w:szCs w:val="28"/>
        </w:rPr>
        <w:t>’s own initiative</w:t>
      </w:r>
      <w:r w:rsidR="0055534F" w:rsidRPr="005D3C1B">
        <w:rPr>
          <w:sz w:val="28"/>
          <w:szCs w:val="28"/>
        </w:rPr>
        <w:t xml:space="preserve">.  </w:t>
      </w:r>
      <w:r w:rsidR="004D0D27">
        <w:rPr>
          <w:sz w:val="28"/>
          <w:szCs w:val="28"/>
        </w:rPr>
        <w:t xml:space="preserve">Please also see Revised Appendix C for additional details of those amendments. </w:t>
      </w:r>
      <w:r w:rsidR="00B540BD" w:rsidRPr="005D3C1B">
        <w:rPr>
          <w:sz w:val="28"/>
          <w:szCs w:val="28"/>
        </w:rPr>
        <w:t>And t</w:t>
      </w:r>
      <w:r w:rsidR="000E648B" w:rsidRPr="005D3C1B">
        <w:rPr>
          <w:sz w:val="28"/>
          <w:szCs w:val="28"/>
        </w:rPr>
        <w:t xml:space="preserve">he Reply </w:t>
      </w:r>
      <w:r w:rsidR="00D1612B" w:rsidRPr="005D3C1B">
        <w:rPr>
          <w:sz w:val="28"/>
          <w:szCs w:val="28"/>
        </w:rPr>
        <w:t>discusses</w:t>
      </w:r>
      <w:r w:rsidR="000E648B" w:rsidRPr="005D3C1B">
        <w:rPr>
          <w:sz w:val="28"/>
          <w:szCs w:val="28"/>
        </w:rPr>
        <w:t xml:space="preserve"> </w:t>
      </w:r>
      <w:r w:rsidR="00D526F7" w:rsidRPr="005D3C1B">
        <w:rPr>
          <w:sz w:val="28"/>
          <w:szCs w:val="28"/>
        </w:rPr>
        <w:t>suggested</w:t>
      </w:r>
      <w:r w:rsidR="00356729" w:rsidRPr="005D3C1B">
        <w:rPr>
          <w:sz w:val="28"/>
          <w:szCs w:val="28"/>
        </w:rPr>
        <w:t xml:space="preserve"> rule amendments that the Task Force declined to adopt.  </w:t>
      </w:r>
    </w:p>
    <w:p w14:paraId="080E2860" w14:textId="7241B069" w:rsidR="00E2393A" w:rsidRPr="005D3C1B" w:rsidRDefault="00BB5A57" w:rsidP="00E4212B">
      <w:pPr>
        <w:pStyle w:val="ListParagraph"/>
        <w:spacing w:line="480" w:lineRule="auto"/>
        <w:ind w:left="0" w:firstLine="720"/>
        <w:jc w:val="both"/>
        <w:rPr>
          <w:sz w:val="28"/>
          <w:szCs w:val="28"/>
        </w:rPr>
      </w:pPr>
      <w:r w:rsidRPr="005D3C1B">
        <w:rPr>
          <w:sz w:val="28"/>
          <w:szCs w:val="28"/>
        </w:rPr>
        <w:t xml:space="preserve">The Task Force met on May 22, 2024, and June 21, 2024, to discuss these comments. </w:t>
      </w:r>
      <w:r w:rsidR="00864632" w:rsidRPr="005D3C1B">
        <w:rPr>
          <w:sz w:val="28"/>
          <w:szCs w:val="28"/>
        </w:rPr>
        <w:t xml:space="preserve">Revised </w:t>
      </w:r>
      <w:r w:rsidR="00E2393A" w:rsidRPr="005D3C1B">
        <w:rPr>
          <w:sz w:val="28"/>
          <w:szCs w:val="28"/>
        </w:rPr>
        <w:t xml:space="preserve">Appendix A </w:t>
      </w:r>
      <w:r w:rsidR="00D85BBF" w:rsidRPr="005D3C1B">
        <w:rPr>
          <w:sz w:val="28"/>
          <w:szCs w:val="28"/>
        </w:rPr>
        <w:t xml:space="preserve">shows </w:t>
      </w:r>
      <w:r w:rsidR="0012336A">
        <w:rPr>
          <w:sz w:val="28"/>
          <w:szCs w:val="28"/>
        </w:rPr>
        <w:t>with strikethrough and underline</w:t>
      </w:r>
      <w:r w:rsidR="00F85ACB" w:rsidRPr="005D3C1B">
        <w:rPr>
          <w:sz w:val="28"/>
          <w:szCs w:val="28"/>
        </w:rPr>
        <w:t xml:space="preserve"> </w:t>
      </w:r>
      <w:r w:rsidR="00EE0E2B" w:rsidRPr="005D3C1B">
        <w:rPr>
          <w:sz w:val="28"/>
          <w:szCs w:val="28"/>
        </w:rPr>
        <w:t xml:space="preserve">the </w:t>
      </w:r>
      <w:r w:rsidR="00EA7E65" w:rsidRPr="005D3C1B">
        <w:rPr>
          <w:sz w:val="28"/>
          <w:szCs w:val="28"/>
        </w:rPr>
        <w:t>Task Force’s suggested</w:t>
      </w:r>
      <w:r w:rsidR="00EE0E2B" w:rsidRPr="005D3C1B">
        <w:rPr>
          <w:sz w:val="28"/>
          <w:szCs w:val="28"/>
        </w:rPr>
        <w:t xml:space="preserve"> amendments to the rules</w:t>
      </w:r>
      <w:r w:rsidR="00894175" w:rsidRPr="005D3C1B">
        <w:rPr>
          <w:sz w:val="28"/>
          <w:szCs w:val="28"/>
        </w:rPr>
        <w:t xml:space="preserve"> proposed by </w:t>
      </w:r>
      <w:r w:rsidR="00AA57AD" w:rsidRPr="005D3C1B">
        <w:rPr>
          <w:sz w:val="28"/>
          <w:szCs w:val="28"/>
        </w:rPr>
        <w:t>its</w:t>
      </w:r>
      <w:r w:rsidR="00894175" w:rsidRPr="005D3C1B">
        <w:rPr>
          <w:sz w:val="28"/>
          <w:szCs w:val="28"/>
        </w:rPr>
        <w:t xml:space="preserve"> February petition. </w:t>
      </w:r>
      <w:r w:rsidR="003F779F">
        <w:rPr>
          <w:sz w:val="28"/>
          <w:szCs w:val="28"/>
        </w:rPr>
        <w:t xml:space="preserve">The Task Force is </w:t>
      </w:r>
      <w:r w:rsidR="00EF580B">
        <w:rPr>
          <w:sz w:val="28"/>
          <w:szCs w:val="28"/>
        </w:rPr>
        <w:t xml:space="preserve">also </w:t>
      </w:r>
      <w:r w:rsidR="003F779F">
        <w:rPr>
          <w:sz w:val="28"/>
          <w:szCs w:val="28"/>
        </w:rPr>
        <w:t xml:space="preserve">filing </w:t>
      </w:r>
      <w:r w:rsidR="00A22E1E">
        <w:rPr>
          <w:sz w:val="28"/>
          <w:szCs w:val="28"/>
        </w:rPr>
        <w:t xml:space="preserve">with this Reply </w:t>
      </w:r>
      <w:r w:rsidR="003F779F">
        <w:rPr>
          <w:sz w:val="28"/>
          <w:szCs w:val="28"/>
        </w:rPr>
        <w:t>another version of Revised Appendix A</w:t>
      </w:r>
      <w:r w:rsidR="00413952">
        <w:rPr>
          <w:sz w:val="28"/>
          <w:szCs w:val="28"/>
        </w:rPr>
        <w:t xml:space="preserve"> that is “clean,” i.e., </w:t>
      </w:r>
      <w:r w:rsidR="00B05993">
        <w:rPr>
          <w:sz w:val="28"/>
          <w:szCs w:val="28"/>
        </w:rPr>
        <w:t>which</w:t>
      </w:r>
      <w:r w:rsidR="00413952">
        <w:rPr>
          <w:sz w:val="28"/>
          <w:szCs w:val="28"/>
        </w:rPr>
        <w:t xml:space="preserve"> has no strikethrough or underline. </w:t>
      </w:r>
      <w:r w:rsidR="00894175" w:rsidRPr="005D3C1B">
        <w:rPr>
          <w:sz w:val="28"/>
          <w:szCs w:val="28"/>
        </w:rPr>
        <w:t>Revised</w:t>
      </w:r>
      <w:r w:rsidR="005C4E61" w:rsidRPr="005D3C1B">
        <w:rPr>
          <w:sz w:val="28"/>
          <w:szCs w:val="28"/>
        </w:rPr>
        <w:t xml:space="preserve"> </w:t>
      </w:r>
      <w:r w:rsidR="007F63C3" w:rsidRPr="005D3C1B">
        <w:rPr>
          <w:rStyle w:val="bumpedfont15"/>
          <w:sz w:val="28"/>
          <w:szCs w:val="28"/>
        </w:rPr>
        <w:t xml:space="preserve">Appendix B is a </w:t>
      </w:r>
      <w:r w:rsidR="00894175" w:rsidRPr="005D3C1B">
        <w:rPr>
          <w:rStyle w:val="bumpedfont15"/>
          <w:sz w:val="28"/>
          <w:szCs w:val="28"/>
        </w:rPr>
        <w:t xml:space="preserve">modified </w:t>
      </w:r>
      <w:r w:rsidR="007F63C3" w:rsidRPr="005D3C1B">
        <w:rPr>
          <w:rStyle w:val="bumpedfont15"/>
          <w:sz w:val="28"/>
          <w:szCs w:val="28"/>
        </w:rPr>
        <w:t>table correlating the current rules with the proposed rules</w:t>
      </w:r>
      <w:r w:rsidR="00FE086D">
        <w:rPr>
          <w:rStyle w:val="bumpedfont15"/>
          <w:sz w:val="28"/>
          <w:szCs w:val="28"/>
        </w:rPr>
        <w:t>;</w:t>
      </w:r>
      <w:r w:rsidR="00611042" w:rsidRPr="005D3C1B">
        <w:rPr>
          <w:rStyle w:val="bumpedfont15"/>
          <w:sz w:val="28"/>
          <w:szCs w:val="28"/>
        </w:rPr>
        <w:t xml:space="preserve"> </w:t>
      </w:r>
      <w:r w:rsidR="00FE086D">
        <w:rPr>
          <w:rStyle w:val="bumpedfont15"/>
          <w:sz w:val="28"/>
          <w:szCs w:val="28"/>
        </w:rPr>
        <w:t xml:space="preserve">one version of Revised Appendix B </w:t>
      </w:r>
      <w:r w:rsidR="00FB40E5" w:rsidRPr="005D3C1B">
        <w:rPr>
          <w:rStyle w:val="bumpedfont15"/>
          <w:sz w:val="28"/>
          <w:szCs w:val="28"/>
        </w:rPr>
        <w:t>shows</w:t>
      </w:r>
      <w:r w:rsidR="00611042" w:rsidRPr="005D3C1B">
        <w:rPr>
          <w:rStyle w:val="bumpedfont15"/>
          <w:sz w:val="28"/>
          <w:szCs w:val="28"/>
        </w:rPr>
        <w:t xml:space="preserve"> </w:t>
      </w:r>
      <w:r w:rsidR="00FE086D">
        <w:rPr>
          <w:rStyle w:val="bumpedfont15"/>
          <w:sz w:val="28"/>
          <w:szCs w:val="28"/>
        </w:rPr>
        <w:t xml:space="preserve">the most recent Task Force </w:t>
      </w:r>
      <w:r w:rsidR="00611042" w:rsidRPr="005D3C1B">
        <w:rPr>
          <w:rStyle w:val="bumpedfont15"/>
          <w:sz w:val="28"/>
          <w:szCs w:val="28"/>
        </w:rPr>
        <w:t>amendment</w:t>
      </w:r>
      <w:r w:rsidR="007C7108" w:rsidRPr="005D3C1B">
        <w:rPr>
          <w:rStyle w:val="bumpedfont15"/>
          <w:sz w:val="28"/>
          <w:szCs w:val="28"/>
        </w:rPr>
        <w:t>s</w:t>
      </w:r>
      <w:r w:rsidR="00611042" w:rsidRPr="005D3C1B">
        <w:rPr>
          <w:rStyle w:val="bumpedfont15"/>
          <w:sz w:val="28"/>
          <w:szCs w:val="28"/>
        </w:rPr>
        <w:t xml:space="preserve"> </w:t>
      </w:r>
      <w:r w:rsidR="006724D4">
        <w:rPr>
          <w:rStyle w:val="bumpedfont15"/>
          <w:sz w:val="28"/>
          <w:szCs w:val="28"/>
        </w:rPr>
        <w:t>with</w:t>
      </w:r>
      <w:r w:rsidR="00BA0CD7">
        <w:rPr>
          <w:rStyle w:val="bumpedfont15"/>
          <w:sz w:val="28"/>
          <w:szCs w:val="28"/>
        </w:rPr>
        <w:t xml:space="preserve"> underline</w:t>
      </w:r>
      <w:r w:rsidR="00B14319">
        <w:rPr>
          <w:rStyle w:val="bumpedfont15"/>
          <w:sz w:val="28"/>
          <w:szCs w:val="28"/>
        </w:rPr>
        <w:t xml:space="preserve">, </w:t>
      </w:r>
      <w:r w:rsidR="0051630F">
        <w:rPr>
          <w:rStyle w:val="bumpedfont15"/>
          <w:sz w:val="28"/>
          <w:szCs w:val="28"/>
        </w:rPr>
        <w:t>while</w:t>
      </w:r>
      <w:r w:rsidR="00B14319">
        <w:rPr>
          <w:rStyle w:val="bumpedfont15"/>
          <w:sz w:val="28"/>
          <w:szCs w:val="28"/>
        </w:rPr>
        <w:t xml:space="preserve"> a second version is clean and </w:t>
      </w:r>
      <w:r w:rsidR="0051630F">
        <w:rPr>
          <w:rStyle w:val="bumpedfont15"/>
          <w:sz w:val="28"/>
          <w:szCs w:val="28"/>
        </w:rPr>
        <w:t>has</w:t>
      </w:r>
      <w:r w:rsidR="007D0B06">
        <w:rPr>
          <w:rStyle w:val="bumpedfont15"/>
          <w:sz w:val="28"/>
          <w:szCs w:val="28"/>
        </w:rPr>
        <w:t xml:space="preserve"> no markup</w:t>
      </w:r>
      <w:r w:rsidR="007F63C3" w:rsidRPr="005D3C1B">
        <w:rPr>
          <w:rStyle w:val="bumpedfont15"/>
          <w:sz w:val="28"/>
          <w:szCs w:val="28"/>
        </w:rPr>
        <w:t>.</w:t>
      </w:r>
      <w:r w:rsidR="00611042" w:rsidRPr="005D3C1B">
        <w:rPr>
          <w:rStyle w:val="bumpedfont15"/>
          <w:sz w:val="28"/>
          <w:szCs w:val="28"/>
        </w:rPr>
        <w:t xml:space="preserve"> </w:t>
      </w:r>
      <w:r w:rsidR="002E6CC8" w:rsidRPr="005D3C1B">
        <w:rPr>
          <w:rStyle w:val="bumpedfont15"/>
          <w:sz w:val="28"/>
          <w:szCs w:val="28"/>
        </w:rPr>
        <w:t xml:space="preserve">And </w:t>
      </w:r>
      <w:r w:rsidR="00894175" w:rsidRPr="005D3C1B">
        <w:rPr>
          <w:rStyle w:val="bumpedfont15"/>
          <w:sz w:val="28"/>
          <w:szCs w:val="28"/>
        </w:rPr>
        <w:t xml:space="preserve">Revised </w:t>
      </w:r>
      <w:r w:rsidR="005C4E61" w:rsidRPr="005D3C1B">
        <w:rPr>
          <w:sz w:val="28"/>
          <w:szCs w:val="28"/>
        </w:rPr>
        <w:t>Appendix</w:t>
      </w:r>
      <w:r w:rsidR="00E2393A" w:rsidRPr="005D3C1B">
        <w:rPr>
          <w:sz w:val="28"/>
          <w:szCs w:val="28"/>
        </w:rPr>
        <w:t xml:space="preserve"> </w:t>
      </w:r>
      <w:r w:rsidR="007F63C3" w:rsidRPr="005D3C1B">
        <w:rPr>
          <w:sz w:val="28"/>
          <w:szCs w:val="28"/>
        </w:rPr>
        <w:t>C</w:t>
      </w:r>
      <w:r w:rsidR="00030357" w:rsidRPr="005D3C1B">
        <w:rPr>
          <w:sz w:val="28"/>
          <w:szCs w:val="28"/>
        </w:rPr>
        <w:t xml:space="preserve"> shows</w:t>
      </w:r>
      <w:r w:rsidR="00EE5723">
        <w:rPr>
          <w:sz w:val="28"/>
          <w:szCs w:val="28"/>
        </w:rPr>
        <w:t>,</w:t>
      </w:r>
      <w:r w:rsidR="00082966" w:rsidRPr="005D3C1B">
        <w:rPr>
          <w:sz w:val="28"/>
          <w:szCs w:val="28"/>
        </w:rPr>
        <w:t xml:space="preserve"> </w:t>
      </w:r>
      <w:r w:rsidR="00FB40E5" w:rsidRPr="005D3C1B">
        <w:rPr>
          <w:sz w:val="28"/>
          <w:szCs w:val="28"/>
        </w:rPr>
        <w:t xml:space="preserve">by text in </w:t>
      </w:r>
      <w:r w:rsidR="00F52A03" w:rsidRPr="005D3C1B">
        <w:rPr>
          <w:sz w:val="28"/>
          <w:szCs w:val="28"/>
        </w:rPr>
        <w:t>red font</w:t>
      </w:r>
      <w:r w:rsidR="00EE5723">
        <w:rPr>
          <w:sz w:val="28"/>
          <w:szCs w:val="28"/>
        </w:rPr>
        <w:t>,</w:t>
      </w:r>
      <w:r w:rsidR="00F52A03" w:rsidRPr="005D3C1B">
        <w:rPr>
          <w:sz w:val="28"/>
          <w:szCs w:val="28"/>
        </w:rPr>
        <w:t xml:space="preserve"> </w:t>
      </w:r>
      <w:r w:rsidR="00C13557">
        <w:rPr>
          <w:sz w:val="28"/>
          <w:szCs w:val="28"/>
        </w:rPr>
        <w:t xml:space="preserve">explanations of </w:t>
      </w:r>
      <w:r w:rsidR="00F377BA" w:rsidRPr="005D3C1B">
        <w:rPr>
          <w:sz w:val="28"/>
          <w:szCs w:val="28"/>
        </w:rPr>
        <w:t xml:space="preserve">the </w:t>
      </w:r>
      <w:r w:rsidR="00DA4FD6" w:rsidRPr="005D3C1B">
        <w:rPr>
          <w:sz w:val="28"/>
          <w:szCs w:val="28"/>
        </w:rPr>
        <w:t xml:space="preserve">newly </w:t>
      </w:r>
      <w:r w:rsidR="00EA7E65" w:rsidRPr="005D3C1B">
        <w:rPr>
          <w:sz w:val="28"/>
          <w:szCs w:val="28"/>
        </w:rPr>
        <w:t xml:space="preserve">proposed </w:t>
      </w:r>
      <w:r w:rsidR="00F377BA" w:rsidRPr="005D3C1B">
        <w:rPr>
          <w:sz w:val="28"/>
          <w:szCs w:val="28"/>
        </w:rPr>
        <w:t>amendments</w:t>
      </w:r>
      <w:r w:rsidR="00DA4FD6" w:rsidRPr="005D3C1B">
        <w:rPr>
          <w:sz w:val="28"/>
          <w:szCs w:val="28"/>
        </w:rPr>
        <w:t xml:space="preserve"> in Revised Appendix A</w:t>
      </w:r>
      <w:r w:rsidR="00F84BC3" w:rsidRPr="005D3C1B">
        <w:rPr>
          <w:sz w:val="28"/>
          <w:szCs w:val="28"/>
        </w:rPr>
        <w:t>.</w:t>
      </w:r>
      <w:r w:rsidR="00D61ABC" w:rsidRPr="005D3C1B">
        <w:rPr>
          <w:sz w:val="28"/>
          <w:szCs w:val="28"/>
        </w:rPr>
        <w:t xml:space="preserve"> </w:t>
      </w:r>
      <w:r w:rsidR="00F01452" w:rsidRPr="005D3C1B">
        <w:rPr>
          <w:sz w:val="28"/>
          <w:szCs w:val="28"/>
        </w:rPr>
        <w:t xml:space="preserve"> </w:t>
      </w:r>
    </w:p>
    <w:p w14:paraId="321DF78A" w14:textId="3C1FD58C" w:rsidR="00597922" w:rsidRPr="005D3C1B" w:rsidRDefault="00597922" w:rsidP="001F487E">
      <w:pPr>
        <w:pStyle w:val="ListParagraph"/>
        <w:numPr>
          <w:ilvl w:val="0"/>
          <w:numId w:val="24"/>
        </w:numPr>
        <w:spacing w:line="480" w:lineRule="auto"/>
        <w:ind w:left="0" w:firstLine="720"/>
        <w:jc w:val="both"/>
        <w:rPr>
          <w:b/>
          <w:bCs/>
          <w:sz w:val="28"/>
          <w:szCs w:val="28"/>
        </w:rPr>
      </w:pPr>
      <w:r w:rsidRPr="005D3C1B">
        <w:rPr>
          <w:b/>
          <w:bCs/>
          <w:sz w:val="28"/>
          <w:szCs w:val="28"/>
        </w:rPr>
        <w:lastRenderedPageBreak/>
        <w:t xml:space="preserve">Discussion. </w:t>
      </w:r>
      <w:r w:rsidR="004A63C6" w:rsidRPr="005D3C1B">
        <w:rPr>
          <w:sz w:val="28"/>
          <w:szCs w:val="28"/>
        </w:rPr>
        <w:t xml:space="preserve">The </w:t>
      </w:r>
      <w:r w:rsidR="001F487E" w:rsidRPr="005D3C1B">
        <w:rPr>
          <w:sz w:val="28"/>
          <w:szCs w:val="28"/>
        </w:rPr>
        <w:t xml:space="preserve">proposed rules </w:t>
      </w:r>
      <w:r w:rsidR="002902C9" w:rsidRPr="005D3C1B">
        <w:rPr>
          <w:sz w:val="28"/>
          <w:szCs w:val="28"/>
        </w:rPr>
        <w:t>are</w:t>
      </w:r>
      <w:r w:rsidR="001F487E" w:rsidRPr="005D3C1B">
        <w:rPr>
          <w:sz w:val="28"/>
          <w:szCs w:val="28"/>
        </w:rPr>
        <w:t xml:space="preserve"> organized into four Parts, </w:t>
      </w:r>
      <w:r w:rsidR="00CD7158" w:rsidRPr="005D3C1B">
        <w:rPr>
          <w:sz w:val="28"/>
          <w:szCs w:val="28"/>
        </w:rPr>
        <w:t xml:space="preserve">which are </w:t>
      </w:r>
      <w:r w:rsidR="001F487E" w:rsidRPr="005D3C1B">
        <w:rPr>
          <w:sz w:val="28"/>
          <w:szCs w:val="28"/>
        </w:rPr>
        <w:t>identified by upper case roman numerals.</w:t>
      </w:r>
      <w:r w:rsidR="00811550" w:rsidRPr="005D3C1B">
        <w:rPr>
          <w:sz w:val="28"/>
          <w:szCs w:val="28"/>
        </w:rPr>
        <w:t xml:space="preserve"> This</w:t>
      </w:r>
      <w:r w:rsidR="0071386B" w:rsidRPr="005D3C1B">
        <w:rPr>
          <w:sz w:val="28"/>
          <w:szCs w:val="28"/>
        </w:rPr>
        <w:t xml:space="preserve"> Reply also proposes an Appendix to the proposed rules.</w:t>
      </w:r>
    </w:p>
    <w:p w14:paraId="00E10457" w14:textId="3568F570" w:rsidR="00200F56" w:rsidRPr="005D3C1B" w:rsidRDefault="002B1B1C" w:rsidP="00A71BEF">
      <w:pPr>
        <w:pStyle w:val="ListParagraph"/>
        <w:numPr>
          <w:ilvl w:val="0"/>
          <w:numId w:val="26"/>
        </w:numPr>
        <w:spacing w:line="480" w:lineRule="auto"/>
        <w:jc w:val="both"/>
        <w:rPr>
          <w:b/>
          <w:bCs/>
          <w:sz w:val="28"/>
          <w:szCs w:val="28"/>
        </w:rPr>
      </w:pPr>
      <w:r w:rsidRPr="005D3C1B">
        <w:rPr>
          <w:b/>
          <w:bCs/>
          <w:sz w:val="28"/>
          <w:szCs w:val="28"/>
        </w:rPr>
        <w:t>PART</w:t>
      </w:r>
      <w:r w:rsidR="001F039F">
        <w:rPr>
          <w:b/>
          <w:bCs/>
          <w:sz w:val="28"/>
          <w:szCs w:val="28"/>
        </w:rPr>
        <w:t>I</w:t>
      </w:r>
      <w:r w:rsidRPr="005D3C1B">
        <w:rPr>
          <w:b/>
          <w:bCs/>
          <w:sz w:val="28"/>
          <w:szCs w:val="28"/>
        </w:rPr>
        <w:t>. GENERAL PROVISIONS</w:t>
      </w:r>
    </w:p>
    <w:p w14:paraId="4D3E657A" w14:textId="5D19B0B1" w:rsidR="00D054FE" w:rsidRPr="005D3C1B" w:rsidRDefault="00706046" w:rsidP="00F04E74">
      <w:pPr>
        <w:pStyle w:val="ListParagraph"/>
        <w:spacing w:before="184" w:line="480" w:lineRule="auto"/>
        <w:ind w:left="0" w:firstLine="720"/>
        <w:jc w:val="both"/>
        <w:rPr>
          <w:color w:val="212121"/>
          <w:sz w:val="28"/>
          <w:szCs w:val="28"/>
        </w:rPr>
      </w:pPr>
      <w:r w:rsidRPr="005D3C1B">
        <w:rPr>
          <w:b/>
          <w:bCs/>
          <w:sz w:val="28"/>
          <w:szCs w:val="28"/>
        </w:rPr>
        <w:t>Rule 1</w:t>
      </w:r>
      <w:r w:rsidR="00745632" w:rsidRPr="005D3C1B">
        <w:rPr>
          <w:b/>
          <w:bCs/>
          <w:sz w:val="28"/>
          <w:szCs w:val="28"/>
        </w:rPr>
        <w:t>:</w:t>
      </w:r>
      <w:r w:rsidRPr="005D3C1B">
        <w:rPr>
          <w:b/>
          <w:bCs/>
          <w:sz w:val="28"/>
          <w:szCs w:val="28"/>
        </w:rPr>
        <w:t xml:space="preserve"> “Scope and </w:t>
      </w:r>
      <w:r w:rsidR="007760E7" w:rsidRPr="005D3C1B">
        <w:rPr>
          <w:b/>
          <w:bCs/>
          <w:sz w:val="28"/>
          <w:szCs w:val="28"/>
        </w:rPr>
        <w:t>C</w:t>
      </w:r>
      <w:r w:rsidRPr="005D3C1B">
        <w:rPr>
          <w:b/>
          <w:bCs/>
          <w:sz w:val="28"/>
          <w:szCs w:val="28"/>
        </w:rPr>
        <w:t>onstruction</w:t>
      </w:r>
      <w:r w:rsidR="000E0632" w:rsidRPr="005D3C1B">
        <w:rPr>
          <w:b/>
          <w:bCs/>
          <w:sz w:val="28"/>
          <w:szCs w:val="28"/>
        </w:rPr>
        <w:t>;</w:t>
      </w:r>
      <w:r w:rsidRPr="005D3C1B">
        <w:rPr>
          <w:b/>
          <w:bCs/>
          <w:sz w:val="28"/>
          <w:szCs w:val="28"/>
        </w:rPr>
        <w:t xml:space="preserve"> Computing Time.”</w:t>
      </w:r>
      <w:r w:rsidR="002C2FC8" w:rsidRPr="005D3C1B">
        <w:rPr>
          <w:b/>
          <w:bCs/>
          <w:sz w:val="28"/>
          <w:szCs w:val="28"/>
        </w:rPr>
        <w:t xml:space="preserve"> </w:t>
      </w:r>
      <w:r w:rsidR="00D054FE" w:rsidRPr="005D3C1B">
        <w:rPr>
          <w:sz w:val="28"/>
          <w:szCs w:val="28"/>
        </w:rPr>
        <w:t xml:space="preserve">The Task Force </w:t>
      </w:r>
      <w:r w:rsidR="00767E19" w:rsidRPr="005D3C1B">
        <w:rPr>
          <w:sz w:val="28"/>
          <w:szCs w:val="28"/>
        </w:rPr>
        <w:t>recognized</w:t>
      </w:r>
      <w:r w:rsidR="00841657" w:rsidRPr="005D3C1B">
        <w:rPr>
          <w:sz w:val="28"/>
          <w:szCs w:val="28"/>
        </w:rPr>
        <w:t xml:space="preserve"> </w:t>
      </w:r>
      <w:r w:rsidR="00D054FE" w:rsidRPr="005D3C1B">
        <w:rPr>
          <w:color w:val="212121"/>
          <w:sz w:val="28"/>
          <w:szCs w:val="28"/>
        </w:rPr>
        <w:t>that the rules</w:t>
      </w:r>
      <w:r w:rsidR="00841657" w:rsidRPr="005D3C1B">
        <w:rPr>
          <w:color w:val="212121"/>
          <w:sz w:val="28"/>
          <w:szCs w:val="28"/>
        </w:rPr>
        <w:t xml:space="preserve"> proposed in February</w:t>
      </w:r>
      <w:r w:rsidR="00D054FE" w:rsidRPr="005D3C1B">
        <w:rPr>
          <w:color w:val="212121"/>
          <w:sz w:val="28"/>
          <w:szCs w:val="28"/>
        </w:rPr>
        <w:t xml:space="preserve"> </w:t>
      </w:r>
      <w:r w:rsidR="00767E19" w:rsidRPr="005D3C1B">
        <w:rPr>
          <w:color w:val="212121"/>
          <w:sz w:val="28"/>
          <w:szCs w:val="28"/>
        </w:rPr>
        <w:t>did</w:t>
      </w:r>
      <w:r w:rsidR="00D054FE" w:rsidRPr="005D3C1B">
        <w:rPr>
          <w:color w:val="212121"/>
          <w:sz w:val="28"/>
          <w:szCs w:val="28"/>
        </w:rPr>
        <w:t xml:space="preserve"> not contain a provision concerning public access to confidential documents, such as those that might be filed </w:t>
      </w:r>
      <w:r w:rsidR="007C539D" w:rsidRPr="005D3C1B">
        <w:rPr>
          <w:color w:val="212121"/>
          <w:sz w:val="28"/>
          <w:szCs w:val="28"/>
        </w:rPr>
        <w:t>in</w:t>
      </w:r>
      <w:r w:rsidR="00672A5C" w:rsidRPr="005D3C1B">
        <w:rPr>
          <w:color w:val="212121"/>
          <w:sz w:val="28"/>
          <w:szCs w:val="28"/>
        </w:rPr>
        <w:t xml:space="preserve"> a</w:t>
      </w:r>
      <w:r w:rsidR="00D054FE" w:rsidRPr="005D3C1B">
        <w:rPr>
          <w:color w:val="212121"/>
          <w:sz w:val="28"/>
          <w:szCs w:val="28"/>
        </w:rPr>
        <w:t xml:space="preserve"> </w:t>
      </w:r>
      <w:r w:rsidR="00C80A61" w:rsidRPr="005D3C1B">
        <w:rPr>
          <w:color w:val="212121"/>
          <w:sz w:val="28"/>
          <w:szCs w:val="28"/>
        </w:rPr>
        <w:t xml:space="preserve">special action </w:t>
      </w:r>
      <w:r w:rsidR="0024268A" w:rsidRPr="005D3C1B">
        <w:rPr>
          <w:color w:val="212121"/>
          <w:sz w:val="28"/>
          <w:szCs w:val="28"/>
        </w:rPr>
        <w:t xml:space="preserve">proceeding </w:t>
      </w:r>
      <w:r w:rsidR="001A1679" w:rsidRPr="005D3C1B">
        <w:rPr>
          <w:color w:val="212121"/>
          <w:sz w:val="28"/>
          <w:szCs w:val="28"/>
        </w:rPr>
        <w:t>arising from</w:t>
      </w:r>
      <w:r w:rsidR="0024268A" w:rsidRPr="005D3C1B">
        <w:rPr>
          <w:color w:val="212121"/>
          <w:sz w:val="28"/>
          <w:szCs w:val="28"/>
        </w:rPr>
        <w:t xml:space="preserve"> a </w:t>
      </w:r>
      <w:r w:rsidR="00D054FE" w:rsidRPr="005D3C1B">
        <w:rPr>
          <w:color w:val="212121"/>
          <w:sz w:val="28"/>
          <w:szCs w:val="28"/>
        </w:rPr>
        <w:t>juvenile or</w:t>
      </w:r>
      <w:r w:rsidR="00F537D4" w:rsidRPr="005D3C1B">
        <w:rPr>
          <w:color w:val="212121"/>
          <w:sz w:val="28"/>
          <w:szCs w:val="28"/>
        </w:rPr>
        <w:t xml:space="preserve"> a</w:t>
      </w:r>
      <w:r w:rsidR="00D054FE" w:rsidRPr="005D3C1B">
        <w:rPr>
          <w:color w:val="212121"/>
          <w:sz w:val="28"/>
          <w:szCs w:val="28"/>
        </w:rPr>
        <w:t xml:space="preserve"> mental health case. </w:t>
      </w:r>
      <w:r w:rsidR="009A5412" w:rsidRPr="005D3C1B">
        <w:rPr>
          <w:color w:val="212121"/>
          <w:sz w:val="28"/>
          <w:szCs w:val="28"/>
        </w:rPr>
        <w:t>A</w:t>
      </w:r>
      <w:r w:rsidR="00D054FE" w:rsidRPr="005D3C1B">
        <w:rPr>
          <w:color w:val="212121"/>
          <w:sz w:val="28"/>
          <w:szCs w:val="28"/>
        </w:rPr>
        <w:t>fter discussion</w:t>
      </w:r>
      <w:r w:rsidR="00C7088C" w:rsidRPr="005D3C1B">
        <w:rPr>
          <w:color w:val="212121"/>
          <w:sz w:val="28"/>
          <w:szCs w:val="28"/>
        </w:rPr>
        <w:t xml:space="preserve"> and on its own initiative</w:t>
      </w:r>
      <w:r w:rsidR="00D054FE" w:rsidRPr="005D3C1B">
        <w:rPr>
          <w:color w:val="212121"/>
          <w:sz w:val="28"/>
          <w:szCs w:val="28"/>
        </w:rPr>
        <w:t xml:space="preserve">, </w:t>
      </w:r>
      <w:r w:rsidR="00911951" w:rsidRPr="005D3C1B">
        <w:rPr>
          <w:color w:val="212121"/>
          <w:sz w:val="28"/>
          <w:szCs w:val="28"/>
        </w:rPr>
        <w:t>the Task Force</w:t>
      </w:r>
      <w:r w:rsidR="00D054FE" w:rsidRPr="005D3C1B">
        <w:rPr>
          <w:color w:val="212121"/>
          <w:sz w:val="28"/>
          <w:szCs w:val="28"/>
        </w:rPr>
        <w:t xml:space="preserve"> added a new section (e) to Rule 1 that says,</w:t>
      </w:r>
    </w:p>
    <w:p w14:paraId="6DC7D076" w14:textId="78AA57B5" w:rsidR="00D054FE" w:rsidRPr="005D3C1B" w:rsidRDefault="000F47FC" w:rsidP="003A74FC">
      <w:pPr>
        <w:pStyle w:val="ListParagraph"/>
        <w:spacing w:before="184" w:after="240"/>
        <w:jc w:val="both"/>
        <w:rPr>
          <w:color w:val="212121"/>
          <w:sz w:val="28"/>
          <w:szCs w:val="28"/>
        </w:rPr>
      </w:pPr>
      <w:r w:rsidRPr="005D3C1B">
        <w:rPr>
          <w:b/>
          <w:bCs/>
          <w:color w:val="212121"/>
          <w:sz w:val="28"/>
          <w:szCs w:val="28"/>
        </w:rPr>
        <w:t>Confidentiality.</w:t>
      </w:r>
      <w:r w:rsidRPr="005D3C1B">
        <w:rPr>
          <w:color w:val="212121"/>
          <w:sz w:val="28"/>
          <w:szCs w:val="28"/>
        </w:rPr>
        <w:t xml:space="preserve"> </w:t>
      </w:r>
      <w:r w:rsidR="00D054FE" w:rsidRPr="005D3C1B">
        <w:rPr>
          <w:color w:val="212121"/>
          <w:sz w:val="28"/>
          <w:szCs w:val="28"/>
        </w:rPr>
        <w:t>Parties must comply with the confidentiality requirements under applicable statutes, rules, or other provisions of law.</w:t>
      </w:r>
    </w:p>
    <w:p w14:paraId="1FF30777" w14:textId="3D9C5C94" w:rsidR="00A65FD3" w:rsidRPr="005D3C1B" w:rsidRDefault="00A65FD3" w:rsidP="009541A1">
      <w:pPr>
        <w:spacing w:before="184" w:line="480" w:lineRule="auto"/>
        <w:jc w:val="both"/>
        <w:rPr>
          <w:color w:val="212121"/>
          <w:sz w:val="28"/>
          <w:szCs w:val="28"/>
        </w:rPr>
      </w:pPr>
      <w:r w:rsidRPr="005D3C1B">
        <w:rPr>
          <w:color w:val="212121"/>
          <w:sz w:val="28"/>
          <w:szCs w:val="28"/>
        </w:rPr>
        <w:t xml:space="preserve">The </w:t>
      </w:r>
      <w:r w:rsidR="0046305A" w:rsidRPr="005D3C1B">
        <w:rPr>
          <w:color w:val="212121"/>
          <w:sz w:val="28"/>
          <w:szCs w:val="28"/>
        </w:rPr>
        <w:t xml:space="preserve">proposed </w:t>
      </w:r>
      <w:r w:rsidRPr="005D3C1B">
        <w:rPr>
          <w:color w:val="212121"/>
          <w:sz w:val="28"/>
          <w:szCs w:val="28"/>
        </w:rPr>
        <w:t xml:space="preserve">provision is </w:t>
      </w:r>
      <w:r w:rsidR="0046305A" w:rsidRPr="005D3C1B">
        <w:rPr>
          <w:color w:val="212121"/>
          <w:sz w:val="28"/>
          <w:szCs w:val="28"/>
        </w:rPr>
        <w:t>broad</w:t>
      </w:r>
      <w:r w:rsidR="00A37A04" w:rsidRPr="005D3C1B">
        <w:rPr>
          <w:color w:val="212121"/>
          <w:sz w:val="28"/>
          <w:szCs w:val="28"/>
        </w:rPr>
        <w:t xml:space="preserve"> because confidentiality </w:t>
      </w:r>
      <w:r w:rsidR="00277BAB" w:rsidRPr="005D3C1B">
        <w:rPr>
          <w:color w:val="212121"/>
          <w:sz w:val="28"/>
          <w:szCs w:val="28"/>
        </w:rPr>
        <w:t xml:space="preserve">is </w:t>
      </w:r>
      <w:r w:rsidR="00A37A04" w:rsidRPr="005D3C1B">
        <w:rPr>
          <w:color w:val="212121"/>
          <w:sz w:val="28"/>
          <w:szCs w:val="28"/>
        </w:rPr>
        <w:t>governed by</w:t>
      </w:r>
      <w:r w:rsidR="0059059B" w:rsidRPr="005D3C1B">
        <w:rPr>
          <w:color w:val="212121"/>
          <w:sz w:val="28"/>
          <w:szCs w:val="28"/>
        </w:rPr>
        <w:t xml:space="preserve"> a variety of </w:t>
      </w:r>
      <w:r w:rsidR="00025313" w:rsidRPr="005D3C1B">
        <w:rPr>
          <w:color w:val="212121"/>
          <w:sz w:val="28"/>
          <w:szCs w:val="28"/>
        </w:rPr>
        <w:t>authorities</w:t>
      </w:r>
      <w:r w:rsidR="0059059B" w:rsidRPr="005D3C1B">
        <w:rPr>
          <w:color w:val="212121"/>
          <w:sz w:val="28"/>
          <w:szCs w:val="28"/>
        </w:rPr>
        <w:t xml:space="preserve">, </w:t>
      </w:r>
      <w:r w:rsidR="00025313" w:rsidRPr="005D3C1B">
        <w:rPr>
          <w:color w:val="212121"/>
          <w:sz w:val="28"/>
          <w:szCs w:val="28"/>
        </w:rPr>
        <w:t>such as</w:t>
      </w:r>
      <w:r w:rsidR="00A37A04" w:rsidRPr="005D3C1B">
        <w:rPr>
          <w:color w:val="212121"/>
          <w:sz w:val="28"/>
          <w:szCs w:val="28"/>
        </w:rPr>
        <w:t xml:space="preserve"> Supreme Court Rule 123</w:t>
      </w:r>
      <w:r w:rsidR="00025313" w:rsidRPr="005D3C1B">
        <w:rPr>
          <w:color w:val="212121"/>
          <w:sz w:val="28"/>
          <w:szCs w:val="28"/>
        </w:rPr>
        <w:t xml:space="preserve"> and</w:t>
      </w:r>
      <w:r w:rsidR="00A37A04" w:rsidRPr="005D3C1B">
        <w:rPr>
          <w:color w:val="212121"/>
          <w:sz w:val="28"/>
          <w:szCs w:val="28"/>
        </w:rPr>
        <w:t xml:space="preserve"> other Arizona </w:t>
      </w:r>
      <w:r w:rsidR="00131AFE" w:rsidRPr="005D3C1B">
        <w:rPr>
          <w:color w:val="212121"/>
          <w:sz w:val="28"/>
          <w:szCs w:val="28"/>
        </w:rPr>
        <w:t xml:space="preserve">or federal </w:t>
      </w:r>
      <w:r w:rsidR="00433F67" w:rsidRPr="005D3C1B">
        <w:rPr>
          <w:color w:val="212121"/>
          <w:sz w:val="28"/>
          <w:szCs w:val="28"/>
        </w:rPr>
        <w:t xml:space="preserve">rules and </w:t>
      </w:r>
      <w:r w:rsidR="00A37A04" w:rsidRPr="005D3C1B">
        <w:rPr>
          <w:color w:val="212121"/>
          <w:sz w:val="28"/>
          <w:szCs w:val="28"/>
        </w:rPr>
        <w:t>statutes.</w:t>
      </w:r>
      <w:r w:rsidR="00AD671A" w:rsidRPr="005D3C1B">
        <w:rPr>
          <w:color w:val="212121"/>
          <w:sz w:val="28"/>
          <w:szCs w:val="28"/>
        </w:rPr>
        <w:t xml:space="preserve"> </w:t>
      </w:r>
      <w:r w:rsidR="00F90CDD" w:rsidRPr="005D3C1B">
        <w:rPr>
          <w:color w:val="212121"/>
          <w:sz w:val="28"/>
          <w:szCs w:val="28"/>
        </w:rPr>
        <w:t>The title of Rule 1 would be modified to include the word “confidentiality.”</w:t>
      </w:r>
    </w:p>
    <w:p w14:paraId="76B98A36" w14:textId="55E00E13" w:rsidR="0046305A" w:rsidRPr="005D3C1B" w:rsidRDefault="00CA5022" w:rsidP="00FB4636">
      <w:pPr>
        <w:spacing w:before="184" w:line="480" w:lineRule="auto"/>
        <w:ind w:firstLine="720"/>
        <w:jc w:val="both"/>
        <w:rPr>
          <w:color w:val="212121"/>
          <w:sz w:val="28"/>
          <w:szCs w:val="28"/>
        </w:rPr>
      </w:pPr>
      <w:r w:rsidRPr="005D3C1B">
        <w:rPr>
          <w:color w:val="212121"/>
          <w:sz w:val="28"/>
          <w:szCs w:val="28"/>
        </w:rPr>
        <w:t>A</w:t>
      </w:r>
      <w:r w:rsidR="00097707" w:rsidRPr="005D3C1B">
        <w:rPr>
          <w:sz w:val="28"/>
          <w:szCs w:val="28"/>
        </w:rPr>
        <w:t xml:space="preserve"> phrase</w:t>
      </w:r>
      <w:r w:rsidR="00B17029" w:rsidRPr="005D3C1B">
        <w:rPr>
          <w:sz w:val="28"/>
          <w:szCs w:val="28"/>
        </w:rPr>
        <w:t xml:space="preserve"> concerning</w:t>
      </w:r>
      <w:r w:rsidR="00E6533C" w:rsidRPr="005D3C1B">
        <w:rPr>
          <w:sz w:val="28"/>
          <w:szCs w:val="28"/>
        </w:rPr>
        <w:t xml:space="preserve"> the unavailability of special action relief </w:t>
      </w:r>
      <w:r w:rsidR="00973D56" w:rsidRPr="005D3C1B">
        <w:rPr>
          <w:sz w:val="28"/>
          <w:szCs w:val="28"/>
        </w:rPr>
        <w:t>when</w:t>
      </w:r>
      <w:r w:rsidR="00E6533C" w:rsidRPr="005D3C1B">
        <w:rPr>
          <w:sz w:val="28"/>
          <w:szCs w:val="28"/>
        </w:rPr>
        <w:t xml:space="preserve"> there is a</w:t>
      </w:r>
      <w:r w:rsidR="00097707" w:rsidRPr="005D3C1B">
        <w:rPr>
          <w:sz w:val="28"/>
          <w:szCs w:val="28"/>
        </w:rPr>
        <w:t xml:space="preserve"> “plain, speedy, and adequate remedy by appeal” appears </w:t>
      </w:r>
      <w:r w:rsidR="00D52BCA" w:rsidRPr="005D3C1B">
        <w:rPr>
          <w:sz w:val="28"/>
          <w:szCs w:val="28"/>
        </w:rPr>
        <w:t>in the third sentence of</w:t>
      </w:r>
      <w:r w:rsidR="00097707" w:rsidRPr="005D3C1B">
        <w:rPr>
          <w:sz w:val="28"/>
          <w:szCs w:val="28"/>
        </w:rPr>
        <w:t xml:space="preserve"> current Rule 1</w:t>
      </w:r>
      <w:r w:rsidR="00447ACE" w:rsidRPr="005D3C1B">
        <w:rPr>
          <w:sz w:val="28"/>
          <w:szCs w:val="28"/>
        </w:rPr>
        <w:t xml:space="preserve"> (“nature of the special action”)</w:t>
      </w:r>
      <w:r w:rsidR="0076398E" w:rsidRPr="005D3C1B">
        <w:rPr>
          <w:sz w:val="28"/>
          <w:szCs w:val="28"/>
        </w:rPr>
        <w:t xml:space="preserve">. The </w:t>
      </w:r>
      <w:r w:rsidR="005D3FA4" w:rsidRPr="005D3C1B">
        <w:rPr>
          <w:sz w:val="28"/>
          <w:szCs w:val="28"/>
        </w:rPr>
        <w:t>Task Force</w:t>
      </w:r>
      <w:r w:rsidR="00F27132" w:rsidRPr="005D3C1B">
        <w:rPr>
          <w:sz w:val="28"/>
          <w:szCs w:val="28"/>
        </w:rPr>
        <w:t xml:space="preserve"> </w:t>
      </w:r>
      <w:r w:rsidR="002B7CC0" w:rsidRPr="005D3C1B">
        <w:rPr>
          <w:sz w:val="28"/>
          <w:szCs w:val="28"/>
        </w:rPr>
        <w:t>intentionally omitted</w:t>
      </w:r>
      <w:r w:rsidR="00F27132" w:rsidRPr="005D3C1B">
        <w:rPr>
          <w:sz w:val="28"/>
          <w:szCs w:val="28"/>
        </w:rPr>
        <w:t xml:space="preserve"> this phrase from the proposed rules, and the </w:t>
      </w:r>
      <w:r w:rsidR="00941B85" w:rsidRPr="005D3C1B">
        <w:rPr>
          <w:sz w:val="28"/>
          <w:szCs w:val="28"/>
        </w:rPr>
        <w:t>rule petition at pages 10-11</w:t>
      </w:r>
      <w:r w:rsidR="00271C16" w:rsidRPr="005D3C1B">
        <w:rPr>
          <w:sz w:val="28"/>
          <w:szCs w:val="28"/>
        </w:rPr>
        <w:t xml:space="preserve"> discusse</w:t>
      </w:r>
      <w:r w:rsidR="005D3FA4" w:rsidRPr="005D3C1B">
        <w:rPr>
          <w:sz w:val="28"/>
          <w:szCs w:val="28"/>
        </w:rPr>
        <w:t>d</w:t>
      </w:r>
      <w:r w:rsidR="00AC7436" w:rsidRPr="005D3C1B">
        <w:rPr>
          <w:sz w:val="28"/>
          <w:szCs w:val="28"/>
        </w:rPr>
        <w:t xml:space="preserve"> the rationale for</w:t>
      </w:r>
      <w:r w:rsidR="00941B85" w:rsidRPr="005D3C1B">
        <w:rPr>
          <w:sz w:val="28"/>
          <w:szCs w:val="28"/>
        </w:rPr>
        <w:t xml:space="preserve"> </w:t>
      </w:r>
      <w:r w:rsidR="0076398E" w:rsidRPr="005D3C1B">
        <w:rPr>
          <w:sz w:val="28"/>
          <w:szCs w:val="28"/>
        </w:rPr>
        <w:t>the</w:t>
      </w:r>
      <w:r w:rsidR="00097707" w:rsidRPr="005D3C1B">
        <w:rPr>
          <w:sz w:val="28"/>
          <w:szCs w:val="28"/>
        </w:rPr>
        <w:t xml:space="preserve"> omission. </w:t>
      </w:r>
      <w:r w:rsidR="004E7E2B" w:rsidRPr="005D3C1B">
        <w:rPr>
          <w:sz w:val="28"/>
          <w:szCs w:val="28"/>
        </w:rPr>
        <w:t>C</w:t>
      </w:r>
      <w:r w:rsidR="00FB4636" w:rsidRPr="005D3C1B">
        <w:rPr>
          <w:color w:val="212121"/>
          <w:sz w:val="28"/>
          <w:szCs w:val="28"/>
        </w:rPr>
        <w:t xml:space="preserve">omments from </w:t>
      </w:r>
      <w:r w:rsidR="00D843AE" w:rsidRPr="005D3C1B">
        <w:rPr>
          <w:sz w:val="28"/>
          <w:szCs w:val="28"/>
        </w:rPr>
        <w:t>Judge Catlett, Mr. Nomkin, and</w:t>
      </w:r>
      <w:r w:rsidR="00FB4636" w:rsidRPr="005D3C1B">
        <w:rPr>
          <w:sz w:val="28"/>
          <w:szCs w:val="28"/>
        </w:rPr>
        <w:t xml:space="preserve"> the Attorney General’s Office (“</w:t>
      </w:r>
      <w:r w:rsidR="002714B3" w:rsidRPr="005D3C1B">
        <w:rPr>
          <w:sz w:val="28"/>
          <w:szCs w:val="28"/>
        </w:rPr>
        <w:t>Attorney General</w:t>
      </w:r>
      <w:r w:rsidR="00FB4636" w:rsidRPr="005D3C1B">
        <w:rPr>
          <w:sz w:val="28"/>
          <w:szCs w:val="28"/>
        </w:rPr>
        <w:t>”)</w:t>
      </w:r>
      <w:r w:rsidR="00D843AE" w:rsidRPr="005D3C1B">
        <w:rPr>
          <w:sz w:val="28"/>
          <w:szCs w:val="28"/>
        </w:rPr>
        <w:t xml:space="preserve"> </w:t>
      </w:r>
      <w:r w:rsidR="00FB4636" w:rsidRPr="005D3C1B">
        <w:rPr>
          <w:sz w:val="28"/>
          <w:szCs w:val="28"/>
        </w:rPr>
        <w:t>expressed concerns with</w:t>
      </w:r>
      <w:r w:rsidR="00D843AE" w:rsidRPr="005D3C1B">
        <w:rPr>
          <w:sz w:val="28"/>
          <w:szCs w:val="28"/>
        </w:rPr>
        <w:t xml:space="preserve"> </w:t>
      </w:r>
      <w:r w:rsidR="00685387" w:rsidRPr="005D3C1B">
        <w:rPr>
          <w:sz w:val="28"/>
          <w:szCs w:val="28"/>
        </w:rPr>
        <w:t>th</w:t>
      </w:r>
      <w:r w:rsidR="00B0190D" w:rsidRPr="005D3C1B">
        <w:rPr>
          <w:sz w:val="28"/>
          <w:szCs w:val="28"/>
        </w:rPr>
        <w:t>at</w:t>
      </w:r>
      <w:r w:rsidR="00D843AE" w:rsidRPr="005D3C1B">
        <w:rPr>
          <w:sz w:val="28"/>
          <w:szCs w:val="28"/>
        </w:rPr>
        <w:t xml:space="preserve"> </w:t>
      </w:r>
      <w:r w:rsidR="00D843AE" w:rsidRPr="005D3C1B">
        <w:rPr>
          <w:sz w:val="28"/>
          <w:szCs w:val="28"/>
        </w:rPr>
        <w:lastRenderedPageBreak/>
        <w:t>omission</w:t>
      </w:r>
      <w:r w:rsidR="00B0190D" w:rsidRPr="005D3C1B">
        <w:rPr>
          <w:sz w:val="28"/>
          <w:szCs w:val="28"/>
        </w:rPr>
        <w:t>, and t</w:t>
      </w:r>
      <w:r w:rsidR="00FB4636" w:rsidRPr="005D3C1B">
        <w:rPr>
          <w:sz w:val="28"/>
          <w:szCs w:val="28"/>
        </w:rPr>
        <w:t xml:space="preserve">he Task Force </w:t>
      </w:r>
      <w:r w:rsidR="00457A80" w:rsidRPr="005D3C1B">
        <w:rPr>
          <w:sz w:val="28"/>
          <w:szCs w:val="28"/>
        </w:rPr>
        <w:t xml:space="preserve">now </w:t>
      </w:r>
      <w:r w:rsidR="00BF7C41" w:rsidRPr="005D3C1B">
        <w:rPr>
          <w:sz w:val="28"/>
          <w:szCs w:val="28"/>
        </w:rPr>
        <w:t>recognizes</w:t>
      </w:r>
      <w:r w:rsidR="00FE5969" w:rsidRPr="005D3C1B">
        <w:rPr>
          <w:sz w:val="28"/>
          <w:szCs w:val="28"/>
        </w:rPr>
        <w:t xml:space="preserve"> those concerns</w:t>
      </w:r>
      <w:r w:rsidR="00B0190D" w:rsidRPr="005D3C1B">
        <w:rPr>
          <w:sz w:val="28"/>
          <w:szCs w:val="28"/>
        </w:rPr>
        <w:t>.</w:t>
      </w:r>
      <w:r w:rsidR="00FE5969" w:rsidRPr="005D3C1B">
        <w:rPr>
          <w:sz w:val="28"/>
          <w:szCs w:val="28"/>
        </w:rPr>
        <w:t xml:space="preserve"> </w:t>
      </w:r>
      <w:r w:rsidR="00B0190D" w:rsidRPr="005D3C1B">
        <w:rPr>
          <w:sz w:val="28"/>
          <w:szCs w:val="28"/>
        </w:rPr>
        <w:t>This Reply</w:t>
      </w:r>
      <w:r w:rsidR="00FE5969" w:rsidRPr="005D3C1B">
        <w:rPr>
          <w:sz w:val="28"/>
          <w:szCs w:val="28"/>
        </w:rPr>
        <w:t xml:space="preserve"> </w:t>
      </w:r>
      <w:r w:rsidR="00FB4636" w:rsidRPr="005D3C1B">
        <w:rPr>
          <w:sz w:val="28"/>
          <w:szCs w:val="28"/>
        </w:rPr>
        <w:t>addresse</w:t>
      </w:r>
      <w:r w:rsidR="00B0190D" w:rsidRPr="005D3C1B">
        <w:rPr>
          <w:sz w:val="28"/>
          <w:szCs w:val="28"/>
        </w:rPr>
        <w:t>s</w:t>
      </w:r>
      <w:r w:rsidR="00FB4636" w:rsidRPr="005D3C1B">
        <w:rPr>
          <w:sz w:val="28"/>
          <w:szCs w:val="28"/>
        </w:rPr>
        <w:t xml:space="preserve"> </w:t>
      </w:r>
      <w:r w:rsidR="00FE5969" w:rsidRPr="005D3C1B">
        <w:rPr>
          <w:sz w:val="28"/>
          <w:szCs w:val="28"/>
        </w:rPr>
        <w:t>the omission</w:t>
      </w:r>
      <w:r w:rsidR="00FB4636" w:rsidRPr="005D3C1B">
        <w:rPr>
          <w:sz w:val="28"/>
          <w:szCs w:val="28"/>
        </w:rPr>
        <w:t xml:space="preserve"> </w:t>
      </w:r>
      <w:r w:rsidR="00B0190D" w:rsidRPr="005D3C1B">
        <w:rPr>
          <w:sz w:val="28"/>
          <w:szCs w:val="28"/>
        </w:rPr>
        <w:t>by</w:t>
      </w:r>
      <w:r w:rsidR="00FB4636" w:rsidRPr="005D3C1B">
        <w:rPr>
          <w:sz w:val="28"/>
          <w:szCs w:val="28"/>
        </w:rPr>
        <w:t xml:space="preserve"> a</w:t>
      </w:r>
      <w:r w:rsidR="002B7CC0" w:rsidRPr="005D3C1B">
        <w:rPr>
          <w:sz w:val="28"/>
          <w:szCs w:val="28"/>
        </w:rPr>
        <w:t xml:space="preserve"> </w:t>
      </w:r>
      <w:r w:rsidR="00457A80" w:rsidRPr="005D3C1B">
        <w:rPr>
          <w:sz w:val="28"/>
          <w:szCs w:val="28"/>
        </w:rPr>
        <w:t xml:space="preserve">new </w:t>
      </w:r>
      <w:r w:rsidR="002B7CC0" w:rsidRPr="005D3C1B">
        <w:rPr>
          <w:sz w:val="28"/>
          <w:szCs w:val="28"/>
        </w:rPr>
        <w:t>proposed</w:t>
      </w:r>
      <w:r w:rsidR="00FB4636" w:rsidRPr="005D3C1B">
        <w:rPr>
          <w:sz w:val="28"/>
          <w:szCs w:val="28"/>
        </w:rPr>
        <w:t xml:space="preserve"> amendment to Rule 11, which is discussed in Part III</w:t>
      </w:r>
      <w:r w:rsidR="00A36973" w:rsidRPr="005D3C1B">
        <w:rPr>
          <w:sz w:val="28"/>
          <w:szCs w:val="28"/>
        </w:rPr>
        <w:t xml:space="preserve"> below</w:t>
      </w:r>
      <w:r w:rsidR="00FB4636" w:rsidRPr="005D3C1B">
        <w:rPr>
          <w:sz w:val="28"/>
          <w:szCs w:val="28"/>
        </w:rPr>
        <w:t>.</w:t>
      </w:r>
    </w:p>
    <w:p w14:paraId="3D3CE7EF" w14:textId="05FD97A9" w:rsidR="002B1B1C" w:rsidRPr="005D3C1B" w:rsidRDefault="00745632" w:rsidP="00F04E74">
      <w:pPr>
        <w:spacing w:line="480" w:lineRule="auto"/>
        <w:ind w:firstLine="720"/>
        <w:jc w:val="both"/>
        <w:rPr>
          <w:sz w:val="28"/>
          <w:szCs w:val="28"/>
        </w:rPr>
      </w:pPr>
      <w:r w:rsidRPr="005D3C1B">
        <w:rPr>
          <w:b/>
          <w:bCs/>
          <w:sz w:val="28"/>
          <w:szCs w:val="28"/>
        </w:rPr>
        <w:t>Rule 3: “Statutory Authority for Cer</w:t>
      </w:r>
      <w:r w:rsidR="009E690F" w:rsidRPr="005D3C1B">
        <w:rPr>
          <w:b/>
          <w:bCs/>
          <w:sz w:val="28"/>
          <w:szCs w:val="28"/>
        </w:rPr>
        <w:t>tain Special Actions.”</w:t>
      </w:r>
      <w:r w:rsidR="007B0F17" w:rsidRPr="005D3C1B">
        <w:rPr>
          <w:b/>
          <w:bCs/>
          <w:sz w:val="28"/>
          <w:szCs w:val="28"/>
        </w:rPr>
        <w:t xml:space="preserve"> </w:t>
      </w:r>
      <w:r w:rsidR="007B0F17" w:rsidRPr="005D3C1B">
        <w:rPr>
          <w:sz w:val="28"/>
          <w:szCs w:val="28"/>
        </w:rPr>
        <w:t>A comment from</w:t>
      </w:r>
      <w:r w:rsidR="007B0F17" w:rsidRPr="005D3C1B">
        <w:rPr>
          <w:b/>
          <w:bCs/>
          <w:sz w:val="28"/>
          <w:szCs w:val="28"/>
        </w:rPr>
        <w:t xml:space="preserve"> </w:t>
      </w:r>
      <w:r w:rsidR="007B0F17" w:rsidRPr="005D3C1B">
        <w:rPr>
          <w:sz w:val="28"/>
          <w:szCs w:val="28"/>
        </w:rPr>
        <w:t>Mr. Heade requested the Task Force to add in the comment to Rule 3 (“statutory authority for certain special actions”) a reference to A.R.S. § 36-546.01, which concerns special action challenges to court-ordered mental health treatment.  The Task Force acknowledged that this statutory reference was inadvertently omitted from the comment, and it add</w:t>
      </w:r>
      <w:r w:rsidR="0084149B" w:rsidRPr="005D3C1B">
        <w:rPr>
          <w:sz w:val="28"/>
          <w:szCs w:val="28"/>
        </w:rPr>
        <w:t>ed</w:t>
      </w:r>
      <w:r w:rsidR="007B0F17" w:rsidRPr="005D3C1B">
        <w:rPr>
          <w:sz w:val="28"/>
          <w:szCs w:val="28"/>
        </w:rPr>
        <w:t xml:space="preserve"> the reference to the </w:t>
      </w:r>
      <w:r w:rsidR="00F2781B" w:rsidRPr="005D3C1B">
        <w:rPr>
          <w:sz w:val="28"/>
          <w:szCs w:val="28"/>
        </w:rPr>
        <w:t>Reply</w:t>
      </w:r>
      <w:r w:rsidR="007B0F17" w:rsidRPr="005D3C1B">
        <w:rPr>
          <w:sz w:val="28"/>
          <w:szCs w:val="28"/>
        </w:rPr>
        <w:t xml:space="preserve"> version. </w:t>
      </w:r>
      <w:r w:rsidR="005E5691">
        <w:rPr>
          <w:sz w:val="28"/>
          <w:szCs w:val="28"/>
        </w:rPr>
        <w:t>In the first paragraph of the comment to Rule 3,</w:t>
      </w:r>
      <w:r w:rsidR="0067657E">
        <w:rPr>
          <w:sz w:val="28"/>
          <w:szCs w:val="28"/>
        </w:rPr>
        <w:t xml:space="preserve"> the Task Force </w:t>
      </w:r>
      <w:r w:rsidR="00593C2F">
        <w:rPr>
          <w:sz w:val="28"/>
          <w:szCs w:val="28"/>
        </w:rPr>
        <w:t xml:space="preserve">on its own initiative </w:t>
      </w:r>
      <w:r w:rsidR="0067657E">
        <w:rPr>
          <w:sz w:val="28"/>
          <w:szCs w:val="28"/>
        </w:rPr>
        <w:t>added the word</w:t>
      </w:r>
      <w:r w:rsidR="0087783D">
        <w:rPr>
          <w:sz w:val="28"/>
          <w:szCs w:val="28"/>
        </w:rPr>
        <w:t>s</w:t>
      </w:r>
      <w:r w:rsidR="0067657E">
        <w:rPr>
          <w:sz w:val="28"/>
          <w:szCs w:val="28"/>
        </w:rPr>
        <w:t xml:space="preserve"> “but are not limited to” to convey </w:t>
      </w:r>
      <w:r w:rsidR="000C7774">
        <w:rPr>
          <w:sz w:val="28"/>
          <w:szCs w:val="28"/>
        </w:rPr>
        <w:t xml:space="preserve">to readers </w:t>
      </w:r>
      <w:r w:rsidR="0067657E">
        <w:rPr>
          <w:sz w:val="28"/>
          <w:szCs w:val="28"/>
        </w:rPr>
        <w:t>that</w:t>
      </w:r>
      <w:r w:rsidR="00B52427">
        <w:rPr>
          <w:sz w:val="28"/>
          <w:szCs w:val="28"/>
        </w:rPr>
        <w:t xml:space="preserve"> the enumerated statutory special actions </w:t>
      </w:r>
      <w:r w:rsidR="00ED163C">
        <w:rPr>
          <w:sz w:val="28"/>
          <w:szCs w:val="28"/>
        </w:rPr>
        <w:t>are</w:t>
      </w:r>
      <w:r w:rsidR="00B52427">
        <w:rPr>
          <w:sz w:val="28"/>
          <w:szCs w:val="28"/>
        </w:rPr>
        <w:t xml:space="preserve"> examples</w:t>
      </w:r>
      <w:r w:rsidR="00A34CD6">
        <w:rPr>
          <w:sz w:val="28"/>
          <w:szCs w:val="28"/>
        </w:rPr>
        <w:t>,</w:t>
      </w:r>
      <w:r w:rsidR="000C7774">
        <w:rPr>
          <w:sz w:val="28"/>
          <w:szCs w:val="28"/>
        </w:rPr>
        <w:t xml:space="preserve"> but </w:t>
      </w:r>
      <w:r w:rsidR="00A34CD6">
        <w:rPr>
          <w:sz w:val="28"/>
          <w:szCs w:val="28"/>
        </w:rPr>
        <w:t xml:space="preserve">they are </w:t>
      </w:r>
      <w:r w:rsidR="000C7774">
        <w:rPr>
          <w:sz w:val="28"/>
          <w:szCs w:val="28"/>
        </w:rPr>
        <w:t>not</w:t>
      </w:r>
      <w:r w:rsidR="00B85241">
        <w:rPr>
          <w:sz w:val="28"/>
          <w:szCs w:val="28"/>
        </w:rPr>
        <w:t xml:space="preserve"> </w:t>
      </w:r>
      <w:r w:rsidR="000C7774">
        <w:rPr>
          <w:sz w:val="28"/>
          <w:szCs w:val="28"/>
        </w:rPr>
        <w:t>an exhaustive list</w:t>
      </w:r>
      <w:r w:rsidR="00B85241">
        <w:rPr>
          <w:sz w:val="28"/>
          <w:szCs w:val="28"/>
        </w:rPr>
        <w:t xml:space="preserve"> of those actions</w:t>
      </w:r>
      <w:r w:rsidR="000C7774">
        <w:rPr>
          <w:sz w:val="28"/>
          <w:szCs w:val="28"/>
        </w:rPr>
        <w:t>.</w:t>
      </w:r>
    </w:p>
    <w:p w14:paraId="2F21C542" w14:textId="0E4141B7" w:rsidR="000E7A26" w:rsidRPr="005D3C1B" w:rsidRDefault="00F04E74" w:rsidP="00286756">
      <w:pPr>
        <w:pStyle w:val="Default"/>
        <w:spacing w:line="480" w:lineRule="auto"/>
        <w:ind w:firstLine="720"/>
        <w:jc w:val="both"/>
        <w:rPr>
          <w:sz w:val="28"/>
          <w:szCs w:val="28"/>
        </w:rPr>
      </w:pPr>
      <w:r w:rsidRPr="005D3C1B">
        <w:rPr>
          <w:b/>
          <w:bCs/>
          <w:sz w:val="28"/>
          <w:szCs w:val="28"/>
        </w:rPr>
        <w:t xml:space="preserve">Rule 5: “Parties.” </w:t>
      </w:r>
      <w:r w:rsidR="00286756" w:rsidRPr="005D3C1B">
        <w:rPr>
          <w:sz w:val="28"/>
          <w:szCs w:val="28"/>
        </w:rPr>
        <w:t xml:space="preserve">In Rule 5(a)(2) (“naming a defendant”), the </w:t>
      </w:r>
      <w:r w:rsidR="005D3C1B" w:rsidRPr="005D3C1B">
        <w:rPr>
          <w:sz w:val="28"/>
          <w:szCs w:val="28"/>
        </w:rPr>
        <w:t>Attorney General</w:t>
      </w:r>
      <w:r w:rsidR="009404CA" w:rsidRPr="005D3C1B">
        <w:rPr>
          <w:sz w:val="28"/>
          <w:szCs w:val="28"/>
        </w:rPr>
        <w:t xml:space="preserve"> </w:t>
      </w:r>
      <w:r w:rsidR="00286756" w:rsidRPr="005D3C1B">
        <w:rPr>
          <w:sz w:val="28"/>
          <w:szCs w:val="28"/>
        </w:rPr>
        <w:t>suggested that</w:t>
      </w:r>
      <w:r w:rsidR="00CF4E12" w:rsidRPr="005D3C1B">
        <w:rPr>
          <w:sz w:val="28"/>
          <w:szCs w:val="28"/>
        </w:rPr>
        <w:t xml:space="preserve"> requiring a</w:t>
      </w:r>
      <w:r w:rsidR="001B556B" w:rsidRPr="005D3C1B">
        <w:rPr>
          <w:sz w:val="28"/>
          <w:szCs w:val="28"/>
        </w:rPr>
        <w:t>n original</w:t>
      </w:r>
      <w:r w:rsidR="00CF4E12" w:rsidRPr="005D3C1B">
        <w:rPr>
          <w:sz w:val="28"/>
          <w:szCs w:val="28"/>
        </w:rPr>
        <w:t xml:space="preserve"> special action to </w:t>
      </w:r>
      <w:r w:rsidR="00286756" w:rsidRPr="005D3C1B">
        <w:rPr>
          <w:sz w:val="28"/>
          <w:szCs w:val="28"/>
        </w:rPr>
        <w:t>name as defendants “all other interested parties” was too broad.</w:t>
      </w:r>
      <w:r w:rsidR="00D243A7">
        <w:rPr>
          <w:sz w:val="28"/>
          <w:szCs w:val="28"/>
        </w:rPr>
        <w:t xml:space="preserve"> </w:t>
      </w:r>
      <w:r w:rsidR="00286756" w:rsidRPr="005D3C1B">
        <w:rPr>
          <w:sz w:val="28"/>
          <w:szCs w:val="28"/>
        </w:rPr>
        <w:t>After discussi</w:t>
      </w:r>
      <w:r w:rsidR="00181040" w:rsidRPr="005D3C1B">
        <w:rPr>
          <w:sz w:val="28"/>
          <w:szCs w:val="28"/>
        </w:rPr>
        <w:t>ng this suggestion</w:t>
      </w:r>
      <w:r w:rsidR="00286756" w:rsidRPr="005D3C1B">
        <w:rPr>
          <w:sz w:val="28"/>
          <w:szCs w:val="28"/>
        </w:rPr>
        <w:t xml:space="preserve">, </w:t>
      </w:r>
      <w:r w:rsidR="00911951" w:rsidRPr="005D3C1B">
        <w:rPr>
          <w:sz w:val="28"/>
          <w:szCs w:val="28"/>
        </w:rPr>
        <w:t>the Task Force</w:t>
      </w:r>
      <w:r w:rsidR="00286756" w:rsidRPr="005D3C1B">
        <w:rPr>
          <w:sz w:val="28"/>
          <w:szCs w:val="28"/>
        </w:rPr>
        <w:t xml:space="preserve"> changed that phrase to “all other parties in whose absence the court cannot afford complete relief.”  </w:t>
      </w:r>
    </w:p>
    <w:p w14:paraId="4291B630" w14:textId="746E69F3" w:rsidR="009C3B9D" w:rsidRPr="005D3C1B" w:rsidRDefault="00286756" w:rsidP="00EA0FE8">
      <w:pPr>
        <w:pStyle w:val="Default"/>
        <w:spacing w:line="480" w:lineRule="auto"/>
        <w:ind w:firstLine="720"/>
        <w:jc w:val="both"/>
        <w:rPr>
          <w:sz w:val="28"/>
          <w:szCs w:val="28"/>
        </w:rPr>
      </w:pPr>
      <w:r w:rsidRPr="005D3C1B">
        <w:rPr>
          <w:sz w:val="28"/>
          <w:szCs w:val="28"/>
        </w:rPr>
        <w:t xml:space="preserve">The </w:t>
      </w:r>
      <w:r w:rsidR="00EA0FE8">
        <w:rPr>
          <w:sz w:val="28"/>
          <w:szCs w:val="28"/>
        </w:rPr>
        <w:t xml:space="preserve">Attorney General’s </w:t>
      </w:r>
      <w:r w:rsidRPr="005D3C1B">
        <w:rPr>
          <w:sz w:val="28"/>
          <w:szCs w:val="28"/>
        </w:rPr>
        <w:t>comment also raised an issue</w:t>
      </w:r>
      <w:r w:rsidR="002D6D02">
        <w:rPr>
          <w:sz w:val="28"/>
          <w:szCs w:val="28"/>
        </w:rPr>
        <w:t xml:space="preserve"> concerning</w:t>
      </w:r>
      <w:r w:rsidRPr="005D3C1B">
        <w:rPr>
          <w:sz w:val="28"/>
          <w:szCs w:val="28"/>
        </w:rPr>
        <w:t xml:space="preserve"> Rule 5(b)(2)</w:t>
      </w:r>
      <w:r w:rsidR="00853C27" w:rsidRPr="005D3C1B">
        <w:rPr>
          <w:sz w:val="28"/>
          <w:szCs w:val="28"/>
        </w:rPr>
        <w:t xml:space="preserve"> (“respondent defined”)</w:t>
      </w:r>
      <w:r w:rsidRPr="005D3C1B">
        <w:rPr>
          <w:sz w:val="28"/>
          <w:szCs w:val="28"/>
        </w:rPr>
        <w:t xml:space="preserve"> that </w:t>
      </w:r>
      <w:r w:rsidR="00EE02BD" w:rsidRPr="005D3C1B">
        <w:rPr>
          <w:sz w:val="28"/>
          <w:szCs w:val="28"/>
        </w:rPr>
        <w:t>would require</w:t>
      </w:r>
      <w:r w:rsidRPr="005D3C1B">
        <w:rPr>
          <w:sz w:val="28"/>
          <w:szCs w:val="28"/>
        </w:rPr>
        <w:t xml:space="preserve"> an appellate special action petition to name as respondents “all other parties in the case</w:t>
      </w:r>
      <w:r w:rsidR="00EA0FE8">
        <w:rPr>
          <w:sz w:val="28"/>
          <w:szCs w:val="28"/>
        </w:rPr>
        <w:t>.</w:t>
      </w:r>
      <w:r w:rsidRPr="005D3C1B">
        <w:rPr>
          <w:sz w:val="28"/>
          <w:szCs w:val="28"/>
        </w:rPr>
        <w:t xml:space="preserve">” </w:t>
      </w:r>
      <w:r w:rsidR="00EA0FE8">
        <w:rPr>
          <w:sz w:val="28"/>
          <w:szCs w:val="28"/>
        </w:rPr>
        <w:t>A</w:t>
      </w:r>
      <w:r w:rsidR="00CD0D55" w:rsidRPr="005D3C1B">
        <w:rPr>
          <w:sz w:val="28"/>
          <w:szCs w:val="28"/>
        </w:rPr>
        <w:t xml:space="preserve">fter discussion, </w:t>
      </w:r>
      <w:r w:rsidR="00911951" w:rsidRPr="005D3C1B">
        <w:rPr>
          <w:sz w:val="28"/>
          <w:szCs w:val="28"/>
        </w:rPr>
        <w:t>the Task Force</w:t>
      </w:r>
      <w:r w:rsidRPr="005D3C1B">
        <w:rPr>
          <w:sz w:val="28"/>
          <w:szCs w:val="28"/>
        </w:rPr>
        <w:t xml:space="preserve"> </w:t>
      </w:r>
      <w:r w:rsidRPr="005D3C1B">
        <w:rPr>
          <w:sz w:val="28"/>
          <w:szCs w:val="28"/>
        </w:rPr>
        <w:lastRenderedPageBreak/>
        <w:t xml:space="preserve">made no changes to this phrase. </w:t>
      </w:r>
      <w:r w:rsidR="001113B4" w:rsidRPr="005D3C1B">
        <w:rPr>
          <w:sz w:val="28"/>
          <w:szCs w:val="28"/>
        </w:rPr>
        <w:t xml:space="preserve">Its reasoning </w:t>
      </w:r>
      <w:r w:rsidRPr="005D3C1B">
        <w:rPr>
          <w:sz w:val="28"/>
          <w:szCs w:val="28"/>
        </w:rPr>
        <w:t xml:space="preserve">was that there was no harm in </w:t>
      </w:r>
      <w:r w:rsidR="00833F6B" w:rsidRPr="005D3C1B">
        <w:rPr>
          <w:sz w:val="28"/>
          <w:szCs w:val="28"/>
        </w:rPr>
        <w:t xml:space="preserve">the </w:t>
      </w:r>
      <w:r w:rsidRPr="005D3C1B">
        <w:rPr>
          <w:sz w:val="28"/>
          <w:szCs w:val="28"/>
        </w:rPr>
        <w:t>over-inclusion of parties, but under-inclusion could be problematic. A</w:t>
      </w:r>
      <w:r w:rsidR="00833F6B" w:rsidRPr="005D3C1B">
        <w:rPr>
          <w:sz w:val="28"/>
          <w:szCs w:val="28"/>
        </w:rPr>
        <w:t>nd a</w:t>
      </w:r>
      <w:r w:rsidRPr="005D3C1B">
        <w:rPr>
          <w:sz w:val="28"/>
          <w:szCs w:val="28"/>
        </w:rPr>
        <w:t xml:space="preserve"> named respondent who had no interest in the proceeding could</w:t>
      </w:r>
      <w:r w:rsidR="008D123E" w:rsidRPr="005D3C1B">
        <w:rPr>
          <w:sz w:val="28"/>
          <w:szCs w:val="28"/>
        </w:rPr>
        <w:t xml:space="preserve"> easily</w:t>
      </w:r>
      <w:r w:rsidRPr="005D3C1B">
        <w:rPr>
          <w:sz w:val="28"/>
          <w:szCs w:val="28"/>
        </w:rPr>
        <w:t xml:space="preserve"> file something </w:t>
      </w:r>
      <w:r w:rsidR="009F1B24" w:rsidRPr="005D3C1B">
        <w:rPr>
          <w:sz w:val="28"/>
          <w:szCs w:val="28"/>
        </w:rPr>
        <w:t>analogous</w:t>
      </w:r>
      <w:r w:rsidRPr="005D3C1B">
        <w:rPr>
          <w:sz w:val="28"/>
          <w:szCs w:val="28"/>
        </w:rPr>
        <w:t xml:space="preserve"> to a notice of non-participation.</w:t>
      </w:r>
      <w:r w:rsidR="00CA76EC" w:rsidRPr="005D3C1B">
        <w:rPr>
          <w:sz w:val="28"/>
          <w:szCs w:val="28"/>
        </w:rPr>
        <w:t xml:space="preserve">  </w:t>
      </w:r>
    </w:p>
    <w:p w14:paraId="29CB4FE0" w14:textId="51D77187" w:rsidR="009E690F" w:rsidRPr="005D3C1B" w:rsidRDefault="00CA76EC" w:rsidP="00CA76EC">
      <w:pPr>
        <w:pStyle w:val="Default"/>
        <w:spacing w:line="480" w:lineRule="auto"/>
        <w:ind w:firstLine="720"/>
        <w:jc w:val="both"/>
        <w:rPr>
          <w:sz w:val="28"/>
          <w:szCs w:val="28"/>
        </w:rPr>
      </w:pPr>
      <w:r w:rsidRPr="005D3C1B">
        <w:rPr>
          <w:sz w:val="28"/>
          <w:szCs w:val="28"/>
        </w:rPr>
        <w:t>Rule 5</w:t>
      </w:r>
      <w:r w:rsidR="00422F99" w:rsidRPr="005D3C1B">
        <w:rPr>
          <w:sz w:val="28"/>
          <w:szCs w:val="28"/>
        </w:rPr>
        <w:t xml:space="preserve">(b)(2) </w:t>
      </w:r>
      <w:r w:rsidRPr="005D3C1B">
        <w:rPr>
          <w:sz w:val="28"/>
          <w:szCs w:val="28"/>
        </w:rPr>
        <w:t xml:space="preserve">also </w:t>
      </w:r>
      <w:r w:rsidR="00422F99" w:rsidRPr="005D3C1B">
        <w:rPr>
          <w:sz w:val="28"/>
          <w:szCs w:val="28"/>
        </w:rPr>
        <w:t xml:space="preserve">provides that “the court may allow other persons to respond” to an appellate special action. </w:t>
      </w:r>
      <w:r w:rsidR="005F52CE" w:rsidRPr="005D3C1B">
        <w:rPr>
          <w:sz w:val="28"/>
          <w:szCs w:val="28"/>
        </w:rPr>
        <w:t>A comment from the</w:t>
      </w:r>
      <w:r w:rsidR="00422F99" w:rsidRPr="005D3C1B">
        <w:rPr>
          <w:sz w:val="28"/>
          <w:szCs w:val="28"/>
        </w:rPr>
        <w:t xml:space="preserve"> State Bar</w:t>
      </w:r>
      <w:r w:rsidR="009F1B24" w:rsidRPr="005D3C1B">
        <w:rPr>
          <w:sz w:val="28"/>
          <w:szCs w:val="28"/>
        </w:rPr>
        <w:t xml:space="preserve"> of Arizon</w:t>
      </w:r>
      <w:r w:rsidR="005F52CE" w:rsidRPr="005D3C1B">
        <w:rPr>
          <w:sz w:val="28"/>
          <w:szCs w:val="28"/>
        </w:rPr>
        <w:t>a</w:t>
      </w:r>
      <w:r w:rsidR="00422F99" w:rsidRPr="005D3C1B">
        <w:rPr>
          <w:sz w:val="28"/>
          <w:szCs w:val="28"/>
        </w:rPr>
        <w:t xml:space="preserve"> </w:t>
      </w:r>
      <w:r w:rsidR="009F1B24" w:rsidRPr="005D3C1B">
        <w:rPr>
          <w:sz w:val="28"/>
          <w:szCs w:val="28"/>
        </w:rPr>
        <w:t>(“</w:t>
      </w:r>
      <w:r w:rsidR="00BB72A3" w:rsidRPr="005D3C1B">
        <w:rPr>
          <w:sz w:val="28"/>
          <w:szCs w:val="28"/>
        </w:rPr>
        <w:t>State Bar</w:t>
      </w:r>
      <w:r w:rsidR="00370E93" w:rsidRPr="005D3C1B">
        <w:rPr>
          <w:sz w:val="28"/>
          <w:szCs w:val="28"/>
        </w:rPr>
        <w:t>”) requested</w:t>
      </w:r>
      <w:r w:rsidR="00422F99" w:rsidRPr="005D3C1B">
        <w:rPr>
          <w:sz w:val="28"/>
          <w:szCs w:val="28"/>
        </w:rPr>
        <w:t xml:space="preserve"> additional guidance concerning </w:t>
      </w:r>
      <w:r w:rsidR="003452D3" w:rsidRPr="005D3C1B">
        <w:rPr>
          <w:sz w:val="28"/>
          <w:szCs w:val="28"/>
        </w:rPr>
        <w:t>the intended meaning of “other persons</w:t>
      </w:r>
      <w:r w:rsidR="00370E93" w:rsidRPr="005D3C1B">
        <w:rPr>
          <w:sz w:val="28"/>
          <w:szCs w:val="28"/>
        </w:rPr>
        <w:t>.</w:t>
      </w:r>
      <w:r w:rsidR="003452D3" w:rsidRPr="005D3C1B">
        <w:rPr>
          <w:sz w:val="28"/>
          <w:szCs w:val="28"/>
        </w:rPr>
        <w:t>”</w:t>
      </w:r>
      <w:r w:rsidR="00370E93" w:rsidRPr="005D3C1B">
        <w:rPr>
          <w:sz w:val="28"/>
          <w:szCs w:val="28"/>
        </w:rPr>
        <w:t xml:space="preserve"> The</w:t>
      </w:r>
      <w:r w:rsidR="00911951" w:rsidRPr="005D3C1B">
        <w:rPr>
          <w:sz w:val="28"/>
          <w:szCs w:val="28"/>
        </w:rPr>
        <w:t xml:space="preserve"> Task Force</w:t>
      </w:r>
      <w:r w:rsidR="00422F99" w:rsidRPr="005D3C1B">
        <w:rPr>
          <w:sz w:val="28"/>
          <w:szCs w:val="28"/>
        </w:rPr>
        <w:t xml:space="preserve"> </w:t>
      </w:r>
      <w:r w:rsidR="00370E93" w:rsidRPr="005D3C1B">
        <w:rPr>
          <w:sz w:val="28"/>
          <w:szCs w:val="28"/>
        </w:rPr>
        <w:t xml:space="preserve">observed </w:t>
      </w:r>
      <w:r w:rsidR="00422F99" w:rsidRPr="005D3C1B">
        <w:rPr>
          <w:sz w:val="28"/>
          <w:szCs w:val="28"/>
        </w:rPr>
        <w:t>that Rule 5(c)</w:t>
      </w:r>
      <w:r w:rsidR="00381636" w:rsidRPr="005D3C1B">
        <w:rPr>
          <w:sz w:val="28"/>
          <w:szCs w:val="28"/>
        </w:rPr>
        <w:t xml:space="preserve"> (“other persons: intervenors, joinder, amicus curiae”) </w:t>
      </w:r>
      <w:r w:rsidR="00422F99" w:rsidRPr="005D3C1B">
        <w:rPr>
          <w:sz w:val="28"/>
          <w:szCs w:val="28"/>
        </w:rPr>
        <w:t xml:space="preserve">also refers to “other persons.” </w:t>
      </w:r>
      <w:r w:rsidR="00911951" w:rsidRPr="005D3C1B">
        <w:rPr>
          <w:sz w:val="28"/>
          <w:szCs w:val="28"/>
        </w:rPr>
        <w:t>The Task Force</w:t>
      </w:r>
      <w:r w:rsidR="00422F99" w:rsidRPr="005D3C1B">
        <w:rPr>
          <w:sz w:val="28"/>
          <w:szCs w:val="28"/>
        </w:rPr>
        <w:t xml:space="preserve"> </w:t>
      </w:r>
      <w:r w:rsidR="001A2025" w:rsidRPr="005D3C1B">
        <w:rPr>
          <w:sz w:val="28"/>
          <w:szCs w:val="28"/>
        </w:rPr>
        <w:t>intended</w:t>
      </w:r>
      <w:r w:rsidR="00422F99" w:rsidRPr="005D3C1B">
        <w:rPr>
          <w:sz w:val="28"/>
          <w:szCs w:val="28"/>
        </w:rPr>
        <w:t xml:space="preserve"> the reference to “other persons” in subpart (b)(2) as </w:t>
      </w:r>
      <w:r w:rsidR="001A2025" w:rsidRPr="005D3C1B">
        <w:rPr>
          <w:sz w:val="28"/>
          <w:szCs w:val="28"/>
        </w:rPr>
        <w:t>a bridge</w:t>
      </w:r>
      <w:r w:rsidR="00422F99" w:rsidRPr="005D3C1B">
        <w:rPr>
          <w:sz w:val="28"/>
          <w:szCs w:val="28"/>
        </w:rPr>
        <w:t xml:space="preserve"> to the “other persons” in section (c). To clarify the reference, </w:t>
      </w:r>
      <w:r w:rsidR="00911951" w:rsidRPr="005D3C1B">
        <w:rPr>
          <w:sz w:val="28"/>
          <w:szCs w:val="28"/>
        </w:rPr>
        <w:t>the Task Force</w:t>
      </w:r>
      <w:r w:rsidR="00422F99" w:rsidRPr="005D3C1B">
        <w:rPr>
          <w:sz w:val="28"/>
          <w:szCs w:val="28"/>
        </w:rPr>
        <w:t xml:space="preserve"> amended the second sentence of</w:t>
      </w:r>
      <w:r w:rsidR="00921DB6" w:rsidRPr="005D3C1B">
        <w:rPr>
          <w:sz w:val="28"/>
          <w:szCs w:val="28"/>
        </w:rPr>
        <w:t xml:space="preserve"> subpart</w:t>
      </w:r>
      <w:r w:rsidR="00422F99" w:rsidRPr="005D3C1B">
        <w:rPr>
          <w:sz w:val="28"/>
          <w:szCs w:val="28"/>
        </w:rPr>
        <w:t xml:space="preserve"> (b)(2) to say, “The court may allow other persons to respond, </w:t>
      </w:r>
      <w:r w:rsidR="00422F99" w:rsidRPr="005D3C1B">
        <w:rPr>
          <w:sz w:val="28"/>
          <w:szCs w:val="28"/>
          <w:u w:val="single"/>
        </w:rPr>
        <w:t>as set forth in Rule 5(c)</w:t>
      </w:r>
      <w:r w:rsidR="00422F99" w:rsidRPr="005D3C1B">
        <w:rPr>
          <w:sz w:val="28"/>
          <w:szCs w:val="28"/>
        </w:rPr>
        <w:t>.”</w:t>
      </w:r>
    </w:p>
    <w:p w14:paraId="62C823E2" w14:textId="00282F8B" w:rsidR="00A71BEF" w:rsidRPr="005D3C1B" w:rsidRDefault="00A71BEF" w:rsidP="00A71BEF">
      <w:pPr>
        <w:pStyle w:val="ListParagraph"/>
        <w:numPr>
          <w:ilvl w:val="0"/>
          <w:numId w:val="26"/>
        </w:numPr>
        <w:spacing w:line="480" w:lineRule="auto"/>
        <w:jc w:val="both"/>
        <w:rPr>
          <w:b/>
          <w:bCs/>
          <w:sz w:val="28"/>
          <w:szCs w:val="28"/>
        </w:rPr>
      </w:pPr>
      <w:r w:rsidRPr="005D3C1B">
        <w:rPr>
          <w:b/>
          <w:bCs/>
          <w:sz w:val="28"/>
          <w:szCs w:val="28"/>
        </w:rPr>
        <w:t xml:space="preserve">PART II. </w:t>
      </w:r>
      <w:r w:rsidR="00C051E1" w:rsidRPr="005D3C1B">
        <w:rPr>
          <w:b/>
          <w:bCs/>
          <w:sz w:val="28"/>
          <w:szCs w:val="28"/>
        </w:rPr>
        <w:t>ORIGINAL SPECIAL ACTIONS</w:t>
      </w:r>
    </w:p>
    <w:p w14:paraId="4D2B42CD" w14:textId="5362A6B4" w:rsidR="00C051E1" w:rsidRPr="005D3C1B" w:rsidRDefault="00C051E1" w:rsidP="005D3C1B">
      <w:pPr>
        <w:spacing w:line="480" w:lineRule="auto"/>
        <w:ind w:firstLine="720"/>
        <w:jc w:val="both"/>
        <w:rPr>
          <w:sz w:val="28"/>
          <w:szCs w:val="28"/>
        </w:rPr>
      </w:pPr>
      <w:r w:rsidRPr="005D3C1B">
        <w:rPr>
          <w:b/>
          <w:bCs/>
          <w:sz w:val="28"/>
          <w:szCs w:val="28"/>
        </w:rPr>
        <w:t>Rule 6: “Where to File Original Special Actions</w:t>
      </w:r>
      <w:r w:rsidR="00CF6A05" w:rsidRPr="005D3C1B">
        <w:rPr>
          <w:b/>
          <w:bCs/>
          <w:sz w:val="28"/>
          <w:szCs w:val="28"/>
        </w:rPr>
        <w:t>.</w:t>
      </w:r>
      <w:r w:rsidRPr="005D3C1B">
        <w:rPr>
          <w:b/>
          <w:bCs/>
          <w:sz w:val="28"/>
          <w:szCs w:val="28"/>
        </w:rPr>
        <w:t>”</w:t>
      </w:r>
      <w:r w:rsidR="00FD49A0" w:rsidRPr="005D3C1B">
        <w:rPr>
          <w:b/>
          <w:bCs/>
          <w:sz w:val="28"/>
          <w:szCs w:val="28"/>
        </w:rPr>
        <w:t xml:space="preserve"> </w:t>
      </w:r>
      <w:r w:rsidR="00FD49A0" w:rsidRPr="005D3C1B">
        <w:rPr>
          <w:sz w:val="28"/>
          <w:szCs w:val="28"/>
        </w:rPr>
        <w:t xml:space="preserve">The </w:t>
      </w:r>
      <w:r w:rsidR="005D3C1B" w:rsidRPr="005D3C1B">
        <w:rPr>
          <w:sz w:val="28"/>
          <w:szCs w:val="28"/>
        </w:rPr>
        <w:t>Attorney General</w:t>
      </w:r>
      <w:r w:rsidR="00FD49A0" w:rsidRPr="005D3C1B">
        <w:rPr>
          <w:sz w:val="28"/>
          <w:szCs w:val="28"/>
        </w:rPr>
        <w:t>’s comment noted “potentially conflicting venue provisions” in Rule 6(a)</w:t>
      </w:r>
      <w:r w:rsidR="0011738A" w:rsidRPr="005D3C1B">
        <w:rPr>
          <w:sz w:val="28"/>
          <w:szCs w:val="28"/>
        </w:rPr>
        <w:t xml:space="preserve"> </w:t>
      </w:r>
      <w:r w:rsidR="00FE5DD7" w:rsidRPr="005D3C1B">
        <w:rPr>
          <w:sz w:val="28"/>
          <w:szCs w:val="28"/>
        </w:rPr>
        <w:t>(“original special actions brought in the Superior Court”)</w:t>
      </w:r>
      <w:r w:rsidR="00FD49A0" w:rsidRPr="005D3C1B">
        <w:rPr>
          <w:sz w:val="28"/>
          <w:szCs w:val="28"/>
        </w:rPr>
        <w:t xml:space="preserve">. </w:t>
      </w:r>
      <w:r w:rsidR="00A511E9">
        <w:rPr>
          <w:sz w:val="28"/>
          <w:szCs w:val="28"/>
        </w:rPr>
        <w:t>To eliminate the potential conflict</w:t>
      </w:r>
      <w:r w:rsidR="00145EF5" w:rsidRPr="00B92588">
        <w:rPr>
          <w:sz w:val="28"/>
          <w:szCs w:val="28"/>
        </w:rPr>
        <w:t>, the Task Force revised and reorganized Rule 6(a). The reorganized section has three subparts: (</w:t>
      </w:r>
      <w:r w:rsidR="002151A0" w:rsidRPr="00B92588">
        <w:rPr>
          <w:sz w:val="28"/>
          <w:szCs w:val="28"/>
        </w:rPr>
        <w:t>a)(1) (“</w:t>
      </w:r>
      <w:r w:rsidR="00F37F87" w:rsidRPr="00B92588">
        <w:rPr>
          <w:sz w:val="28"/>
          <w:szCs w:val="28"/>
        </w:rPr>
        <w:t>public bodies generally”), (a)(2) (“State of Arizona”), and (a)(3) (</w:t>
      </w:r>
      <w:r w:rsidR="00A511E9" w:rsidRPr="00B92588">
        <w:rPr>
          <w:sz w:val="28"/>
          <w:szCs w:val="28"/>
        </w:rPr>
        <w:t>“private entity”).</w:t>
      </w:r>
    </w:p>
    <w:p w14:paraId="6D510B2D" w14:textId="27C90040" w:rsidR="002E5623" w:rsidRPr="005D3C1B" w:rsidRDefault="00867B16" w:rsidP="002E5623">
      <w:pPr>
        <w:pStyle w:val="Default"/>
        <w:spacing w:line="480" w:lineRule="auto"/>
        <w:ind w:firstLine="720"/>
        <w:jc w:val="both"/>
        <w:rPr>
          <w:sz w:val="28"/>
          <w:szCs w:val="28"/>
        </w:rPr>
      </w:pPr>
      <w:r w:rsidRPr="005D3C1B">
        <w:rPr>
          <w:b/>
          <w:bCs/>
          <w:sz w:val="28"/>
          <w:szCs w:val="28"/>
        </w:rPr>
        <w:t>Rule 7: “Procedures in Original Special Actions.”</w:t>
      </w:r>
      <w:r w:rsidR="00985FA3" w:rsidRPr="005D3C1B">
        <w:rPr>
          <w:sz w:val="28"/>
          <w:szCs w:val="28"/>
        </w:rPr>
        <w:t xml:space="preserve"> </w:t>
      </w:r>
      <w:r w:rsidR="002E5623" w:rsidRPr="005D3C1B">
        <w:rPr>
          <w:sz w:val="28"/>
          <w:szCs w:val="28"/>
        </w:rPr>
        <w:t xml:space="preserve">The </w:t>
      </w:r>
      <w:r w:rsidR="005D3C1B" w:rsidRPr="005D3C1B">
        <w:rPr>
          <w:sz w:val="28"/>
          <w:szCs w:val="28"/>
        </w:rPr>
        <w:t xml:space="preserve">Attorney General’s </w:t>
      </w:r>
      <w:r w:rsidR="00140B04" w:rsidRPr="005D3C1B">
        <w:rPr>
          <w:sz w:val="28"/>
          <w:szCs w:val="28"/>
        </w:rPr>
        <w:t>comment noted</w:t>
      </w:r>
      <w:r w:rsidR="002E5623" w:rsidRPr="005D3C1B">
        <w:rPr>
          <w:sz w:val="28"/>
          <w:szCs w:val="28"/>
        </w:rPr>
        <w:t xml:space="preserve"> </w:t>
      </w:r>
      <w:r w:rsidR="00DE5F1F" w:rsidRPr="005D3C1B">
        <w:rPr>
          <w:sz w:val="28"/>
          <w:szCs w:val="28"/>
        </w:rPr>
        <w:t xml:space="preserve">an </w:t>
      </w:r>
      <w:r w:rsidR="002E5623" w:rsidRPr="005D3C1B">
        <w:rPr>
          <w:sz w:val="28"/>
          <w:szCs w:val="28"/>
        </w:rPr>
        <w:t xml:space="preserve">ambiguity in Rule 7(f) (“scheduling and management”), specifically whether </w:t>
      </w:r>
      <w:r w:rsidR="00DE1C85" w:rsidRPr="005D3C1B">
        <w:rPr>
          <w:sz w:val="28"/>
          <w:szCs w:val="28"/>
        </w:rPr>
        <w:t>the</w:t>
      </w:r>
      <w:r w:rsidR="002E5623" w:rsidRPr="005D3C1B">
        <w:rPr>
          <w:sz w:val="28"/>
          <w:szCs w:val="28"/>
        </w:rPr>
        <w:t xml:space="preserve"> 30-day time limit referred to the time for scheduling </w:t>
      </w:r>
      <w:r w:rsidR="00DE1C85" w:rsidRPr="005D3C1B">
        <w:rPr>
          <w:sz w:val="28"/>
          <w:szCs w:val="28"/>
        </w:rPr>
        <w:t>a</w:t>
      </w:r>
      <w:r w:rsidR="002E5623" w:rsidRPr="005D3C1B">
        <w:rPr>
          <w:sz w:val="28"/>
          <w:szCs w:val="28"/>
        </w:rPr>
        <w:t xml:space="preserve"> hearing or </w:t>
      </w:r>
      <w:r w:rsidR="00D9693F">
        <w:rPr>
          <w:sz w:val="28"/>
          <w:szCs w:val="28"/>
        </w:rPr>
        <w:t xml:space="preserve">to </w:t>
      </w:r>
      <w:r w:rsidR="002E5623" w:rsidRPr="005D3C1B">
        <w:rPr>
          <w:sz w:val="28"/>
          <w:szCs w:val="28"/>
        </w:rPr>
        <w:t xml:space="preserve">the time for conducting the hearing. </w:t>
      </w:r>
      <w:r w:rsidR="00911951" w:rsidRPr="005D3C1B">
        <w:rPr>
          <w:sz w:val="28"/>
          <w:szCs w:val="28"/>
        </w:rPr>
        <w:t>The Task Force</w:t>
      </w:r>
      <w:r w:rsidR="002E5623" w:rsidRPr="005D3C1B">
        <w:rPr>
          <w:sz w:val="28"/>
          <w:szCs w:val="28"/>
        </w:rPr>
        <w:t xml:space="preserve"> agreed that the provision merited clarification, and </w:t>
      </w:r>
      <w:r w:rsidR="006C0A26">
        <w:rPr>
          <w:sz w:val="28"/>
          <w:szCs w:val="28"/>
        </w:rPr>
        <w:t>it</w:t>
      </w:r>
      <w:r w:rsidR="002E5623" w:rsidRPr="005D3C1B">
        <w:rPr>
          <w:sz w:val="28"/>
          <w:szCs w:val="28"/>
        </w:rPr>
        <w:t xml:space="preserve"> made these edits to section (f):</w:t>
      </w:r>
    </w:p>
    <w:p w14:paraId="3E95F825" w14:textId="77777777" w:rsidR="002E5623" w:rsidRPr="005D3C1B" w:rsidRDefault="002E5623" w:rsidP="002E5623">
      <w:pPr>
        <w:pStyle w:val="Default"/>
        <w:spacing w:line="276" w:lineRule="auto"/>
        <w:ind w:left="720"/>
        <w:jc w:val="both"/>
        <w:rPr>
          <w:rFonts w:eastAsia="Times New Roman"/>
          <w:sz w:val="28"/>
          <w:szCs w:val="28"/>
        </w:rPr>
      </w:pPr>
      <w:r w:rsidRPr="005D3C1B">
        <w:rPr>
          <w:rFonts w:eastAsia="Times New Roman"/>
          <w:sz w:val="28"/>
          <w:szCs w:val="28"/>
          <w:u w:val="single"/>
        </w:rPr>
        <w:t>The court must hold a speedy return hearing</w:t>
      </w:r>
      <w:r w:rsidRPr="005D3C1B">
        <w:rPr>
          <w:rFonts w:eastAsia="Times New Roman"/>
          <w:b/>
          <w:sz w:val="28"/>
          <w:szCs w:val="28"/>
        </w:rPr>
        <w:t xml:space="preserve"> </w:t>
      </w:r>
      <w:r w:rsidRPr="005D3C1B">
        <w:rPr>
          <w:rFonts w:eastAsia="Times New Roman"/>
          <w:strike/>
          <w:sz w:val="28"/>
          <w:szCs w:val="28"/>
        </w:rPr>
        <w:t>As soon as practicable, but</w:t>
      </w:r>
      <w:r w:rsidRPr="005D3C1B">
        <w:rPr>
          <w:rFonts w:eastAsia="Times New Roman"/>
          <w:b/>
          <w:strike/>
          <w:sz w:val="28"/>
          <w:szCs w:val="28"/>
        </w:rPr>
        <w:t xml:space="preserve"> </w:t>
      </w:r>
      <w:r w:rsidRPr="005D3C1B">
        <w:rPr>
          <w:rFonts w:eastAsia="Times New Roman"/>
          <w:sz w:val="28"/>
          <w:szCs w:val="28"/>
        </w:rPr>
        <w:t xml:space="preserve">no later than 30 days after any defendant files an answer or other appropriate response to the complaint. </w:t>
      </w:r>
      <w:r w:rsidRPr="005D3C1B">
        <w:rPr>
          <w:rFonts w:eastAsia="Times New Roman"/>
          <w:sz w:val="28"/>
          <w:szCs w:val="28"/>
          <w:u w:val="single"/>
        </w:rPr>
        <w:t>At the hearing, t</w:t>
      </w:r>
      <w:r w:rsidRPr="005D3C1B">
        <w:rPr>
          <w:rFonts w:eastAsia="Times New Roman"/>
          <w:sz w:val="28"/>
          <w:szCs w:val="28"/>
        </w:rPr>
        <w:t xml:space="preserve">he court must </w:t>
      </w:r>
      <w:r w:rsidRPr="005D3C1B">
        <w:rPr>
          <w:rFonts w:eastAsia="Times New Roman"/>
          <w:strike/>
          <w:sz w:val="28"/>
          <w:szCs w:val="28"/>
        </w:rPr>
        <w:t xml:space="preserve">schedule a speedy hearing date to </w:t>
      </w:r>
      <w:r w:rsidRPr="005D3C1B">
        <w:rPr>
          <w:rFonts w:eastAsia="Times New Roman"/>
          <w:sz w:val="28"/>
          <w:szCs w:val="28"/>
        </w:rPr>
        <w:t xml:space="preserve">determine the course of further proceedings, including what briefing, discovery, evidentiary proceedings, or hearings are needed, and </w:t>
      </w:r>
      <w:r w:rsidRPr="005D3C1B">
        <w:rPr>
          <w:rFonts w:eastAsia="Times New Roman"/>
          <w:strike/>
          <w:sz w:val="28"/>
          <w:szCs w:val="28"/>
        </w:rPr>
        <w:t xml:space="preserve">to </w:t>
      </w:r>
      <w:r w:rsidRPr="005D3C1B">
        <w:rPr>
          <w:rFonts w:eastAsia="Times New Roman"/>
          <w:sz w:val="28"/>
          <w:szCs w:val="28"/>
        </w:rPr>
        <w:t>schedule them.</w:t>
      </w:r>
    </w:p>
    <w:p w14:paraId="622648DE" w14:textId="77777777" w:rsidR="002E5623" w:rsidRPr="005D3C1B" w:rsidRDefault="002E5623" w:rsidP="002E5623">
      <w:pPr>
        <w:pStyle w:val="Default"/>
        <w:spacing w:line="276" w:lineRule="auto"/>
        <w:ind w:left="720"/>
        <w:jc w:val="both"/>
        <w:rPr>
          <w:rFonts w:eastAsia="Times New Roman"/>
          <w:sz w:val="28"/>
          <w:szCs w:val="28"/>
        </w:rPr>
      </w:pPr>
    </w:p>
    <w:p w14:paraId="0946E396" w14:textId="0C2FC407" w:rsidR="00E67908" w:rsidRPr="005D3C1B" w:rsidRDefault="00985FA3" w:rsidP="00C93340">
      <w:pPr>
        <w:pStyle w:val="Default"/>
        <w:spacing w:line="480" w:lineRule="auto"/>
        <w:ind w:firstLine="720"/>
        <w:jc w:val="both"/>
        <w:rPr>
          <w:sz w:val="28"/>
          <w:szCs w:val="28"/>
        </w:rPr>
      </w:pPr>
      <w:r w:rsidRPr="005D3C1B">
        <w:rPr>
          <w:sz w:val="28"/>
          <w:szCs w:val="28"/>
        </w:rPr>
        <w:t xml:space="preserve">The </w:t>
      </w:r>
      <w:r w:rsidR="005D3C1B" w:rsidRPr="005D3C1B">
        <w:rPr>
          <w:sz w:val="28"/>
          <w:szCs w:val="28"/>
        </w:rPr>
        <w:t>Attorney</w:t>
      </w:r>
      <w:r w:rsidR="00D40C52">
        <w:rPr>
          <w:sz w:val="28"/>
          <w:szCs w:val="28"/>
        </w:rPr>
        <w:t xml:space="preserve"> </w:t>
      </w:r>
      <w:r w:rsidR="005D3C1B" w:rsidRPr="005D3C1B">
        <w:rPr>
          <w:sz w:val="28"/>
          <w:szCs w:val="28"/>
        </w:rPr>
        <w:t xml:space="preserve">General’s </w:t>
      </w:r>
      <w:r w:rsidR="0047635E" w:rsidRPr="005D3C1B">
        <w:rPr>
          <w:sz w:val="28"/>
          <w:szCs w:val="28"/>
        </w:rPr>
        <w:t>comment</w:t>
      </w:r>
      <w:r w:rsidRPr="005D3C1B">
        <w:rPr>
          <w:sz w:val="28"/>
          <w:szCs w:val="28"/>
        </w:rPr>
        <w:t xml:space="preserve"> contended that </w:t>
      </w:r>
      <w:r w:rsidR="00FE5DD7" w:rsidRPr="005D3C1B">
        <w:rPr>
          <w:sz w:val="28"/>
          <w:szCs w:val="28"/>
        </w:rPr>
        <w:t xml:space="preserve">Rule 7(g) (“discovery generally prohibited”) </w:t>
      </w:r>
      <w:r w:rsidR="00E67908" w:rsidRPr="005D3C1B">
        <w:rPr>
          <w:sz w:val="28"/>
          <w:szCs w:val="28"/>
        </w:rPr>
        <w:t>“</w:t>
      </w:r>
      <w:r w:rsidRPr="005D3C1B">
        <w:rPr>
          <w:sz w:val="28"/>
          <w:szCs w:val="28"/>
        </w:rPr>
        <w:t xml:space="preserve">goes too far in discouraging discovery,” and that there are “countless instances in which discovery is appropriate in </w:t>
      </w:r>
      <w:r w:rsidR="00523BB9" w:rsidRPr="005D3C1B">
        <w:rPr>
          <w:sz w:val="28"/>
          <w:szCs w:val="28"/>
        </w:rPr>
        <w:t xml:space="preserve">[original] </w:t>
      </w:r>
      <w:r w:rsidRPr="005D3C1B">
        <w:rPr>
          <w:sz w:val="28"/>
          <w:szCs w:val="28"/>
        </w:rPr>
        <w:t xml:space="preserve">special actions.” The comment requested </w:t>
      </w:r>
      <w:r w:rsidR="00B120EB" w:rsidRPr="005D3C1B">
        <w:rPr>
          <w:sz w:val="28"/>
          <w:szCs w:val="28"/>
        </w:rPr>
        <w:t>modifying</w:t>
      </w:r>
      <w:r w:rsidRPr="005D3C1B">
        <w:rPr>
          <w:sz w:val="28"/>
          <w:szCs w:val="28"/>
        </w:rPr>
        <w:t xml:space="preserve"> this section </w:t>
      </w:r>
      <w:r w:rsidR="00B120EB" w:rsidRPr="005D3C1B">
        <w:rPr>
          <w:sz w:val="28"/>
          <w:szCs w:val="28"/>
        </w:rPr>
        <w:t xml:space="preserve">to </w:t>
      </w:r>
      <w:r w:rsidRPr="005D3C1B">
        <w:rPr>
          <w:sz w:val="28"/>
          <w:szCs w:val="28"/>
        </w:rPr>
        <w:t xml:space="preserve">allow discovery “upon a showing of good cause.” </w:t>
      </w:r>
      <w:r w:rsidR="00D95F94" w:rsidRPr="005D3C1B">
        <w:rPr>
          <w:sz w:val="28"/>
          <w:szCs w:val="28"/>
        </w:rPr>
        <w:t>The</w:t>
      </w:r>
      <w:r w:rsidRPr="005D3C1B">
        <w:rPr>
          <w:sz w:val="28"/>
          <w:szCs w:val="28"/>
        </w:rPr>
        <w:t xml:space="preserve"> Task Force discussed this comment in conjunction with a comment from the </w:t>
      </w:r>
      <w:r w:rsidRPr="005D3C1B">
        <w:rPr>
          <w:bCs/>
          <w:sz w:val="28"/>
          <w:szCs w:val="28"/>
        </w:rPr>
        <w:t>Goldwater Institute,</w:t>
      </w:r>
      <w:r w:rsidRPr="005D3C1B">
        <w:rPr>
          <w:sz w:val="28"/>
          <w:szCs w:val="28"/>
        </w:rPr>
        <w:t xml:space="preserve"> which contended that the proposed language in Rule 7(g) “would impair the administration of justice in special action cases that require factual development.” </w:t>
      </w:r>
    </w:p>
    <w:p w14:paraId="1DC5B810" w14:textId="1F7FEFC0" w:rsidR="00F143BB" w:rsidRPr="005D3C1B" w:rsidRDefault="00E749E0" w:rsidP="00FA304F">
      <w:pPr>
        <w:pStyle w:val="Default"/>
        <w:spacing w:line="480" w:lineRule="auto"/>
        <w:ind w:firstLine="720"/>
        <w:jc w:val="both"/>
        <w:rPr>
          <w:sz w:val="28"/>
          <w:szCs w:val="28"/>
        </w:rPr>
      </w:pPr>
      <w:r w:rsidRPr="005D3C1B">
        <w:rPr>
          <w:sz w:val="28"/>
          <w:szCs w:val="28"/>
        </w:rPr>
        <w:t>C</w:t>
      </w:r>
      <w:r w:rsidR="00985FA3" w:rsidRPr="005D3C1B">
        <w:rPr>
          <w:sz w:val="28"/>
          <w:szCs w:val="28"/>
        </w:rPr>
        <w:t xml:space="preserve">ase law </w:t>
      </w:r>
      <w:r w:rsidRPr="005D3C1B">
        <w:rPr>
          <w:sz w:val="28"/>
          <w:szCs w:val="28"/>
        </w:rPr>
        <w:t xml:space="preserve">cited in the </w:t>
      </w:r>
      <w:r w:rsidR="00E67908" w:rsidRPr="005D3C1B">
        <w:rPr>
          <w:sz w:val="28"/>
          <w:szCs w:val="28"/>
        </w:rPr>
        <w:t xml:space="preserve">proposed </w:t>
      </w:r>
      <w:r w:rsidRPr="005D3C1B">
        <w:rPr>
          <w:sz w:val="28"/>
          <w:szCs w:val="28"/>
        </w:rPr>
        <w:t xml:space="preserve">comment to Rule 7 </w:t>
      </w:r>
      <w:r w:rsidR="00985FA3" w:rsidRPr="005D3C1B">
        <w:rPr>
          <w:sz w:val="28"/>
          <w:szCs w:val="28"/>
        </w:rPr>
        <w:t>limits discovery in original special actions to “rare instances</w:t>
      </w:r>
      <w:r w:rsidRPr="005D3C1B">
        <w:rPr>
          <w:sz w:val="28"/>
          <w:szCs w:val="28"/>
        </w:rPr>
        <w:t>,</w:t>
      </w:r>
      <w:r w:rsidR="00985FA3" w:rsidRPr="005D3C1B">
        <w:rPr>
          <w:sz w:val="28"/>
          <w:szCs w:val="28"/>
        </w:rPr>
        <w:t>”</w:t>
      </w:r>
      <w:r w:rsidRPr="005D3C1B">
        <w:rPr>
          <w:sz w:val="28"/>
          <w:szCs w:val="28"/>
        </w:rPr>
        <w:t xml:space="preserve"> and </w:t>
      </w:r>
      <w:r w:rsidR="00911951" w:rsidRPr="005D3C1B">
        <w:rPr>
          <w:sz w:val="28"/>
          <w:szCs w:val="28"/>
        </w:rPr>
        <w:t>the Task Force</w:t>
      </w:r>
      <w:r w:rsidRPr="005D3C1B">
        <w:rPr>
          <w:sz w:val="28"/>
          <w:szCs w:val="28"/>
        </w:rPr>
        <w:t xml:space="preserve"> accordingly opposed adding the “good cause” standard. </w:t>
      </w:r>
      <w:r w:rsidR="00911951" w:rsidRPr="005D3C1B">
        <w:rPr>
          <w:sz w:val="28"/>
          <w:szCs w:val="28"/>
        </w:rPr>
        <w:t>The Task Force</w:t>
      </w:r>
      <w:r w:rsidR="009E02F3" w:rsidRPr="005D3C1B">
        <w:rPr>
          <w:sz w:val="28"/>
          <w:szCs w:val="28"/>
        </w:rPr>
        <w:t xml:space="preserve"> also</w:t>
      </w:r>
      <w:r w:rsidR="00985FA3" w:rsidRPr="005D3C1B">
        <w:rPr>
          <w:sz w:val="28"/>
          <w:szCs w:val="28"/>
        </w:rPr>
        <w:t xml:space="preserve"> observed that permitting more liberal discovery might result in delays in processing </w:t>
      </w:r>
      <w:r w:rsidR="00BC4C75">
        <w:rPr>
          <w:sz w:val="28"/>
          <w:szCs w:val="28"/>
        </w:rPr>
        <w:t>special actions</w:t>
      </w:r>
      <w:r w:rsidR="00985FA3" w:rsidRPr="005D3C1B">
        <w:rPr>
          <w:sz w:val="28"/>
          <w:szCs w:val="28"/>
        </w:rPr>
        <w:t xml:space="preserve">, contrary to the expedited nature of these proceedings. </w:t>
      </w:r>
    </w:p>
    <w:p w14:paraId="4B9770F0" w14:textId="218E6B6C" w:rsidR="00985FA3" w:rsidRPr="005D3C1B" w:rsidRDefault="00985FA3" w:rsidP="00FA304F">
      <w:pPr>
        <w:pStyle w:val="Default"/>
        <w:spacing w:line="480" w:lineRule="auto"/>
        <w:ind w:firstLine="720"/>
        <w:jc w:val="both"/>
        <w:rPr>
          <w:sz w:val="28"/>
          <w:szCs w:val="28"/>
        </w:rPr>
      </w:pPr>
      <w:r w:rsidRPr="005D3C1B">
        <w:rPr>
          <w:sz w:val="28"/>
          <w:szCs w:val="28"/>
        </w:rPr>
        <w:t xml:space="preserve">The </w:t>
      </w:r>
      <w:r w:rsidR="005D3C1B">
        <w:rPr>
          <w:sz w:val="28"/>
          <w:szCs w:val="28"/>
        </w:rPr>
        <w:t>Attorney General</w:t>
      </w:r>
      <w:r w:rsidRPr="005D3C1B">
        <w:rPr>
          <w:sz w:val="28"/>
          <w:szCs w:val="28"/>
        </w:rPr>
        <w:t xml:space="preserve">’s comment contended that the title </w:t>
      </w:r>
      <w:r w:rsidR="00BA71B4" w:rsidRPr="005D3C1B">
        <w:rPr>
          <w:sz w:val="28"/>
          <w:szCs w:val="28"/>
        </w:rPr>
        <w:t xml:space="preserve">of Rule 7(g) </w:t>
      </w:r>
      <w:r w:rsidR="00F4550B" w:rsidRPr="005D3C1B">
        <w:rPr>
          <w:sz w:val="28"/>
          <w:szCs w:val="28"/>
        </w:rPr>
        <w:t>—</w:t>
      </w:r>
      <w:r w:rsidR="00BA71B4" w:rsidRPr="005D3C1B">
        <w:rPr>
          <w:sz w:val="28"/>
          <w:szCs w:val="28"/>
        </w:rPr>
        <w:t xml:space="preserve"> </w:t>
      </w:r>
      <w:r w:rsidR="00E67908" w:rsidRPr="005D3C1B">
        <w:rPr>
          <w:sz w:val="28"/>
          <w:szCs w:val="28"/>
        </w:rPr>
        <w:t>“d</w:t>
      </w:r>
      <w:r w:rsidR="00C93340" w:rsidRPr="005D3C1B">
        <w:rPr>
          <w:sz w:val="28"/>
          <w:szCs w:val="28"/>
        </w:rPr>
        <w:t>iscovery generally prohibited”</w:t>
      </w:r>
      <w:r w:rsidR="00BA71B4" w:rsidRPr="005D3C1B">
        <w:rPr>
          <w:sz w:val="28"/>
          <w:szCs w:val="28"/>
        </w:rPr>
        <w:t xml:space="preserve"> </w:t>
      </w:r>
      <w:r w:rsidR="00F4550B" w:rsidRPr="005D3C1B">
        <w:rPr>
          <w:sz w:val="28"/>
          <w:szCs w:val="28"/>
        </w:rPr>
        <w:t>—</w:t>
      </w:r>
      <w:r w:rsidR="00E67908" w:rsidRPr="005D3C1B">
        <w:rPr>
          <w:sz w:val="28"/>
          <w:szCs w:val="28"/>
        </w:rPr>
        <w:t xml:space="preserve"> </w:t>
      </w:r>
      <w:r w:rsidRPr="005D3C1B">
        <w:rPr>
          <w:sz w:val="28"/>
          <w:szCs w:val="28"/>
        </w:rPr>
        <w:t xml:space="preserve">was “too strong,” and that if an issue requires discovery, discovery should not be prohibited. </w:t>
      </w:r>
      <w:r w:rsidR="00911951" w:rsidRPr="005D3C1B">
        <w:rPr>
          <w:sz w:val="28"/>
          <w:szCs w:val="28"/>
        </w:rPr>
        <w:t>The Task Force</w:t>
      </w:r>
      <w:r w:rsidRPr="005D3C1B">
        <w:rPr>
          <w:sz w:val="28"/>
          <w:szCs w:val="28"/>
        </w:rPr>
        <w:t xml:space="preserve"> agreed</w:t>
      </w:r>
      <w:r w:rsidR="003C1F06" w:rsidRPr="005D3C1B">
        <w:rPr>
          <w:sz w:val="28"/>
          <w:szCs w:val="28"/>
        </w:rPr>
        <w:t xml:space="preserve"> with this contention</w:t>
      </w:r>
      <w:r w:rsidRPr="005D3C1B">
        <w:rPr>
          <w:sz w:val="28"/>
          <w:szCs w:val="28"/>
        </w:rPr>
        <w:t xml:space="preserve"> </w:t>
      </w:r>
      <w:r w:rsidR="00C93340" w:rsidRPr="005D3C1B">
        <w:rPr>
          <w:sz w:val="28"/>
          <w:szCs w:val="28"/>
        </w:rPr>
        <w:t>and shortened the title of the section to simply “discovery.”</w:t>
      </w:r>
    </w:p>
    <w:p w14:paraId="26F25B92" w14:textId="0A1D5CDD" w:rsidR="00A350C2" w:rsidRPr="005D3C1B" w:rsidRDefault="00A350C2" w:rsidP="00FA304F">
      <w:pPr>
        <w:pStyle w:val="Default"/>
        <w:spacing w:line="480" w:lineRule="auto"/>
        <w:ind w:firstLine="720"/>
        <w:jc w:val="both"/>
        <w:rPr>
          <w:sz w:val="28"/>
          <w:szCs w:val="28"/>
        </w:rPr>
      </w:pPr>
      <w:r w:rsidRPr="005D3C1B">
        <w:rPr>
          <w:sz w:val="28"/>
          <w:szCs w:val="28"/>
        </w:rPr>
        <w:t>The</w:t>
      </w:r>
      <w:r w:rsidR="00FC3197" w:rsidRPr="005D3C1B">
        <w:rPr>
          <w:sz w:val="28"/>
          <w:szCs w:val="28"/>
        </w:rPr>
        <w:t xml:space="preserve"> </w:t>
      </w:r>
      <w:r w:rsidR="00015284" w:rsidRPr="005D3C1B">
        <w:rPr>
          <w:sz w:val="28"/>
          <w:szCs w:val="28"/>
        </w:rPr>
        <w:t xml:space="preserve">State Bar </w:t>
      </w:r>
      <w:r w:rsidRPr="005D3C1B">
        <w:rPr>
          <w:sz w:val="28"/>
          <w:szCs w:val="28"/>
        </w:rPr>
        <w:t>comment also raised an issue with section (g)</w:t>
      </w:r>
      <w:r w:rsidR="00FC3197" w:rsidRPr="005D3C1B">
        <w:rPr>
          <w:sz w:val="28"/>
          <w:szCs w:val="28"/>
        </w:rPr>
        <w:t xml:space="preserve">. </w:t>
      </w:r>
      <w:r w:rsidRPr="005D3C1B">
        <w:rPr>
          <w:sz w:val="28"/>
          <w:szCs w:val="28"/>
        </w:rPr>
        <w:t xml:space="preserve">Specifically, the State Bar proposed to add the words “and disclosure” to the final sentence of the section (i.e., </w:t>
      </w:r>
      <w:r w:rsidR="00C03140">
        <w:rPr>
          <w:sz w:val="28"/>
          <w:szCs w:val="28"/>
        </w:rPr>
        <w:t>“</w:t>
      </w:r>
      <w:r w:rsidRPr="005D3C1B">
        <w:rPr>
          <w:sz w:val="28"/>
          <w:szCs w:val="28"/>
        </w:rPr>
        <w:t xml:space="preserve">the court may issue special orders concerning discovery </w:t>
      </w:r>
      <w:r w:rsidRPr="005D3C1B">
        <w:rPr>
          <w:sz w:val="28"/>
          <w:szCs w:val="28"/>
          <w:u w:val="single"/>
        </w:rPr>
        <w:t>and disclosure</w:t>
      </w:r>
      <w:r w:rsidRPr="005D3C1B">
        <w:rPr>
          <w:sz w:val="28"/>
          <w:szCs w:val="28"/>
        </w:rPr>
        <w:t>”)</w:t>
      </w:r>
      <w:r w:rsidR="001B558D">
        <w:rPr>
          <w:sz w:val="28"/>
          <w:szCs w:val="28"/>
        </w:rPr>
        <w:t>.</w:t>
      </w:r>
      <w:r w:rsidRPr="005D3C1B">
        <w:rPr>
          <w:sz w:val="28"/>
          <w:szCs w:val="28"/>
        </w:rPr>
        <w:t xml:space="preserve"> Members noted that under Rule 7(b), the court may order any party or person to file with the court any records they possess, which is akin to disclosure; and further, the court can enter </w:t>
      </w:r>
      <w:r w:rsidR="00132211" w:rsidRPr="005D3C1B">
        <w:rPr>
          <w:sz w:val="28"/>
          <w:szCs w:val="28"/>
        </w:rPr>
        <w:t xml:space="preserve">other </w:t>
      </w:r>
      <w:r w:rsidRPr="005D3C1B">
        <w:rPr>
          <w:sz w:val="28"/>
          <w:szCs w:val="28"/>
        </w:rPr>
        <w:t xml:space="preserve">appropriate orders under Rule 7(f) (“scheduling and management”). </w:t>
      </w:r>
      <w:r w:rsidR="00DA26AD" w:rsidRPr="005D3C1B">
        <w:rPr>
          <w:sz w:val="28"/>
          <w:szCs w:val="28"/>
        </w:rPr>
        <w:t xml:space="preserve">The Task Force accordingly </w:t>
      </w:r>
      <w:r w:rsidRPr="005D3C1B">
        <w:rPr>
          <w:sz w:val="28"/>
          <w:szCs w:val="28"/>
        </w:rPr>
        <w:t xml:space="preserve">declined </w:t>
      </w:r>
      <w:r w:rsidR="00DA26AD" w:rsidRPr="005D3C1B">
        <w:rPr>
          <w:sz w:val="28"/>
          <w:szCs w:val="28"/>
        </w:rPr>
        <w:t xml:space="preserve">the </w:t>
      </w:r>
      <w:r w:rsidR="00015284" w:rsidRPr="005D3C1B">
        <w:rPr>
          <w:sz w:val="28"/>
          <w:szCs w:val="28"/>
        </w:rPr>
        <w:t xml:space="preserve">State Bar’s </w:t>
      </w:r>
      <w:r w:rsidR="00DA26AD" w:rsidRPr="005D3C1B">
        <w:rPr>
          <w:sz w:val="28"/>
          <w:szCs w:val="28"/>
        </w:rPr>
        <w:t>suggested</w:t>
      </w:r>
      <w:r w:rsidRPr="005D3C1B">
        <w:rPr>
          <w:sz w:val="28"/>
          <w:szCs w:val="28"/>
        </w:rPr>
        <w:t xml:space="preserve"> change to Rule 7(g)</w:t>
      </w:r>
      <w:r w:rsidR="00DA26AD" w:rsidRPr="005D3C1B">
        <w:rPr>
          <w:sz w:val="28"/>
          <w:szCs w:val="28"/>
        </w:rPr>
        <w:t>.</w:t>
      </w:r>
    </w:p>
    <w:p w14:paraId="308AE0B3" w14:textId="0BD06AD5" w:rsidR="00A51BFE" w:rsidRPr="005D3C1B" w:rsidRDefault="00A84FDF" w:rsidP="00FA304F">
      <w:pPr>
        <w:pStyle w:val="Default"/>
        <w:spacing w:line="480" w:lineRule="auto"/>
        <w:ind w:firstLine="720"/>
        <w:jc w:val="both"/>
        <w:rPr>
          <w:sz w:val="28"/>
          <w:szCs w:val="28"/>
        </w:rPr>
      </w:pPr>
      <w:r w:rsidRPr="005D3C1B">
        <w:rPr>
          <w:sz w:val="28"/>
          <w:szCs w:val="28"/>
        </w:rPr>
        <w:t xml:space="preserve">  </w:t>
      </w:r>
      <w:r w:rsidR="00094BA2" w:rsidRPr="005D3C1B">
        <w:rPr>
          <w:b/>
          <w:bCs/>
          <w:sz w:val="28"/>
          <w:szCs w:val="28"/>
        </w:rPr>
        <w:t>Rule XX</w:t>
      </w:r>
      <w:r w:rsidR="005C2C05" w:rsidRPr="005D3C1B">
        <w:rPr>
          <w:b/>
          <w:bCs/>
          <w:sz w:val="28"/>
          <w:szCs w:val="28"/>
        </w:rPr>
        <w:t>: “F</w:t>
      </w:r>
      <w:r w:rsidR="00B62353" w:rsidRPr="005D3C1B">
        <w:rPr>
          <w:b/>
          <w:bCs/>
          <w:sz w:val="28"/>
          <w:szCs w:val="28"/>
        </w:rPr>
        <w:t>i</w:t>
      </w:r>
      <w:r w:rsidR="005C2C05" w:rsidRPr="005D3C1B">
        <w:rPr>
          <w:b/>
          <w:bCs/>
          <w:sz w:val="28"/>
          <w:szCs w:val="28"/>
        </w:rPr>
        <w:t>ling Fees; Filing of Documents; Clerk’s Distribution of Documents.”</w:t>
      </w:r>
      <w:r w:rsidR="00A96090" w:rsidRPr="005D3C1B">
        <w:rPr>
          <w:b/>
          <w:bCs/>
          <w:sz w:val="28"/>
          <w:szCs w:val="28"/>
        </w:rPr>
        <w:t xml:space="preserve"> </w:t>
      </w:r>
      <w:r w:rsidR="00A96090" w:rsidRPr="005D3C1B">
        <w:rPr>
          <w:sz w:val="28"/>
          <w:szCs w:val="28"/>
        </w:rPr>
        <w:t xml:space="preserve">The Clerk of the </w:t>
      </w:r>
      <w:r w:rsidR="00235368" w:rsidRPr="005D3C1B">
        <w:rPr>
          <w:sz w:val="28"/>
          <w:szCs w:val="28"/>
        </w:rPr>
        <w:t>Superior Court in Maricopa County (“</w:t>
      </w:r>
      <w:r w:rsidR="00301D22" w:rsidRPr="005D3C1B">
        <w:rPr>
          <w:sz w:val="28"/>
          <w:szCs w:val="28"/>
        </w:rPr>
        <w:t xml:space="preserve">Maricopa </w:t>
      </w:r>
      <w:r w:rsidR="00B62353" w:rsidRPr="005D3C1B">
        <w:rPr>
          <w:sz w:val="28"/>
          <w:szCs w:val="28"/>
        </w:rPr>
        <w:t>Clerk</w:t>
      </w:r>
      <w:r w:rsidR="00235368" w:rsidRPr="005D3C1B">
        <w:rPr>
          <w:sz w:val="28"/>
          <w:szCs w:val="28"/>
        </w:rPr>
        <w:t xml:space="preserve">”) </w:t>
      </w:r>
      <w:r w:rsidR="00957626" w:rsidRPr="005D3C1B">
        <w:rPr>
          <w:sz w:val="28"/>
          <w:szCs w:val="28"/>
        </w:rPr>
        <w:t>maintained that</w:t>
      </w:r>
      <w:r w:rsidRPr="005D3C1B">
        <w:rPr>
          <w:sz w:val="28"/>
          <w:szCs w:val="28"/>
        </w:rPr>
        <w:t xml:space="preserve"> “</w:t>
      </w:r>
      <w:r w:rsidR="00957626" w:rsidRPr="005D3C1B">
        <w:rPr>
          <w:sz w:val="28"/>
          <w:szCs w:val="28"/>
        </w:rPr>
        <w:t>…</w:t>
      </w:r>
      <w:r w:rsidRPr="005D3C1B">
        <w:rPr>
          <w:sz w:val="28"/>
          <w:szCs w:val="28"/>
        </w:rPr>
        <w:t xml:space="preserve">it is likely prudent to address [in these rules] the filing of documents and pleadings [including the payment of filing fees] and the distribution obligations of the clerk in original special actions,” much like the Part III rules do for appellate special actions. Appended to the </w:t>
      </w:r>
      <w:r w:rsidR="00B62353" w:rsidRPr="005D3C1B">
        <w:rPr>
          <w:sz w:val="28"/>
          <w:szCs w:val="28"/>
        </w:rPr>
        <w:t>Maricopa Clerk</w:t>
      </w:r>
      <w:r w:rsidR="00223AE7" w:rsidRPr="005D3C1B">
        <w:rPr>
          <w:sz w:val="28"/>
          <w:szCs w:val="28"/>
        </w:rPr>
        <w:t>’s</w:t>
      </w:r>
      <w:r w:rsidR="00B62353" w:rsidRPr="005D3C1B">
        <w:rPr>
          <w:sz w:val="28"/>
          <w:szCs w:val="28"/>
        </w:rPr>
        <w:t xml:space="preserve"> </w:t>
      </w:r>
      <w:r w:rsidRPr="005D3C1B">
        <w:rPr>
          <w:sz w:val="28"/>
          <w:szCs w:val="28"/>
        </w:rPr>
        <w:t xml:space="preserve">comment was a proposed </w:t>
      </w:r>
      <w:r w:rsidR="003A098C" w:rsidRPr="005D3C1B">
        <w:rPr>
          <w:sz w:val="28"/>
          <w:szCs w:val="28"/>
        </w:rPr>
        <w:t xml:space="preserve">Part II </w:t>
      </w:r>
      <w:r w:rsidRPr="005D3C1B">
        <w:rPr>
          <w:sz w:val="28"/>
          <w:szCs w:val="28"/>
        </w:rPr>
        <w:t>rule (“Rule XX”)</w:t>
      </w:r>
      <w:r w:rsidR="00AA7475" w:rsidRPr="005D3C1B">
        <w:rPr>
          <w:sz w:val="28"/>
          <w:szCs w:val="28"/>
        </w:rPr>
        <w:t xml:space="preserve">, which </w:t>
      </w:r>
      <w:r w:rsidRPr="005D3C1B">
        <w:rPr>
          <w:sz w:val="28"/>
          <w:szCs w:val="28"/>
        </w:rPr>
        <w:t xml:space="preserve">was more than a page in length and provided those details. The rational for the </w:t>
      </w:r>
      <w:r w:rsidR="00963626" w:rsidRPr="005D3C1B">
        <w:rPr>
          <w:sz w:val="28"/>
          <w:szCs w:val="28"/>
        </w:rPr>
        <w:t>Maricopa Clerk</w:t>
      </w:r>
      <w:r w:rsidR="000F71C5" w:rsidRPr="005D3C1B">
        <w:rPr>
          <w:sz w:val="28"/>
          <w:szCs w:val="28"/>
        </w:rPr>
        <w:t xml:space="preserve">’s </w:t>
      </w:r>
      <w:r w:rsidRPr="005D3C1B">
        <w:rPr>
          <w:sz w:val="28"/>
          <w:szCs w:val="28"/>
        </w:rPr>
        <w:t xml:space="preserve">proposed rule </w:t>
      </w:r>
      <w:r w:rsidR="006B13EB" w:rsidRPr="005D3C1B">
        <w:rPr>
          <w:sz w:val="28"/>
          <w:szCs w:val="28"/>
        </w:rPr>
        <w:t>was</w:t>
      </w:r>
      <w:r w:rsidRPr="005D3C1B">
        <w:rPr>
          <w:sz w:val="28"/>
          <w:szCs w:val="28"/>
        </w:rPr>
        <w:t xml:space="preserve"> sensible, although depending on its location within the rule set, </w:t>
      </w:r>
      <w:r w:rsidR="006B13EB" w:rsidRPr="005D3C1B">
        <w:rPr>
          <w:sz w:val="28"/>
          <w:szCs w:val="28"/>
        </w:rPr>
        <w:t xml:space="preserve">adding </w:t>
      </w:r>
      <w:r w:rsidRPr="005D3C1B">
        <w:rPr>
          <w:sz w:val="28"/>
          <w:szCs w:val="28"/>
        </w:rPr>
        <w:t xml:space="preserve">it would </w:t>
      </w:r>
      <w:r w:rsidR="0020408D" w:rsidRPr="005D3C1B">
        <w:rPr>
          <w:sz w:val="28"/>
          <w:szCs w:val="28"/>
        </w:rPr>
        <w:t>require</w:t>
      </w:r>
      <w:r w:rsidRPr="005D3C1B">
        <w:rPr>
          <w:sz w:val="28"/>
          <w:szCs w:val="28"/>
        </w:rPr>
        <w:t xml:space="preserve"> renumbering of </w:t>
      </w:r>
      <w:r w:rsidR="00675D9E" w:rsidRPr="005D3C1B">
        <w:rPr>
          <w:sz w:val="28"/>
          <w:szCs w:val="28"/>
        </w:rPr>
        <w:t xml:space="preserve">every subsequent </w:t>
      </w:r>
      <w:r w:rsidRPr="005D3C1B">
        <w:rPr>
          <w:sz w:val="28"/>
          <w:szCs w:val="28"/>
        </w:rPr>
        <w:t>rule</w:t>
      </w:r>
      <w:r w:rsidR="00675D9E" w:rsidRPr="005D3C1B">
        <w:rPr>
          <w:sz w:val="28"/>
          <w:szCs w:val="28"/>
        </w:rPr>
        <w:t xml:space="preserve"> </w:t>
      </w:r>
      <w:r w:rsidR="00CA6DB8" w:rsidRPr="005D3C1B">
        <w:rPr>
          <w:sz w:val="28"/>
          <w:szCs w:val="28"/>
        </w:rPr>
        <w:t>as well as</w:t>
      </w:r>
      <w:r w:rsidR="00675D9E" w:rsidRPr="005D3C1B">
        <w:rPr>
          <w:sz w:val="28"/>
          <w:szCs w:val="28"/>
        </w:rPr>
        <w:t xml:space="preserve"> </w:t>
      </w:r>
      <w:r w:rsidR="00097888" w:rsidRPr="005D3C1B">
        <w:rPr>
          <w:sz w:val="28"/>
          <w:szCs w:val="28"/>
        </w:rPr>
        <w:t xml:space="preserve">renumbering </w:t>
      </w:r>
      <w:r w:rsidR="00675D9E" w:rsidRPr="005D3C1B">
        <w:rPr>
          <w:sz w:val="28"/>
          <w:szCs w:val="28"/>
        </w:rPr>
        <w:t xml:space="preserve">multiple cross-references </w:t>
      </w:r>
      <w:r w:rsidR="00CA6DB8" w:rsidRPr="005D3C1B">
        <w:rPr>
          <w:sz w:val="28"/>
          <w:szCs w:val="28"/>
        </w:rPr>
        <w:t xml:space="preserve">throughout these </w:t>
      </w:r>
      <w:r w:rsidR="00675D9E" w:rsidRPr="005D3C1B">
        <w:rPr>
          <w:sz w:val="28"/>
          <w:szCs w:val="28"/>
        </w:rPr>
        <w:t>rules</w:t>
      </w:r>
      <w:r w:rsidRPr="005D3C1B">
        <w:rPr>
          <w:sz w:val="28"/>
          <w:szCs w:val="28"/>
        </w:rPr>
        <w:t xml:space="preserve">. More significantly, adding an entirely new </w:t>
      </w:r>
      <w:r w:rsidR="001B328B" w:rsidRPr="005D3C1B">
        <w:rPr>
          <w:sz w:val="28"/>
          <w:szCs w:val="28"/>
        </w:rPr>
        <w:t xml:space="preserve">and lengthy </w:t>
      </w:r>
      <w:r w:rsidRPr="005D3C1B">
        <w:rPr>
          <w:sz w:val="28"/>
          <w:szCs w:val="28"/>
        </w:rPr>
        <w:t xml:space="preserve">rule at this time, after the public comment period in R-23-0055 had closed, would deprive the public of an opportunity to provide feedback concerning these new provisions. </w:t>
      </w:r>
      <w:r w:rsidR="00F24B05" w:rsidRPr="005D3C1B">
        <w:rPr>
          <w:sz w:val="28"/>
          <w:szCs w:val="28"/>
        </w:rPr>
        <w:t xml:space="preserve">The Task Force </w:t>
      </w:r>
      <w:r w:rsidR="00136ACD" w:rsidRPr="005D3C1B">
        <w:rPr>
          <w:sz w:val="28"/>
          <w:szCs w:val="28"/>
        </w:rPr>
        <w:t xml:space="preserve">therefore </w:t>
      </w:r>
      <w:r w:rsidR="00F24B05" w:rsidRPr="005D3C1B">
        <w:rPr>
          <w:sz w:val="28"/>
          <w:szCs w:val="28"/>
        </w:rPr>
        <w:t>declined to add</w:t>
      </w:r>
      <w:r w:rsidR="00136ACD" w:rsidRPr="005D3C1B">
        <w:rPr>
          <w:sz w:val="28"/>
          <w:szCs w:val="28"/>
        </w:rPr>
        <w:t xml:space="preserve"> the </w:t>
      </w:r>
      <w:r w:rsidR="00963626" w:rsidRPr="005D3C1B">
        <w:rPr>
          <w:sz w:val="28"/>
          <w:szCs w:val="28"/>
        </w:rPr>
        <w:t>Maricopa Clerk</w:t>
      </w:r>
      <w:r w:rsidR="00136ACD" w:rsidRPr="005D3C1B">
        <w:rPr>
          <w:sz w:val="28"/>
          <w:szCs w:val="28"/>
        </w:rPr>
        <w:t>’s proposed new rule</w:t>
      </w:r>
      <w:r w:rsidR="00BC4C75">
        <w:rPr>
          <w:sz w:val="28"/>
          <w:szCs w:val="28"/>
        </w:rPr>
        <w:t xml:space="preserve"> at this particular stage of the rule petition process</w:t>
      </w:r>
      <w:r w:rsidR="00136ACD" w:rsidRPr="005D3C1B">
        <w:rPr>
          <w:sz w:val="28"/>
          <w:szCs w:val="28"/>
        </w:rPr>
        <w:t>.</w:t>
      </w:r>
    </w:p>
    <w:p w14:paraId="4A2EABC3" w14:textId="544895BF" w:rsidR="002942A4" w:rsidRPr="005D3C1B" w:rsidRDefault="002942A4" w:rsidP="00FA304F">
      <w:pPr>
        <w:pStyle w:val="Default"/>
        <w:spacing w:line="480" w:lineRule="auto"/>
        <w:ind w:firstLine="720"/>
        <w:jc w:val="both"/>
        <w:rPr>
          <w:b/>
          <w:bCs/>
          <w:sz w:val="28"/>
          <w:szCs w:val="28"/>
        </w:rPr>
      </w:pPr>
      <w:r w:rsidRPr="005D3C1B">
        <w:rPr>
          <w:b/>
          <w:bCs/>
          <w:sz w:val="28"/>
          <w:szCs w:val="28"/>
        </w:rPr>
        <w:t xml:space="preserve">References to </w:t>
      </w:r>
      <w:r w:rsidR="00D95F8F" w:rsidRPr="005D3C1B">
        <w:rPr>
          <w:b/>
          <w:bCs/>
          <w:sz w:val="28"/>
          <w:szCs w:val="28"/>
        </w:rPr>
        <w:t>O</w:t>
      </w:r>
      <w:r w:rsidR="00933304" w:rsidRPr="005D3C1B">
        <w:rPr>
          <w:b/>
          <w:bCs/>
          <w:sz w:val="28"/>
          <w:szCs w:val="28"/>
        </w:rPr>
        <w:t xml:space="preserve">ther Civil Rules. </w:t>
      </w:r>
      <w:r w:rsidR="00933304" w:rsidRPr="005D3C1B">
        <w:rPr>
          <w:sz w:val="28"/>
          <w:szCs w:val="28"/>
        </w:rPr>
        <w:t xml:space="preserve">The Goldwater Institute’s comment also proposed adding a rule in Part II that incorporated by reference portions of </w:t>
      </w:r>
      <w:r w:rsidR="002F6777">
        <w:rPr>
          <w:sz w:val="28"/>
          <w:szCs w:val="28"/>
        </w:rPr>
        <w:t xml:space="preserve">the </w:t>
      </w:r>
      <w:r w:rsidR="00933304" w:rsidRPr="005D3C1B">
        <w:rPr>
          <w:sz w:val="28"/>
          <w:szCs w:val="28"/>
        </w:rPr>
        <w:t xml:space="preserve">Civil Rules. The comment contended that doing so would parallel proposed Rule 10(a) </w:t>
      </w:r>
      <w:r w:rsidR="00315205" w:rsidRPr="005D3C1B">
        <w:rPr>
          <w:sz w:val="28"/>
          <w:szCs w:val="28"/>
        </w:rPr>
        <w:t>(“</w:t>
      </w:r>
      <w:r w:rsidR="005E223F" w:rsidRPr="005D3C1B">
        <w:rPr>
          <w:sz w:val="28"/>
          <w:szCs w:val="28"/>
        </w:rPr>
        <w:t xml:space="preserve">other rules applicable”) </w:t>
      </w:r>
      <w:r w:rsidR="00933304" w:rsidRPr="005D3C1B">
        <w:rPr>
          <w:sz w:val="28"/>
          <w:szCs w:val="28"/>
        </w:rPr>
        <w:t>in Part III, which refers to the ARCAP and SCRAP rules</w:t>
      </w:r>
      <w:r w:rsidR="003B3580" w:rsidRPr="005D3C1B">
        <w:rPr>
          <w:sz w:val="28"/>
          <w:szCs w:val="28"/>
        </w:rPr>
        <w:t xml:space="preserve">, and </w:t>
      </w:r>
      <w:r w:rsidR="00CB161A" w:rsidRPr="005D3C1B">
        <w:rPr>
          <w:sz w:val="28"/>
          <w:szCs w:val="28"/>
        </w:rPr>
        <w:t xml:space="preserve">that this new Part II rule </w:t>
      </w:r>
      <w:r w:rsidR="003B3580" w:rsidRPr="005D3C1B">
        <w:rPr>
          <w:sz w:val="28"/>
          <w:szCs w:val="28"/>
        </w:rPr>
        <w:t xml:space="preserve">would fill gaps in </w:t>
      </w:r>
      <w:r w:rsidR="008426B9" w:rsidRPr="005D3C1B">
        <w:rPr>
          <w:sz w:val="28"/>
          <w:szCs w:val="28"/>
        </w:rPr>
        <w:t xml:space="preserve">original </w:t>
      </w:r>
      <w:r w:rsidR="003B3580" w:rsidRPr="005D3C1B">
        <w:rPr>
          <w:sz w:val="28"/>
          <w:szCs w:val="28"/>
        </w:rPr>
        <w:t>special action procedures</w:t>
      </w:r>
      <w:r w:rsidR="003F6B19" w:rsidRPr="005D3C1B">
        <w:rPr>
          <w:sz w:val="28"/>
          <w:szCs w:val="28"/>
        </w:rPr>
        <w:t xml:space="preserve"> in th</w:t>
      </w:r>
      <w:r w:rsidR="003F6B19" w:rsidRPr="001E15F3">
        <w:rPr>
          <w:sz w:val="28"/>
          <w:szCs w:val="28"/>
        </w:rPr>
        <w:t>e Superior Court</w:t>
      </w:r>
      <w:r w:rsidR="003B3580" w:rsidRPr="001E15F3">
        <w:rPr>
          <w:sz w:val="28"/>
          <w:szCs w:val="28"/>
        </w:rPr>
        <w:t xml:space="preserve">. </w:t>
      </w:r>
      <w:r w:rsidR="00C70CBB">
        <w:rPr>
          <w:sz w:val="28"/>
          <w:szCs w:val="28"/>
        </w:rPr>
        <w:t>The</w:t>
      </w:r>
      <w:r w:rsidR="00B07CD6" w:rsidRPr="001E15F3">
        <w:rPr>
          <w:sz w:val="28"/>
          <w:szCs w:val="28"/>
        </w:rPr>
        <w:t xml:space="preserve"> Task Force declined to adopt this proposal</w:t>
      </w:r>
      <w:r w:rsidR="00933304" w:rsidRPr="001E15F3">
        <w:rPr>
          <w:sz w:val="28"/>
          <w:szCs w:val="28"/>
        </w:rPr>
        <w:t>.</w:t>
      </w:r>
      <w:r w:rsidR="00933304" w:rsidRPr="005D3C1B">
        <w:rPr>
          <w:b/>
          <w:bCs/>
          <w:sz w:val="28"/>
          <w:szCs w:val="28"/>
        </w:rPr>
        <w:t xml:space="preserve">  </w:t>
      </w:r>
    </w:p>
    <w:p w14:paraId="0BD39071" w14:textId="38C071C2" w:rsidR="003265C0" w:rsidRPr="005D3C1B" w:rsidRDefault="003265C0" w:rsidP="003265C0">
      <w:pPr>
        <w:pStyle w:val="ListParagraph"/>
        <w:numPr>
          <w:ilvl w:val="0"/>
          <w:numId w:val="26"/>
        </w:numPr>
        <w:spacing w:line="480" w:lineRule="auto"/>
        <w:jc w:val="both"/>
        <w:rPr>
          <w:b/>
          <w:bCs/>
          <w:sz w:val="28"/>
          <w:szCs w:val="28"/>
        </w:rPr>
      </w:pPr>
      <w:r w:rsidRPr="005D3C1B">
        <w:rPr>
          <w:b/>
          <w:bCs/>
          <w:sz w:val="28"/>
          <w:szCs w:val="28"/>
        </w:rPr>
        <w:t>PART III. A</w:t>
      </w:r>
      <w:r w:rsidR="006E0AB5" w:rsidRPr="005D3C1B">
        <w:rPr>
          <w:b/>
          <w:bCs/>
          <w:sz w:val="28"/>
          <w:szCs w:val="28"/>
        </w:rPr>
        <w:t>PPELLATE</w:t>
      </w:r>
      <w:r w:rsidRPr="005D3C1B">
        <w:rPr>
          <w:b/>
          <w:bCs/>
          <w:sz w:val="28"/>
          <w:szCs w:val="28"/>
        </w:rPr>
        <w:t xml:space="preserve"> SPECIAL ACTIONS</w:t>
      </w:r>
    </w:p>
    <w:p w14:paraId="0E88B299" w14:textId="7FA5A3F6" w:rsidR="00DB05F0" w:rsidRPr="005D3C1B" w:rsidRDefault="006A3433" w:rsidP="001A0BB5">
      <w:pPr>
        <w:pStyle w:val="Default"/>
        <w:spacing w:line="480" w:lineRule="auto"/>
        <w:ind w:firstLine="720"/>
        <w:jc w:val="both"/>
        <w:rPr>
          <w:sz w:val="28"/>
          <w:szCs w:val="28"/>
        </w:rPr>
      </w:pPr>
      <w:r w:rsidRPr="005D3C1B">
        <w:rPr>
          <w:b/>
          <w:bCs/>
          <w:sz w:val="28"/>
          <w:szCs w:val="28"/>
        </w:rPr>
        <w:t>Rule 10:</w:t>
      </w:r>
      <w:r w:rsidR="00FA304F" w:rsidRPr="005D3C1B">
        <w:rPr>
          <w:b/>
          <w:bCs/>
          <w:sz w:val="28"/>
          <w:szCs w:val="28"/>
        </w:rPr>
        <w:t xml:space="preserve"> “</w:t>
      </w:r>
      <w:r w:rsidRPr="005D3C1B">
        <w:rPr>
          <w:b/>
          <w:bCs/>
          <w:sz w:val="28"/>
          <w:szCs w:val="28"/>
        </w:rPr>
        <w:t>General Provisions for Appellate Special Actions.</w:t>
      </w:r>
      <w:r w:rsidR="00FA304F" w:rsidRPr="005D3C1B">
        <w:rPr>
          <w:b/>
          <w:bCs/>
          <w:sz w:val="28"/>
          <w:szCs w:val="28"/>
        </w:rPr>
        <w:t>”</w:t>
      </w:r>
      <w:r w:rsidR="00E47FD1" w:rsidRPr="005D3C1B">
        <w:rPr>
          <w:b/>
          <w:bCs/>
          <w:sz w:val="28"/>
          <w:szCs w:val="28"/>
        </w:rPr>
        <w:t xml:space="preserve"> </w:t>
      </w:r>
      <w:r w:rsidR="00E47FD1" w:rsidRPr="005D3C1B">
        <w:rPr>
          <w:sz w:val="28"/>
          <w:szCs w:val="28"/>
        </w:rPr>
        <w:t xml:space="preserve">The </w:t>
      </w:r>
      <w:r w:rsidR="005D3C1B" w:rsidRPr="005D3C1B">
        <w:rPr>
          <w:sz w:val="28"/>
          <w:szCs w:val="28"/>
        </w:rPr>
        <w:t xml:space="preserve">Attorney General </w:t>
      </w:r>
      <w:r w:rsidR="00E47FD1" w:rsidRPr="005D3C1B">
        <w:rPr>
          <w:sz w:val="28"/>
          <w:szCs w:val="28"/>
        </w:rPr>
        <w:t>questioned a provision in Rule 10(e)</w:t>
      </w:r>
      <w:r w:rsidR="000A18AC" w:rsidRPr="005D3C1B">
        <w:rPr>
          <w:sz w:val="28"/>
          <w:szCs w:val="28"/>
        </w:rPr>
        <w:t xml:space="preserve"> (</w:t>
      </w:r>
      <w:r w:rsidR="008F7AF3" w:rsidRPr="005D3C1B">
        <w:rPr>
          <w:sz w:val="28"/>
          <w:szCs w:val="28"/>
        </w:rPr>
        <w:t>“exercising special action jurisdiction in a direct appeal”)</w:t>
      </w:r>
      <w:r w:rsidR="00E47FD1" w:rsidRPr="005D3C1B">
        <w:rPr>
          <w:sz w:val="28"/>
          <w:szCs w:val="28"/>
        </w:rPr>
        <w:t xml:space="preserve"> that allows the court to treat an appeal as a special action. The </w:t>
      </w:r>
      <w:r w:rsidR="005D3C1B" w:rsidRPr="005D3C1B">
        <w:rPr>
          <w:sz w:val="28"/>
          <w:szCs w:val="28"/>
        </w:rPr>
        <w:t xml:space="preserve">Attorney General </w:t>
      </w:r>
      <w:r w:rsidR="00E47FD1" w:rsidRPr="005D3C1B">
        <w:rPr>
          <w:sz w:val="28"/>
          <w:szCs w:val="28"/>
        </w:rPr>
        <w:t xml:space="preserve">suggested adding language that would provide “a clear procedure and standard” </w:t>
      </w:r>
      <w:r w:rsidR="00B71327" w:rsidRPr="005D3C1B">
        <w:rPr>
          <w:sz w:val="28"/>
          <w:szCs w:val="28"/>
        </w:rPr>
        <w:t xml:space="preserve">for doing so. </w:t>
      </w:r>
      <w:r w:rsidR="00E47FD1" w:rsidRPr="005D3C1B">
        <w:rPr>
          <w:sz w:val="28"/>
          <w:szCs w:val="28"/>
        </w:rPr>
        <w:t xml:space="preserve">As an acknowledgment of the </w:t>
      </w:r>
      <w:r w:rsidR="005D3C1B" w:rsidRPr="005D3C1B">
        <w:rPr>
          <w:sz w:val="28"/>
          <w:szCs w:val="28"/>
        </w:rPr>
        <w:t xml:space="preserve">Attorney General’s </w:t>
      </w:r>
      <w:r w:rsidR="00E47FD1" w:rsidRPr="005D3C1B">
        <w:rPr>
          <w:sz w:val="28"/>
          <w:szCs w:val="28"/>
        </w:rPr>
        <w:t xml:space="preserve">concern, </w:t>
      </w:r>
      <w:r w:rsidR="00911951" w:rsidRPr="005D3C1B">
        <w:rPr>
          <w:sz w:val="28"/>
          <w:szCs w:val="28"/>
        </w:rPr>
        <w:t>the Task Force</w:t>
      </w:r>
      <w:r w:rsidR="00E47FD1" w:rsidRPr="005D3C1B">
        <w:rPr>
          <w:sz w:val="28"/>
          <w:szCs w:val="28"/>
        </w:rPr>
        <w:t xml:space="preserve"> added to Rule 10(e) that if the court on its own initiative treats an appeal as a special action, it may do so only “with notice to the parties.” This presumably will allow a party to object to the court’s exercise of special action jurisdiction, although the added provision would not require the appellate court to order additional briefing on the issue.  </w:t>
      </w:r>
    </w:p>
    <w:p w14:paraId="71DEFDC5" w14:textId="109023EF" w:rsidR="003D2F50" w:rsidRPr="005D3C1B" w:rsidRDefault="00E47FD1" w:rsidP="003D2F50">
      <w:pPr>
        <w:pStyle w:val="Default"/>
        <w:spacing w:line="480" w:lineRule="auto"/>
        <w:ind w:firstLine="720"/>
        <w:jc w:val="both"/>
        <w:rPr>
          <w:sz w:val="28"/>
          <w:szCs w:val="28"/>
        </w:rPr>
      </w:pPr>
      <w:r w:rsidRPr="005D3C1B">
        <w:rPr>
          <w:sz w:val="28"/>
          <w:szCs w:val="28"/>
        </w:rPr>
        <w:t xml:space="preserve">As a further refinement, </w:t>
      </w:r>
      <w:r w:rsidR="00911951" w:rsidRPr="005D3C1B">
        <w:rPr>
          <w:sz w:val="28"/>
          <w:szCs w:val="28"/>
        </w:rPr>
        <w:t>the Task Force</w:t>
      </w:r>
      <w:r w:rsidRPr="005D3C1B">
        <w:rPr>
          <w:sz w:val="28"/>
          <w:szCs w:val="28"/>
        </w:rPr>
        <w:t xml:space="preserve"> </w:t>
      </w:r>
      <w:r w:rsidR="00F63760" w:rsidRPr="005D3C1B">
        <w:rPr>
          <w:sz w:val="28"/>
          <w:szCs w:val="28"/>
        </w:rPr>
        <w:t xml:space="preserve">on its own initiative </w:t>
      </w:r>
      <w:r w:rsidRPr="005D3C1B">
        <w:rPr>
          <w:sz w:val="28"/>
          <w:szCs w:val="28"/>
        </w:rPr>
        <w:t xml:space="preserve">modified Rule 10(e) by adding that the court may treat the appeal as a special action and accept special action jurisdiction “consistent with Rule 11.” This would require the appellate court’s </w:t>
      </w:r>
      <w:r w:rsidR="001A0BB5" w:rsidRPr="005D3C1B">
        <w:rPr>
          <w:sz w:val="28"/>
          <w:szCs w:val="28"/>
        </w:rPr>
        <w:t xml:space="preserve">acceptance of special action jurisdiction of </w:t>
      </w:r>
      <w:r w:rsidRPr="005D3C1B">
        <w:rPr>
          <w:sz w:val="28"/>
          <w:szCs w:val="28"/>
        </w:rPr>
        <w:t xml:space="preserve">the appeal to be compatible with the Rule 11 factors. </w:t>
      </w:r>
      <w:r w:rsidR="001A0BB5" w:rsidRPr="005D3C1B">
        <w:rPr>
          <w:sz w:val="28"/>
          <w:szCs w:val="28"/>
        </w:rPr>
        <w:t>N</w:t>
      </w:r>
      <w:r w:rsidRPr="005D3C1B">
        <w:rPr>
          <w:sz w:val="28"/>
          <w:szCs w:val="28"/>
        </w:rPr>
        <w:t xml:space="preserve">otwithstanding these modifications to Rule 10(e), the underlying statutory provision (A.R.S. § 12-120.21(A)(4)) will continue to be foundational.  </w:t>
      </w:r>
    </w:p>
    <w:p w14:paraId="6C68EFD2" w14:textId="66C6D303" w:rsidR="00502490" w:rsidRDefault="003D2F50" w:rsidP="0085709E">
      <w:pPr>
        <w:pStyle w:val="Default"/>
        <w:spacing w:line="480" w:lineRule="auto"/>
        <w:ind w:firstLine="720"/>
        <w:jc w:val="both"/>
        <w:rPr>
          <w:sz w:val="28"/>
          <w:szCs w:val="28"/>
        </w:rPr>
      </w:pPr>
      <w:r w:rsidRPr="005D3C1B">
        <w:rPr>
          <w:b/>
          <w:bCs/>
          <w:sz w:val="28"/>
          <w:szCs w:val="28"/>
        </w:rPr>
        <w:t>R</w:t>
      </w:r>
      <w:r w:rsidR="0028582F" w:rsidRPr="005D3C1B">
        <w:rPr>
          <w:b/>
          <w:bCs/>
          <w:sz w:val="28"/>
          <w:szCs w:val="28"/>
        </w:rPr>
        <w:t xml:space="preserve">ule 11: “Factors for Accepting or Declining Jurisdiction of Appellate Special Actions.” </w:t>
      </w:r>
      <w:r w:rsidR="00A7322E" w:rsidRPr="005D3C1B">
        <w:rPr>
          <w:sz w:val="28"/>
          <w:szCs w:val="28"/>
        </w:rPr>
        <w:t xml:space="preserve">The comments from Mr. Nomkin and Judge Catlett, and a portion of the </w:t>
      </w:r>
      <w:r w:rsidR="005D3C1B" w:rsidRPr="005D3C1B">
        <w:rPr>
          <w:sz w:val="28"/>
          <w:szCs w:val="28"/>
        </w:rPr>
        <w:t xml:space="preserve">Attorney General’s </w:t>
      </w:r>
      <w:r w:rsidR="00A7322E" w:rsidRPr="005D3C1B">
        <w:rPr>
          <w:sz w:val="28"/>
          <w:szCs w:val="28"/>
        </w:rPr>
        <w:t xml:space="preserve">comment, raised a similar concern. The concern </w:t>
      </w:r>
      <w:r w:rsidR="00A46343" w:rsidRPr="005D3C1B">
        <w:rPr>
          <w:sz w:val="28"/>
          <w:szCs w:val="28"/>
        </w:rPr>
        <w:t xml:space="preserve">focused on </w:t>
      </w:r>
      <w:r w:rsidR="00A7322E" w:rsidRPr="005D3C1B">
        <w:rPr>
          <w:sz w:val="28"/>
          <w:szCs w:val="28"/>
        </w:rPr>
        <w:t xml:space="preserve">the omission </w:t>
      </w:r>
      <w:r w:rsidR="00BC0209" w:rsidRPr="005D3C1B">
        <w:rPr>
          <w:sz w:val="28"/>
          <w:szCs w:val="28"/>
        </w:rPr>
        <w:t xml:space="preserve">from </w:t>
      </w:r>
      <w:r w:rsidR="00A7322E" w:rsidRPr="005D3C1B">
        <w:rPr>
          <w:sz w:val="28"/>
          <w:szCs w:val="28"/>
        </w:rPr>
        <w:t xml:space="preserve">the proposed rules of </w:t>
      </w:r>
      <w:r w:rsidR="00BC0209" w:rsidRPr="005D3C1B">
        <w:rPr>
          <w:sz w:val="28"/>
          <w:szCs w:val="28"/>
        </w:rPr>
        <w:t xml:space="preserve">the </w:t>
      </w:r>
      <w:r w:rsidR="00F90147" w:rsidRPr="005D3C1B">
        <w:rPr>
          <w:sz w:val="28"/>
          <w:szCs w:val="28"/>
        </w:rPr>
        <w:t>phrase “</w:t>
      </w:r>
      <w:r w:rsidR="00A7322E" w:rsidRPr="005D3C1B">
        <w:rPr>
          <w:sz w:val="28"/>
          <w:szCs w:val="28"/>
        </w:rPr>
        <w:t>plain, speedy, and adequate remedy by appeal,” which appear</w:t>
      </w:r>
      <w:r w:rsidR="00B74E9C" w:rsidRPr="005D3C1B">
        <w:rPr>
          <w:sz w:val="28"/>
          <w:szCs w:val="28"/>
        </w:rPr>
        <w:t>s</w:t>
      </w:r>
      <w:r w:rsidR="00A7322E" w:rsidRPr="005D3C1B">
        <w:rPr>
          <w:sz w:val="28"/>
          <w:szCs w:val="28"/>
        </w:rPr>
        <w:t xml:space="preserve"> in current Rules 1(a) and 8(b)</w:t>
      </w:r>
      <w:r w:rsidR="00BC0209" w:rsidRPr="005D3C1B">
        <w:rPr>
          <w:sz w:val="28"/>
          <w:szCs w:val="28"/>
        </w:rPr>
        <w:t>.</w:t>
      </w:r>
      <w:r w:rsidR="00A46343" w:rsidRPr="005D3C1B">
        <w:rPr>
          <w:sz w:val="28"/>
          <w:szCs w:val="28"/>
        </w:rPr>
        <w:t xml:space="preserve"> </w:t>
      </w:r>
      <w:r w:rsidR="00A7322E" w:rsidRPr="005D3C1B">
        <w:rPr>
          <w:sz w:val="28"/>
          <w:szCs w:val="28"/>
        </w:rPr>
        <w:t xml:space="preserve">Judge Catlett’s comment contained an extensive analysis of this requirement, including a history of equitable writs in Arizona. All three comments </w:t>
      </w:r>
      <w:r w:rsidR="00BF2CE4" w:rsidRPr="005D3C1B">
        <w:rPr>
          <w:sz w:val="28"/>
          <w:szCs w:val="28"/>
        </w:rPr>
        <w:t>argued for the necessity of including this omitted phrase</w:t>
      </w:r>
      <w:r w:rsidR="00F440C6">
        <w:rPr>
          <w:sz w:val="28"/>
          <w:szCs w:val="28"/>
        </w:rPr>
        <w:t xml:space="preserve"> (or at least including “adequate remedy by appeal”)</w:t>
      </w:r>
      <w:r w:rsidR="00BF2CE4" w:rsidRPr="005D3C1B">
        <w:rPr>
          <w:sz w:val="28"/>
          <w:szCs w:val="28"/>
        </w:rPr>
        <w:t xml:space="preserve">. </w:t>
      </w:r>
    </w:p>
    <w:p w14:paraId="039F22A0" w14:textId="749A0B61" w:rsidR="00A7322E" w:rsidRPr="005D3C1B" w:rsidRDefault="00E165B5" w:rsidP="00C95D7D">
      <w:pPr>
        <w:pStyle w:val="Default"/>
        <w:spacing w:line="480" w:lineRule="auto"/>
        <w:ind w:firstLine="720"/>
        <w:jc w:val="both"/>
        <w:rPr>
          <w:sz w:val="28"/>
          <w:szCs w:val="28"/>
        </w:rPr>
      </w:pPr>
      <w:r w:rsidRPr="005D3C1B">
        <w:rPr>
          <w:sz w:val="28"/>
          <w:szCs w:val="28"/>
        </w:rPr>
        <w:t>The Task Force</w:t>
      </w:r>
      <w:r w:rsidR="00A7322E" w:rsidRPr="005D3C1B">
        <w:rPr>
          <w:sz w:val="28"/>
          <w:szCs w:val="28"/>
        </w:rPr>
        <w:t xml:space="preserve"> acknowledged the merit of these comments and </w:t>
      </w:r>
      <w:r w:rsidR="00424BC1" w:rsidRPr="005D3C1B">
        <w:rPr>
          <w:sz w:val="28"/>
          <w:szCs w:val="28"/>
        </w:rPr>
        <w:t xml:space="preserve">the need to </w:t>
      </w:r>
      <w:r w:rsidR="00A7322E" w:rsidRPr="005D3C1B">
        <w:rPr>
          <w:sz w:val="28"/>
          <w:szCs w:val="28"/>
        </w:rPr>
        <w:t xml:space="preserve">address this concern. </w:t>
      </w:r>
      <w:r w:rsidR="000B2392" w:rsidRPr="005D3C1B">
        <w:rPr>
          <w:sz w:val="28"/>
          <w:szCs w:val="28"/>
        </w:rPr>
        <w:t>The</w:t>
      </w:r>
      <w:r w:rsidR="00424BC1" w:rsidRPr="005D3C1B">
        <w:rPr>
          <w:sz w:val="28"/>
          <w:szCs w:val="28"/>
        </w:rPr>
        <w:t xml:space="preserve"> Task Force </w:t>
      </w:r>
      <w:r w:rsidR="00B46A48" w:rsidRPr="005D3C1B">
        <w:rPr>
          <w:sz w:val="28"/>
          <w:szCs w:val="28"/>
        </w:rPr>
        <w:t xml:space="preserve">now </w:t>
      </w:r>
      <w:r w:rsidR="00424BC1" w:rsidRPr="005D3C1B">
        <w:rPr>
          <w:sz w:val="28"/>
          <w:szCs w:val="28"/>
        </w:rPr>
        <w:t xml:space="preserve">proposes to do so by </w:t>
      </w:r>
      <w:r w:rsidR="00A7322E" w:rsidRPr="005D3C1B">
        <w:rPr>
          <w:sz w:val="28"/>
          <w:szCs w:val="28"/>
        </w:rPr>
        <w:t>add</w:t>
      </w:r>
      <w:r w:rsidR="00424BC1" w:rsidRPr="005D3C1B">
        <w:rPr>
          <w:sz w:val="28"/>
          <w:szCs w:val="28"/>
        </w:rPr>
        <w:t>ing</w:t>
      </w:r>
      <w:r w:rsidR="00A7322E" w:rsidRPr="005D3C1B">
        <w:rPr>
          <w:sz w:val="28"/>
          <w:szCs w:val="28"/>
        </w:rPr>
        <w:t xml:space="preserve"> the following underlined sentence to</w:t>
      </w:r>
      <w:r w:rsidR="00BB3B50" w:rsidRPr="005D3C1B">
        <w:rPr>
          <w:sz w:val="28"/>
          <w:szCs w:val="28"/>
        </w:rPr>
        <w:t xml:space="preserve"> Rule 11,</w:t>
      </w:r>
      <w:r w:rsidR="00A7322E" w:rsidRPr="005D3C1B">
        <w:rPr>
          <w:sz w:val="28"/>
          <w:szCs w:val="28"/>
        </w:rPr>
        <w:t xml:space="preserve"> section (a)</w:t>
      </w:r>
      <w:r w:rsidR="0035107A" w:rsidRPr="005D3C1B">
        <w:rPr>
          <w:sz w:val="28"/>
          <w:szCs w:val="28"/>
        </w:rPr>
        <w:t xml:space="preserve"> (“dis</w:t>
      </w:r>
      <w:r w:rsidR="007D3260" w:rsidRPr="005D3C1B">
        <w:rPr>
          <w:sz w:val="28"/>
          <w:szCs w:val="28"/>
        </w:rPr>
        <w:t>cretion”)</w:t>
      </w:r>
      <w:r w:rsidR="00A7322E" w:rsidRPr="005D3C1B">
        <w:rPr>
          <w:sz w:val="28"/>
          <w:szCs w:val="28"/>
        </w:rPr>
        <w:t>:</w:t>
      </w:r>
    </w:p>
    <w:p w14:paraId="0B00152B" w14:textId="721C89BE" w:rsidR="00A7322E" w:rsidRPr="005D3C1B" w:rsidRDefault="00A7322E" w:rsidP="00E97FE8">
      <w:pPr>
        <w:pStyle w:val="ListParagraph"/>
        <w:spacing w:after="240"/>
        <w:jc w:val="both"/>
        <w:rPr>
          <w:sz w:val="28"/>
          <w:szCs w:val="28"/>
        </w:rPr>
      </w:pPr>
      <w:r w:rsidRPr="005D3C1B">
        <w:rPr>
          <w:sz w:val="28"/>
          <w:szCs w:val="28"/>
        </w:rPr>
        <w:t xml:space="preserve">Whether to accept jurisdiction of an appellate special action is within the court’s discretion, unless a statute or an order requires the court to accept jurisdiction. </w:t>
      </w:r>
      <w:r w:rsidRPr="005D3C1B">
        <w:rPr>
          <w:sz w:val="28"/>
          <w:szCs w:val="28"/>
          <w:u w:val="single"/>
        </w:rPr>
        <w:t xml:space="preserve">In accepting or declining jurisdiction, the court is determining </w:t>
      </w:r>
      <w:r w:rsidRPr="001E15F3">
        <w:rPr>
          <w:sz w:val="28"/>
          <w:szCs w:val="28"/>
          <w:u w:val="single"/>
        </w:rPr>
        <w:t>whether remedy</w:t>
      </w:r>
      <w:r w:rsidRPr="005D3C1B">
        <w:rPr>
          <w:sz w:val="28"/>
          <w:szCs w:val="28"/>
          <w:u w:val="single"/>
        </w:rPr>
        <w:t xml:space="preserve"> by appeal is equally plain, speedy, and adequate.</w:t>
      </w:r>
      <w:r w:rsidRPr="005D3C1B">
        <w:rPr>
          <w:sz w:val="28"/>
          <w:szCs w:val="28"/>
        </w:rPr>
        <w:t xml:space="preserve">  </w:t>
      </w:r>
    </w:p>
    <w:p w14:paraId="78292356" w14:textId="34B9D263" w:rsidR="000B2392" w:rsidRPr="005D3C1B" w:rsidRDefault="00A7322E" w:rsidP="00E55B85">
      <w:pPr>
        <w:spacing w:before="184" w:after="240" w:line="480" w:lineRule="auto"/>
        <w:jc w:val="both"/>
        <w:rPr>
          <w:sz w:val="28"/>
          <w:szCs w:val="28"/>
        </w:rPr>
      </w:pPr>
      <w:r w:rsidRPr="005D3C1B">
        <w:rPr>
          <w:sz w:val="28"/>
          <w:szCs w:val="28"/>
        </w:rPr>
        <w:t xml:space="preserve">In conjunction with the foregoing amendment to section (a), </w:t>
      </w:r>
      <w:r w:rsidR="00E55B85" w:rsidRPr="005D3C1B">
        <w:rPr>
          <w:sz w:val="28"/>
          <w:szCs w:val="28"/>
        </w:rPr>
        <w:t>the Task Force proposes to add</w:t>
      </w:r>
      <w:r w:rsidRPr="005D3C1B">
        <w:rPr>
          <w:sz w:val="28"/>
          <w:szCs w:val="28"/>
        </w:rPr>
        <w:t xml:space="preserve"> </w:t>
      </w:r>
      <w:r w:rsidR="00E55B85" w:rsidRPr="005D3C1B">
        <w:rPr>
          <w:sz w:val="28"/>
          <w:szCs w:val="28"/>
        </w:rPr>
        <w:t>the following</w:t>
      </w:r>
      <w:r w:rsidRPr="005D3C1B">
        <w:rPr>
          <w:sz w:val="28"/>
          <w:szCs w:val="28"/>
        </w:rPr>
        <w:t xml:space="preserve"> new comment to Rule 11</w:t>
      </w:r>
      <w:r w:rsidR="00E55B85" w:rsidRPr="005D3C1B">
        <w:rPr>
          <w:sz w:val="28"/>
          <w:szCs w:val="28"/>
        </w:rPr>
        <w:t>:</w:t>
      </w:r>
    </w:p>
    <w:p w14:paraId="27983150" w14:textId="70ECCBB4" w:rsidR="00A7322E" w:rsidRPr="005D3C1B" w:rsidRDefault="00A7322E" w:rsidP="00766528">
      <w:pPr>
        <w:spacing w:before="184"/>
        <w:ind w:left="720"/>
        <w:jc w:val="both"/>
        <w:rPr>
          <w:sz w:val="28"/>
          <w:szCs w:val="28"/>
        </w:rPr>
      </w:pPr>
      <w:r w:rsidRPr="005D3C1B">
        <w:rPr>
          <w:sz w:val="28"/>
          <w:szCs w:val="28"/>
        </w:rPr>
        <w:t xml:space="preserve">The special action rules codify how to exercise the rights </w:t>
      </w:r>
      <w:r w:rsidR="0025745C">
        <w:rPr>
          <w:sz w:val="28"/>
          <w:szCs w:val="28"/>
        </w:rPr>
        <w:t xml:space="preserve">described </w:t>
      </w:r>
      <w:r w:rsidRPr="005D3C1B">
        <w:rPr>
          <w:sz w:val="28"/>
          <w:szCs w:val="28"/>
        </w:rPr>
        <w:t xml:space="preserve">in Arizona’s Constitution and </w:t>
      </w:r>
      <w:r w:rsidR="00FA449A">
        <w:rPr>
          <w:sz w:val="28"/>
          <w:szCs w:val="28"/>
        </w:rPr>
        <w:t>elaborated</w:t>
      </w:r>
      <w:r w:rsidRPr="005D3C1B">
        <w:rPr>
          <w:sz w:val="28"/>
          <w:szCs w:val="28"/>
        </w:rPr>
        <w:t xml:space="preserve"> in statute.   Ariz. Const. Art. 6, §§ 5, 18; A.R.S. §§ 2101, -2201.  Two of these statutes expressly describe the power of the court to issue writs as arising where there is no “plain, adequate and speedy remedy” at law.  </w:t>
      </w:r>
      <w:r w:rsidRPr="005D3C1B">
        <w:rPr>
          <w:i/>
          <w:iCs/>
          <w:sz w:val="28"/>
          <w:szCs w:val="28"/>
        </w:rPr>
        <w:t>Id.</w:t>
      </w:r>
      <w:r w:rsidRPr="005D3C1B">
        <w:rPr>
          <w:sz w:val="28"/>
          <w:szCs w:val="28"/>
        </w:rPr>
        <w:t xml:space="preserve">  From their inception in 1970, the original Rules of Procedure for Special Action recited that special actions were available when there was no </w:t>
      </w:r>
      <w:r w:rsidR="00766528" w:rsidRPr="005D3C1B">
        <w:rPr>
          <w:sz w:val="28"/>
          <w:szCs w:val="28"/>
        </w:rPr>
        <w:t>‘</w:t>
      </w:r>
      <w:r w:rsidRPr="005D3C1B">
        <w:rPr>
          <w:sz w:val="28"/>
          <w:szCs w:val="28"/>
        </w:rPr>
        <w:t>plain, adequate and speedy remedy</w:t>
      </w:r>
      <w:r w:rsidR="00766528" w:rsidRPr="005D3C1B">
        <w:rPr>
          <w:sz w:val="28"/>
          <w:szCs w:val="28"/>
        </w:rPr>
        <w:t>’</w:t>
      </w:r>
      <w:r w:rsidRPr="005D3C1B">
        <w:rPr>
          <w:sz w:val="28"/>
          <w:szCs w:val="28"/>
        </w:rPr>
        <w:t xml:space="preserve"> without explaining what that meant, or when that circumstance was present.  </w:t>
      </w:r>
      <w:r w:rsidRPr="005D3C1B">
        <w:rPr>
          <w:i/>
          <w:iCs/>
          <w:sz w:val="28"/>
          <w:szCs w:val="28"/>
        </w:rPr>
        <w:t>See</w:t>
      </w:r>
      <w:r w:rsidRPr="005D3C1B">
        <w:rPr>
          <w:sz w:val="28"/>
          <w:szCs w:val="28"/>
        </w:rPr>
        <w:t xml:space="preserve"> Rules Proc. Special Action 1(a) (</w:t>
      </w:r>
      <w:r w:rsidRPr="00E66C87">
        <w:rPr>
          <w:sz w:val="28"/>
          <w:szCs w:val="28"/>
        </w:rPr>
        <w:t>West 2024).  The 2025 Rules provide the criteria that developed over the past 55 years as appellate courts applied these rules</w:t>
      </w:r>
      <w:r w:rsidR="00D7621C" w:rsidRPr="00E66C87">
        <w:rPr>
          <w:sz w:val="28"/>
          <w:szCs w:val="28"/>
        </w:rPr>
        <w:t xml:space="preserve"> to </w:t>
      </w:r>
      <w:r w:rsidR="00BC6BC8" w:rsidRPr="00F91EEE">
        <w:rPr>
          <w:sz w:val="28"/>
          <w:szCs w:val="28"/>
        </w:rPr>
        <w:t>supply</w:t>
      </w:r>
      <w:r w:rsidRPr="005D3C1B">
        <w:rPr>
          <w:sz w:val="28"/>
          <w:szCs w:val="28"/>
        </w:rPr>
        <w:t xml:space="preserve"> a clear statement of many of the factors courts use in exercising their discretion to determine whether there is no </w:t>
      </w:r>
      <w:r w:rsidR="00766528" w:rsidRPr="005D3C1B">
        <w:rPr>
          <w:sz w:val="28"/>
          <w:szCs w:val="28"/>
        </w:rPr>
        <w:t>‘</w:t>
      </w:r>
      <w:r w:rsidRPr="005D3C1B">
        <w:rPr>
          <w:sz w:val="28"/>
          <w:szCs w:val="28"/>
        </w:rPr>
        <w:t>plain, adequate and speedy remedy.</w:t>
      </w:r>
      <w:r w:rsidR="00766528" w:rsidRPr="005D3C1B">
        <w:rPr>
          <w:sz w:val="28"/>
          <w:szCs w:val="28"/>
        </w:rPr>
        <w:t>’</w:t>
      </w:r>
      <w:r w:rsidRPr="005D3C1B">
        <w:rPr>
          <w:sz w:val="28"/>
          <w:szCs w:val="28"/>
        </w:rPr>
        <w:t xml:space="preserve"> The list of factors is not exhaustive.</w:t>
      </w:r>
    </w:p>
    <w:p w14:paraId="261465A4" w14:textId="77777777" w:rsidR="00E55B85" w:rsidRPr="005D3C1B" w:rsidRDefault="00E55B85" w:rsidP="00A7322E">
      <w:pPr>
        <w:spacing w:before="184" w:line="276" w:lineRule="auto"/>
        <w:ind w:left="720"/>
        <w:jc w:val="both"/>
        <w:rPr>
          <w:sz w:val="28"/>
          <w:szCs w:val="28"/>
        </w:rPr>
      </w:pPr>
    </w:p>
    <w:p w14:paraId="6BA2E215" w14:textId="34B5AF8F" w:rsidR="00A71BEF" w:rsidRPr="005D3C1B" w:rsidRDefault="004E729D" w:rsidP="00286756">
      <w:pPr>
        <w:spacing w:line="480" w:lineRule="auto"/>
        <w:ind w:firstLine="720"/>
        <w:jc w:val="both"/>
        <w:rPr>
          <w:sz w:val="28"/>
          <w:szCs w:val="28"/>
        </w:rPr>
      </w:pPr>
      <w:r w:rsidRPr="005D3C1B">
        <w:rPr>
          <w:sz w:val="28"/>
          <w:szCs w:val="28"/>
        </w:rPr>
        <w:t xml:space="preserve">The comments from the </w:t>
      </w:r>
      <w:r w:rsidR="001B4258" w:rsidRPr="005D3C1B">
        <w:rPr>
          <w:sz w:val="28"/>
          <w:szCs w:val="28"/>
        </w:rPr>
        <w:t>State Bar</w:t>
      </w:r>
      <w:r w:rsidR="002A095C" w:rsidRPr="005D3C1B">
        <w:rPr>
          <w:sz w:val="28"/>
          <w:szCs w:val="28"/>
        </w:rPr>
        <w:t xml:space="preserve"> and the </w:t>
      </w:r>
      <w:r w:rsidR="005D3C1B" w:rsidRPr="005D3C1B">
        <w:rPr>
          <w:sz w:val="28"/>
          <w:szCs w:val="28"/>
        </w:rPr>
        <w:t xml:space="preserve">Attorney General </w:t>
      </w:r>
      <w:r w:rsidR="002A095C" w:rsidRPr="005D3C1B">
        <w:rPr>
          <w:sz w:val="28"/>
          <w:szCs w:val="28"/>
        </w:rPr>
        <w:t>raised additional concerns regarding Rule 11.</w:t>
      </w:r>
    </w:p>
    <w:p w14:paraId="4DBE6208" w14:textId="3F79DF0D" w:rsidR="005C538E" w:rsidRPr="005D3C1B" w:rsidRDefault="00ED6558" w:rsidP="00E65DCE">
      <w:pPr>
        <w:spacing w:line="480" w:lineRule="auto"/>
        <w:ind w:firstLine="720"/>
        <w:jc w:val="both"/>
        <w:rPr>
          <w:sz w:val="28"/>
          <w:szCs w:val="28"/>
        </w:rPr>
      </w:pPr>
      <w:r w:rsidRPr="005D3C1B">
        <w:rPr>
          <w:sz w:val="28"/>
          <w:szCs w:val="28"/>
        </w:rPr>
        <w:t xml:space="preserve">In </w:t>
      </w:r>
      <w:r w:rsidR="00EC3D48" w:rsidRPr="005D3C1B">
        <w:rPr>
          <w:sz w:val="28"/>
          <w:szCs w:val="28"/>
        </w:rPr>
        <w:t>section (b) (“factors that support accepting jurisdiction”), subpart</w:t>
      </w:r>
      <w:r w:rsidRPr="005D3C1B">
        <w:rPr>
          <w:sz w:val="28"/>
          <w:szCs w:val="28"/>
        </w:rPr>
        <w:t xml:space="preserve"> (b)(2), the </w:t>
      </w:r>
      <w:r w:rsidR="00B7628F" w:rsidRPr="005D3C1B">
        <w:rPr>
          <w:sz w:val="28"/>
          <w:szCs w:val="28"/>
        </w:rPr>
        <w:t>State Bar</w:t>
      </w:r>
      <w:r w:rsidR="00F16F81" w:rsidRPr="005D3C1B">
        <w:rPr>
          <w:sz w:val="28"/>
          <w:szCs w:val="28"/>
        </w:rPr>
        <w:t>,</w:t>
      </w:r>
      <w:r w:rsidRPr="005D3C1B">
        <w:rPr>
          <w:sz w:val="28"/>
          <w:szCs w:val="28"/>
        </w:rPr>
        <w:t xml:space="preserve"> </w:t>
      </w:r>
      <w:r w:rsidR="00F16F81" w:rsidRPr="005D3C1B">
        <w:rPr>
          <w:sz w:val="28"/>
          <w:szCs w:val="28"/>
        </w:rPr>
        <w:t xml:space="preserve">for “clarity and precision,” </w:t>
      </w:r>
      <w:r w:rsidRPr="005D3C1B">
        <w:rPr>
          <w:sz w:val="28"/>
          <w:szCs w:val="28"/>
        </w:rPr>
        <w:t>recommended replac</w:t>
      </w:r>
      <w:r w:rsidR="00F16F81" w:rsidRPr="005D3C1B">
        <w:rPr>
          <w:sz w:val="28"/>
          <w:szCs w:val="28"/>
        </w:rPr>
        <w:t>ing</w:t>
      </w:r>
      <w:r w:rsidRPr="005D3C1B">
        <w:rPr>
          <w:sz w:val="28"/>
          <w:szCs w:val="28"/>
        </w:rPr>
        <w:t xml:space="preserve"> the</w:t>
      </w:r>
      <w:r w:rsidR="004E1C74" w:rsidRPr="005D3C1B">
        <w:rPr>
          <w:sz w:val="28"/>
          <w:szCs w:val="28"/>
        </w:rPr>
        <w:t xml:space="preserve"> proposed</w:t>
      </w:r>
      <w:r w:rsidRPr="005D3C1B">
        <w:rPr>
          <w:sz w:val="28"/>
          <w:szCs w:val="28"/>
        </w:rPr>
        <w:t xml:space="preserve"> phrase “of privileges or immunities” with</w:t>
      </w:r>
      <w:r w:rsidR="004E1C74" w:rsidRPr="005D3C1B">
        <w:rPr>
          <w:sz w:val="28"/>
          <w:szCs w:val="28"/>
        </w:rPr>
        <w:t xml:space="preserve"> the phrase</w:t>
      </w:r>
      <w:r w:rsidRPr="005D3C1B">
        <w:rPr>
          <w:sz w:val="28"/>
          <w:szCs w:val="28"/>
        </w:rPr>
        <w:t xml:space="preserve"> “of legal or evidentiary privileges, or of immunity from suit.” </w:t>
      </w:r>
      <w:r w:rsidR="00301D87" w:rsidRPr="005D3C1B">
        <w:rPr>
          <w:sz w:val="28"/>
          <w:szCs w:val="28"/>
        </w:rPr>
        <w:t>The Task Force</w:t>
      </w:r>
      <w:r w:rsidRPr="005D3C1B">
        <w:rPr>
          <w:sz w:val="28"/>
          <w:szCs w:val="28"/>
        </w:rPr>
        <w:t xml:space="preserve"> agreed with the </w:t>
      </w:r>
      <w:r w:rsidR="00B7628F" w:rsidRPr="005D3C1B">
        <w:rPr>
          <w:sz w:val="28"/>
          <w:szCs w:val="28"/>
        </w:rPr>
        <w:t>State Bar</w:t>
      </w:r>
      <w:r w:rsidRPr="005D3C1B">
        <w:rPr>
          <w:sz w:val="28"/>
          <w:szCs w:val="28"/>
        </w:rPr>
        <w:t xml:space="preserve">’s proposal.   </w:t>
      </w:r>
    </w:p>
    <w:p w14:paraId="4DBAB71C" w14:textId="3CB98EAB" w:rsidR="00E65DCE" w:rsidRPr="005D3C1B" w:rsidRDefault="00ED6558" w:rsidP="00E65DCE">
      <w:pPr>
        <w:spacing w:line="480" w:lineRule="auto"/>
        <w:ind w:firstLine="720"/>
        <w:jc w:val="both"/>
        <w:rPr>
          <w:sz w:val="28"/>
          <w:szCs w:val="28"/>
        </w:rPr>
      </w:pPr>
      <w:r w:rsidRPr="005D3C1B">
        <w:rPr>
          <w:sz w:val="28"/>
          <w:szCs w:val="28"/>
        </w:rPr>
        <w:t xml:space="preserve">Another factor in subpart (b)(7) </w:t>
      </w:r>
      <w:r w:rsidR="00370CCD" w:rsidRPr="005D3C1B">
        <w:rPr>
          <w:sz w:val="28"/>
          <w:szCs w:val="28"/>
        </w:rPr>
        <w:t>concerns</w:t>
      </w:r>
      <w:r w:rsidRPr="005D3C1B">
        <w:rPr>
          <w:sz w:val="28"/>
          <w:szCs w:val="28"/>
        </w:rPr>
        <w:t xml:space="preserve"> an issue “which will materially advance the efficient management of the case, other than issues presented by ordinary dispositive motion practice.” The </w:t>
      </w:r>
      <w:r w:rsidR="00CA6C57" w:rsidRPr="005D3C1B">
        <w:rPr>
          <w:sz w:val="28"/>
          <w:szCs w:val="28"/>
        </w:rPr>
        <w:t>State Bar</w:t>
      </w:r>
      <w:r w:rsidR="004B5542" w:rsidRPr="005D3C1B">
        <w:rPr>
          <w:sz w:val="28"/>
          <w:szCs w:val="28"/>
        </w:rPr>
        <w:t xml:space="preserve">’s </w:t>
      </w:r>
      <w:r w:rsidRPr="005D3C1B">
        <w:rPr>
          <w:sz w:val="28"/>
          <w:szCs w:val="28"/>
        </w:rPr>
        <w:t xml:space="preserve">comment contended that “the language pertaining to dispositive motion practice may unreasonably deter litigants from seeking special action review of rulings resulting from such practice even where appropriate.” </w:t>
      </w:r>
      <w:r w:rsidR="00386923" w:rsidRPr="005D3C1B">
        <w:rPr>
          <w:sz w:val="28"/>
          <w:szCs w:val="28"/>
        </w:rPr>
        <w:t>(</w:t>
      </w:r>
      <w:r w:rsidR="00A037C8" w:rsidRPr="005D3C1B">
        <w:rPr>
          <w:sz w:val="28"/>
          <w:szCs w:val="28"/>
        </w:rPr>
        <w:t>A</w:t>
      </w:r>
      <w:r w:rsidR="00386923" w:rsidRPr="005D3C1B">
        <w:rPr>
          <w:sz w:val="28"/>
          <w:szCs w:val="28"/>
        </w:rPr>
        <w:t xml:space="preserve"> </w:t>
      </w:r>
      <w:r w:rsidR="002F3E7D" w:rsidRPr="005D3C1B">
        <w:rPr>
          <w:sz w:val="28"/>
          <w:szCs w:val="28"/>
        </w:rPr>
        <w:t xml:space="preserve">key case on </w:t>
      </w:r>
      <w:r w:rsidR="00E82D5A" w:rsidRPr="005D3C1B">
        <w:rPr>
          <w:sz w:val="28"/>
          <w:szCs w:val="28"/>
        </w:rPr>
        <w:t xml:space="preserve">Rule 56 </w:t>
      </w:r>
      <w:r w:rsidR="002F3E7D" w:rsidRPr="005D3C1B">
        <w:rPr>
          <w:sz w:val="28"/>
          <w:szCs w:val="28"/>
        </w:rPr>
        <w:t xml:space="preserve">summary judgment jurisprudence, </w:t>
      </w:r>
      <w:r w:rsidR="002F3E7D" w:rsidRPr="005D3C1B">
        <w:rPr>
          <w:i/>
          <w:iCs/>
          <w:sz w:val="28"/>
          <w:szCs w:val="28"/>
        </w:rPr>
        <w:t>Orme School v. Reeves</w:t>
      </w:r>
      <w:r w:rsidR="002F3E7D" w:rsidRPr="005D3C1B">
        <w:rPr>
          <w:sz w:val="28"/>
          <w:szCs w:val="28"/>
        </w:rPr>
        <w:t xml:space="preserve">, </w:t>
      </w:r>
      <w:r w:rsidR="00B03D41" w:rsidRPr="005D3C1B">
        <w:rPr>
          <w:sz w:val="28"/>
          <w:szCs w:val="28"/>
        </w:rPr>
        <w:t>166 Ariz. 301 (</w:t>
      </w:r>
      <w:r w:rsidR="00411FCB" w:rsidRPr="005D3C1B">
        <w:rPr>
          <w:sz w:val="28"/>
          <w:szCs w:val="28"/>
        </w:rPr>
        <w:t>1990)</w:t>
      </w:r>
      <w:r w:rsidR="00D6782A" w:rsidRPr="005D3C1B">
        <w:rPr>
          <w:sz w:val="28"/>
          <w:szCs w:val="28"/>
        </w:rPr>
        <w:t>,</w:t>
      </w:r>
      <w:r w:rsidR="00411FCB" w:rsidRPr="005D3C1B">
        <w:rPr>
          <w:sz w:val="28"/>
          <w:szCs w:val="28"/>
        </w:rPr>
        <w:t xml:space="preserve"> </w:t>
      </w:r>
      <w:r w:rsidR="00590721" w:rsidRPr="005D3C1B">
        <w:rPr>
          <w:sz w:val="28"/>
          <w:szCs w:val="28"/>
        </w:rPr>
        <w:t xml:space="preserve">went </w:t>
      </w:r>
      <w:r w:rsidR="002018F0">
        <w:rPr>
          <w:sz w:val="28"/>
          <w:szCs w:val="28"/>
        </w:rPr>
        <w:t>before</w:t>
      </w:r>
      <w:r w:rsidR="002018F0" w:rsidRPr="005D3C1B">
        <w:rPr>
          <w:sz w:val="28"/>
          <w:szCs w:val="28"/>
        </w:rPr>
        <w:t xml:space="preserve"> </w:t>
      </w:r>
      <w:r w:rsidR="008A4F40" w:rsidRPr="005D3C1B">
        <w:rPr>
          <w:sz w:val="28"/>
          <w:szCs w:val="28"/>
        </w:rPr>
        <w:t>the Arizona Supreme Court</w:t>
      </w:r>
      <w:r w:rsidR="00A037C8" w:rsidRPr="005D3C1B">
        <w:rPr>
          <w:sz w:val="28"/>
          <w:szCs w:val="28"/>
        </w:rPr>
        <w:t xml:space="preserve"> as a</w:t>
      </w:r>
      <w:r w:rsidR="008A4F40" w:rsidRPr="005D3C1B">
        <w:rPr>
          <w:sz w:val="28"/>
          <w:szCs w:val="28"/>
        </w:rPr>
        <w:t xml:space="preserve"> special action.)</w:t>
      </w:r>
      <w:r w:rsidR="00411FCB" w:rsidRPr="005D3C1B">
        <w:rPr>
          <w:sz w:val="28"/>
          <w:szCs w:val="28"/>
        </w:rPr>
        <w:t xml:space="preserve"> </w:t>
      </w:r>
      <w:r w:rsidRPr="005D3C1B">
        <w:rPr>
          <w:sz w:val="28"/>
          <w:szCs w:val="28"/>
        </w:rPr>
        <w:t xml:space="preserve">For this reason, the </w:t>
      </w:r>
      <w:r w:rsidR="00CA6C57" w:rsidRPr="005D3C1B">
        <w:rPr>
          <w:sz w:val="28"/>
          <w:szCs w:val="28"/>
        </w:rPr>
        <w:t>State Bar</w:t>
      </w:r>
      <w:r w:rsidRPr="005D3C1B">
        <w:rPr>
          <w:sz w:val="28"/>
          <w:szCs w:val="28"/>
        </w:rPr>
        <w:t xml:space="preserve"> recommended deleting from proposed subpart (b)(7) the phrase “other than issues presented by ordinary motion practice,” as well deletion of a </w:t>
      </w:r>
      <w:r w:rsidR="00D44602" w:rsidRPr="005D3C1B">
        <w:rPr>
          <w:sz w:val="28"/>
          <w:szCs w:val="28"/>
        </w:rPr>
        <w:t>corresponding</w:t>
      </w:r>
      <w:r w:rsidRPr="005D3C1B">
        <w:rPr>
          <w:sz w:val="28"/>
          <w:szCs w:val="28"/>
        </w:rPr>
        <w:t xml:space="preserve"> factor in </w:t>
      </w:r>
      <w:r w:rsidR="00D44602" w:rsidRPr="005D3C1B">
        <w:rPr>
          <w:sz w:val="28"/>
          <w:szCs w:val="28"/>
        </w:rPr>
        <w:t xml:space="preserve">section (c) (“factors that support declining jurisdiction”), </w:t>
      </w:r>
      <w:r w:rsidRPr="005D3C1B">
        <w:rPr>
          <w:sz w:val="28"/>
          <w:szCs w:val="28"/>
        </w:rPr>
        <w:t xml:space="preserve">subpart (c)(2). </w:t>
      </w:r>
      <w:r w:rsidR="005C538E" w:rsidRPr="005D3C1B">
        <w:rPr>
          <w:sz w:val="28"/>
          <w:szCs w:val="28"/>
        </w:rPr>
        <w:t>The Task Force</w:t>
      </w:r>
      <w:r w:rsidR="007C3961" w:rsidRPr="005D3C1B">
        <w:rPr>
          <w:sz w:val="28"/>
          <w:szCs w:val="28"/>
        </w:rPr>
        <w:t xml:space="preserve">, </w:t>
      </w:r>
      <w:r w:rsidR="00DE5854" w:rsidRPr="005D3C1B">
        <w:rPr>
          <w:sz w:val="28"/>
          <w:szCs w:val="28"/>
        </w:rPr>
        <w:t xml:space="preserve">in </w:t>
      </w:r>
      <w:r w:rsidR="00522243" w:rsidRPr="005D3C1B">
        <w:rPr>
          <w:sz w:val="28"/>
          <w:szCs w:val="28"/>
        </w:rPr>
        <w:t>recognition</w:t>
      </w:r>
      <w:r w:rsidR="00DE5854" w:rsidRPr="005D3C1B">
        <w:rPr>
          <w:sz w:val="28"/>
          <w:szCs w:val="28"/>
        </w:rPr>
        <w:t xml:space="preserve"> of the appellate court’s exercise of discretion,</w:t>
      </w:r>
      <w:r w:rsidRPr="005D3C1B">
        <w:rPr>
          <w:sz w:val="28"/>
          <w:szCs w:val="28"/>
        </w:rPr>
        <w:t xml:space="preserve"> declined these suggested changes.</w:t>
      </w:r>
    </w:p>
    <w:p w14:paraId="4164C2B0" w14:textId="54B37AA7" w:rsidR="009661E5" w:rsidRPr="005D3C1B" w:rsidRDefault="009661E5" w:rsidP="00E65DCE">
      <w:pPr>
        <w:spacing w:line="480" w:lineRule="auto"/>
        <w:ind w:firstLine="720"/>
        <w:jc w:val="both"/>
        <w:rPr>
          <w:sz w:val="28"/>
          <w:szCs w:val="28"/>
        </w:rPr>
      </w:pPr>
      <w:r w:rsidRPr="005D3C1B">
        <w:rPr>
          <w:sz w:val="28"/>
          <w:szCs w:val="28"/>
        </w:rPr>
        <w:t xml:space="preserve">The </w:t>
      </w:r>
      <w:r w:rsidR="005D3C1B" w:rsidRPr="005D3C1B">
        <w:rPr>
          <w:sz w:val="28"/>
          <w:szCs w:val="28"/>
        </w:rPr>
        <w:t xml:space="preserve">Attorney </w:t>
      </w:r>
      <w:r w:rsidR="00113946" w:rsidRPr="005D3C1B">
        <w:rPr>
          <w:sz w:val="28"/>
          <w:szCs w:val="28"/>
        </w:rPr>
        <w:t>General raised</w:t>
      </w:r>
      <w:r w:rsidRPr="005D3C1B">
        <w:rPr>
          <w:sz w:val="28"/>
          <w:szCs w:val="28"/>
        </w:rPr>
        <w:t xml:space="preserve"> a concern regarding the “multiplicity and redundancy of the non-exclusive Rule 11 factors.” The </w:t>
      </w:r>
      <w:r w:rsidR="005D3C1B" w:rsidRPr="005D3C1B">
        <w:rPr>
          <w:sz w:val="28"/>
          <w:szCs w:val="28"/>
        </w:rPr>
        <w:t>Attorney General</w:t>
      </w:r>
      <w:r w:rsidR="009D7AC0" w:rsidRPr="005D3C1B">
        <w:rPr>
          <w:sz w:val="28"/>
          <w:szCs w:val="28"/>
        </w:rPr>
        <w:t xml:space="preserve">’s </w:t>
      </w:r>
      <w:r w:rsidRPr="005D3C1B">
        <w:rPr>
          <w:sz w:val="28"/>
          <w:szCs w:val="28"/>
        </w:rPr>
        <w:t xml:space="preserve">comment proposed to rectify the issue by combining the Rule 11(b) and Rule 11(c) factors into a single list, or alternatively, to retain both sections but to make each of these two sections “substantively distinct to the extent possible.” </w:t>
      </w:r>
      <w:r w:rsidR="00274D50" w:rsidRPr="005D3C1B">
        <w:rPr>
          <w:sz w:val="28"/>
          <w:szCs w:val="28"/>
        </w:rPr>
        <w:t>The Task Force</w:t>
      </w:r>
      <w:r w:rsidRPr="005D3C1B">
        <w:rPr>
          <w:sz w:val="28"/>
          <w:szCs w:val="28"/>
        </w:rPr>
        <w:t xml:space="preserve"> concluded that the</w:t>
      </w:r>
      <w:r w:rsidR="00F575A1" w:rsidRPr="005D3C1B">
        <w:rPr>
          <w:sz w:val="28"/>
          <w:szCs w:val="28"/>
        </w:rPr>
        <w:t xml:space="preserve"> </w:t>
      </w:r>
      <w:r w:rsidR="005D3C1B" w:rsidRPr="005D3C1B">
        <w:rPr>
          <w:sz w:val="28"/>
          <w:szCs w:val="28"/>
        </w:rPr>
        <w:t>Attorney General</w:t>
      </w:r>
      <w:r w:rsidR="00F575A1" w:rsidRPr="005D3C1B">
        <w:rPr>
          <w:sz w:val="28"/>
          <w:szCs w:val="28"/>
        </w:rPr>
        <w:t>’s</w:t>
      </w:r>
      <w:r w:rsidRPr="005D3C1B">
        <w:rPr>
          <w:sz w:val="28"/>
          <w:szCs w:val="28"/>
        </w:rPr>
        <w:t xml:space="preserve"> alternatives did not substantively change what is already contained in these two sections</w:t>
      </w:r>
      <w:r w:rsidR="00D84EE9">
        <w:rPr>
          <w:sz w:val="28"/>
          <w:szCs w:val="28"/>
        </w:rPr>
        <w:t xml:space="preserve">. </w:t>
      </w:r>
      <w:r w:rsidR="00FB3372" w:rsidRPr="005D3C1B">
        <w:rPr>
          <w:sz w:val="28"/>
          <w:szCs w:val="28"/>
        </w:rPr>
        <w:t>Further,</w:t>
      </w:r>
      <w:r w:rsidRPr="005D3C1B">
        <w:rPr>
          <w:sz w:val="28"/>
          <w:szCs w:val="28"/>
        </w:rPr>
        <w:t xml:space="preserve"> although </w:t>
      </w:r>
      <w:r w:rsidR="00CC7DDC" w:rsidRPr="005D3C1B">
        <w:rPr>
          <w:sz w:val="28"/>
          <w:szCs w:val="28"/>
        </w:rPr>
        <w:t xml:space="preserve">proposed </w:t>
      </w:r>
      <w:r w:rsidRPr="005D3C1B">
        <w:rPr>
          <w:sz w:val="28"/>
          <w:szCs w:val="28"/>
        </w:rPr>
        <w:t xml:space="preserve">sections </w:t>
      </w:r>
      <w:r w:rsidR="00050F27" w:rsidRPr="005D3C1B">
        <w:rPr>
          <w:sz w:val="28"/>
          <w:szCs w:val="28"/>
        </w:rPr>
        <w:t xml:space="preserve">(b) and (c) </w:t>
      </w:r>
      <w:r w:rsidRPr="005D3C1B">
        <w:rPr>
          <w:sz w:val="28"/>
          <w:szCs w:val="28"/>
        </w:rPr>
        <w:t xml:space="preserve">might be somewhat repetitive, that </w:t>
      </w:r>
      <w:r w:rsidR="00FB3372" w:rsidRPr="005D3C1B">
        <w:rPr>
          <w:sz w:val="28"/>
          <w:szCs w:val="28"/>
        </w:rPr>
        <w:t>repetition</w:t>
      </w:r>
      <w:r w:rsidRPr="005D3C1B">
        <w:rPr>
          <w:sz w:val="28"/>
          <w:szCs w:val="28"/>
        </w:rPr>
        <w:t xml:space="preserve"> might actually be helpful to parties and judicial officers. </w:t>
      </w:r>
      <w:r w:rsidR="00E65DCE" w:rsidRPr="005D3C1B">
        <w:rPr>
          <w:sz w:val="28"/>
          <w:szCs w:val="28"/>
        </w:rPr>
        <w:t xml:space="preserve">The Task Force </w:t>
      </w:r>
      <w:r w:rsidR="00E749F2">
        <w:rPr>
          <w:sz w:val="28"/>
          <w:szCs w:val="28"/>
        </w:rPr>
        <w:t>declined</w:t>
      </w:r>
      <w:r w:rsidR="00D84EE9">
        <w:rPr>
          <w:sz w:val="28"/>
          <w:szCs w:val="28"/>
        </w:rPr>
        <w:t xml:space="preserve"> to adopt </w:t>
      </w:r>
      <w:r w:rsidR="00E65DCE" w:rsidRPr="005D3C1B">
        <w:rPr>
          <w:sz w:val="28"/>
          <w:szCs w:val="28"/>
        </w:rPr>
        <w:t xml:space="preserve">either of the </w:t>
      </w:r>
      <w:r w:rsidR="005D3C1B" w:rsidRPr="005D3C1B">
        <w:rPr>
          <w:sz w:val="28"/>
          <w:szCs w:val="28"/>
        </w:rPr>
        <w:t>Attorney General</w:t>
      </w:r>
      <w:r w:rsidR="00E65DCE" w:rsidRPr="005D3C1B">
        <w:rPr>
          <w:sz w:val="28"/>
          <w:szCs w:val="28"/>
        </w:rPr>
        <w:t xml:space="preserve">’s </w:t>
      </w:r>
      <w:r w:rsidR="005935DB">
        <w:rPr>
          <w:sz w:val="28"/>
          <w:szCs w:val="28"/>
        </w:rPr>
        <w:t xml:space="preserve">suggested </w:t>
      </w:r>
      <w:r w:rsidR="00E65DCE" w:rsidRPr="005D3C1B">
        <w:rPr>
          <w:sz w:val="28"/>
          <w:szCs w:val="28"/>
        </w:rPr>
        <w:t>options. The Task Force, however,</w:t>
      </w:r>
      <w:r w:rsidRPr="005D3C1B">
        <w:rPr>
          <w:sz w:val="28"/>
          <w:szCs w:val="28"/>
        </w:rPr>
        <w:t xml:space="preserve"> agreed with the </w:t>
      </w:r>
      <w:r w:rsidR="005D3C1B" w:rsidRPr="005D3C1B">
        <w:rPr>
          <w:sz w:val="28"/>
          <w:szCs w:val="28"/>
        </w:rPr>
        <w:t>Attorney General</w:t>
      </w:r>
      <w:r w:rsidRPr="005D3C1B">
        <w:rPr>
          <w:sz w:val="28"/>
          <w:szCs w:val="28"/>
        </w:rPr>
        <w:t xml:space="preserve">’s suggestion to add a reference to Civil Rule 12(c) (a motion for judgment on the pleadings) </w:t>
      </w:r>
      <w:r w:rsidR="007F7B1A" w:rsidRPr="005D3C1B">
        <w:rPr>
          <w:sz w:val="28"/>
          <w:szCs w:val="28"/>
        </w:rPr>
        <w:t>in</w:t>
      </w:r>
      <w:r w:rsidRPr="005D3C1B">
        <w:rPr>
          <w:sz w:val="28"/>
          <w:szCs w:val="28"/>
        </w:rPr>
        <w:t xml:space="preserve"> </w:t>
      </w:r>
      <w:r w:rsidR="00D97D2C" w:rsidRPr="005D3C1B">
        <w:rPr>
          <w:sz w:val="28"/>
          <w:szCs w:val="28"/>
        </w:rPr>
        <w:t>subpart</w:t>
      </w:r>
      <w:r w:rsidRPr="005D3C1B">
        <w:rPr>
          <w:sz w:val="28"/>
          <w:szCs w:val="28"/>
        </w:rPr>
        <w:t xml:space="preserve"> (c)(2), i.e., “resolved under Rules 12(b)(6), </w:t>
      </w:r>
      <w:r w:rsidRPr="005D3C1B">
        <w:rPr>
          <w:sz w:val="28"/>
          <w:szCs w:val="28"/>
          <w:u w:val="single"/>
        </w:rPr>
        <w:t>12(c)</w:t>
      </w:r>
      <w:r w:rsidRPr="005D3C1B">
        <w:rPr>
          <w:sz w:val="28"/>
          <w:szCs w:val="28"/>
        </w:rPr>
        <w:t xml:space="preserve">, or 56 of the Rules of Civil Procedure…”  </w:t>
      </w:r>
    </w:p>
    <w:p w14:paraId="049B1403" w14:textId="5587F172" w:rsidR="00B66852" w:rsidRPr="005D3C1B" w:rsidRDefault="007D000A" w:rsidP="00905769">
      <w:pPr>
        <w:pStyle w:val="Default"/>
        <w:spacing w:line="480" w:lineRule="auto"/>
        <w:ind w:firstLine="720"/>
        <w:jc w:val="both"/>
        <w:rPr>
          <w:sz w:val="28"/>
          <w:szCs w:val="28"/>
        </w:rPr>
      </w:pPr>
      <w:r w:rsidRPr="005D3C1B">
        <w:rPr>
          <w:b/>
          <w:bCs/>
          <w:sz w:val="28"/>
          <w:szCs w:val="28"/>
        </w:rPr>
        <w:t>Rule 12: “Certification.”</w:t>
      </w:r>
      <w:r w:rsidRPr="005D3C1B">
        <w:rPr>
          <w:sz w:val="28"/>
          <w:szCs w:val="28"/>
        </w:rPr>
        <w:t xml:space="preserve"> </w:t>
      </w:r>
      <w:r w:rsidR="00B66852" w:rsidRPr="005D3C1B">
        <w:rPr>
          <w:sz w:val="28"/>
          <w:szCs w:val="28"/>
        </w:rPr>
        <w:t xml:space="preserve">An </w:t>
      </w:r>
      <w:r w:rsidR="005D3C1B" w:rsidRPr="005D3C1B">
        <w:rPr>
          <w:sz w:val="28"/>
          <w:szCs w:val="28"/>
        </w:rPr>
        <w:t>Attorney General</w:t>
      </w:r>
      <w:r w:rsidR="00B66852" w:rsidRPr="005D3C1B">
        <w:rPr>
          <w:sz w:val="28"/>
          <w:szCs w:val="28"/>
        </w:rPr>
        <w:t xml:space="preserve"> recommendation concerning </w:t>
      </w:r>
      <w:r w:rsidR="00C7627F" w:rsidRPr="005D3C1B">
        <w:rPr>
          <w:sz w:val="28"/>
          <w:szCs w:val="28"/>
        </w:rPr>
        <w:t xml:space="preserve">purportedly </w:t>
      </w:r>
      <w:r w:rsidR="004F0F18" w:rsidRPr="005D3C1B">
        <w:rPr>
          <w:sz w:val="28"/>
          <w:szCs w:val="28"/>
        </w:rPr>
        <w:t>ambiguous</w:t>
      </w:r>
      <w:r w:rsidR="00B66852" w:rsidRPr="005D3C1B">
        <w:rPr>
          <w:sz w:val="28"/>
          <w:szCs w:val="28"/>
        </w:rPr>
        <w:t xml:space="preserve"> language in Rule 12(b) </w:t>
      </w:r>
      <w:r w:rsidR="00775CE4" w:rsidRPr="005D3C1B">
        <w:rPr>
          <w:sz w:val="28"/>
          <w:szCs w:val="28"/>
        </w:rPr>
        <w:t xml:space="preserve">(“form”) </w:t>
      </w:r>
      <w:r w:rsidR="00B66852" w:rsidRPr="005D3C1B">
        <w:rPr>
          <w:sz w:val="28"/>
          <w:szCs w:val="28"/>
        </w:rPr>
        <w:t>resulted in members making the following modifications to that section:</w:t>
      </w:r>
    </w:p>
    <w:p w14:paraId="6A676A98" w14:textId="1C2A0D84" w:rsidR="00B66852" w:rsidRPr="005D3C1B" w:rsidRDefault="00B66852" w:rsidP="00B66852">
      <w:pPr>
        <w:pStyle w:val="NoSpacing"/>
        <w:ind w:left="720"/>
        <w:jc w:val="both"/>
        <w:rPr>
          <w:rFonts w:ascii="Times New Roman" w:hAnsi="Times New Roman" w:cs="Times New Roman"/>
          <w:sz w:val="28"/>
          <w:szCs w:val="28"/>
        </w:rPr>
      </w:pPr>
      <w:r w:rsidRPr="005D3C1B">
        <w:rPr>
          <w:rFonts w:ascii="Times New Roman" w:hAnsi="Times New Roman" w:cs="Times New Roman"/>
          <w:sz w:val="28"/>
          <w:szCs w:val="28"/>
        </w:rPr>
        <w:t xml:space="preserve">The certification may be in the court’s written decision, a transcript of a proceeding, or a </w:t>
      </w:r>
      <w:r w:rsidRPr="005D3C1B">
        <w:rPr>
          <w:rFonts w:ascii="Times New Roman" w:hAnsi="Times New Roman" w:cs="Times New Roman"/>
          <w:sz w:val="28"/>
          <w:szCs w:val="28"/>
          <w:u w:val="single"/>
        </w:rPr>
        <w:t>proposed certification</w:t>
      </w:r>
      <w:r w:rsidRPr="005D3C1B">
        <w:rPr>
          <w:rFonts w:ascii="Times New Roman" w:hAnsi="Times New Roman" w:cs="Times New Roman"/>
          <w:sz w:val="28"/>
          <w:szCs w:val="28"/>
        </w:rPr>
        <w:t xml:space="preserve"> </w:t>
      </w:r>
      <w:r w:rsidRPr="005D3C1B">
        <w:rPr>
          <w:rFonts w:ascii="Times New Roman" w:hAnsi="Times New Roman" w:cs="Times New Roman"/>
          <w:strike/>
          <w:sz w:val="28"/>
          <w:szCs w:val="28"/>
        </w:rPr>
        <w:t xml:space="preserve">separate writing submitted by a party and </w:t>
      </w:r>
      <w:r w:rsidRPr="005D3C1B">
        <w:rPr>
          <w:rFonts w:ascii="Times New Roman" w:hAnsi="Times New Roman" w:cs="Times New Roman"/>
          <w:sz w:val="28"/>
          <w:szCs w:val="28"/>
        </w:rPr>
        <w:t xml:space="preserve">approved by the court. </w:t>
      </w:r>
    </w:p>
    <w:p w14:paraId="10887130" w14:textId="77777777" w:rsidR="002B628E" w:rsidRPr="005D3C1B" w:rsidRDefault="002B628E" w:rsidP="00B66852">
      <w:pPr>
        <w:pStyle w:val="NoSpacing"/>
        <w:ind w:left="720"/>
        <w:jc w:val="both"/>
        <w:rPr>
          <w:rFonts w:ascii="Times New Roman" w:hAnsi="Times New Roman" w:cs="Times New Roman"/>
          <w:sz w:val="28"/>
          <w:szCs w:val="28"/>
        </w:rPr>
      </w:pPr>
    </w:p>
    <w:p w14:paraId="6C01436F" w14:textId="764F2CBC" w:rsidR="008452E3" w:rsidRPr="005D3C1B" w:rsidRDefault="002B628E" w:rsidP="00BF632A">
      <w:pPr>
        <w:pStyle w:val="NoSpacing"/>
        <w:spacing w:line="480" w:lineRule="auto"/>
        <w:ind w:firstLine="720"/>
        <w:jc w:val="both"/>
        <w:rPr>
          <w:rFonts w:ascii="Times New Roman" w:hAnsi="Times New Roman" w:cs="Times New Roman"/>
          <w:sz w:val="28"/>
          <w:szCs w:val="28"/>
        </w:rPr>
      </w:pPr>
      <w:r w:rsidRPr="005D3C1B">
        <w:rPr>
          <w:rFonts w:ascii="Times New Roman" w:hAnsi="Times New Roman" w:cs="Times New Roman"/>
          <w:b/>
          <w:bCs/>
          <w:sz w:val="28"/>
          <w:szCs w:val="28"/>
        </w:rPr>
        <w:t>Rule 13: “Petition, Response, and Reply.”</w:t>
      </w:r>
      <w:r w:rsidRPr="005D3C1B">
        <w:rPr>
          <w:rFonts w:ascii="Times New Roman" w:hAnsi="Times New Roman" w:cs="Times New Roman"/>
          <w:sz w:val="28"/>
          <w:szCs w:val="28"/>
        </w:rPr>
        <w:t xml:space="preserve"> The </w:t>
      </w:r>
      <w:r w:rsidR="005D3C1B" w:rsidRPr="005D3C1B">
        <w:rPr>
          <w:rFonts w:ascii="Times New Roman" w:hAnsi="Times New Roman" w:cs="Times New Roman"/>
          <w:sz w:val="28"/>
          <w:szCs w:val="28"/>
        </w:rPr>
        <w:t>Attorney General</w:t>
      </w:r>
      <w:r w:rsidRPr="005D3C1B">
        <w:rPr>
          <w:rFonts w:ascii="Times New Roman" w:hAnsi="Times New Roman" w:cs="Times New Roman"/>
          <w:sz w:val="28"/>
          <w:szCs w:val="28"/>
        </w:rPr>
        <w:t>’s comment had two suggestions regarding Rule 13</w:t>
      </w:r>
      <w:r w:rsidR="007C52CF" w:rsidRPr="005D3C1B">
        <w:rPr>
          <w:rFonts w:ascii="Times New Roman" w:hAnsi="Times New Roman" w:cs="Times New Roman"/>
          <w:sz w:val="28"/>
          <w:szCs w:val="28"/>
        </w:rPr>
        <w:t>.</w:t>
      </w:r>
      <w:r w:rsidRPr="005D3C1B">
        <w:rPr>
          <w:rFonts w:ascii="Times New Roman" w:hAnsi="Times New Roman" w:cs="Times New Roman"/>
          <w:sz w:val="28"/>
          <w:szCs w:val="28"/>
        </w:rPr>
        <w:t xml:space="preserve">  </w:t>
      </w:r>
    </w:p>
    <w:p w14:paraId="63498323" w14:textId="56741731" w:rsidR="008452E3" w:rsidRPr="005D3C1B" w:rsidRDefault="002B628E" w:rsidP="00BF632A">
      <w:pPr>
        <w:pStyle w:val="NoSpacing"/>
        <w:spacing w:line="480" w:lineRule="auto"/>
        <w:ind w:firstLine="720"/>
        <w:jc w:val="both"/>
        <w:rPr>
          <w:rFonts w:ascii="Times New Roman" w:hAnsi="Times New Roman" w:cs="Times New Roman"/>
          <w:sz w:val="28"/>
          <w:szCs w:val="28"/>
        </w:rPr>
      </w:pPr>
      <w:r w:rsidRPr="005D3C1B">
        <w:rPr>
          <w:rFonts w:ascii="Times New Roman" w:hAnsi="Times New Roman" w:cs="Times New Roman"/>
          <w:sz w:val="28"/>
          <w:szCs w:val="28"/>
        </w:rPr>
        <w:t xml:space="preserve">Rule 13(d)(3) concerns the content of a response to an appellate special action.  The </w:t>
      </w:r>
      <w:r w:rsidR="005D3C1B" w:rsidRPr="005D3C1B">
        <w:rPr>
          <w:rFonts w:ascii="Times New Roman" w:hAnsi="Times New Roman" w:cs="Times New Roman"/>
          <w:sz w:val="28"/>
          <w:szCs w:val="28"/>
        </w:rPr>
        <w:t>Attorney General</w:t>
      </w:r>
      <w:r w:rsidR="008452E3" w:rsidRPr="005D3C1B">
        <w:rPr>
          <w:rFonts w:ascii="Times New Roman" w:hAnsi="Times New Roman" w:cs="Times New Roman"/>
          <w:sz w:val="28"/>
          <w:szCs w:val="28"/>
        </w:rPr>
        <w:t xml:space="preserve">’s </w:t>
      </w:r>
      <w:r w:rsidRPr="005D3C1B">
        <w:rPr>
          <w:rFonts w:ascii="Times New Roman" w:hAnsi="Times New Roman" w:cs="Times New Roman"/>
          <w:sz w:val="28"/>
          <w:szCs w:val="28"/>
        </w:rPr>
        <w:t>first suggestion was to add the word “material</w:t>
      </w:r>
      <w:r w:rsidR="008452E3" w:rsidRPr="005D3C1B">
        <w:rPr>
          <w:rFonts w:ascii="Times New Roman" w:hAnsi="Times New Roman" w:cs="Times New Roman"/>
          <w:sz w:val="28"/>
          <w:szCs w:val="28"/>
        </w:rPr>
        <w:t>.</w:t>
      </w:r>
      <w:r w:rsidRPr="005D3C1B">
        <w:rPr>
          <w:rFonts w:ascii="Times New Roman" w:hAnsi="Times New Roman" w:cs="Times New Roman"/>
          <w:sz w:val="28"/>
          <w:szCs w:val="28"/>
        </w:rPr>
        <w:t xml:space="preserve">” </w:t>
      </w:r>
      <w:r w:rsidR="008452E3" w:rsidRPr="005D3C1B">
        <w:rPr>
          <w:rFonts w:ascii="Times New Roman" w:hAnsi="Times New Roman" w:cs="Times New Roman"/>
          <w:sz w:val="28"/>
          <w:szCs w:val="28"/>
        </w:rPr>
        <w:t>T</w:t>
      </w:r>
      <w:r w:rsidRPr="005D3C1B">
        <w:rPr>
          <w:rFonts w:ascii="Times New Roman" w:hAnsi="Times New Roman" w:cs="Times New Roman"/>
          <w:sz w:val="28"/>
          <w:szCs w:val="28"/>
        </w:rPr>
        <w:t xml:space="preserve">he </w:t>
      </w:r>
      <w:r w:rsidR="007C52CF" w:rsidRPr="005D3C1B">
        <w:rPr>
          <w:rFonts w:ascii="Times New Roman" w:hAnsi="Times New Roman" w:cs="Times New Roman"/>
          <w:sz w:val="28"/>
          <w:szCs w:val="28"/>
        </w:rPr>
        <w:t xml:space="preserve">Task Force agreed that this addition </w:t>
      </w:r>
      <w:r w:rsidR="001E188F" w:rsidRPr="005D3C1B">
        <w:rPr>
          <w:rFonts w:ascii="Times New Roman" w:hAnsi="Times New Roman" w:cs="Times New Roman"/>
          <w:sz w:val="28"/>
          <w:szCs w:val="28"/>
        </w:rPr>
        <w:t xml:space="preserve">furthered the intent of </w:t>
      </w:r>
      <w:r w:rsidR="001D295A" w:rsidRPr="005D3C1B">
        <w:rPr>
          <w:rFonts w:ascii="Times New Roman" w:hAnsi="Times New Roman" w:cs="Times New Roman"/>
          <w:sz w:val="28"/>
          <w:szCs w:val="28"/>
        </w:rPr>
        <w:t>th</w:t>
      </w:r>
      <w:r w:rsidR="00215BB6" w:rsidRPr="005D3C1B">
        <w:rPr>
          <w:rFonts w:ascii="Times New Roman" w:hAnsi="Times New Roman" w:cs="Times New Roman"/>
          <w:sz w:val="28"/>
          <w:szCs w:val="28"/>
        </w:rPr>
        <w:t>e</w:t>
      </w:r>
      <w:r w:rsidR="001E188F" w:rsidRPr="005D3C1B">
        <w:rPr>
          <w:rFonts w:ascii="Times New Roman" w:hAnsi="Times New Roman" w:cs="Times New Roman"/>
          <w:sz w:val="28"/>
          <w:szCs w:val="28"/>
        </w:rPr>
        <w:t xml:space="preserve"> provision, and the </w:t>
      </w:r>
      <w:r w:rsidRPr="005D3C1B">
        <w:rPr>
          <w:rFonts w:ascii="Times New Roman" w:hAnsi="Times New Roman" w:cs="Times New Roman"/>
          <w:sz w:val="28"/>
          <w:szCs w:val="28"/>
        </w:rPr>
        <w:t>subpart</w:t>
      </w:r>
      <w:r w:rsidR="003937BB" w:rsidRPr="005D3C1B">
        <w:rPr>
          <w:rFonts w:ascii="Times New Roman" w:hAnsi="Times New Roman" w:cs="Times New Roman"/>
          <w:sz w:val="28"/>
          <w:szCs w:val="28"/>
        </w:rPr>
        <w:t xml:space="preserve"> as revised by the Task Force</w:t>
      </w:r>
      <w:r w:rsidRPr="005D3C1B">
        <w:rPr>
          <w:rFonts w:ascii="Times New Roman" w:hAnsi="Times New Roman" w:cs="Times New Roman"/>
          <w:sz w:val="28"/>
          <w:szCs w:val="28"/>
        </w:rPr>
        <w:t xml:space="preserve"> now provides, “A response should include a statement of any </w:t>
      </w:r>
      <w:r w:rsidRPr="005D3C1B">
        <w:rPr>
          <w:rFonts w:ascii="Times New Roman" w:hAnsi="Times New Roman" w:cs="Times New Roman"/>
          <w:sz w:val="28"/>
          <w:szCs w:val="28"/>
          <w:u w:val="single"/>
        </w:rPr>
        <w:t>material</w:t>
      </w:r>
      <w:r w:rsidRPr="005D3C1B">
        <w:rPr>
          <w:rFonts w:ascii="Times New Roman" w:hAnsi="Times New Roman" w:cs="Times New Roman"/>
          <w:sz w:val="28"/>
          <w:szCs w:val="28"/>
        </w:rPr>
        <w:t xml:space="preserve"> facts not contained in the petition</w:t>
      </w:r>
      <w:r w:rsidR="004207AB" w:rsidRPr="005D3C1B">
        <w:rPr>
          <w:rFonts w:ascii="Times New Roman" w:hAnsi="Times New Roman" w:cs="Times New Roman"/>
          <w:sz w:val="28"/>
          <w:szCs w:val="28"/>
        </w:rPr>
        <w:t>.</w:t>
      </w:r>
      <w:r w:rsidRPr="005D3C1B">
        <w:rPr>
          <w:rFonts w:ascii="Times New Roman" w:hAnsi="Times New Roman" w:cs="Times New Roman"/>
          <w:sz w:val="28"/>
          <w:szCs w:val="28"/>
        </w:rPr>
        <w:t xml:space="preserve">…”  </w:t>
      </w:r>
    </w:p>
    <w:p w14:paraId="261B1A21" w14:textId="764DBFAF" w:rsidR="002B628E" w:rsidRPr="005D3C1B" w:rsidRDefault="002B628E" w:rsidP="00BF632A">
      <w:pPr>
        <w:pStyle w:val="NoSpacing"/>
        <w:spacing w:line="480" w:lineRule="auto"/>
        <w:ind w:firstLine="720"/>
        <w:jc w:val="both"/>
        <w:rPr>
          <w:rFonts w:ascii="Times New Roman" w:hAnsi="Times New Roman" w:cs="Times New Roman"/>
          <w:b/>
          <w:bCs/>
          <w:sz w:val="28"/>
          <w:szCs w:val="28"/>
        </w:rPr>
      </w:pPr>
      <w:r w:rsidRPr="005D3C1B">
        <w:rPr>
          <w:rFonts w:ascii="Times New Roman" w:hAnsi="Times New Roman" w:cs="Times New Roman"/>
          <w:sz w:val="28"/>
          <w:szCs w:val="28"/>
        </w:rPr>
        <w:t xml:space="preserve">The </w:t>
      </w:r>
      <w:r w:rsidR="005D3C1B" w:rsidRPr="005D3C1B">
        <w:rPr>
          <w:rFonts w:ascii="Times New Roman" w:hAnsi="Times New Roman" w:cs="Times New Roman"/>
          <w:sz w:val="28"/>
          <w:szCs w:val="28"/>
        </w:rPr>
        <w:t>Attorney General</w:t>
      </w:r>
      <w:r w:rsidR="008452E3" w:rsidRPr="005D3C1B">
        <w:rPr>
          <w:rFonts w:ascii="Times New Roman" w:hAnsi="Times New Roman" w:cs="Times New Roman"/>
          <w:sz w:val="28"/>
          <w:szCs w:val="28"/>
        </w:rPr>
        <w:t xml:space="preserve">’s </w:t>
      </w:r>
      <w:r w:rsidRPr="005D3C1B">
        <w:rPr>
          <w:rFonts w:ascii="Times New Roman" w:hAnsi="Times New Roman" w:cs="Times New Roman"/>
          <w:sz w:val="28"/>
          <w:szCs w:val="28"/>
        </w:rPr>
        <w:t xml:space="preserve">second suggestion would permit a later filing of amicus briefs. The Task Force </w:t>
      </w:r>
      <w:r w:rsidR="00215BB6" w:rsidRPr="005D3C1B">
        <w:rPr>
          <w:rFonts w:ascii="Times New Roman" w:hAnsi="Times New Roman" w:cs="Times New Roman"/>
          <w:sz w:val="28"/>
          <w:szCs w:val="28"/>
        </w:rPr>
        <w:t xml:space="preserve">acknowledged </w:t>
      </w:r>
      <w:r w:rsidR="00D47475" w:rsidRPr="005D3C1B">
        <w:rPr>
          <w:rFonts w:ascii="Times New Roman" w:hAnsi="Times New Roman" w:cs="Times New Roman"/>
          <w:sz w:val="28"/>
          <w:szCs w:val="28"/>
        </w:rPr>
        <w:t xml:space="preserve">that the timing of the proposed provision was too restrictive, and it </w:t>
      </w:r>
      <w:r w:rsidRPr="005D3C1B">
        <w:rPr>
          <w:rFonts w:ascii="Times New Roman" w:hAnsi="Times New Roman" w:cs="Times New Roman"/>
          <w:sz w:val="28"/>
          <w:szCs w:val="28"/>
        </w:rPr>
        <w:t xml:space="preserve">modified the second sentence of Rule 13(i) (“amicus briefs”) as follows: “Amicus curiae briefs must be filed as expeditiously as possible after the petition for special action </w:t>
      </w:r>
      <w:r w:rsidRPr="005D3C1B">
        <w:rPr>
          <w:rFonts w:ascii="Times New Roman" w:hAnsi="Times New Roman" w:cs="Times New Roman"/>
          <w:sz w:val="28"/>
          <w:szCs w:val="28"/>
          <w:u w:val="single"/>
        </w:rPr>
        <w:t>or other brief</w:t>
      </w:r>
      <w:r w:rsidRPr="005D3C1B">
        <w:rPr>
          <w:rFonts w:ascii="Times New Roman" w:hAnsi="Times New Roman" w:cs="Times New Roman"/>
          <w:sz w:val="28"/>
          <w:szCs w:val="28"/>
        </w:rPr>
        <w:t xml:space="preserve"> is filed, </w:t>
      </w:r>
      <w:r w:rsidRPr="005D3C1B">
        <w:rPr>
          <w:rFonts w:ascii="Times New Roman" w:hAnsi="Times New Roman" w:cs="Times New Roman"/>
          <w:sz w:val="28"/>
          <w:szCs w:val="28"/>
          <w:u w:val="single"/>
        </w:rPr>
        <w:t>or as otherwise ordered by the court</w:t>
      </w:r>
      <w:r w:rsidRPr="005D3C1B">
        <w:rPr>
          <w:rFonts w:ascii="Times New Roman" w:hAnsi="Times New Roman" w:cs="Times New Roman"/>
          <w:sz w:val="28"/>
          <w:szCs w:val="28"/>
        </w:rPr>
        <w:t>.</w:t>
      </w:r>
      <w:r w:rsidR="00D10847" w:rsidRPr="005D3C1B">
        <w:rPr>
          <w:rFonts w:ascii="Times New Roman" w:hAnsi="Times New Roman" w:cs="Times New Roman"/>
          <w:sz w:val="28"/>
          <w:szCs w:val="28"/>
        </w:rPr>
        <w:t>”</w:t>
      </w:r>
      <w:r w:rsidRPr="005D3C1B">
        <w:rPr>
          <w:rFonts w:ascii="Times New Roman" w:hAnsi="Times New Roman" w:cs="Times New Roman"/>
          <w:sz w:val="28"/>
          <w:szCs w:val="28"/>
        </w:rPr>
        <w:t xml:space="preserve">  </w:t>
      </w:r>
    </w:p>
    <w:p w14:paraId="106F6EEC" w14:textId="14531707" w:rsidR="0031350D" w:rsidRPr="005D3C1B" w:rsidRDefault="00F3648D" w:rsidP="0022344E">
      <w:pPr>
        <w:pStyle w:val="Default"/>
        <w:spacing w:line="480" w:lineRule="auto"/>
        <w:ind w:firstLine="720"/>
        <w:jc w:val="both"/>
        <w:rPr>
          <w:sz w:val="28"/>
          <w:szCs w:val="28"/>
        </w:rPr>
      </w:pPr>
      <w:r w:rsidRPr="005D3C1B">
        <w:rPr>
          <w:b/>
          <w:bCs/>
          <w:sz w:val="28"/>
          <w:szCs w:val="28"/>
        </w:rPr>
        <w:t xml:space="preserve">Rule 15: </w:t>
      </w:r>
      <w:r w:rsidR="0031350D" w:rsidRPr="005D3C1B">
        <w:rPr>
          <w:b/>
          <w:bCs/>
          <w:sz w:val="28"/>
          <w:szCs w:val="28"/>
        </w:rPr>
        <w:t>“Procedure for Sta</w:t>
      </w:r>
      <w:r w:rsidR="0022344E" w:rsidRPr="005D3C1B">
        <w:rPr>
          <w:b/>
          <w:bCs/>
          <w:sz w:val="28"/>
          <w:szCs w:val="28"/>
        </w:rPr>
        <w:t>y</w:t>
      </w:r>
      <w:r w:rsidR="0031350D" w:rsidRPr="005D3C1B">
        <w:rPr>
          <w:b/>
          <w:bCs/>
          <w:sz w:val="28"/>
          <w:szCs w:val="28"/>
        </w:rPr>
        <w:t xml:space="preserve"> Requests in Appellate Special Actions.”</w:t>
      </w:r>
      <w:r w:rsidR="0031350D" w:rsidRPr="005D3C1B">
        <w:rPr>
          <w:sz w:val="28"/>
          <w:szCs w:val="28"/>
        </w:rPr>
        <w:t xml:space="preserve">  The </w:t>
      </w:r>
      <w:r w:rsidR="005D3C1B">
        <w:rPr>
          <w:sz w:val="28"/>
          <w:szCs w:val="28"/>
        </w:rPr>
        <w:t>Attorney General’s</w:t>
      </w:r>
      <w:r w:rsidR="0031350D" w:rsidRPr="005D3C1B">
        <w:rPr>
          <w:sz w:val="28"/>
          <w:szCs w:val="28"/>
        </w:rPr>
        <w:t xml:space="preserve"> comment </w:t>
      </w:r>
      <w:r w:rsidR="00193D71" w:rsidRPr="005D3C1B">
        <w:rPr>
          <w:sz w:val="28"/>
          <w:szCs w:val="28"/>
        </w:rPr>
        <w:t>contended</w:t>
      </w:r>
      <w:r w:rsidR="0031350D" w:rsidRPr="005D3C1B">
        <w:rPr>
          <w:sz w:val="28"/>
          <w:szCs w:val="28"/>
        </w:rPr>
        <w:t xml:space="preserve"> that the stay provisions</w:t>
      </w:r>
      <w:r w:rsidR="00193D71" w:rsidRPr="005D3C1B">
        <w:rPr>
          <w:sz w:val="28"/>
          <w:szCs w:val="28"/>
        </w:rPr>
        <w:t xml:space="preserve"> of this rule</w:t>
      </w:r>
      <w:r w:rsidR="0031350D" w:rsidRPr="005D3C1B">
        <w:rPr>
          <w:sz w:val="28"/>
          <w:szCs w:val="28"/>
        </w:rPr>
        <w:t xml:space="preserve"> appear</w:t>
      </w:r>
      <w:r w:rsidR="00193D71" w:rsidRPr="005D3C1B">
        <w:rPr>
          <w:sz w:val="28"/>
          <w:szCs w:val="28"/>
        </w:rPr>
        <w:t>ed</w:t>
      </w:r>
      <w:r w:rsidR="0031350D" w:rsidRPr="005D3C1B">
        <w:rPr>
          <w:sz w:val="28"/>
          <w:szCs w:val="28"/>
        </w:rPr>
        <w:t xml:space="preserve"> to be inconsistent. </w:t>
      </w:r>
      <w:r w:rsidR="005C45F3" w:rsidRPr="005D3C1B">
        <w:rPr>
          <w:sz w:val="28"/>
          <w:szCs w:val="28"/>
        </w:rPr>
        <w:t xml:space="preserve">The </w:t>
      </w:r>
      <w:r w:rsidR="005D3C1B" w:rsidRPr="005D3C1B">
        <w:rPr>
          <w:sz w:val="28"/>
          <w:szCs w:val="28"/>
        </w:rPr>
        <w:t>Attorney General</w:t>
      </w:r>
      <w:r w:rsidR="0031350D" w:rsidRPr="005D3C1B">
        <w:rPr>
          <w:sz w:val="28"/>
          <w:szCs w:val="28"/>
        </w:rPr>
        <w:t xml:space="preserve"> recommended adding to Rule 15(h) </w:t>
      </w:r>
      <w:r w:rsidR="00193D71" w:rsidRPr="005D3C1B">
        <w:rPr>
          <w:sz w:val="28"/>
          <w:szCs w:val="28"/>
        </w:rPr>
        <w:t xml:space="preserve">(“continued jurisdiction”) </w:t>
      </w:r>
      <w:r w:rsidR="0031350D" w:rsidRPr="005D3C1B">
        <w:rPr>
          <w:sz w:val="28"/>
          <w:szCs w:val="28"/>
        </w:rPr>
        <w:t xml:space="preserve">a sentence to clarify that if a reviewing court issued a stay, “… the lower court is generally divested of jurisdiction only with respect to matters for which the special action seeks relief.” </w:t>
      </w:r>
      <w:r w:rsidR="00193D71" w:rsidRPr="005D3C1B">
        <w:rPr>
          <w:sz w:val="28"/>
          <w:szCs w:val="28"/>
        </w:rPr>
        <w:t xml:space="preserve">The Task Force </w:t>
      </w:r>
      <w:r w:rsidR="0031350D" w:rsidRPr="005D3C1B">
        <w:rPr>
          <w:sz w:val="28"/>
          <w:szCs w:val="28"/>
        </w:rPr>
        <w:t xml:space="preserve">declined to adopt the </w:t>
      </w:r>
      <w:r w:rsidR="005D3C1B">
        <w:rPr>
          <w:sz w:val="28"/>
          <w:szCs w:val="28"/>
        </w:rPr>
        <w:t>Attorney General</w:t>
      </w:r>
      <w:r w:rsidR="0031350D" w:rsidRPr="005D3C1B">
        <w:rPr>
          <w:sz w:val="28"/>
          <w:szCs w:val="28"/>
        </w:rPr>
        <w:t xml:space="preserve">’s </w:t>
      </w:r>
      <w:r w:rsidR="006C3579" w:rsidRPr="005D3C1B">
        <w:rPr>
          <w:sz w:val="28"/>
          <w:szCs w:val="28"/>
        </w:rPr>
        <w:t>recommendation,</w:t>
      </w:r>
      <w:r w:rsidR="0031350D" w:rsidRPr="005D3C1B">
        <w:rPr>
          <w:sz w:val="28"/>
          <w:szCs w:val="28"/>
        </w:rPr>
        <w:t xml:space="preserve"> but </w:t>
      </w:r>
      <w:r w:rsidR="00193D71" w:rsidRPr="005D3C1B">
        <w:rPr>
          <w:sz w:val="28"/>
          <w:szCs w:val="28"/>
        </w:rPr>
        <w:t>it</w:t>
      </w:r>
      <w:r w:rsidR="0031350D" w:rsidRPr="005D3C1B">
        <w:rPr>
          <w:sz w:val="28"/>
          <w:szCs w:val="28"/>
        </w:rPr>
        <w:t xml:space="preserve"> instead modified Rule 15(d) </w:t>
      </w:r>
      <w:r w:rsidR="00193D71" w:rsidRPr="005D3C1B">
        <w:rPr>
          <w:sz w:val="28"/>
          <w:szCs w:val="28"/>
        </w:rPr>
        <w:t>(“stay on the court’s initiative”</w:t>
      </w:r>
      <w:r w:rsidR="0022344E" w:rsidRPr="005D3C1B">
        <w:rPr>
          <w:sz w:val="28"/>
          <w:szCs w:val="28"/>
        </w:rPr>
        <w:t xml:space="preserve">) </w:t>
      </w:r>
      <w:r w:rsidR="0031350D" w:rsidRPr="005D3C1B">
        <w:rPr>
          <w:sz w:val="28"/>
          <w:szCs w:val="28"/>
        </w:rPr>
        <w:t xml:space="preserve">by adding the following underlined words, which have a similar </w:t>
      </w:r>
      <w:r w:rsidR="005C6498">
        <w:rPr>
          <w:sz w:val="28"/>
          <w:szCs w:val="28"/>
        </w:rPr>
        <w:t>effect</w:t>
      </w:r>
      <w:r w:rsidR="0031350D" w:rsidRPr="005D3C1B">
        <w:rPr>
          <w:sz w:val="28"/>
          <w:szCs w:val="28"/>
        </w:rPr>
        <w:t>: “The reviewing court</w:t>
      </w:r>
      <w:r w:rsidR="00FD0BAF" w:rsidRPr="00B92588">
        <w:rPr>
          <w:sz w:val="28"/>
          <w:szCs w:val="28"/>
          <w:u w:val="single"/>
        </w:rPr>
        <w:t xml:space="preserve">, </w:t>
      </w:r>
      <w:r w:rsidR="00FD0BAF" w:rsidRPr="00FD0BAF">
        <w:rPr>
          <w:sz w:val="28"/>
          <w:szCs w:val="28"/>
          <w:u w:val="single"/>
        </w:rPr>
        <w:t>on its own initiative,</w:t>
      </w:r>
      <w:r w:rsidR="0031350D" w:rsidRPr="005D3C1B">
        <w:rPr>
          <w:sz w:val="28"/>
          <w:szCs w:val="28"/>
        </w:rPr>
        <w:t xml:space="preserve"> may issue a stay </w:t>
      </w:r>
      <w:r w:rsidR="0031350D" w:rsidRPr="005D3C1B">
        <w:rPr>
          <w:sz w:val="28"/>
          <w:szCs w:val="28"/>
          <w:u w:val="single"/>
        </w:rPr>
        <w:t xml:space="preserve">of the decision challenged by special </w:t>
      </w:r>
      <w:r w:rsidR="0031350D" w:rsidRPr="00291D0B">
        <w:rPr>
          <w:sz w:val="28"/>
          <w:szCs w:val="28"/>
          <w:u w:val="single"/>
        </w:rPr>
        <w:t>action</w:t>
      </w:r>
      <w:r w:rsidR="0031350D" w:rsidRPr="008A1F2C">
        <w:rPr>
          <w:sz w:val="28"/>
          <w:szCs w:val="28"/>
          <w:u w:val="single"/>
        </w:rPr>
        <w:t xml:space="preserve"> </w:t>
      </w:r>
      <w:r w:rsidR="00BA2131" w:rsidRPr="008A1F2C">
        <w:rPr>
          <w:sz w:val="28"/>
          <w:szCs w:val="28"/>
          <w:u w:val="single"/>
        </w:rPr>
        <w:t>and other</w:t>
      </w:r>
      <w:r w:rsidR="0002315C" w:rsidRPr="008A1F2C">
        <w:rPr>
          <w:sz w:val="28"/>
          <w:szCs w:val="28"/>
          <w:u w:val="single"/>
        </w:rPr>
        <w:t xml:space="preserve"> related matters as necessary to provide effective relief</w:t>
      </w:r>
      <w:r w:rsidR="0002315C">
        <w:rPr>
          <w:sz w:val="28"/>
          <w:szCs w:val="28"/>
        </w:rPr>
        <w:t xml:space="preserve"> </w:t>
      </w:r>
      <w:r w:rsidR="0031350D" w:rsidRPr="00B92588">
        <w:rPr>
          <w:strike/>
          <w:sz w:val="28"/>
          <w:szCs w:val="28"/>
        </w:rPr>
        <w:t>on its own initiative</w:t>
      </w:r>
      <w:r w:rsidR="0031350D" w:rsidRPr="005D3C1B">
        <w:rPr>
          <w:sz w:val="28"/>
          <w:szCs w:val="28"/>
        </w:rPr>
        <w:t>.”</w:t>
      </w:r>
    </w:p>
    <w:p w14:paraId="6AA7317D" w14:textId="597CCDA7" w:rsidR="002B628E" w:rsidRPr="005D3C1B" w:rsidRDefault="006C3579" w:rsidP="002F166C">
      <w:pPr>
        <w:pStyle w:val="NoSpacing"/>
        <w:spacing w:line="480" w:lineRule="auto"/>
        <w:ind w:firstLine="720"/>
        <w:jc w:val="both"/>
        <w:rPr>
          <w:rFonts w:ascii="Times New Roman" w:hAnsi="Times New Roman" w:cs="Times New Roman"/>
          <w:sz w:val="28"/>
          <w:szCs w:val="28"/>
        </w:rPr>
      </w:pPr>
      <w:r w:rsidRPr="005D3C1B">
        <w:rPr>
          <w:rFonts w:ascii="Times New Roman" w:hAnsi="Times New Roman" w:cs="Times New Roman"/>
          <w:b/>
          <w:bCs/>
          <w:sz w:val="28"/>
          <w:szCs w:val="28"/>
        </w:rPr>
        <w:t>Rule 16: “Costs and Attorney Fees.”</w:t>
      </w:r>
      <w:r w:rsidRPr="005D3C1B">
        <w:rPr>
          <w:rFonts w:ascii="Times New Roman" w:hAnsi="Times New Roman" w:cs="Times New Roman"/>
          <w:sz w:val="28"/>
          <w:szCs w:val="28"/>
        </w:rPr>
        <w:t xml:space="preserve"> </w:t>
      </w:r>
      <w:r w:rsidR="002F166C" w:rsidRPr="005D3C1B">
        <w:rPr>
          <w:rFonts w:ascii="Times New Roman" w:hAnsi="Times New Roman" w:cs="Times New Roman"/>
          <w:sz w:val="28"/>
          <w:szCs w:val="28"/>
        </w:rPr>
        <w:t xml:space="preserve">A comment from </w:t>
      </w:r>
      <w:r w:rsidR="00133B59" w:rsidRPr="005D3C1B">
        <w:rPr>
          <w:rFonts w:ascii="Times New Roman" w:hAnsi="Times New Roman" w:cs="Times New Roman"/>
          <w:sz w:val="28"/>
          <w:szCs w:val="28"/>
        </w:rPr>
        <w:t>Ms. Victoria Katz</w:t>
      </w:r>
      <w:r w:rsidR="00E749F2">
        <w:rPr>
          <w:rFonts w:ascii="Times New Roman" w:hAnsi="Times New Roman" w:cs="Times New Roman"/>
          <w:sz w:val="28"/>
          <w:szCs w:val="28"/>
        </w:rPr>
        <w:t xml:space="preserve"> of Aderant</w:t>
      </w:r>
      <w:r w:rsidRPr="005D3C1B">
        <w:rPr>
          <w:rFonts w:ascii="Times New Roman" w:hAnsi="Times New Roman" w:cs="Times New Roman"/>
          <w:sz w:val="28"/>
          <w:szCs w:val="28"/>
        </w:rPr>
        <w:t xml:space="preserve"> correctly noted that proposed Rule 16(b)</w:t>
      </w:r>
      <w:r w:rsidR="00320F82" w:rsidRPr="005D3C1B">
        <w:rPr>
          <w:rFonts w:ascii="Times New Roman" w:hAnsi="Times New Roman" w:cs="Times New Roman"/>
          <w:sz w:val="28"/>
          <w:szCs w:val="28"/>
        </w:rPr>
        <w:t xml:space="preserve"> (“opposing a claim for attorney fees”)</w:t>
      </w:r>
      <w:r w:rsidRPr="005D3C1B">
        <w:rPr>
          <w:rFonts w:ascii="Times New Roman" w:hAnsi="Times New Roman" w:cs="Times New Roman"/>
          <w:sz w:val="28"/>
          <w:szCs w:val="28"/>
        </w:rPr>
        <w:t xml:space="preserve"> includes a reference to taking action after receiving “the notice,” </w:t>
      </w:r>
      <w:r w:rsidR="00132892">
        <w:rPr>
          <w:rFonts w:ascii="Times New Roman" w:hAnsi="Times New Roman" w:cs="Times New Roman"/>
          <w:sz w:val="28"/>
          <w:szCs w:val="28"/>
        </w:rPr>
        <w:t xml:space="preserve">yet </w:t>
      </w:r>
      <w:r w:rsidRPr="005D3C1B">
        <w:rPr>
          <w:rFonts w:ascii="Times New Roman" w:hAnsi="Times New Roman" w:cs="Times New Roman"/>
          <w:sz w:val="28"/>
          <w:szCs w:val="28"/>
        </w:rPr>
        <w:t xml:space="preserve">neither section (b) nor Rule 16 </w:t>
      </w:r>
      <w:r w:rsidR="003C032D" w:rsidRPr="005D3C1B">
        <w:rPr>
          <w:rFonts w:ascii="Times New Roman" w:hAnsi="Times New Roman" w:cs="Times New Roman"/>
          <w:sz w:val="28"/>
          <w:szCs w:val="28"/>
        </w:rPr>
        <w:t>includes a</w:t>
      </w:r>
      <w:r w:rsidRPr="005D3C1B">
        <w:rPr>
          <w:rFonts w:ascii="Times New Roman" w:hAnsi="Times New Roman" w:cs="Times New Roman"/>
          <w:sz w:val="28"/>
          <w:szCs w:val="28"/>
        </w:rPr>
        <w:t xml:space="preserve"> further reference to, or a description of, any such notice. The comment proposed an amendment to section (b), and </w:t>
      </w:r>
      <w:r w:rsidR="007D4385" w:rsidRPr="005D3C1B">
        <w:rPr>
          <w:rFonts w:ascii="Times New Roman" w:hAnsi="Times New Roman" w:cs="Times New Roman"/>
          <w:sz w:val="28"/>
          <w:szCs w:val="28"/>
        </w:rPr>
        <w:t>the Task Force</w:t>
      </w:r>
      <w:r w:rsidRPr="005D3C1B">
        <w:rPr>
          <w:rFonts w:ascii="Times New Roman" w:hAnsi="Times New Roman" w:cs="Times New Roman"/>
          <w:sz w:val="28"/>
          <w:szCs w:val="28"/>
        </w:rPr>
        <w:t xml:space="preserve"> agreed with it, albeit with a modification. The modified language would be as follows: “… no later than 10 days after the </w:t>
      </w:r>
      <w:r w:rsidRPr="005D3C1B">
        <w:rPr>
          <w:rFonts w:ascii="Times New Roman" w:hAnsi="Times New Roman" w:cs="Times New Roman"/>
          <w:strike/>
          <w:sz w:val="28"/>
          <w:szCs w:val="28"/>
        </w:rPr>
        <w:t>notice</w:t>
      </w:r>
      <w:r w:rsidRPr="005D3C1B">
        <w:rPr>
          <w:rFonts w:ascii="Times New Roman" w:hAnsi="Times New Roman" w:cs="Times New Roman"/>
          <w:sz w:val="28"/>
          <w:szCs w:val="28"/>
        </w:rPr>
        <w:t xml:space="preserve"> </w:t>
      </w:r>
      <w:r w:rsidRPr="005D3C1B">
        <w:rPr>
          <w:rFonts w:ascii="Times New Roman" w:hAnsi="Times New Roman" w:cs="Times New Roman"/>
          <w:sz w:val="28"/>
          <w:szCs w:val="28"/>
          <w:u w:val="single"/>
        </w:rPr>
        <w:t>response containing a claim for attorney fees</w:t>
      </w:r>
      <w:r w:rsidRPr="005D3C1B">
        <w:rPr>
          <w:rFonts w:ascii="Times New Roman" w:hAnsi="Times New Roman" w:cs="Times New Roman"/>
          <w:sz w:val="28"/>
          <w:szCs w:val="28"/>
        </w:rPr>
        <w:t xml:space="preserve"> is served.” </w:t>
      </w:r>
    </w:p>
    <w:p w14:paraId="79BDDC9C" w14:textId="27BFF6F5" w:rsidR="00223E4B" w:rsidRPr="005D3C1B" w:rsidRDefault="00223E4B" w:rsidP="002F166C">
      <w:pPr>
        <w:pStyle w:val="NoSpacing"/>
        <w:spacing w:line="480" w:lineRule="auto"/>
        <w:ind w:firstLine="720"/>
        <w:jc w:val="both"/>
        <w:rPr>
          <w:rFonts w:ascii="Times New Roman" w:hAnsi="Times New Roman" w:cs="Times New Roman"/>
          <w:sz w:val="28"/>
          <w:szCs w:val="28"/>
        </w:rPr>
      </w:pPr>
      <w:r w:rsidRPr="005D3C1B">
        <w:rPr>
          <w:rFonts w:ascii="Times New Roman" w:hAnsi="Times New Roman" w:cs="Times New Roman"/>
          <w:b/>
          <w:bCs/>
          <w:sz w:val="28"/>
          <w:szCs w:val="28"/>
        </w:rPr>
        <w:t>Rule 17: “</w:t>
      </w:r>
      <w:r w:rsidR="00157F8C">
        <w:rPr>
          <w:rFonts w:ascii="Times New Roman" w:hAnsi="Times New Roman" w:cs="Times New Roman"/>
          <w:b/>
          <w:bCs/>
          <w:sz w:val="28"/>
          <w:szCs w:val="28"/>
        </w:rPr>
        <w:t>Disposition of</w:t>
      </w:r>
      <w:r w:rsidRPr="005D3C1B">
        <w:rPr>
          <w:rFonts w:ascii="Times New Roman" w:hAnsi="Times New Roman" w:cs="Times New Roman"/>
          <w:b/>
          <w:bCs/>
          <w:sz w:val="28"/>
          <w:szCs w:val="28"/>
        </w:rPr>
        <w:t xml:space="preserve"> Appellate Special Actions.”</w:t>
      </w:r>
      <w:r w:rsidRPr="005D3C1B">
        <w:rPr>
          <w:rFonts w:ascii="Times New Roman" w:hAnsi="Times New Roman" w:cs="Times New Roman"/>
          <w:sz w:val="28"/>
          <w:szCs w:val="28"/>
        </w:rPr>
        <w:t xml:space="preserve"> </w:t>
      </w:r>
      <w:r w:rsidR="00573EAE" w:rsidRPr="005D3C1B">
        <w:rPr>
          <w:rFonts w:ascii="Times New Roman" w:hAnsi="Times New Roman" w:cs="Times New Roman"/>
          <w:sz w:val="28"/>
          <w:szCs w:val="28"/>
        </w:rPr>
        <w:t xml:space="preserve">Mandates are mentioned in proposed Rules 17(c) </w:t>
      </w:r>
      <w:r w:rsidR="00715268" w:rsidRPr="005D3C1B">
        <w:rPr>
          <w:rFonts w:ascii="Times New Roman" w:hAnsi="Times New Roman" w:cs="Times New Roman"/>
          <w:sz w:val="28"/>
          <w:szCs w:val="28"/>
        </w:rPr>
        <w:t xml:space="preserve">(“effectiveness of decision”) </w:t>
      </w:r>
      <w:r w:rsidR="00573EAE" w:rsidRPr="005D3C1B">
        <w:rPr>
          <w:rFonts w:ascii="Times New Roman" w:hAnsi="Times New Roman" w:cs="Times New Roman"/>
          <w:sz w:val="28"/>
          <w:szCs w:val="28"/>
        </w:rPr>
        <w:t>and 18(b)</w:t>
      </w:r>
      <w:r w:rsidR="0013147B" w:rsidRPr="005D3C1B">
        <w:rPr>
          <w:rFonts w:ascii="Times New Roman" w:hAnsi="Times New Roman" w:cs="Times New Roman"/>
          <w:sz w:val="28"/>
          <w:szCs w:val="28"/>
        </w:rPr>
        <w:t xml:space="preserve"> (“when motions for reconsideration are not permitted”), subpart (b)</w:t>
      </w:r>
      <w:r w:rsidR="00573EAE" w:rsidRPr="005D3C1B">
        <w:rPr>
          <w:rFonts w:ascii="Times New Roman" w:hAnsi="Times New Roman" w:cs="Times New Roman"/>
          <w:sz w:val="28"/>
          <w:szCs w:val="28"/>
        </w:rPr>
        <w:t>(2). Judge Metcalf</w:t>
      </w:r>
      <w:r w:rsidR="00B24A83">
        <w:rPr>
          <w:rFonts w:ascii="Times New Roman" w:hAnsi="Times New Roman" w:cs="Times New Roman"/>
          <w:sz w:val="28"/>
          <w:szCs w:val="28"/>
        </w:rPr>
        <w:t>’s comment</w:t>
      </w:r>
      <w:r w:rsidR="00573EAE" w:rsidRPr="005D3C1B">
        <w:rPr>
          <w:rFonts w:ascii="Times New Roman" w:hAnsi="Times New Roman" w:cs="Times New Roman"/>
          <w:sz w:val="28"/>
          <w:szCs w:val="28"/>
        </w:rPr>
        <w:t xml:space="preserve"> suggested that mandates are unnecessary in appellate special actions. Although Division One uses “termination letters” rather than mandates to formalize the conclusion of a special action proceeding, the </w:t>
      </w:r>
      <w:r w:rsidR="00E749F2">
        <w:rPr>
          <w:rFonts w:ascii="Times New Roman" w:hAnsi="Times New Roman" w:cs="Times New Roman"/>
          <w:sz w:val="28"/>
          <w:szCs w:val="28"/>
        </w:rPr>
        <w:t xml:space="preserve">Task Force discussed that the </w:t>
      </w:r>
      <w:r w:rsidR="00573EAE" w:rsidRPr="005D3C1B">
        <w:rPr>
          <w:rFonts w:ascii="Times New Roman" w:hAnsi="Times New Roman" w:cs="Times New Roman"/>
          <w:sz w:val="28"/>
          <w:szCs w:val="28"/>
        </w:rPr>
        <w:t xml:space="preserve">proposed language in these two </w:t>
      </w:r>
      <w:r w:rsidR="0076236B" w:rsidRPr="005D3C1B">
        <w:rPr>
          <w:rFonts w:ascii="Times New Roman" w:hAnsi="Times New Roman" w:cs="Times New Roman"/>
          <w:sz w:val="28"/>
          <w:szCs w:val="28"/>
        </w:rPr>
        <w:t xml:space="preserve">proposed </w:t>
      </w:r>
      <w:r w:rsidR="00573EAE" w:rsidRPr="005D3C1B">
        <w:rPr>
          <w:rFonts w:ascii="Times New Roman" w:hAnsi="Times New Roman" w:cs="Times New Roman"/>
          <w:sz w:val="28"/>
          <w:szCs w:val="28"/>
        </w:rPr>
        <w:t xml:space="preserve">provisions accurately reflects current practices in Arizona appellate courts. Regardless of the nomenclature, those courts recognize that a lower court does not lose jurisdiction of the matter and can take further action while an appellate special action is pending in the reviewing court, unless a stay provides otherwise. A lower court is not required to refrain from acting in the matter until an appellate mandate (or termination letter) has been </w:t>
      </w:r>
      <w:r w:rsidR="00AF5A69" w:rsidRPr="005D3C1B">
        <w:rPr>
          <w:rFonts w:ascii="Times New Roman" w:hAnsi="Times New Roman" w:cs="Times New Roman"/>
          <w:sz w:val="28"/>
          <w:szCs w:val="28"/>
        </w:rPr>
        <w:t>entered</w:t>
      </w:r>
      <w:r w:rsidR="00573EAE" w:rsidRPr="005D3C1B">
        <w:rPr>
          <w:rFonts w:ascii="Times New Roman" w:hAnsi="Times New Roman" w:cs="Times New Roman"/>
          <w:sz w:val="28"/>
          <w:szCs w:val="28"/>
        </w:rPr>
        <w:t xml:space="preserve">. </w:t>
      </w:r>
      <w:r w:rsidR="00E749F2">
        <w:rPr>
          <w:rFonts w:ascii="Times New Roman" w:hAnsi="Times New Roman" w:cs="Times New Roman"/>
          <w:sz w:val="28"/>
          <w:szCs w:val="28"/>
        </w:rPr>
        <w:t>After discussion, t</w:t>
      </w:r>
      <w:r w:rsidR="002C756F" w:rsidRPr="005D3C1B">
        <w:rPr>
          <w:rFonts w:ascii="Times New Roman" w:hAnsi="Times New Roman" w:cs="Times New Roman"/>
          <w:sz w:val="28"/>
          <w:szCs w:val="28"/>
        </w:rPr>
        <w:t xml:space="preserve">he Task Force </w:t>
      </w:r>
      <w:r w:rsidR="00E749F2">
        <w:rPr>
          <w:rFonts w:ascii="Times New Roman" w:hAnsi="Times New Roman" w:cs="Times New Roman"/>
          <w:sz w:val="28"/>
          <w:szCs w:val="28"/>
        </w:rPr>
        <w:t>decided against</w:t>
      </w:r>
      <w:r w:rsidR="00573EAE" w:rsidRPr="005D3C1B">
        <w:rPr>
          <w:rFonts w:ascii="Times New Roman" w:hAnsi="Times New Roman" w:cs="Times New Roman"/>
          <w:sz w:val="28"/>
          <w:szCs w:val="28"/>
        </w:rPr>
        <w:t xml:space="preserve"> mak</w:t>
      </w:r>
      <w:r w:rsidR="00E749F2">
        <w:rPr>
          <w:rFonts w:ascii="Times New Roman" w:hAnsi="Times New Roman" w:cs="Times New Roman"/>
          <w:sz w:val="28"/>
          <w:szCs w:val="28"/>
        </w:rPr>
        <w:t>ing</w:t>
      </w:r>
      <w:r w:rsidR="00573EAE" w:rsidRPr="005D3C1B">
        <w:rPr>
          <w:rFonts w:ascii="Times New Roman" w:hAnsi="Times New Roman" w:cs="Times New Roman"/>
          <w:sz w:val="28"/>
          <w:szCs w:val="28"/>
        </w:rPr>
        <w:t xml:space="preserve"> changes to these rules in response to Judge Metcalf’s comment, or in response to another comment on the subject of Rule 17 from the </w:t>
      </w:r>
      <w:r w:rsidR="00B75927" w:rsidRPr="005D3C1B">
        <w:rPr>
          <w:rFonts w:ascii="Times New Roman" w:hAnsi="Times New Roman" w:cs="Times New Roman"/>
          <w:sz w:val="28"/>
          <w:szCs w:val="28"/>
        </w:rPr>
        <w:t>State Bar</w:t>
      </w:r>
      <w:r w:rsidR="00573EAE" w:rsidRPr="005D3C1B">
        <w:rPr>
          <w:rFonts w:ascii="Times New Roman" w:hAnsi="Times New Roman" w:cs="Times New Roman"/>
          <w:sz w:val="28"/>
          <w:szCs w:val="28"/>
        </w:rPr>
        <w:t>.</w:t>
      </w:r>
    </w:p>
    <w:p w14:paraId="2165F943" w14:textId="3F739E28" w:rsidR="00CE1451" w:rsidRPr="005D3C1B" w:rsidRDefault="004B5474" w:rsidP="00286756">
      <w:pPr>
        <w:spacing w:line="480" w:lineRule="auto"/>
        <w:ind w:firstLine="720"/>
        <w:jc w:val="both"/>
        <w:rPr>
          <w:sz w:val="28"/>
          <w:szCs w:val="28"/>
        </w:rPr>
      </w:pPr>
      <w:r w:rsidRPr="005D3C1B">
        <w:rPr>
          <w:b/>
          <w:bCs/>
          <w:sz w:val="28"/>
          <w:szCs w:val="28"/>
        </w:rPr>
        <w:t>Rule 18: “Motions for Reconsideration in Appellate Special Actions.”</w:t>
      </w:r>
      <w:r w:rsidRPr="005D3C1B">
        <w:rPr>
          <w:sz w:val="28"/>
          <w:szCs w:val="28"/>
        </w:rPr>
        <w:t xml:space="preserve"> </w:t>
      </w:r>
      <w:r w:rsidR="00360501" w:rsidRPr="005D3C1B">
        <w:rPr>
          <w:sz w:val="28"/>
          <w:szCs w:val="28"/>
        </w:rPr>
        <w:t xml:space="preserve">Proposed </w:t>
      </w:r>
      <w:r w:rsidRPr="005D3C1B">
        <w:rPr>
          <w:sz w:val="28"/>
          <w:szCs w:val="28"/>
        </w:rPr>
        <w:t xml:space="preserve">Rule 18(a)(1) (“motion for reconsideration”) provides in part, “An additional 5 days will be added for any party to whom the decision is sent only by U.S. Mail.” </w:t>
      </w:r>
      <w:r w:rsidR="00AF35CE" w:rsidRPr="005D3C1B">
        <w:rPr>
          <w:sz w:val="28"/>
          <w:szCs w:val="28"/>
        </w:rPr>
        <w:t xml:space="preserve">A </w:t>
      </w:r>
      <w:r w:rsidRPr="005D3C1B">
        <w:rPr>
          <w:sz w:val="28"/>
          <w:szCs w:val="28"/>
        </w:rPr>
        <w:t xml:space="preserve">comment </w:t>
      </w:r>
      <w:r w:rsidR="00AF35CE" w:rsidRPr="005D3C1B">
        <w:rPr>
          <w:sz w:val="28"/>
          <w:szCs w:val="28"/>
        </w:rPr>
        <w:t xml:space="preserve">from </w:t>
      </w:r>
      <w:r w:rsidR="0042565F">
        <w:rPr>
          <w:sz w:val="28"/>
          <w:szCs w:val="28"/>
        </w:rPr>
        <w:t xml:space="preserve">Ms. Katz of </w:t>
      </w:r>
      <w:r w:rsidR="00AF35CE" w:rsidRPr="005D3C1B">
        <w:rPr>
          <w:sz w:val="28"/>
          <w:szCs w:val="28"/>
        </w:rPr>
        <w:t xml:space="preserve">Aderant </w:t>
      </w:r>
      <w:r w:rsidRPr="005D3C1B">
        <w:rPr>
          <w:sz w:val="28"/>
          <w:szCs w:val="28"/>
        </w:rPr>
        <w:t>asserted that it is not clear how this additional time would be added, and it proposed alternative remedies. The Task Force discussed practical considerations of computing time when service is made by mail.  It concluded that this issue should be part of a future and larger discussion that encompasses other sets of procedural rules permit</w:t>
      </w:r>
      <w:r w:rsidR="00FB294D" w:rsidRPr="005D3C1B">
        <w:rPr>
          <w:sz w:val="28"/>
          <w:szCs w:val="28"/>
        </w:rPr>
        <w:t>ting</w:t>
      </w:r>
      <w:r w:rsidRPr="005D3C1B">
        <w:rPr>
          <w:sz w:val="28"/>
          <w:szCs w:val="28"/>
        </w:rPr>
        <w:t xml:space="preserve"> service by </w:t>
      </w:r>
      <w:r w:rsidR="00930F72" w:rsidRPr="005D3C1B">
        <w:rPr>
          <w:sz w:val="28"/>
          <w:szCs w:val="28"/>
        </w:rPr>
        <w:t xml:space="preserve">postal </w:t>
      </w:r>
      <w:r w:rsidRPr="005D3C1B">
        <w:rPr>
          <w:sz w:val="28"/>
          <w:szCs w:val="28"/>
        </w:rPr>
        <w:t xml:space="preserve">mail. </w:t>
      </w:r>
      <w:r w:rsidR="0042565F">
        <w:rPr>
          <w:sz w:val="28"/>
          <w:szCs w:val="28"/>
        </w:rPr>
        <w:t xml:space="preserve">The Task Force </w:t>
      </w:r>
      <w:r w:rsidRPr="005D3C1B">
        <w:rPr>
          <w:sz w:val="28"/>
          <w:szCs w:val="28"/>
        </w:rPr>
        <w:t>declined to make any changes to this provision.</w:t>
      </w:r>
    </w:p>
    <w:p w14:paraId="6C4B5494" w14:textId="04811718" w:rsidR="0084713C" w:rsidRPr="005D3C1B" w:rsidRDefault="0084713C" w:rsidP="0084713C">
      <w:pPr>
        <w:pStyle w:val="ListParagraph"/>
        <w:numPr>
          <w:ilvl w:val="0"/>
          <w:numId w:val="26"/>
        </w:numPr>
        <w:jc w:val="both"/>
        <w:rPr>
          <w:b/>
          <w:bCs/>
          <w:sz w:val="28"/>
          <w:szCs w:val="28"/>
        </w:rPr>
      </w:pPr>
      <w:r w:rsidRPr="005D3C1B">
        <w:rPr>
          <w:b/>
          <w:bCs/>
          <w:sz w:val="28"/>
          <w:szCs w:val="28"/>
        </w:rPr>
        <w:t>PART IV. ACTIONS INVOLVING INDUSTRIAL COMMISSION AWARDS</w:t>
      </w:r>
    </w:p>
    <w:p w14:paraId="4270B805" w14:textId="77777777" w:rsidR="008D3F2F" w:rsidRPr="005D3C1B" w:rsidRDefault="008D3F2F" w:rsidP="008D3F2F">
      <w:pPr>
        <w:jc w:val="both"/>
        <w:rPr>
          <w:b/>
          <w:bCs/>
          <w:sz w:val="28"/>
          <w:szCs w:val="28"/>
        </w:rPr>
      </w:pPr>
    </w:p>
    <w:p w14:paraId="00F9E194" w14:textId="518743C4" w:rsidR="004D1B2E" w:rsidRDefault="00B8016A" w:rsidP="009864C3">
      <w:pPr>
        <w:spacing w:line="480" w:lineRule="auto"/>
        <w:ind w:firstLine="720"/>
        <w:jc w:val="both"/>
        <w:rPr>
          <w:sz w:val="28"/>
          <w:szCs w:val="28"/>
        </w:rPr>
      </w:pPr>
      <w:r w:rsidRPr="005D3C1B">
        <w:rPr>
          <w:sz w:val="28"/>
          <w:szCs w:val="28"/>
        </w:rPr>
        <w:t xml:space="preserve">There were no </w:t>
      </w:r>
      <w:r w:rsidR="00DD79BB">
        <w:rPr>
          <w:sz w:val="28"/>
          <w:szCs w:val="28"/>
        </w:rPr>
        <w:t xml:space="preserve">formal </w:t>
      </w:r>
      <w:r w:rsidRPr="005D3C1B">
        <w:rPr>
          <w:sz w:val="28"/>
          <w:szCs w:val="28"/>
        </w:rPr>
        <w:t xml:space="preserve">comments concerning the rules in Part IV (Rule 20 through </w:t>
      </w:r>
      <w:r w:rsidR="00755707" w:rsidRPr="005D3C1B">
        <w:rPr>
          <w:sz w:val="28"/>
          <w:szCs w:val="28"/>
        </w:rPr>
        <w:t xml:space="preserve">Rule </w:t>
      </w:r>
      <w:r w:rsidRPr="005D3C1B">
        <w:rPr>
          <w:sz w:val="28"/>
          <w:szCs w:val="28"/>
        </w:rPr>
        <w:t xml:space="preserve">25), </w:t>
      </w:r>
      <w:r w:rsidR="00F565E8">
        <w:rPr>
          <w:sz w:val="28"/>
          <w:szCs w:val="28"/>
        </w:rPr>
        <w:t>but</w:t>
      </w:r>
      <w:r w:rsidR="003F0D01">
        <w:rPr>
          <w:sz w:val="28"/>
          <w:szCs w:val="28"/>
        </w:rPr>
        <w:t xml:space="preserve"> </w:t>
      </w:r>
      <w:r w:rsidRPr="005D3C1B">
        <w:rPr>
          <w:sz w:val="28"/>
          <w:szCs w:val="28"/>
        </w:rPr>
        <w:t>the Task Force</w:t>
      </w:r>
      <w:r w:rsidR="00F565E8">
        <w:rPr>
          <w:sz w:val="28"/>
          <w:szCs w:val="28"/>
        </w:rPr>
        <w:t xml:space="preserve"> on its own initiative</w:t>
      </w:r>
      <w:r w:rsidRPr="005D3C1B">
        <w:rPr>
          <w:sz w:val="28"/>
          <w:szCs w:val="28"/>
        </w:rPr>
        <w:t xml:space="preserve"> proposes changes to </w:t>
      </w:r>
      <w:r w:rsidR="00F565E8">
        <w:rPr>
          <w:sz w:val="28"/>
          <w:szCs w:val="28"/>
        </w:rPr>
        <w:t xml:space="preserve">two </w:t>
      </w:r>
      <w:r w:rsidRPr="005D3C1B">
        <w:rPr>
          <w:sz w:val="28"/>
          <w:szCs w:val="28"/>
        </w:rPr>
        <w:t>rules.</w:t>
      </w:r>
      <w:r w:rsidR="002407DD">
        <w:rPr>
          <w:sz w:val="28"/>
          <w:szCs w:val="28"/>
        </w:rPr>
        <w:t xml:space="preserve"> </w:t>
      </w:r>
      <w:r w:rsidR="00044CD9">
        <w:rPr>
          <w:sz w:val="28"/>
          <w:szCs w:val="28"/>
        </w:rPr>
        <w:t xml:space="preserve"> </w:t>
      </w:r>
    </w:p>
    <w:p w14:paraId="581E906E" w14:textId="20C052B1" w:rsidR="00CB5BAC" w:rsidRDefault="002D4419" w:rsidP="009864C3">
      <w:pPr>
        <w:spacing w:line="480" w:lineRule="auto"/>
        <w:ind w:firstLine="720"/>
        <w:jc w:val="both"/>
        <w:rPr>
          <w:sz w:val="28"/>
          <w:szCs w:val="28"/>
        </w:rPr>
      </w:pPr>
      <w:r>
        <w:rPr>
          <w:sz w:val="28"/>
          <w:szCs w:val="28"/>
        </w:rPr>
        <w:t>First, t</w:t>
      </w:r>
      <w:r w:rsidR="0074257A">
        <w:rPr>
          <w:sz w:val="28"/>
          <w:szCs w:val="28"/>
        </w:rPr>
        <w:t xml:space="preserve">he Task Force </w:t>
      </w:r>
      <w:r w:rsidR="00390B39">
        <w:rPr>
          <w:sz w:val="28"/>
          <w:szCs w:val="28"/>
        </w:rPr>
        <w:t xml:space="preserve">proposes to </w:t>
      </w:r>
      <w:r w:rsidR="00CD796E">
        <w:rPr>
          <w:sz w:val="28"/>
          <w:szCs w:val="28"/>
        </w:rPr>
        <w:t>bifurcate</w:t>
      </w:r>
      <w:r w:rsidR="009E0903">
        <w:rPr>
          <w:sz w:val="28"/>
          <w:szCs w:val="28"/>
        </w:rPr>
        <w:t xml:space="preserve"> Rule 22(</w:t>
      </w:r>
      <w:r w:rsidR="00371010">
        <w:rPr>
          <w:sz w:val="28"/>
          <w:szCs w:val="28"/>
        </w:rPr>
        <w:t>b</w:t>
      </w:r>
      <w:r w:rsidR="009E0903">
        <w:rPr>
          <w:sz w:val="28"/>
          <w:szCs w:val="28"/>
        </w:rPr>
        <w:t xml:space="preserve">) (“distribution of the writ of review”) so that </w:t>
      </w:r>
      <w:r w:rsidR="00FA3CA9">
        <w:rPr>
          <w:sz w:val="28"/>
          <w:szCs w:val="28"/>
        </w:rPr>
        <w:t xml:space="preserve">the </w:t>
      </w:r>
      <w:r w:rsidR="002D0B01">
        <w:rPr>
          <w:sz w:val="28"/>
          <w:szCs w:val="28"/>
        </w:rPr>
        <w:t>two</w:t>
      </w:r>
      <w:r w:rsidR="00503BD0">
        <w:rPr>
          <w:sz w:val="28"/>
          <w:szCs w:val="28"/>
        </w:rPr>
        <w:t xml:space="preserve"> </w:t>
      </w:r>
      <w:r w:rsidR="00CD7531">
        <w:rPr>
          <w:sz w:val="28"/>
          <w:szCs w:val="28"/>
        </w:rPr>
        <w:t>step</w:t>
      </w:r>
      <w:r w:rsidR="00503BD0">
        <w:rPr>
          <w:sz w:val="28"/>
          <w:szCs w:val="28"/>
        </w:rPr>
        <w:t>s of the</w:t>
      </w:r>
      <w:r w:rsidR="00406517">
        <w:rPr>
          <w:sz w:val="28"/>
          <w:szCs w:val="28"/>
        </w:rPr>
        <w:t xml:space="preserve"> process</w:t>
      </w:r>
      <w:r w:rsidR="00CD7531">
        <w:rPr>
          <w:sz w:val="28"/>
          <w:szCs w:val="28"/>
        </w:rPr>
        <w:t xml:space="preserve"> contained in that provision are stated separately</w:t>
      </w:r>
      <w:r w:rsidR="00FA3CA9">
        <w:rPr>
          <w:sz w:val="28"/>
          <w:szCs w:val="28"/>
        </w:rPr>
        <w:t xml:space="preserve">. </w:t>
      </w:r>
      <w:r w:rsidR="001A4E95">
        <w:rPr>
          <w:sz w:val="28"/>
          <w:szCs w:val="28"/>
        </w:rPr>
        <w:t>T</w:t>
      </w:r>
      <w:r w:rsidR="006B08D1">
        <w:rPr>
          <w:sz w:val="28"/>
          <w:szCs w:val="28"/>
        </w:rPr>
        <w:t xml:space="preserve">o </w:t>
      </w:r>
      <w:r w:rsidR="0023350E">
        <w:rPr>
          <w:sz w:val="28"/>
          <w:szCs w:val="28"/>
        </w:rPr>
        <w:t>implement this change, t</w:t>
      </w:r>
      <w:r w:rsidR="001A4E95">
        <w:rPr>
          <w:sz w:val="28"/>
          <w:szCs w:val="28"/>
        </w:rPr>
        <w:t>he</w:t>
      </w:r>
      <w:r w:rsidR="00371010">
        <w:rPr>
          <w:sz w:val="28"/>
          <w:szCs w:val="28"/>
        </w:rPr>
        <w:t xml:space="preserve"> second sentence of Rule 22(b)</w:t>
      </w:r>
      <w:r w:rsidR="00FA3CA9">
        <w:rPr>
          <w:sz w:val="28"/>
          <w:szCs w:val="28"/>
        </w:rPr>
        <w:t xml:space="preserve"> </w:t>
      </w:r>
      <w:r w:rsidR="00CD7531">
        <w:rPr>
          <w:sz w:val="28"/>
          <w:szCs w:val="28"/>
        </w:rPr>
        <w:t xml:space="preserve">has been </w:t>
      </w:r>
      <w:r w:rsidR="002D0B01">
        <w:rPr>
          <w:sz w:val="28"/>
          <w:szCs w:val="28"/>
        </w:rPr>
        <w:t>relocated as a new Rule 22(c)</w:t>
      </w:r>
      <w:r w:rsidR="0083041F">
        <w:rPr>
          <w:sz w:val="28"/>
          <w:szCs w:val="28"/>
        </w:rPr>
        <w:t xml:space="preserve"> with the title</w:t>
      </w:r>
      <w:r w:rsidR="00CD7531">
        <w:rPr>
          <w:sz w:val="28"/>
          <w:szCs w:val="28"/>
        </w:rPr>
        <w:t xml:space="preserve"> “notice of receipt of record.”</w:t>
      </w:r>
      <w:r w:rsidR="00E90023">
        <w:rPr>
          <w:sz w:val="28"/>
          <w:szCs w:val="28"/>
        </w:rPr>
        <w:t xml:space="preserve"> The </w:t>
      </w:r>
      <w:r w:rsidR="0032348A">
        <w:rPr>
          <w:sz w:val="28"/>
          <w:szCs w:val="28"/>
        </w:rPr>
        <w:t>revisions</w:t>
      </w:r>
      <w:r w:rsidR="00F82D88">
        <w:rPr>
          <w:sz w:val="28"/>
          <w:szCs w:val="28"/>
        </w:rPr>
        <w:t xml:space="preserve"> include</w:t>
      </w:r>
      <w:r w:rsidR="00444EA0">
        <w:rPr>
          <w:sz w:val="28"/>
          <w:szCs w:val="28"/>
        </w:rPr>
        <w:t xml:space="preserve"> </w:t>
      </w:r>
      <w:r w:rsidR="00C675A4">
        <w:rPr>
          <w:sz w:val="28"/>
          <w:szCs w:val="28"/>
        </w:rPr>
        <w:t xml:space="preserve">the </w:t>
      </w:r>
      <w:r w:rsidR="00666257">
        <w:rPr>
          <w:sz w:val="28"/>
          <w:szCs w:val="28"/>
        </w:rPr>
        <w:t>renumbering</w:t>
      </w:r>
      <w:r w:rsidR="00B04F46">
        <w:rPr>
          <w:sz w:val="28"/>
          <w:szCs w:val="28"/>
        </w:rPr>
        <w:t xml:space="preserve"> </w:t>
      </w:r>
      <w:r w:rsidR="00390B39">
        <w:rPr>
          <w:sz w:val="28"/>
          <w:szCs w:val="28"/>
        </w:rPr>
        <w:t>of</w:t>
      </w:r>
      <w:r w:rsidR="00B04F46">
        <w:rPr>
          <w:sz w:val="28"/>
          <w:szCs w:val="28"/>
        </w:rPr>
        <w:t xml:space="preserve"> former section (c)</w:t>
      </w:r>
      <w:r w:rsidR="009314EF">
        <w:rPr>
          <w:sz w:val="28"/>
          <w:szCs w:val="28"/>
        </w:rPr>
        <w:t xml:space="preserve">, which is </w:t>
      </w:r>
      <w:r w:rsidR="00B04F46">
        <w:rPr>
          <w:sz w:val="28"/>
          <w:szCs w:val="28"/>
        </w:rPr>
        <w:t>now section (d)</w:t>
      </w:r>
      <w:r w:rsidR="009314EF">
        <w:rPr>
          <w:sz w:val="28"/>
          <w:szCs w:val="28"/>
        </w:rPr>
        <w:t>,</w:t>
      </w:r>
      <w:r w:rsidR="00B04F46">
        <w:rPr>
          <w:sz w:val="28"/>
          <w:szCs w:val="28"/>
        </w:rPr>
        <w:t xml:space="preserve"> and</w:t>
      </w:r>
      <w:r w:rsidR="00FA24CF">
        <w:rPr>
          <w:sz w:val="28"/>
          <w:szCs w:val="28"/>
        </w:rPr>
        <w:t xml:space="preserve"> renumbering </w:t>
      </w:r>
      <w:r w:rsidR="00801346">
        <w:rPr>
          <w:sz w:val="28"/>
          <w:szCs w:val="28"/>
        </w:rPr>
        <w:t xml:space="preserve">cross-references to </w:t>
      </w:r>
      <w:r w:rsidR="00270A35">
        <w:rPr>
          <w:sz w:val="28"/>
          <w:szCs w:val="28"/>
        </w:rPr>
        <w:t>Rule 22</w:t>
      </w:r>
      <w:r w:rsidR="00801346">
        <w:rPr>
          <w:sz w:val="28"/>
          <w:szCs w:val="28"/>
        </w:rPr>
        <w:t xml:space="preserve"> sections</w:t>
      </w:r>
      <w:r w:rsidR="00037C88">
        <w:rPr>
          <w:sz w:val="28"/>
          <w:szCs w:val="28"/>
        </w:rPr>
        <w:t xml:space="preserve"> in other Part IV rules</w:t>
      </w:r>
      <w:r w:rsidR="00025469">
        <w:rPr>
          <w:sz w:val="28"/>
          <w:szCs w:val="28"/>
        </w:rPr>
        <w:t xml:space="preserve"> to conform</w:t>
      </w:r>
      <w:r w:rsidR="0032348A">
        <w:rPr>
          <w:sz w:val="28"/>
          <w:szCs w:val="28"/>
        </w:rPr>
        <w:t xml:space="preserve"> </w:t>
      </w:r>
      <w:r w:rsidR="00F7594D">
        <w:rPr>
          <w:sz w:val="28"/>
          <w:szCs w:val="28"/>
        </w:rPr>
        <w:t xml:space="preserve">those references </w:t>
      </w:r>
      <w:r w:rsidR="0032348A">
        <w:rPr>
          <w:sz w:val="28"/>
          <w:szCs w:val="28"/>
        </w:rPr>
        <w:t>to these changes</w:t>
      </w:r>
      <w:r w:rsidR="00801346">
        <w:rPr>
          <w:sz w:val="28"/>
          <w:szCs w:val="28"/>
        </w:rPr>
        <w:t>.</w:t>
      </w:r>
      <w:r w:rsidR="00444EA0">
        <w:rPr>
          <w:sz w:val="28"/>
          <w:szCs w:val="28"/>
        </w:rPr>
        <w:t xml:space="preserve">  </w:t>
      </w:r>
    </w:p>
    <w:p w14:paraId="7A6E2340" w14:textId="310545F1" w:rsidR="00444EA0" w:rsidRPr="005D3C1B" w:rsidRDefault="00B4583F" w:rsidP="009864C3">
      <w:pPr>
        <w:spacing w:line="480" w:lineRule="auto"/>
        <w:ind w:firstLine="720"/>
        <w:jc w:val="both"/>
        <w:rPr>
          <w:sz w:val="28"/>
          <w:szCs w:val="28"/>
        </w:rPr>
      </w:pPr>
      <w:r>
        <w:rPr>
          <w:sz w:val="28"/>
          <w:szCs w:val="28"/>
        </w:rPr>
        <w:t>Second, Rule</w:t>
      </w:r>
      <w:r w:rsidR="00444EA0" w:rsidRPr="008A1F2C">
        <w:rPr>
          <w:sz w:val="28"/>
          <w:szCs w:val="28"/>
        </w:rPr>
        <w:t xml:space="preserve"> 24 </w:t>
      </w:r>
      <w:r w:rsidR="00752E2A">
        <w:rPr>
          <w:sz w:val="28"/>
          <w:szCs w:val="28"/>
        </w:rPr>
        <w:t xml:space="preserve">in the original Appendix A </w:t>
      </w:r>
      <w:r w:rsidR="00444EA0" w:rsidRPr="008A1F2C">
        <w:rPr>
          <w:sz w:val="28"/>
          <w:szCs w:val="28"/>
        </w:rPr>
        <w:t xml:space="preserve">required service of answering and reply briefs pursuant to ARCAP 15(a). ARCAP 15(a) was an incorrect reference, </w:t>
      </w:r>
      <w:r w:rsidR="00F17D47">
        <w:rPr>
          <w:sz w:val="28"/>
          <w:szCs w:val="28"/>
        </w:rPr>
        <w:t xml:space="preserve">and the Task Force </w:t>
      </w:r>
      <w:r w:rsidR="00752E2A">
        <w:rPr>
          <w:sz w:val="28"/>
          <w:szCs w:val="28"/>
        </w:rPr>
        <w:t xml:space="preserve">has </w:t>
      </w:r>
      <w:r w:rsidR="00F17D47">
        <w:rPr>
          <w:sz w:val="28"/>
          <w:szCs w:val="28"/>
        </w:rPr>
        <w:t>changed it</w:t>
      </w:r>
      <w:r w:rsidR="0020649C">
        <w:rPr>
          <w:sz w:val="28"/>
          <w:szCs w:val="28"/>
        </w:rPr>
        <w:t xml:space="preserve"> to</w:t>
      </w:r>
      <w:r w:rsidR="00444EA0" w:rsidRPr="008A1F2C">
        <w:rPr>
          <w:sz w:val="28"/>
          <w:szCs w:val="28"/>
        </w:rPr>
        <w:t xml:space="preserve"> Civil Rule 5(c), which </w:t>
      </w:r>
      <w:r w:rsidR="004A7321">
        <w:rPr>
          <w:sz w:val="28"/>
          <w:szCs w:val="28"/>
        </w:rPr>
        <w:t>is consistent</w:t>
      </w:r>
      <w:r w:rsidR="00671C73">
        <w:rPr>
          <w:sz w:val="28"/>
          <w:szCs w:val="28"/>
        </w:rPr>
        <w:t xml:space="preserve"> with</w:t>
      </w:r>
      <w:r w:rsidR="00752E2A">
        <w:rPr>
          <w:sz w:val="28"/>
          <w:szCs w:val="28"/>
        </w:rPr>
        <w:t xml:space="preserve"> </w:t>
      </w:r>
      <w:r w:rsidR="00444EA0" w:rsidRPr="008A1F2C">
        <w:rPr>
          <w:sz w:val="28"/>
          <w:szCs w:val="28"/>
        </w:rPr>
        <w:t>the service requirement in Rule 22(</w:t>
      </w:r>
      <w:r w:rsidR="00932CAC">
        <w:rPr>
          <w:sz w:val="28"/>
          <w:szCs w:val="28"/>
        </w:rPr>
        <w:t>d</w:t>
      </w:r>
      <w:r w:rsidR="00444EA0" w:rsidRPr="008A1F2C">
        <w:rPr>
          <w:sz w:val="28"/>
          <w:szCs w:val="28"/>
        </w:rPr>
        <w:t xml:space="preserve">). And the service requirement </w:t>
      </w:r>
      <w:r w:rsidR="00101AB1">
        <w:rPr>
          <w:sz w:val="28"/>
          <w:szCs w:val="28"/>
        </w:rPr>
        <w:t xml:space="preserve">in Rule 24 </w:t>
      </w:r>
      <w:r w:rsidR="00444EA0" w:rsidRPr="008A1F2C">
        <w:rPr>
          <w:sz w:val="28"/>
          <w:szCs w:val="28"/>
        </w:rPr>
        <w:t>should apply to an opening brief, too, so the references to “answering” and “reply” were removed.</w:t>
      </w:r>
    </w:p>
    <w:p w14:paraId="4F2F7FEC" w14:textId="4A7DD6C7" w:rsidR="0084713C" w:rsidRPr="005D3C1B" w:rsidRDefault="00132CF7" w:rsidP="00132CF7">
      <w:pPr>
        <w:pStyle w:val="ListParagraph"/>
        <w:numPr>
          <w:ilvl w:val="0"/>
          <w:numId w:val="26"/>
        </w:numPr>
        <w:spacing w:line="480" w:lineRule="auto"/>
        <w:jc w:val="both"/>
        <w:rPr>
          <w:b/>
          <w:bCs/>
          <w:sz w:val="28"/>
          <w:szCs w:val="28"/>
        </w:rPr>
      </w:pPr>
      <w:r w:rsidRPr="005D3C1B">
        <w:rPr>
          <w:b/>
          <w:bCs/>
          <w:sz w:val="28"/>
          <w:szCs w:val="28"/>
        </w:rPr>
        <w:t>APPENDIX</w:t>
      </w:r>
      <w:r w:rsidR="00C03837" w:rsidRPr="005D3C1B">
        <w:rPr>
          <w:b/>
          <w:bCs/>
          <w:sz w:val="28"/>
          <w:szCs w:val="28"/>
        </w:rPr>
        <w:t>:</w:t>
      </w:r>
      <w:r w:rsidRPr="005D3C1B">
        <w:rPr>
          <w:b/>
          <w:bCs/>
          <w:sz w:val="28"/>
          <w:szCs w:val="28"/>
        </w:rPr>
        <w:t xml:space="preserve"> FORMS</w:t>
      </w:r>
    </w:p>
    <w:p w14:paraId="6860F9A2" w14:textId="6E9CD707" w:rsidR="00124354" w:rsidRPr="005D3C1B" w:rsidRDefault="009864C3" w:rsidP="00124354">
      <w:pPr>
        <w:pStyle w:val="ListParagraph"/>
        <w:widowControl w:val="0"/>
        <w:autoSpaceDE w:val="0"/>
        <w:autoSpaceDN w:val="0"/>
        <w:spacing w:line="480" w:lineRule="auto"/>
        <w:ind w:left="0" w:firstLine="720"/>
        <w:contextualSpacing w:val="0"/>
        <w:jc w:val="both"/>
        <w:rPr>
          <w:sz w:val="28"/>
          <w:szCs w:val="28"/>
        </w:rPr>
      </w:pPr>
      <w:r w:rsidRPr="005D3C1B">
        <w:rPr>
          <w:sz w:val="28"/>
          <w:szCs w:val="28"/>
        </w:rPr>
        <w:t xml:space="preserve">Although the Task Force had previously discussed forms for special action proceedings, forms </w:t>
      </w:r>
      <w:r w:rsidR="001C06E2" w:rsidRPr="005D3C1B">
        <w:rPr>
          <w:sz w:val="28"/>
          <w:szCs w:val="28"/>
        </w:rPr>
        <w:t>were not included with the February rule petition. A</w:t>
      </w:r>
      <w:r w:rsidRPr="005D3C1B">
        <w:rPr>
          <w:sz w:val="28"/>
          <w:szCs w:val="28"/>
        </w:rPr>
        <w:t xml:space="preserve"> comment from Ms. Ward and Ms. Weaver</w:t>
      </w:r>
      <w:r w:rsidR="001C06E2" w:rsidRPr="005D3C1B">
        <w:rPr>
          <w:sz w:val="28"/>
          <w:szCs w:val="28"/>
        </w:rPr>
        <w:t>, however,</w:t>
      </w:r>
      <w:r w:rsidRPr="005D3C1B">
        <w:rPr>
          <w:sz w:val="28"/>
          <w:szCs w:val="28"/>
        </w:rPr>
        <w:t xml:space="preserve"> propose</w:t>
      </w:r>
      <w:r w:rsidR="00730247" w:rsidRPr="005D3C1B">
        <w:rPr>
          <w:sz w:val="28"/>
          <w:szCs w:val="28"/>
        </w:rPr>
        <w:t>d</w:t>
      </w:r>
      <w:r w:rsidR="00FF47ED" w:rsidRPr="005D3C1B">
        <w:rPr>
          <w:sz w:val="28"/>
          <w:szCs w:val="28"/>
        </w:rPr>
        <w:t xml:space="preserve"> the adoption of</w:t>
      </w:r>
      <w:r w:rsidRPr="005D3C1B">
        <w:rPr>
          <w:sz w:val="28"/>
          <w:szCs w:val="28"/>
        </w:rPr>
        <w:t xml:space="preserve"> Forms 1, 2, and 3 for </w:t>
      </w:r>
      <w:r w:rsidR="00755A12" w:rsidRPr="005D3C1B">
        <w:rPr>
          <w:sz w:val="28"/>
          <w:szCs w:val="28"/>
        </w:rPr>
        <w:t xml:space="preserve">the respective </w:t>
      </w:r>
      <w:r w:rsidRPr="005D3C1B">
        <w:rPr>
          <w:sz w:val="28"/>
          <w:szCs w:val="28"/>
        </w:rPr>
        <w:t xml:space="preserve">captions in original, appellate, and </w:t>
      </w:r>
      <w:r w:rsidR="00E51B2F">
        <w:rPr>
          <w:sz w:val="28"/>
          <w:szCs w:val="28"/>
        </w:rPr>
        <w:t>Industrial Commission</w:t>
      </w:r>
      <w:r w:rsidR="00E51B2F" w:rsidRPr="005D3C1B">
        <w:rPr>
          <w:sz w:val="28"/>
          <w:szCs w:val="28"/>
        </w:rPr>
        <w:t xml:space="preserve"> </w:t>
      </w:r>
      <w:r w:rsidRPr="005D3C1B">
        <w:rPr>
          <w:sz w:val="28"/>
          <w:szCs w:val="28"/>
        </w:rPr>
        <w:t xml:space="preserve">special actions. </w:t>
      </w:r>
      <w:r w:rsidR="00860AB3" w:rsidRPr="005D3C1B">
        <w:rPr>
          <w:sz w:val="28"/>
          <w:szCs w:val="28"/>
        </w:rPr>
        <w:t>T</w:t>
      </w:r>
      <w:r w:rsidR="00EA1071" w:rsidRPr="005D3C1B">
        <w:rPr>
          <w:sz w:val="28"/>
          <w:szCs w:val="28"/>
        </w:rPr>
        <w:t>he caption of appellate special actions</w:t>
      </w:r>
      <w:r w:rsidR="009F0F33" w:rsidRPr="005D3C1B">
        <w:rPr>
          <w:sz w:val="28"/>
          <w:szCs w:val="28"/>
        </w:rPr>
        <w:t xml:space="preserve"> in particular</w:t>
      </w:r>
      <w:r w:rsidR="00EA1071" w:rsidRPr="005D3C1B">
        <w:rPr>
          <w:sz w:val="28"/>
          <w:szCs w:val="28"/>
        </w:rPr>
        <w:t xml:space="preserve"> would be significant</w:t>
      </w:r>
      <w:r w:rsidR="00AE4B4A" w:rsidRPr="005D3C1B">
        <w:rPr>
          <w:sz w:val="28"/>
          <w:szCs w:val="28"/>
        </w:rPr>
        <w:t>ly</w:t>
      </w:r>
      <w:r w:rsidR="00EA1071" w:rsidRPr="005D3C1B">
        <w:rPr>
          <w:sz w:val="28"/>
          <w:szCs w:val="28"/>
        </w:rPr>
        <w:t xml:space="preserve"> different if the Court adopt</w:t>
      </w:r>
      <w:r w:rsidR="00755A12" w:rsidRPr="005D3C1B">
        <w:rPr>
          <w:sz w:val="28"/>
          <w:szCs w:val="28"/>
        </w:rPr>
        <w:t>s</w:t>
      </w:r>
      <w:r w:rsidR="00EA1071" w:rsidRPr="005D3C1B">
        <w:rPr>
          <w:sz w:val="28"/>
          <w:szCs w:val="28"/>
        </w:rPr>
        <w:t xml:space="preserve"> the proposed rules</w:t>
      </w:r>
      <w:r w:rsidR="00860AB3" w:rsidRPr="005D3C1B">
        <w:rPr>
          <w:sz w:val="28"/>
          <w:szCs w:val="28"/>
        </w:rPr>
        <w:t>. N</w:t>
      </w:r>
      <w:r w:rsidR="00AE4B4A" w:rsidRPr="005D3C1B">
        <w:rPr>
          <w:sz w:val="28"/>
          <w:szCs w:val="28"/>
        </w:rPr>
        <w:t>otably,</w:t>
      </w:r>
      <w:r w:rsidR="00E91827" w:rsidRPr="005D3C1B">
        <w:rPr>
          <w:sz w:val="28"/>
          <w:szCs w:val="28"/>
        </w:rPr>
        <w:t xml:space="preserve"> opposing parties</w:t>
      </w:r>
      <w:r w:rsidR="001414BE" w:rsidRPr="005D3C1B">
        <w:rPr>
          <w:sz w:val="28"/>
          <w:szCs w:val="28"/>
        </w:rPr>
        <w:t xml:space="preserve"> in an appellate special action</w:t>
      </w:r>
      <w:r w:rsidR="00E91827" w:rsidRPr="005D3C1B">
        <w:rPr>
          <w:sz w:val="28"/>
          <w:szCs w:val="28"/>
        </w:rPr>
        <w:t xml:space="preserve"> would be respondents rather than real parties in interest, and </w:t>
      </w:r>
      <w:r w:rsidR="00AE4B4A" w:rsidRPr="005D3C1B">
        <w:rPr>
          <w:sz w:val="28"/>
          <w:szCs w:val="28"/>
        </w:rPr>
        <w:t xml:space="preserve">a judicial officer would </w:t>
      </w:r>
      <w:r w:rsidR="007C735C" w:rsidRPr="005D3C1B">
        <w:rPr>
          <w:sz w:val="28"/>
          <w:szCs w:val="28"/>
        </w:rPr>
        <w:t>no longer</w:t>
      </w:r>
      <w:r w:rsidR="00AE4B4A" w:rsidRPr="005D3C1B">
        <w:rPr>
          <w:sz w:val="28"/>
          <w:szCs w:val="28"/>
        </w:rPr>
        <w:t xml:space="preserve"> be named as a respondent</w:t>
      </w:r>
      <w:r w:rsidR="00860AB3" w:rsidRPr="005D3C1B">
        <w:rPr>
          <w:sz w:val="28"/>
          <w:szCs w:val="28"/>
        </w:rPr>
        <w:t>. The Task Force agrees that th</w:t>
      </w:r>
      <w:r w:rsidR="000809B7" w:rsidRPr="005D3C1B">
        <w:rPr>
          <w:sz w:val="28"/>
          <w:szCs w:val="28"/>
        </w:rPr>
        <w:t xml:space="preserve">ese forms of caption </w:t>
      </w:r>
      <w:r w:rsidR="00860AB3" w:rsidRPr="005D3C1B">
        <w:rPr>
          <w:sz w:val="28"/>
          <w:szCs w:val="28"/>
        </w:rPr>
        <w:t>w</w:t>
      </w:r>
      <w:r w:rsidR="000809B7" w:rsidRPr="005D3C1B">
        <w:rPr>
          <w:sz w:val="28"/>
          <w:szCs w:val="28"/>
        </w:rPr>
        <w:t>ould be useful to filers, and the Task Force supports their adoption.</w:t>
      </w:r>
    </w:p>
    <w:p w14:paraId="1085F0BB" w14:textId="3259064B" w:rsidR="009864C3" w:rsidRPr="005D3C1B" w:rsidRDefault="00D27C82" w:rsidP="00C0540C">
      <w:pPr>
        <w:pStyle w:val="ListParagraph"/>
        <w:widowControl w:val="0"/>
        <w:autoSpaceDE w:val="0"/>
        <w:autoSpaceDN w:val="0"/>
        <w:spacing w:line="480" w:lineRule="auto"/>
        <w:ind w:left="0" w:firstLine="720"/>
        <w:contextualSpacing w:val="0"/>
        <w:jc w:val="both"/>
        <w:rPr>
          <w:sz w:val="28"/>
          <w:szCs w:val="28"/>
        </w:rPr>
      </w:pPr>
      <w:r w:rsidRPr="005D3C1B">
        <w:rPr>
          <w:sz w:val="28"/>
          <w:szCs w:val="28"/>
        </w:rPr>
        <w:t xml:space="preserve">Because </w:t>
      </w:r>
      <w:r w:rsidR="009864C3" w:rsidRPr="005D3C1B">
        <w:rPr>
          <w:sz w:val="28"/>
          <w:szCs w:val="28"/>
        </w:rPr>
        <w:t xml:space="preserve">the </w:t>
      </w:r>
      <w:r w:rsidR="0002184D" w:rsidRPr="005D3C1B">
        <w:rPr>
          <w:sz w:val="28"/>
          <w:szCs w:val="28"/>
        </w:rPr>
        <w:t>proposed forms would</w:t>
      </w:r>
      <w:r w:rsidR="009864C3" w:rsidRPr="005D3C1B">
        <w:rPr>
          <w:sz w:val="28"/>
          <w:szCs w:val="28"/>
        </w:rPr>
        <w:t xml:space="preserve"> be contained in an appendix to the special action rules (there is no appendix to the current rules), </w:t>
      </w:r>
      <w:r w:rsidR="00B635F3" w:rsidRPr="005D3C1B">
        <w:rPr>
          <w:sz w:val="28"/>
          <w:szCs w:val="28"/>
        </w:rPr>
        <w:t xml:space="preserve">the Task Force added a provision </w:t>
      </w:r>
      <w:r w:rsidR="002038BD">
        <w:rPr>
          <w:sz w:val="28"/>
          <w:szCs w:val="28"/>
        </w:rPr>
        <w:t>in a preface to the appendix</w:t>
      </w:r>
      <w:r w:rsidR="002F0767">
        <w:rPr>
          <w:sz w:val="28"/>
          <w:szCs w:val="28"/>
        </w:rPr>
        <w:t xml:space="preserve"> </w:t>
      </w:r>
      <w:r w:rsidR="00B635F3" w:rsidRPr="005D3C1B">
        <w:rPr>
          <w:sz w:val="28"/>
          <w:szCs w:val="28"/>
        </w:rPr>
        <w:t xml:space="preserve">authorizing </w:t>
      </w:r>
      <w:r w:rsidR="009864C3" w:rsidRPr="005D3C1B">
        <w:rPr>
          <w:sz w:val="28"/>
          <w:szCs w:val="28"/>
        </w:rPr>
        <w:t xml:space="preserve">the Administrative Director </w:t>
      </w:r>
      <w:r w:rsidR="00B635F3" w:rsidRPr="005D3C1B">
        <w:rPr>
          <w:sz w:val="28"/>
          <w:szCs w:val="28"/>
        </w:rPr>
        <w:t>of the Administrative Office of the Court</w:t>
      </w:r>
      <w:r w:rsidR="00760F2B" w:rsidRPr="005D3C1B">
        <w:rPr>
          <w:sz w:val="28"/>
          <w:szCs w:val="28"/>
        </w:rPr>
        <w:t>s</w:t>
      </w:r>
      <w:r w:rsidR="00B635F3" w:rsidRPr="005D3C1B">
        <w:rPr>
          <w:sz w:val="28"/>
          <w:szCs w:val="28"/>
        </w:rPr>
        <w:t xml:space="preserve"> </w:t>
      </w:r>
      <w:r w:rsidR="009864C3" w:rsidRPr="005D3C1B">
        <w:rPr>
          <w:sz w:val="28"/>
          <w:szCs w:val="28"/>
        </w:rPr>
        <w:t>to make</w:t>
      </w:r>
      <w:r w:rsidR="007F1C58">
        <w:rPr>
          <w:sz w:val="28"/>
          <w:szCs w:val="28"/>
        </w:rPr>
        <w:t xml:space="preserve"> necessary </w:t>
      </w:r>
      <w:r w:rsidR="009864C3" w:rsidRPr="005D3C1B">
        <w:rPr>
          <w:sz w:val="28"/>
          <w:szCs w:val="28"/>
        </w:rPr>
        <w:t>changes to the forms</w:t>
      </w:r>
      <w:r w:rsidR="003F0D01">
        <w:rPr>
          <w:sz w:val="28"/>
          <w:szCs w:val="28"/>
        </w:rPr>
        <w:t xml:space="preserve"> by Administrative Directive</w:t>
      </w:r>
      <w:r w:rsidR="009864C3" w:rsidRPr="005D3C1B">
        <w:rPr>
          <w:sz w:val="28"/>
          <w:szCs w:val="28"/>
        </w:rPr>
        <w:t xml:space="preserve">. </w:t>
      </w:r>
    </w:p>
    <w:p w14:paraId="0444F322" w14:textId="09B34839" w:rsidR="002E7FE5" w:rsidRDefault="00E36E53" w:rsidP="00A10BB6">
      <w:pPr>
        <w:spacing w:line="480" w:lineRule="auto"/>
        <w:ind w:firstLine="720"/>
        <w:jc w:val="both"/>
        <w:rPr>
          <w:sz w:val="28"/>
          <w:szCs w:val="28"/>
        </w:rPr>
      </w:pPr>
      <w:r w:rsidRPr="005D3C1B">
        <w:rPr>
          <w:sz w:val="28"/>
          <w:szCs w:val="28"/>
        </w:rPr>
        <w:t xml:space="preserve">Form 2 is designated as a </w:t>
      </w:r>
      <w:r w:rsidR="00CA2085" w:rsidRPr="005D3C1B">
        <w:rPr>
          <w:sz w:val="28"/>
          <w:szCs w:val="28"/>
        </w:rPr>
        <w:t xml:space="preserve">form of caption for an appellate special action in the Court of Appeals. </w:t>
      </w:r>
      <w:r w:rsidR="00C0540C" w:rsidRPr="005D3C1B">
        <w:rPr>
          <w:sz w:val="28"/>
          <w:szCs w:val="28"/>
        </w:rPr>
        <w:t>The Task Force considered</w:t>
      </w:r>
      <w:r w:rsidR="009864C3" w:rsidRPr="005D3C1B">
        <w:rPr>
          <w:sz w:val="28"/>
          <w:szCs w:val="28"/>
        </w:rPr>
        <w:t xml:space="preserve"> whether a fourth form should be developed for appellate special actions in the </w:t>
      </w:r>
      <w:r w:rsidR="0042565F">
        <w:rPr>
          <w:sz w:val="28"/>
          <w:szCs w:val="28"/>
        </w:rPr>
        <w:t>S</w:t>
      </w:r>
      <w:r w:rsidR="009864C3" w:rsidRPr="005D3C1B">
        <w:rPr>
          <w:sz w:val="28"/>
          <w:szCs w:val="28"/>
        </w:rPr>
        <w:t xml:space="preserve">uperior </w:t>
      </w:r>
      <w:r w:rsidR="0042565F">
        <w:rPr>
          <w:sz w:val="28"/>
          <w:szCs w:val="28"/>
        </w:rPr>
        <w:t>C</w:t>
      </w:r>
      <w:r w:rsidR="009864C3" w:rsidRPr="005D3C1B">
        <w:rPr>
          <w:sz w:val="28"/>
          <w:szCs w:val="28"/>
        </w:rPr>
        <w:t>ourt</w:t>
      </w:r>
      <w:r w:rsidR="00F31892">
        <w:rPr>
          <w:sz w:val="28"/>
          <w:szCs w:val="28"/>
        </w:rPr>
        <w:t>, and it</w:t>
      </w:r>
      <w:r w:rsidR="00AC72D9">
        <w:rPr>
          <w:sz w:val="28"/>
          <w:szCs w:val="28"/>
        </w:rPr>
        <w:t xml:space="preserve"> now</w:t>
      </w:r>
      <w:r w:rsidR="00F31892">
        <w:rPr>
          <w:sz w:val="28"/>
          <w:szCs w:val="28"/>
        </w:rPr>
        <w:t xml:space="preserve"> proposes</w:t>
      </w:r>
      <w:r w:rsidR="00300972">
        <w:rPr>
          <w:sz w:val="28"/>
          <w:szCs w:val="28"/>
        </w:rPr>
        <w:t xml:space="preserve"> </w:t>
      </w:r>
      <w:r w:rsidR="00FD0618">
        <w:rPr>
          <w:sz w:val="28"/>
          <w:szCs w:val="28"/>
        </w:rPr>
        <w:t xml:space="preserve">the adoption of </w:t>
      </w:r>
      <w:r w:rsidR="00300972">
        <w:rPr>
          <w:sz w:val="28"/>
          <w:szCs w:val="28"/>
        </w:rPr>
        <w:t>such a form</w:t>
      </w:r>
      <w:r w:rsidR="009864C3" w:rsidRPr="005D3C1B">
        <w:rPr>
          <w:sz w:val="28"/>
          <w:szCs w:val="28"/>
        </w:rPr>
        <w:t xml:space="preserve">. </w:t>
      </w:r>
      <w:r w:rsidR="00E52B3F">
        <w:rPr>
          <w:sz w:val="28"/>
          <w:szCs w:val="28"/>
        </w:rPr>
        <w:t>In addition to the adoption of an appendix containing</w:t>
      </w:r>
      <w:r w:rsidR="000A7280">
        <w:rPr>
          <w:sz w:val="28"/>
          <w:szCs w:val="28"/>
        </w:rPr>
        <w:t xml:space="preserve"> these four form</w:t>
      </w:r>
      <w:r w:rsidR="00437038">
        <w:rPr>
          <w:sz w:val="28"/>
          <w:szCs w:val="28"/>
        </w:rPr>
        <w:t xml:space="preserve">s, </w:t>
      </w:r>
      <w:r w:rsidR="000A7280">
        <w:rPr>
          <w:sz w:val="28"/>
          <w:szCs w:val="28"/>
        </w:rPr>
        <w:t xml:space="preserve">the Task Force </w:t>
      </w:r>
      <w:r w:rsidR="002E7FE5">
        <w:rPr>
          <w:sz w:val="28"/>
          <w:szCs w:val="28"/>
        </w:rPr>
        <w:t>suggests amendments to the following rules:</w:t>
      </w:r>
    </w:p>
    <w:p w14:paraId="39F01C84" w14:textId="24841C6C" w:rsidR="002E7FE5" w:rsidRPr="00B92588" w:rsidRDefault="001E4C5F" w:rsidP="00B92588">
      <w:pPr>
        <w:pStyle w:val="ListParagraph"/>
        <w:numPr>
          <w:ilvl w:val="0"/>
          <w:numId w:val="26"/>
        </w:numPr>
        <w:spacing w:line="480" w:lineRule="auto"/>
        <w:jc w:val="both"/>
        <w:rPr>
          <w:sz w:val="28"/>
          <w:szCs w:val="28"/>
        </w:rPr>
      </w:pPr>
      <w:r w:rsidRPr="00B92588">
        <w:rPr>
          <w:sz w:val="28"/>
          <w:szCs w:val="28"/>
        </w:rPr>
        <w:t>Rule 7 (“procedures for original special actions”)</w:t>
      </w:r>
      <w:r w:rsidR="003B0000" w:rsidRPr="00B92588">
        <w:rPr>
          <w:sz w:val="28"/>
          <w:szCs w:val="28"/>
        </w:rPr>
        <w:t>, section (a) (“pleadings), subpart (a)(1) (“complaint”)</w:t>
      </w:r>
      <w:r w:rsidR="00827384" w:rsidRPr="00B92588">
        <w:rPr>
          <w:sz w:val="28"/>
          <w:szCs w:val="28"/>
        </w:rPr>
        <w:t xml:space="preserve">, </w:t>
      </w:r>
      <w:r w:rsidR="002925D9" w:rsidRPr="00B92588">
        <w:rPr>
          <w:sz w:val="28"/>
          <w:szCs w:val="28"/>
        </w:rPr>
        <w:t xml:space="preserve">by </w:t>
      </w:r>
      <w:r w:rsidR="00827384" w:rsidRPr="00B92588">
        <w:rPr>
          <w:sz w:val="28"/>
          <w:szCs w:val="28"/>
        </w:rPr>
        <w:t xml:space="preserve">adding </w:t>
      </w:r>
      <w:r w:rsidR="00FC0BA0" w:rsidRPr="00B92588">
        <w:rPr>
          <w:sz w:val="28"/>
          <w:szCs w:val="28"/>
        </w:rPr>
        <w:t>a reference to</w:t>
      </w:r>
      <w:r w:rsidR="00437038" w:rsidRPr="00B92588">
        <w:rPr>
          <w:sz w:val="28"/>
          <w:szCs w:val="28"/>
        </w:rPr>
        <w:t xml:space="preserve"> the appendix, Form</w:t>
      </w:r>
      <w:r w:rsidR="00FC0BA0" w:rsidRPr="00B92588">
        <w:rPr>
          <w:sz w:val="28"/>
          <w:szCs w:val="28"/>
        </w:rPr>
        <w:t xml:space="preserve"> </w:t>
      </w:r>
      <w:r w:rsidR="00437038" w:rsidRPr="00B92588">
        <w:rPr>
          <w:sz w:val="28"/>
          <w:szCs w:val="28"/>
        </w:rPr>
        <w:t>1, for original special actions</w:t>
      </w:r>
      <w:r w:rsidR="002925D9" w:rsidRPr="00B92588">
        <w:rPr>
          <w:sz w:val="28"/>
          <w:szCs w:val="28"/>
        </w:rPr>
        <w:t>,</w:t>
      </w:r>
    </w:p>
    <w:p w14:paraId="32F6681C" w14:textId="1A0B5E9E" w:rsidR="00FC0BA0" w:rsidRPr="00B92588" w:rsidRDefault="004348F5" w:rsidP="00B92588">
      <w:pPr>
        <w:pStyle w:val="ListParagraph"/>
        <w:numPr>
          <w:ilvl w:val="0"/>
          <w:numId w:val="26"/>
        </w:numPr>
        <w:spacing w:line="480" w:lineRule="auto"/>
        <w:jc w:val="both"/>
        <w:rPr>
          <w:sz w:val="28"/>
          <w:szCs w:val="28"/>
        </w:rPr>
      </w:pPr>
      <w:r w:rsidRPr="00B92588">
        <w:rPr>
          <w:sz w:val="28"/>
          <w:szCs w:val="28"/>
        </w:rPr>
        <w:t>R</w:t>
      </w:r>
      <w:r w:rsidR="0068477A" w:rsidRPr="00B92588">
        <w:rPr>
          <w:sz w:val="28"/>
          <w:szCs w:val="28"/>
        </w:rPr>
        <w:t>ule 13 (“petition, response, and reply”), section (a) (“generally”)</w:t>
      </w:r>
      <w:r w:rsidR="00437038" w:rsidRPr="00B92588">
        <w:rPr>
          <w:sz w:val="28"/>
          <w:szCs w:val="28"/>
        </w:rPr>
        <w:t xml:space="preserve">, </w:t>
      </w:r>
      <w:r w:rsidR="002925D9" w:rsidRPr="00B92588">
        <w:rPr>
          <w:sz w:val="28"/>
          <w:szCs w:val="28"/>
        </w:rPr>
        <w:t xml:space="preserve">by </w:t>
      </w:r>
      <w:r w:rsidR="00437038" w:rsidRPr="00B92588">
        <w:rPr>
          <w:sz w:val="28"/>
          <w:szCs w:val="28"/>
        </w:rPr>
        <w:t>adding a reference</w:t>
      </w:r>
      <w:r w:rsidRPr="00B92588">
        <w:rPr>
          <w:sz w:val="28"/>
          <w:szCs w:val="28"/>
        </w:rPr>
        <w:t xml:space="preserve"> to the appendix, Forms 2 and 3,</w:t>
      </w:r>
      <w:r w:rsidR="006767ED" w:rsidRPr="00B92588">
        <w:rPr>
          <w:sz w:val="28"/>
          <w:szCs w:val="28"/>
        </w:rPr>
        <w:t xml:space="preserve"> which are respectively for appellate special actions in the </w:t>
      </w:r>
      <w:r w:rsidR="002925D9" w:rsidRPr="00B92588">
        <w:rPr>
          <w:sz w:val="28"/>
          <w:szCs w:val="28"/>
        </w:rPr>
        <w:t>Court of Appeals</w:t>
      </w:r>
      <w:r w:rsidR="006767ED" w:rsidRPr="00B92588">
        <w:rPr>
          <w:sz w:val="28"/>
          <w:szCs w:val="28"/>
        </w:rPr>
        <w:t xml:space="preserve"> and </w:t>
      </w:r>
      <w:r w:rsidR="006D724D">
        <w:rPr>
          <w:sz w:val="28"/>
          <w:szCs w:val="28"/>
        </w:rPr>
        <w:t xml:space="preserve">in </w:t>
      </w:r>
      <w:r w:rsidR="006767ED" w:rsidRPr="00B92588">
        <w:rPr>
          <w:sz w:val="28"/>
          <w:szCs w:val="28"/>
        </w:rPr>
        <w:t>the Superior Court</w:t>
      </w:r>
      <w:r w:rsidR="002925D9" w:rsidRPr="00B92588">
        <w:rPr>
          <w:sz w:val="28"/>
          <w:szCs w:val="28"/>
        </w:rPr>
        <w:t>, and</w:t>
      </w:r>
    </w:p>
    <w:p w14:paraId="3AECCAC1" w14:textId="47D2DE4E" w:rsidR="006767ED" w:rsidRPr="00B92588" w:rsidRDefault="007F634B" w:rsidP="00B92588">
      <w:pPr>
        <w:pStyle w:val="ListParagraph"/>
        <w:numPr>
          <w:ilvl w:val="0"/>
          <w:numId w:val="26"/>
        </w:numPr>
        <w:spacing w:line="480" w:lineRule="auto"/>
        <w:jc w:val="both"/>
        <w:rPr>
          <w:sz w:val="28"/>
          <w:szCs w:val="28"/>
        </w:rPr>
      </w:pPr>
      <w:r w:rsidRPr="00B92588">
        <w:rPr>
          <w:sz w:val="28"/>
          <w:szCs w:val="28"/>
        </w:rPr>
        <w:t>Rule 21 (“petitions for special action review of Industrial Commission matters”), section (b) (“caption</w:t>
      </w:r>
      <w:r w:rsidR="00122380" w:rsidRPr="00B92588">
        <w:rPr>
          <w:sz w:val="28"/>
          <w:szCs w:val="28"/>
        </w:rPr>
        <w:t>”), for special actions under Part IV of the proposed rules.</w:t>
      </w:r>
    </w:p>
    <w:p w14:paraId="188D14EB" w14:textId="19566847" w:rsidR="009864C3" w:rsidRPr="005D3C1B" w:rsidRDefault="009864C3" w:rsidP="00A10BB6">
      <w:pPr>
        <w:spacing w:line="480" w:lineRule="auto"/>
        <w:ind w:firstLine="720"/>
        <w:jc w:val="both"/>
        <w:rPr>
          <w:b/>
          <w:bCs/>
          <w:sz w:val="28"/>
          <w:szCs w:val="28"/>
        </w:rPr>
      </w:pPr>
      <w:r w:rsidRPr="005D3C1B">
        <w:rPr>
          <w:sz w:val="28"/>
          <w:szCs w:val="28"/>
        </w:rPr>
        <w:t xml:space="preserve"> </w:t>
      </w:r>
      <w:r w:rsidR="00122380">
        <w:rPr>
          <w:sz w:val="28"/>
          <w:szCs w:val="28"/>
        </w:rPr>
        <w:t>Although</w:t>
      </w:r>
      <w:r w:rsidR="00B85EA3" w:rsidRPr="005D3C1B">
        <w:rPr>
          <w:sz w:val="28"/>
          <w:szCs w:val="28"/>
        </w:rPr>
        <w:t xml:space="preserve"> Form </w:t>
      </w:r>
      <w:r w:rsidR="00300972">
        <w:rPr>
          <w:sz w:val="28"/>
          <w:szCs w:val="28"/>
        </w:rPr>
        <w:t>4</w:t>
      </w:r>
      <w:r w:rsidR="00300972" w:rsidRPr="005D3C1B">
        <w:rPr>
          <w:sz w:val="28"/>
          <w:szCs w:val="28"/>
        </w:rPr>
        <w:t xml:space="preserve"> </w:t>
      </w:r>
      <w:r w:rsidR="00D8389B" w:rsidRPr="005D3C1B">
        <w:rPr>
          <w:sz w:val="28"/>
          <w:szCs w:val="28"/>
        </w:rPr>
        <w:t>show</w:t>
      </w:r>
      <w:r w:rsidR="007F3EA8" w:rsidRPr="005D3C1B">
        <w:rPr>
          <w:sz w:val="28"/>
          <w:szCs w:val="28"/>
        </w:rPr>
        <w:t>s</w:t>
      </w:r>
      <w:r w:rsidR="00D8389B" w:rsidRPr="005D3C1B">
        <w:rPr>
          <w:sz w:val="28"/>
          <w:szCs w:val="28"/>
        </w:rPr>
        <w:t xml:space="preserve"> the </w:t>
      </w:r>
      <w:r w:rsidR="00D112F3" w:rsidRPr="005D3C1B">
        <w:rPr>
          <w:sz w:val="28"/>
          <w:szCs w:val="28"/>
        </w:rPr>
        <w:t>employee</w:t>
      </w:r>
      <w:r w:rsidR="00D8389B" w:rsidRPr="005D3C1B">
        <w:rPr>
          <w:sz w:val="28"/>
          <w:szCs w:val="28"/>
        </w:rPr>
        <w:t xml:space="preserve"> </w:t>
      </w:r>
      <w:r w:rsidR="00FC7863" w:rsidRPr="005D3C1B">
        <w:rPr>
          <w:sz w:val="28"/>
          <w:szCs w:val="28"/>
        </w:rPr>
        <w:t xml:space="preserve">in an </w:t>
      </w:r>
      <w:r w:rsidR="005D3C1B" w:rsidRPr="005D3C1B">
        <w:rPr>
          <w:sz w:val="28"/>
          <w:szCs w:val="28"/>
        </w:rPr>
        <w:t xml:space="preserve">Industrial Commission </w:t>
      </w:r>
      <w:r w:rsidR="00FC7863" w:rsidRPr="005D3C1B">
        <w:rPr>
          <w:sz w:val="28"/>
          <w:szCs w:val="28"/>
        </w:rPr>
        <w:t xml:space="preserve">special action </w:t>
      </w:r>
      <w:r w:rsidR="00D8389B" w:rsidRPr="005D3C1B">
        <w:rPr>
          <w:sz w:val="28"/>
          <w:szCs w:val="28"/>
        </w:rPr>
        <w:t xml:space="preserve">as the petitioner and the employer and the carrier as respondents, the party alignment in </w:t>
      </w:r>
      <w:r w:rsidR="00B85EA3" w:rsidRPr="005D3C1B">
        <w:rPr>
          <w:sz w:val="28"/>
          <w:szCs w:val="28"/>
        </w:rPr>
        <w:t>a recent Division One</w:t>
      </w:r>
      <w:r w:rsidR="00D8389B" w:rsidRPr="005D3C1B">
        <w:rPr>
          <w:sz w:val="28"/>
          <w:szCs w:val="28"/>
        </w:rPr>
        <w:t xml:space="preserve"> decision </w:t>
      </w:r>
      <w:hyperlink r:id="rId11" w:history="1">
        <w:r w:rsidR="00FE7FE6" w:rsidRPr="00856ABF">
          <w:rPr>
            <w:rStyle w:val="Hyperlink"/>
            <w:sz w:val="28"/>
            <w:szCs w:val="28"/>
          </w:rPr>
          <w:t>(1</w:t>
        </w:r>
        <w:r w:rsidR="004C6199" w:rsidRPr="00856ABF">
          <w:rPr>
            <w:rStyle w:val="Hyperlink"/>
            <w:sz w:val="28"/>
            <w:szCs w:val="28"/>
          </w:rPr>
          <w:t xml:space="preserve"> CA-IC 23-0025)</w:t>
        </w:r>
      </w:hyperlink>
      <w:r w:rsidR="004C6199">
        <w:rPr>
          <w:sz w:val="28"/>
          <w:szCs w:val="28"/>
        </w:rPr>
        <w:t xml:space="preserve"> </w:t>
      </w:r>
      <w:r w:rsidR="00D8389B" w:rsidRPr="005D3C1B">
        <w:rPr>
          <w:sz w:val="28"/>
          <w:szCs w:val="28"/>
        </w:rPr>
        <w:t xml:space="preserve">was the opposite, i.e., </w:t>
      </w:r>
      <w:r w:rsidR="00B85EA3" w:rsidRPr="005D3C1B">
        <w:rPr>
          <w:sz w:val="28"/>
          <w:szCs w:val="28"/>
        </w:rPr>
        <w:t xml:space="preserve">the employee was the </w:t>
      </w:r>
      <w:r w:rsidR="00694264" w:rsidRPr="005D3C1B">
        <w:rPr>
          <w:sz w:val="28"/>
          <w:szCs w:val="28"/>
        </w:rPr>
        <w:t>respondent,</w:t>
      </w:r>
      <w:r w:rsidR="00B85EA3" w:rsidRPr="005D3C1B">
        <w:rPr>
          <w:sz w:val="28"/>
          <w:szCs w:val="28"/>
        </w:rPr>
        <w:t xml:space="preserve"> and </w:t>
      </w:r>
      <w:r w:rsidR="00D8389B" w:rsidRPr="005D3C1B">
        <w:rPr>
          <w:sz w:val="28"/>
          <w:szCs w:val="28"/>
        </w:rPr>
        <w:t>the</w:t>
      </w:r>
      <w:r w:rsidR="00FC7863" w:rsidRPr="005D3C1B">
        <w:rPr>
          <w:sz w:val="28"/>
          <w:szCs w:val="28"/>
        </w:rPr>
        <w:t xml:space="preserve"> employer and the carrier were the </w:t>
      </w:r>
      <w:r w:rsidR="00D8389B" w:rsidRPr="005D3C1B">
        <w:rPr>
          <w:sz w:val="28"/>
          <w:szCs w:val="28"/>
        </w:rPr>
        <w:t>petitioners</w:t>
      </w:r>
      <w:r w:rsidR="00B85EA3" w:rsidRPr="005D3C1B">
        <w:rPr>
          <w:sz w:val="28"/>
          <w:szCs w:val="28"/>
        </w:rPr>
        <w:t>.</w:t>
      </w:r>
      <w:r w:rsidR="00D8389B" w:rsidRPr="005D3C1B">
        <w:rPr>
          <w:sz w:val="28"/>
          <w:szCs w:val="28"/>
        </w:rPr>
        <w:t xml:space="preserve"> </w:t>
      </w:r>
      <w:r w:rsidR="00875964" w:rsidRPr="005D3C1B">
        <w:rPr>
          <w:sz w:val="28"/>
          <w:szCs w:val="28"/>
        </w:rPr>
        <w:t xml:space="preserve">The Task Force </w:t>
      </w:r>
      <w:r w:rsidR="00CA1FD2" w:rsidRPr="005D3C1B">
        <w:rPr>
          <w:sz w:val="28"/>
          <w:szCs w:val="28"/>
        </w:rPr>
        <w:t>acknowledges that these</w:t>
      </w:r>
      <w:r w:rsidR="00FF19AD">
        <w:rPr>
          <w:sz w:val="28"/>
          <w:szCs w:val="28"/>
        </w:rPr>
        <w:t xml:space="preserve"> and </w:t>
      </w:r>
      <w:r w:rsidR="004A293D">
        <w:rPr>
          <w:sz w:val="28"/>
          <w:szCs w:val="28"/>
        </w:rPr>
        <w:t>similar</w:t>
      </w:r>
      <w:r w:rsidR="00CA1FD2" w:rsidRPr="005D3C1B">
        <w:rPr>
          <w:sz w:val="28"/>
          <w:szCs w:val="28"/>
        </w:rPr>
        <w:t xml:space="preserve"> variations </w:t>
      </w:r>
      <w:r w:rsidR="004A293D">
        <w:rPr>
          <w:sz w:val="28"/>
          <w:szCs w:val="28"/>
        </w:rPr>
        <w:t>might</w:t>
      </w:r>
      <w:r w:rsidR="00856ABF">
        <w:rPr>
          <w:sz w:val="28"/>
          <w:szCs w:val="28"/>
        </w:rPr>
        <w:t xml:space="preserve"> </w:t>
      </w:r>
      <w:r w:rsidR="00CA1FD2" w:rsidRPr="005D3C1B">
        <w:rPr>
          <w:sz w:val="28"/>
          <w:szCs w:val="28"/>
        </w:rPr>
        <w:t>occur</w:t>
      </w:r>
      <w:r w:rsidR="00FF19AD">
        <w:rPr>
          <w:sz w:val="28"/>
          <w:szCs w:val="28"/>
        </w:rPr>
        <w:t xml:space="preserve"> in any type of special action</w:t>
      </w:r>
      <w:r w:rsidR="00CA1FD2" w:rsidRPr="005D3C1B">
        <w:rPr>
          <w:sz w:val="28"/>
          <w:szCs w:val="28"/>
        </w:rPr>
        <w:t xml:space="preserve">. It nevertheless </w:t>
      </w:r>
      <w:r w:rsidRPr="005D3C1B">
        <w:rPr>
          <w:sz w:val="28"/>
          <w:szCs w:val="28"/>
        </w:rPr>
        <w:t xml:space="preserve">concluded that </w:t>
      </w:r>
      <w:r w:rsidR="00B85EA3" w:rsidRPr="005D3C1B">
        <w:rPr>
          <w:sz w:val="28"/>
          <w:szCs w:val="28"/>
        </w:rPr>
        <w:t>the</w:t>
      </w:r>
      <w:r w:rsidR="00694264" w:rsidRPr="005D3C1B">
        <w:rPr>
          <w:sz w:val="28"/>
          <w:szCs w:val="28"/>
        </w:rPr>
        <w:t xml:space="preserve">se </w:t>
      </w:r>
      <w:r w:rsidR="00FF19AD">
        <w:rPr>
          <w:sz w:val="28"/>
          <w:szCs w:val="28"/>
        </w:rPr>
        <w:t>four</w:t>
      </w:r>
      <w:r w:rsidR="00FF19AD" w:rsidRPr="005D3C1B">
        <w:rPr>
          <w:sz w:val="28"/>
          <w:szCs w:val="28"/>
        </w:rPr>
        <w:t xml:space="preserve"> </w:t>
      </w:r>
      <w:r w:rsidR="00694264" w:rsidRPr="005D3C1B">
        <w:rPr>
          <w:sz w:val="28"/>
          <w:szCs w:val="28"/>
        </w:rPr>
        <w:t>forms</w:t>
      </w:r>
      <w:r w:rsidR="00C0479E" w:rsidRPr="005D3C1B">
        <w:rPr>
          <w:sz w:val="28"/>
          <w:szCs w:val="28"/>
        </w:rPr>
        <w:t xml:space="preserve"> in their current configuration</w:t>
      </w:r>
      <w:r w:rsidR="00694264" w:rsidRPr="005D3C1B">
        <w:rPr>
          <w:sz w:val="28"/>
          <w:szCs w:val="28"/>
        </w:rPr>
        <w:t xml:space="preserve"> </w:t>
      </w:r>
      <w:r w:rsidRPr="005D3C1B">
        <w:rPr>
          <w:sz w:val="28"/>
          <w:szCs w:val="28"/>
        </w:rPr>
        <w:t xml:space="preserve">should provide sufficient guidance to </w:t>
      </w:r>
      <w:r w:rsidR="00694264" w:rsidRPr="005D3C1B">
        <w:rPr>
          <w:sz w:val="28"/>
          <w:szCs w:val="28"/>
        </w:rPr>
        <w:t xml:space="preserve">litigants, and </w:t>
      </w:r>
      <w:r w:rsidR="00875964" w:rsidRPr="005D3C1B">
        <w:rPr>
          <w:sz w:val="28"/>
          <w:szCs w:val="28"/>
        </w:rPr>
        <w:t xml:space="preserve">that </w:t>
      </w:r>
      <w:r w:rsidR="007D77CB" w:rsidRPr="005D3C1B">
        <w:rPr>
          <w:sz w:val="28"/>
          <w:szCs w:val="28"/>
        </w:rPr>
        <w:t>litigants</w:t>
      </w:r>
      <w:r w:rsidR="00694264" w:rsidRPr="005D3C1B">
        <w:rPr>
          <w:sz w:val="28"/>
          <w:szCs w:val="28"/>
        </w:rPr>
        <w:t xml:space="preserve"> would be capable of modifying </w:t>
      </w:r>
      <w:r w:rsidR="00875964" w:rsidRPr="005D3C1B">
        <w:rPr>
          <w:sz w:val="28"/>
          <w:szCs w:val="28"/>
        </w:rPr>
        <w:t xml:space="preserve">any of the forms </w:t>
      </w:r>
      <w:r w:rsidR="00694264" w:rsidRPr="005D3C1B">
        <w:rPr>
          <w:sz w:val="28"/>
          <w:szCs w:val="28"/>
        </w:rPr>
        <w:t>to fit the parties’ alignment in individual cases.</w:t>
      </w:r>
      <w:r w:rsidR="00F15A10">
        <w:rPr>
          <w:sz w:val="28"/>
          <w:szCs w:val="28"/>
        </w:rPr>
        <w:t xml:space="preserve"> </w:t>
      </w:r>
      <w:r w:rsidR="009B44F6">
        <w:rPr>
          <w:sz w:val="28"/>
          <w:szCs w:val="28"/>
        </w:rPr>
        <w:t>The</w:t>
      </w:r>
      <w:r w:rsidR="00630C8F">
        <w:rPr>
          <w:sz w:val="28"/>
          <w:szCs w:val="28"/>
        </w:rPr>
        <w:t xml:space="preserve"> preface to the appendix informs parties </w:t>
      </w:r>
      <w:r w:rsidR="00704349">
        <w:rPr>
          <w:sz w:val="28"/>
          <w:szCs w:val="28"/>
        </w:rPr>
        <w:t>that the forms have</w:t>
      </w:r>
      <w:r w:rsidR="00630C8F">
        <w:rPr>
          <w:sz w:val="28"/>
          <w:szCs w:val="28"/>
        </w:rPr>
        <w:t xml:space="preserve"> this</w:t>
      </w:r>
      <w:r w:rsidR="00857AAB">
        <w:rPr>
          <w:sz w:val="28"/>
          <w:szCs w:val="28"/>
        </w:rPr>
        <w:t xml:space="preserve"> </w:t>
      </w:r>
      <w:r w:rsidR="00861CAB">
        <w:rPr>
          <w:sz w:val="28"/>
          <w:szCs w:val="28"/>
        </w:rPr>
        <w:t>flexibility</w:t>
      </w:r>
      <w:r w:rsidR="00857AAB">
        <w:rPr>
          <w:sz w:val="28"/>
          <w:szCs w:val="28"/>
        </w:rPr>
        <w:t>.</w:t>
      </w:r>
    </w:p>
    <w:p w14:paraId="2A4510FD" w14:textId="3894CA75" w:rsidR="00362F24" w:rsidRPr="005D3C1B" w:rsidRDefault="00D93A87" w:rsidP="00145F5B">
      <w:pPr>
        <w:pStyle w:val="Default"/>
        <w:numPr>
          <w:ilvl w:val="0"/>
          <w:numId w:val="24"/>
        </w:numPr>
        <w:spacing w:line="480" w:lineRule="auto"/>
        <w:ind w:left="0" w:firstLine="720"/>
        <w:jc w:val="both"/>
        <w:rPr>
          <w:rStyle w:val="bumpedfont15"/>
          <w:b/>
          <w:bCs/>
          <w:sz w:val="28"/>
          <w:szCs w:val="28"/>
        </w:rPr>
      </w:pPr>
      <w:r w:rsidRPr="005D3C1B">
        <w:rPr>
          <w:rStyle w:val="bumpedfont15"/>
          <w:b/>
          <w:bCs/>
          <w:sz w:val="28"/>
          <w:szCs w:val="28"/>
        </w:rPr>
        <w:t>Conclusion.</w:t>
      </w:r>
      <w:r w:rsidR="00D778AF" w:rsidRPr="005D3C1B">
        <w:rPr>
          <w:rStyle w:val="bumpedfont15"/>
          <w:b/>
          <w:bCs/>
          <w:sz w:val="28"/>
          <w:szCs w:val="28"/>
        </w:rPr>
        <w:t xml:space="preserve"> </w:t>
      </w:r>
      <w:r w:rsidR="00362F24" w:rsidRPr="005D3C1B">
        <w:rPr>
          <w:rStyle w:val="bumpedfont15"/>
          <w:sz w:val="28"/>
          <w:szCs w:val="28"/>
        </w:rPr>
        <w:t xml:space="preserve">The Task Force requests the Court </w:t>
      </w:r>
      <w:r w:rsidR="0025323D" w:rsidRPr="005D3C1B">
        <w:rPr>
          <w:rStyle w:val="bumpedfont15"/>
          <w:sz w:val="28"/>
          <w:szCs w:val="28"/>
        </w:rPr>
        <w:t xml:space="preserve">to </w:t>
      </w:r>
      <w:r w:rsidR="00C944AA" w:rsidRPr="005D3C1B">
        <w:rPr>
          <w:rStyle w:val="bumpedfont15"/>
          <w:sz w:val="28"/>
          <w:szCs w:val="28"/>
        </w:rPr>
        <w:t xml:space="preserve">(1) </w:t>
      </w:r>
      <w:r w:rsidR="00362F24" w:rsidRPr="005D3C1B">
        <w:rPr>
          <w:rStyle w:val="bumpedfont15"/>
          <w:sz w:val="28"/>
          <w:szCs w:val="28"/>
        </w:rPr>
        <w:t xml:space="preserve">abrogate the current </w:t>
      </w:r>
      <w:r w:rsidR="00CA11CA" w:rsidRPr="005D3C1B">
        <w:rPr>
          <w:rStyle w:val="bumpedfont15"/>
          <w:sz w:val="28"/>
          <w:szCs w:val="28"/>
        </w:rPr>
        <w:t>Rules of Procedure for Special Actions</w:t>
      </w:r>
      <w:r w:rsidR="00C944AA" w:rsidRPr="005D3C1B">
        <w:rPr>
          <w:rStyle w:val="bumpedfont15"/>
          <w:sz w:val="28"/>
          <w:szCs w:val="28"/>
        </w:rPr>
        <w:t>,</w:t>
      </w:r>
      <w:r w:rsidR="00CA11CA" w:rsidRPr="005D3C1B">
        <w:rPr>
          <w:rStyle w:val="bumpedfont15"/>
          <w:sz w:val="28"/>
          <w:szCs w:val="28"/>
        </w:rPr>
        <w:t xml:space="preserve"> </w:t>
      </w:r>
      <w:r w:rsidR="00F87CAD" w:rsidRPr="0069096B">
        <w:rPr>
          <w:rStyle w:val="bumpedfont15"/>
          <w:sz w:val="28"/>
          <w:szCs w:val="28"/>
        </w:rPr>
        <w:t>including the comments and Stat</w:t>
      </w:r>
      <w:r w:rsidR="00550DEC" w:rsidRPr="0069096B">
        <w:rPr>
          <w:rStyle w:val="bumpedfont15"/>
          <w:sz w:val="28"/>
          <w:szCs w:val="28"/>
        </w:rPr>
        <w:t xml:space="preserve">e Bar Committee Notes, </w:t>
      </w:r>
      <w:r w:rsidR="00C944AA" w:rsidRPr="0069096B">
        <w:rPr>
          <w:rStyle w:val="bumpedfont15"/>
          <w:sz w:val="28"/>
          <w:szCs w:val="28"/>
        </w:rPr>
        <w:t xml:space="preserve">(2) </w:t>
      </w:r>
      <w:r w:rsidR="00CA11CA" w:rsidRPr="0069096B">
        <w:rPr>
          <w:rStyle w:val="bumpedfont15"/>
          <w:sz w:val="28"/>
          <w:szCs w:val="28"/>
        </w:rPr>
        <w:t>adopt the proposed new rules</w:t>
      </w:r>
      <w:r w:rsidR="00307F98" w:rsidRPr="0069096B">
        <w:rPr>
          <w:rStyle w:val="bumpedfont15"/>
          <w:sz w:val="28"/>
          <w:szCs w:val="28"/>
        </w:rPr>
        <w:t>, comments,</w:t>
      </w:r>
      <w:r w:rsidR="00CA11CA" w:rsidRPr="005D3C1B">
        <w:rPr>
          <w:rStyle w:val="bumpedfont15"/>
          <w:sz w:val="28"/>
          <w:szCs w:val="28"/>
        </w:rPr>
        <w:t xml:space="preserve"> </w:t>
      </w:r>
      <w:r w:rsidR="005E1C4D" w:rsidRPr="005D3C1B">
        <w:rPr>
          <w:rStyle w:val="bumpedfont15"/>
          <w:sz w:val="28"/>
          <w:szCs w:val="28"/>
        </w:rPr>
        <w:t xml:space="preserve">and forms </w:t>
      </w:r>
      <w:r w:rsidR="00CA11CA" w:rsidRPr="005D3C1B">
        <w:rPr>
          <w:rStyle w:val="bumpedfont15"/>
          <w:sz w:val="28"/>
          <w:szCs w:val="28"/>
        </w:rPr>
        <w:t xml:space="preserve">contained in </w:t>
      </w:r>
      <w:r w:rsidR="00E07C12">
        <w:rPr>
          <w:rStyle w:val="bumpedfont15"/>
          <w:sz w:val="28"/>
          <w:szCs w:val="28"/>
        </w:rPr>
        <w:t xml:space="preserve">the clean version of </w:t>
      </w:r>
      <w:r w:rsidR="00A10BB6" w:rsidRPr="005D3C1B">
        <w:rPr>
          <w:rStyle w:val="bumpedfont15"/>
          <w:sz w:val="28"/>
          <w:szCs w:val="28"/>
        </w:rPr>
        <w:t xml:space="preserve">Revised </w:t>
      </w:r>
      <w:r w:rsidR="00CA11CA" w:rsidRPr="005D3C1B">
        <w:rPr>
          <w:rStyle w:val="bumpedfont15"/>
          <w:sz w:val="28"/>
          <w:szCs w:val="28"/>
        </w:rPr>
        <w:t xml:space="preserve">Appendix A to this </w:t>
      </w:r>
      <w:r w:rsidR="007071A9">
        <w:rPr>
          <w:rStyle w:val="bumpedfont15"/>
          <w:sz w:val="28"/>
          <w:szCs w:val="28"/>
        </w:rPr>
        <w:t>R</w:t>
      </w:r>
      <w:r w:rsidR="00485F92">
        <w:rPr>
          <w:rStyle w:val="bumpedfont15"/>
          <w:sz w:val="28"/>
          <w:szCs w:val="28"/>
        </w:rPr>
        <w:t>eply</w:t>
      </w:r>
      <w:r w:rsidR="00BC3D23">
        <w:rPr>
          <w:rStyle w:val="bumpedfont15"/>
          <w:sz w:val="28"/>
          <w:szCs w:val="28"/>
        </w:rPr>
        <w:t xml:space="preserve">, and </w:t>
      </w:r>
      <w:r w:rsidR="005A498B" w:rsidRPr="005D3C1B">
        <w:rPr>
          <w:rStyle w:val="bumpedfont15"/>
          <w:sz w:val="28"/>
          <w:szCs w:val="28"/>
        </w:rPr>
        <w:t>(3)</w:t>
      </w:r>
      <w:r w:rsidR="00053586" w:rsidRPr="005D3C1B">
        <w:rPr>
          <w:rStyle w:val="bumpedfont15"/>
          <w:sz w:val="28"/>
          <w:szCs w:val="28"/>
        </w:rPr>
        <w:t xml:space="preserve"> approve for publication with the new rules the correlation table </w:t>
      </w:r>
      <w:r w:rsidR="00897B91">
        <w:rPr>
          <w:rStyle w:val="bumpedfont15"/>
          <w:sz w:val="28"/>
          <w:szCs w:val="28"/>
        </w:rPr>
        <w:t xml:space="preserve">contained </w:t>
      </w:r>
      <w:r w:rsidR="00053586" w:rsidRPr="005D3C1B">
        <w:rPr>
          <w:rStyle w:val="bumpedfont15"/>
          <w:sz w:val="28"/>
          <w:szCs w:val="28"/>
        </w:rPr>
        <w:t>in</w:t>
      </w:r>
      <w:r w:rsidR="00E07C12">
        <w:rPr>
          <w:rStyle w:val="bumpedfont15"/>
          <w:sz w:val="28"/>
          <w:szCs w:val="28"/>
        </w:rPr>
        <w:t xml:space="preserve"> the clean version of</w:t>
      </w:r>
      <w:r w:rsidR="00053586" w:rsidRPr="005D3C1B">
        <w:rPr>
          <w:rStyle w:val="bumpedfont15"/>
          <w:sz w:val="28"/>
          <w:szCs w:val="28"/>
        </w:rPr>
        <w:t xml:space="preserve"> </w:t>
      </w:r>
      <w:r w:rsidR="005E1C4D" w:rsidRPr="005D3C1B">
        <w:rPr>
          <w:rStyle w:val="bumpedfont15"/>
          <w:sz w:val="28"/>
          <w:szCs w:val="28"/>
        </w:rPr>
        <w:t xml:space="preserve">Revised </w:t>
      </w:r>
      <w:r w:rsidR="00053586" w:rsidRPr="005D3C1B">
        <w:rPr>
          <w:rStyle w:val="bumpedfont15"/>
          <w:sz w:val="28"/>
          <w:szCs w:val="28"/>
        </w:rPr>
        <w:t xml:space="preserve">Appendix </w:t>
      </w:r>
      <w:r w:rsidR="006C26F4" w:rsidRPr="005D3C1B">
        <w:rPr>
          <w:rStyle w:val="bumpedfont15"/>
          <w:sz w:val="28"/>
          <w:szCs w:val="28"/>
        </w:rPr>
        <w:t>B</w:t>
      </w:r>
      <w:r w:rsidR="00BC3D23">
        <w:rPr>
          <w:rStyle w:val="bumpedfont15"/>
          <w:sz w:val="28"/>
          <w:szCs w:val="28"/>
        </w:rPr>
        <w:t>. The Task Force requests that t</w:t>
      </w:r>
      <w:r w:rsidR="006802B5">
        <w:rPr>
          <w:rStyle w:val="bumpedfont15"/>
          <w:sz w:val="28"/>
          <w:szCs w:val="28"/>
        </w:rPr>
        <w:t xml:space="preserve">his </w:t>
      </w:r>
      <w:r w:rsidR="00BC3D23">
        <w:rPr>
          <w:rStyle w:val="bumpedfont15"/>
          <w:sz w:val="28"/>
          <w:szCs w:val="28"/>
        </w:rPr>
        <w:t xml:space="preserve">correlation </w:t>
      </w:r>
      <w:r w:rsidR="006802B5">
        <w:rPr>
          <w:rStyle w:val="bumpedfont15"/>
          <w:sz w:val="28"/>
          <w:szCs w:val="28"/>
        </w:rPr>
        <w:t>table</w:t>
      </w:r>
      <w:r w:rsidR="00B179B2" w:rsidRPr="005D3C1B">
        <w:rPr>
          <w:rStyle w:val="bumpedfont15"/>
          <w:sz w:val="28"/>
          <w:szCs w:val="28"/>
        </w:rPr>
        <w:t xml:space="preserve"> be</w:t>
      </w:r>
      <w:r w:rsidR="001F6B07" w:rsidRPr="005D3C1B">
        <w:rPr>
          <w:rStyle w:val="bumpedfont15"/>
          <w:sz w:val="28"/>
          <w:szCs w:val="28"/>
        </w:rPr>
        <w:t xml:space="preserve"> published with the proposed special action rules in a manner</w:t>
      </w:r>
      <w:r w:rsidR="00B179B2" w:rsidRPr="005D3C1B">
        <w:rPr>
          <w:rStyle w:val="bumpedfont15"/>
          <w:sz w:val="28"/>
          <w:szCs w:val="28"/>
        </w:rPr>
        <w:t xml:space="preserve"> </w:t>
      </w:r>
      <w:r w:rsidR="00DD0C5B" w:rsidRPr="005D3C1B">
        <w:rPr>
          <w:rStyle w:val="bumpedfont15"/>
          <w:sz w:val="28"/>
          <w:szCs w:val="28"/>
        </w:rPr>
        <w:t xml:space="preserve">similar </w:t>
      </w:r>
      <w:r w:rsidR="00B179B2" w:rsidRPr="005D3C1B">
        <w:rPr>
          <w:rStyle w:val="bumpedfont15"/>
          <w:sz w:val="28"/>
          <w:szCs w:val="28"/>
        </w:rPr>
        <w:t xml:space="preserve">to the publication of the ARCAP Correlation Table in the Arizona Rules of Civil Appellate Procedure, </w:t>
      </w:r>
      <w:r w:rsidR="005417C0" w:rsidRPr="005D3C1B">
        <w:rPr>
          <w:rStyle w:val="bumpedfont15"/>
          <w:sz w:val="28"/>
          <w:szCs w:val="28"/>
        </w:rPr>
        <w:t>that is,</w:t>
      </w:r>
      <w:r w:rsidR="00B179B2" w:rsidRPr="005D3C1B">
        <w:rPr>
          <w:rStyle w:val="bumpedfont15"/>
          <w:sz w:val="28"/>
          <w:szCs w:val="28"/>
        </w:rPr>
        <w:t xml:space="preserve"> after the Table of Contents </w:t>
      </w:r>
      <w:r w:rsidR="00CD5780" w:rsidRPr="005D3C1B">
        <w:rPr>
          <w:rStyle w:val="bumpedfont15"/>
          <w:sz w:val="28"/>
          <w:szCs w:val="28"/>
        </w:rPr>
        <w:t>and</w:t>
      </w:r>
      <w:r w:rsidR="00B179B2" w:rsidRPr="005D3C1B">
        <w:rPr>
          <w:rStyle w:val="bumpedfont15"/>
          <w:sz w:val="28"/>
          <w:szCs w:val="28"/>
        </w:rPr>
        <w:t xml:space="preserve"> before </w:t>
      </w:r>
      <w:r w:rsidR="00CB736E" w:rsidRPr="005D3C1B">
        <w:rPr>
          <w:rStyle w:val="bumpedfont15"/>
          <w:sz w:val="28"/>
          <w:szCs w:val="28"/>
        </w:rPr>
        <w:t>Rule</w:t>
      </w:r>
      <w:r w:rsidR="00B179B2" w:rsidRPr="005D3C1B">
        <w:rPr>
          <w:rStyle w:val="bumpedfont15"/>
          <w:sz w:val="28"/>
          <w:szCs w:val="28"/>
        </w:rPr>
        <w:t xml:space="preserve"> 1.   </w:t>
      </w:r>
    </w:p>
    <w:p w14:paraId="6C98DFFF" w14:textId="1E10A4C5" w:rsidR="00CB11E7" w:rsidRDefault="006E11E9" w:rsidP="00494933">
      <w:pPr>
        <w:pStyle w:val="Default"/>
        <w:spacing w:line="480" w:lineRule="auto"/>
        <w:jc w:val="both"/>
        <w:rPr>
          <w:rStyle w:val="bumpedfont15"/>
          <w:sz w:val="28"/>
          <w:szCs w:val="28"/>
        </w:rPr>
      </w:pPr>
      <w:r>
        <w:rPr>
          <w:rStyle w:val="bumpedfont15"/>
          <w:sz w:val="28"/>
          <w:szCs w:val="28"/>
        </w:rPr>
        <w:t>//</w:t>
      </w:r>
    </w:p>
    <w:p w14:paraId="005E7562" w14:textId="581CCF78" w:rsidR="006E11E9" w:rsidRDefault="006E11E9" w:rsidP="00494933">
      <w:pPr>
        <w:pStyle w:val="Default"/>
        <w:spacing w:line="480" w:lineRule="auto"/>
        <w:jc w:val="both"/>
        <w:rPr>
          <w:rStyle w:val="bumpedfont15"/>
          <w:sz w:val="28"/>
          <w:szCs w:val="28"/>
        </w:rPr>
      </w:pPr>
      <w:r>
        <w:rPr>
          <w:rStyle w:val="bumpedfont15"/>
          <w:sz w:val="28"/>
          <w:szCs w:val="28"/>
        </w:rPr>
        <w:t>//</w:t>
      </w:r>
    </w:p>
    <w:p w14:paraId="4C46416A" w14:textId="7BDA177F" w:rsidR="00C34F3D" w:rsidRDefault="00C34F3D" w:rsidP="00494933">
      <w:pPr>
        <w:pStyle w:val="Default"/>
        <w:spacing w:line="480" w:lineRule="auto"/>
        <w:jc w:val="both"/>
        <w:rPr>
          <w:rStyle w:val="bumpedfont15"/>
          <w:sz w:val="28"/>
          <w:szCs w:val="28"/>
        </w:rPr>
      </w:pPr>
      <w:r>
        <w:rPr>
          <w:rStyle w:val="bumpedfont15"/>
          <w:sz w:val="28"/>
          <w:szCs w:val="28"/>
        </w:rPr>
        <w:t>//</w:t>
      </w:r>
    </w:p>
    <w:p w14:paraId="1D217EB8" w14:textId="77777777" w:rsidR="00494933" w:rsidRDefault="00494933" w:rsidP="00FE551E">
      <w:pPr>
        <w:pStyle w:val="Default"/>
        <w:spacing w:line="480" w:lineRule="auto"/>
        <w:ind w:firstLine="720"/>
        <w:jc w:val="both"/>
        <w:rPr>
          <w:rStyle w:val="bumpedfont15"/>
          <w:sz w:val="28"/>
          <w:szCs w:val="28"/>
        </w:rPr>
      </w:pPr>
    </w:p>
    <w:p w14:paraId="1096DCF5" w14:textId="29483BA3" w:rsidR="005547F8" w:rsidRPr="005D3C1B" w:rsidRDefault="00D778AF" w:rsidP="00FE551E">
      <w:pPr>
        <w:pStyle w:val="Default"/>
        <w:spacing w:line="480" w:lineRule="auto"/>
        <w:ind w:firstLine="720"/>
        <w:jc w:val="both"/>
        <w:rPr>
          <w:rStyle w:val="bumpedfont15"/>
          <w:sz w:val="28"/>
          <w:szCs w:val="28"/>
        </w:rPr>
      </w:pPr>
      <w:r w:rsidRPr="005D3C1B">
        <w:rPr>
          <w:rStyle w:val="bumpedfont15"/>
          <w:sz w:val="28"/>
          <w:szCs w:val="28"/>
        </w:rPr>
        <w:t xml:space="preserve">The Task Force </w:t>
      </w:r>
      <w:r w:rsidR="00880289" w:rsidRPr="005D3C1B">
        <w:rPr>
          <w:rStyle w:val="bumpedfont15"/>
          <w:sz w:val="28"/>
          <w:szCs w:val="28"/>
        </w:rPr>
        <w:t xml:space="preserve">appreciates the opportunity to </w:t>
      </w:r>
      <w:r w:rsidR="007D77CB" w:rsidRPr="005D3C1B">
        <w:rPr>
          <w:rStyle w:val="bumpedfont15"/>
          <w:sz w:val="28"/>
          <w:szCs w:val="28"/>
        </w:rPr>
        <w:t>propose improvements to</w:t>
      </w:r>
      <w:r w:rsidR="005349CB" w:rsidRPr="005D3C1B">
        <w:rPr>
          <w:rStyle w:val="bumpedfont15"/>
          <w:sz w:val="28"/>
          <w:szCs w:val="28"/>
        </w:rPr>
        <w:t xml:space="preserve"> these special action rules</w:t>
      </w:r>
      <w:r w:rsidR="007D77CB" w:rsidRPr="005D3C1B">
        <w:rPr>
          <w:rStyle w:val="bumpedfont15"/>
          <w:sz w:val="28"/>
          <w:szCs w:val="28"/>
        </w:rPr>
        <w:t>,</w:t>
      </w:r>
      <w:r w:rsidR="005349CB" w:rsidRPr="005D3C1B">
        <w:rPr>
          <w:rStyle w:val="bumpedfont15"/>
          <w:sz w:val="28"/>
          <w:szCs w:val="28"/>
        </w:rPr>
        <w:t xml:space="preserve"> and to </w:t>
      </w:r>
      <w:r w:rsidR="0054690C" w:rsidRPr="005D3C1B">
        <w:rPr>
          <w:rStyle w:val="bumpedfont15"/>
          <w:sz w:val="28"/>
          <w:szCs w:val="28"/>
        </w:rPr>
        <w:t>advance the Court’s Strategic Agenda of “Justice for the Future.”</w:t>
      </w:r>
    </w:p>
    <w:p w14:paraId="32438FCF" w14:textId="64A267CF" w:rsidR="00CD5780" w:rsidRPr="005D3C1B" w:rsidRDefault="00C457F7" w:rsidP="00CD5780">
      <w:pPr>
        <w:pStyle w:val="Default"/>
        <w:spacing w:line="480" w:lineRule="auto"/>
        <w:ind w:firstLine="720"/>
        <w:jc w:val="both"/>
        <w:rPr>
          <w:sz w:val="28"/>
          <w:szCs w:val="28"/>
        </w:rPr>
      </w:pPr>
      <w:r w:rsidRPr="005D3C1B">
        <w:rPr>
          <w:sz w:val="28"/>
          <w:szCs w:val="28"/>
        </w:rPr>
        <w:t xml:space="preserve">RESPECTFULLY SUBMITTED this </w:t>
      </w:r>
      <w:r w:rsidR="009048F0">
        <w:rPr>
          <w:sz w:val="28"/>
          <w:szCs w:val="28"/>
        </w:rPr>
        <w:t>27</w:t>
      </w:r>
      <w:r w:rsidR="009048F0" w:rsidRPr="009048F0">
        <w:rPr>
          <w:sz w:val="28"/>
          <w:szCs w:val="28"/>
          <w:vertAlign w:val="superscript"/>
        </w:rPr>
        <w:t>th</w:t>
      </w:r>
      <w:r w:rsidR="009048F0">
        <w:rPr>
          <w:sz w:val="28"/>
          <w:szCs w:val="28"/>
        </w:rPr>
        <w:t xml:space="preserve"> </w:t>
      </w:r>
      <w:r w:rsidR="00CB365B" w:rsidRPr="005D3C1B">
        <w:rPr>
          <w:sz w:val="28"/>
          <w:szCs w:val="28"/>
        </w:rPr>
        <w:t xml:space="preserve">day of </w:t>
      </w:r>
      <w:r w:rsidR="00914F65" w:rsidRPr="005D3C1B">
        <w:rPr>
          <w:sz w:val="28"/>
          <w:szCs w:val="28"/>
        </w:rPr>
        <w:t xml:space="preserve">June </w:t>
      </w:r>
      <w:r w:rsidR="00CB365B" w:rsidRPr="005D3C1B">
        <w:rPr>
          <w:sz w:val="28"/>
          <w:szCs w:val="28"/>
        </w:rPr>
        <w:t>20</w:t>
      </w:r>
      <w:r w:rsidR="00204CDE" w:rsidRPr="005D3C1B">
        <w:rPr>
          <w:sz w:val="28"/>
          <w:szCs w:val="28"/>
        </w:rPr>
        <w:t>2</w:t>
      </w:r>
      <w:r w:rsidR="001B3669" w:rsidRPr="005D3C1B">
        <w:rPr>
          <w:sz w:val="28"/>
          <w:szCs w:val="28"/>
        </w:rPr>
        <w:t>4</w:t>
      </w:r>
      <w:r w:rsidR="003429AF" w:rsidRPr="005D3C1B">
        <w:rPr>
          <w:sz w:val="28"/>
          <w:szCs w:val="28"/>
        </w:rPr>
        <w:t>.</w:t>
      </w:r>
    </w:p>
    <w:p w14:paraId="1F269387" w14:textId="77777777" w:rsidR="00AC49C0" w:rsidRPr="005D3C1B" w:rsidRDefault="00AC49C0" w:rsidP="00CD5780">
      <w:pPr>
        <w:pStyle w:val="Default"/>
        <w:spacing w:line="480" w:lineRule="auto"/>
        <w:ind w:firstLine="720"/>
        <w:jc w:val="both"/>
        <w:rPr>
          <w:sz w:val="28"/>
          <w:szCs w:val="28"/>
        </w:rPr>
      </w:pPr>
    </w:p>
    <w:p w14:paraId="0942DBEC" w14:textId="77777777" w:rsidR="00ED4685" w:rsidRPr="005D3C1B" w:rsidRDefault="00CB365B" w:rsidP="00661A43">
      <w:pPr>
        <w:pStyle w:val="Default"/>
        <w:spacing w:line="276" w:lineRule="auto"/>
        <w:ind w:left="3600" w:firstLine="720"/>
        <w:jc w:val="both"/>
        <w:rPr>
          <w:sz w:val="28"/>
          <w:szCs w:val="28"/>
          <w:u w:val="single"/>
        </w:rPr>
      </w:pPr>
      <w:r w:rsidRPr="005D3C1B">
        <w:rPr>
          <w:sz w:val="28"/>
          <w:szCs w:val="28"/>
        </w:rPr>
        <w:t>By</w:t>
      </w:r>
      <w:r w:rsidR="002E4ADF" w:rsidRPr="005D3C1B">
        <w:rPr>
          <w:sz w:val="28"/>
          <w:szCs w:val="28"/>
        </w:rPr>
        <w:t xml:space="preserve"> </w:t>
      </w:r>
      <w:r w:rsidR="002E4ADF" w:rsidRPr="003A51BF">
        <w:rPr>
          <w:sz w:val="28"/>
          <w:szCs w:val="28"/>
        </w:rPr>
        <w:t xml:space="preserve">/s/ </w:t>
      </w:r>
      <w:r w:rsidR="002E4ADF" w:rsidRPr="005D3C1B">
        <w:rPr>
          <w:sz w:val="28"/>
          <w:szCs w:val="28"/>
          <w:u w:val="single"/>
        </w:rPr>
        <w:t>Mark Meltzer</w:t>
      </w:r>
    </w:p>
    <w:p w14:paraId="1D8FA9FF" w14:textId="5BAA96D3" w:rsidR="00ED4685" w:rsidRPr="005D3C1B" w:rsidRDefault="002223B0" w:rsidP="00ED4685">
      <w:pPr>
        <w:pStyle w:val="Default"/>
        <w:spacing w:line="276" w:lineRule="auto"/>
        <w:ind w:firstLine="720"/>
        <w:jc w:val="both"/>
        <w:rPr>
          <w:sz w:val="28"/>
          <w:szCs w:val="28"/>
        </w:rPr>
      </w:pPr>
      <w:r w:rsidRPr="005D3C1B">
        <w:rPr>
          <w:sz w:val="28"/>
          <w:szCs w:val="28"/>
        </w:rPr>
        <w:t xml:space="preserve">   </w:t>
      </w:r>
      <w:r w:rsidR="00661A43" w:rsidRPr="005D3C1B">
        <w:rPr>
          <w:sz w:val="28"/>
          <w:szCs w:val="28"/>
        </w:rPr>
        <w:tab/>
      </w:r>
      <w:r w:rsidR="00661A43" w:rsidRPr="005D3C1B">
        <w:rPr>
          <w:sz w:val="28"/>
          <w:szCs w:val="28"/>
        </w:rPr>
        <w:tab/>
      </w:r>
      <w:r w:rsidR="00661A43" w:rsidRPr="005D3C1B">
        <w:rPr>
          <w:sz w:val="28"/>
          <w:szCs w:val="28"/>
        </w:rPr>
        <w:tab/>
      </w:r>
      <w:r w:rsidR="00661A43" w:rsidRPr="005D3C1B">
        <w:rPr>
          <w:sz w:val="28"/>
          <w:szCs w:val="28"/>
        </w:rPr>
        <w:tab/>
      </w:r>
      <w:r w:rsidR="00661A43" w:rsidRPr="005D3C1B">
        <w:rPr>
          <w:sz w:val="28"/>
          <w:szCs w:val="28"/>
        </w:rPr>
        <w:tab/>
      </w:r>
      <w:r w:rsidR="006A7220" w:rsidRPr="005D3C1B">
        <w:rPr>
          <w:sz w:val="28"/>
          <w:szCs w:val="28"/>
        </w:rPr>
        <w:t>Mark Meltzer</w:t>
      </w:r>
    </w:p>
    <w:p w14:paraId="6C0188F9" w14:textId="7E3CDBD4" w:rsidR="006A7220" w:rsidRPr="005D3C1B" w:rsidRDefault="00ED4685" w:rsidP="00ED4685">
      <w:pPr>
        <w:pStyle w:val="Default"/>
        <w:spacing w:line="276" w:lineRule="auto"/>
        <w:ind w:firstLine="720"/>
        <w:jc w:val="both"/>
        <w:rPr>
          <w:sz w:val="28"/>
          <w:szCs w:val="28"/>
        </w:rPr>
      </w:pPr>
      <w:r w:rsidRPr="005D3C1B">
        <w:rPr>
          <w:sz w:val="28"/>
          <w:szCs w:val="28"/>
        </w:rPr>
        <w:t xml:space="preserve"> </w:t>
      </w:r>
      <w:r w:rsidR="006A7220" w:rsidRPr="005D3C1B">
        <w:rPr>
          <w:sz w:val="28"/>
          <w:szCs w:val="28"/>
        </w:rPr>
        <w:t xml:space="preserve">    </w:t>
      </w:r>
      <w:r w:rsidR="00661A43" w:rsidRPr="005D3C1B">
        <w:rPr>
          <w:sz w:val="28"/>
          <w:szCs w:val="28"/>
        </w:rPr>
        <w:tab/>
      </w:r>
      <w:r w:rsidR="00661A43" w:rsidRPr="005D3C1B">
        <w:rPr>
          <w:sz w:val="28"/>
          <w:szCs w:val="28"/>
        </w:rPr>
        <w:tab/>
      </w:r>
      <w:r w:rsidR="00661A43" w:rsidRPr="005D3C1B">
        <w:rPr>
          <w:sz w:val="28"/>
          <w:szCs w:val="28"/>
        </w:rPr>
        <w:tab/>
      </w:r>
      <w:r w:rsidR="00661A43" w:rsidRPr="005D3C1B">
        <w:rPr>
          <w:sz w:val="28"/>
          <w:szCs w:val="28"/>
        </w:rPr>
        <w:tab/>
      </w:r>
      <w:r w:rsidR="00661A43" w:rsidRPr="005D3C1B">
        <w:rPr>
          <w:sz w:val="28"/>
          <w:szCs w:val="28"/>
        </w:rPr>
        <w:tab/>
        <w:t xml:space="preserve">  </w:t>
      </w:r>
      <w:r w:rsidR="006A7220" w:rsidRPr="005D3C1B">
        <w:rPr>
          <w:sz w:val="28"/>
          <w:szCs w:val="28"/>
        </w:rPr>
        <w:t>on behalf of the Task Force</w:t>
      </w:r>
      <w:r w:rsidR="006A7220" w:rsidRPr="005D3C1B">
        <w:rPr>
          <w:sz w:val="28"/>
          <w:szCs w:val="28"/>
        </w:rPr>
        <w:tab/>
      </w:r>
    </w:p>
    <w:p w14:paraId="5424BE33" w14:textId="42D73EFC" w:rsidR="00CD067F" w:rsidRDefault="00121E6F" w:rsidP="00CD067F">
      <w:pPr>
        <w:contextualSpacing w:val="0"/>
        <w:rPr>
          <w:sz w:val="28"/>
          <w:szCs w:val="28"/>
        </w:rPr>
      </w:pPr>
      <w:r>
        <w:rPr>
          <w:sz w:val="28"/>
          <w:szCs w:val="28"/>
        </w:rPr>
        <w:br w:type="page"/>
      </w:r>
    </w:p>
    <w:p w14:paraId="29B03F40" w14:textId="440AFEA3" w:rsidR="00CD067F" w:rsidRPr="005D3C1B" w:rsidRDefault="0082297C" w:rsidP="00C30C19">
      <w:pPr>
        <w:tabs>
          <w:tab w:val="left" w:pos="3984"/>
        </w:tabs>
        <w:rPr>
          <w:b/>
          <w:bCs/>
          <w:sz w:val="28"/>
          <w:szCs w:val="28"/>
          <w:u w:val="single"/>
        </w:rPr>
      </w:pPr>
      <w:r w:rsidRPr="005D3C1B">
        <w:rPr>
          <w:b/>
          <w:bCs/>
          <w:sz w:val="28"/>
          <w:szCs w:val="28"/>
          <w:u w:val="single"/>
        </w:rPr>
        <w:t>T</w:t>
      </w:r>
      <w:r w:rsidR="00CD067F" w:rsidRPr="005D3C1B">
        <w:rPr>
          <w:b/>
          <w:bCs/>
          <w:sz w:val="28"/>
          <w:szCs w:val="28"/>
          <w:u w:val="single"/>
        </w:rPr>
        <w:t xml:space="preserve">ask Force </w:t>
      </w:r>
      <w:r w:rsidR="0089142B" w:rsidRPr="005D3C1B">
        <w:rPr>
          <w:b/>
          <w:bCs/>
          <w:sz w:val="28"/>
          <w:szCs w:val="28"/>
          <w:u w:val="single"/>
        </w:rPr>
        <w:t>M</w:t>
      </w:r>
      <w:r w:rsidR="00CD067F" w:rsidRPr="005D3C1B">
        <w:rPr>
          <w:b/>
          <w:bCs/>
          <w:sz w:val="28"/>
          <w:szCs w:val="28"/>
          <w:u w:val="single"/>
        </w:rPr>
        <w:t>embers</w:t>
      </w:r>
      <w:r w:rsidR="007048C9">
        <w:rPr>
          <w:b/>
          <w:bCs/>
          <w:sz w:val="28"/>
          <w:szCs w:val="28"/>
          <w:u w:val="single"/>
        </w:rPr>
        <w:t xml:space="preserve"> and Contributors</w:t>
      </w:r>
    </w:p>
    <w:p w14:paraId="04BC9FAD" w14:textId="77777777" w:rsidR="0089142B" w:rsidRPr="00822430" w:rsidRDefault="0089142B" w:rsidP="0089142B">
      <w:pPr>
        <w:rPr>
          <w:b/>
          <w:bCs/>
          <w:sz w:val="16"/>
          <w:szCs w:val="16"/>
          <w:u w:val="single"/>
        </w:rPr>
      </w:pPr>
    </w:p>
    <w:p w14:paraId="08A3244F" w14:textId="2CC05A8C" w:rsidR="0065393D" w:rsidRPr="005D3C1B" w:rsidRDefault="0065393D" w:rsidP="0089142B">
      <w:pPr>
        <w:rPr>
          <w:sz w:val="28"/>
          <w:szCs w:val="28"/>
          <w:u w:val="single"/>
        </w:rPr>
      </w:pPr>
      <w:r w:rsidRPr="005D3C1B">
        <w:rPr>
          <w:sz w:val="28"/>
          <w:szCs w:val="28"/>
          <w:u w:val="single"/>
        </w:rPr>
        <w:t>Task Force Chair:</w:t>
      </w:r>
    </w:p>
    <w:p w14:paraId="2B09DBB5" w14:textId="50D4A3F7" w:rsidR="0089142B" w:rsidRPr="005D3C1B" w:rsidRDefault="00D90D24" w:rsidP="0089142B">
      <w:pPr>
        <w:rPr>
          <w:sz w:val="28"/>
          <w:szCs w:val="28"/>
        </w:rPr>
      </w:pPr>
      <w:r w:rsidRPr="005D3C1B">
        <w:rPr>
          <w:sz w:val="28"/>
          <w:szCs w:val="28"/>
        </w:rPr>
        <w:t>Hon. Kathryn H. King, Justice of the Arizona Supreme Court</w:t>
      </w:r>
      <w:r w:rsidR="00767C60" w:rsidRPr="005D3C1B">
        <w:rPr>
          <w:sz w:val="28"/>
          <w:szCs w:val="28"/>
        </w:rPr>
        <w:t xml:space="preserve"> </w:t>
      </w:r>
    </w:p>
    <w:p w14:paraId="1E01AA5F" w14:textId="77777777" w:rsidR="00D90D24" w:rsidRPr="00822430" w:rsidRDefault="00D90D24" w:rsidP="0089142B">
      <w:pPr>
        <w:rPr>
          <w:sz w:val="16"/>
          <w:szCs w:val="16"/>
        </w:rPr>
      </w:pPr>
    </w:p>
    <w:p w14:paraId="45F26341" w14:textId="17309E52" w:rsidR="0065393D" w:rsidRPr="005D3C1B" w:rsidRDefault="0065393D" w:rsidP="0089142B">
      <w:pPr>
        <w:rPr>
          <w:sz w:val="28"/>
          <w:szCs w:val="28"/>
          <w:u w:val="single"/>
        </w:rPr>
      </w:pPr>
      <w:r w:rsidRPr="005D3C1B">
        <w:rPr>
          <w:sz w:val="28"/>
          <w:szCs w:val="28"/>
          <w:u w:val="single"/>
        </w:rPr>
        <w:t>Judicial Officer</w:t>
      </w:r>
      <w:r w:rsidR="00A544F4" w:rsidRPr="005D3C1B">
        <w:rPr>
          <w:sz w:val="28"/>
          <w:szCs w:val="28"/>
          <w:u w:val="single"/>
        </w:rPr>
        <w:t>s</w:t>
      </w:r>
      <w:r w:rsidRPr="005D3C1B">
        <w:rPr>
          <w:sz w:val="28"/>
          <w:szCs w:val="28"/>
          <w:u w:val="single"/>
        </w:rPr>
        <w:t>:</w:t>
      </w:r>
    </w:p>
    <w:p w14:paraId="66658BAB" w14:textId="433FE63A" w:rsidR="0053284F" w:rsidRPr="005D3C1B" w:rsidRDefault="00BF2B27" w:rsidP="0089142B">
      <w:pPr>
        <w:rPr>
          <w:sz w:val="28"/>
          <w:szCs w:val="28"/>
        </w:rPr>
      </w:pPr>
      <w:r w:rsidRPr="005D3C1B">
        <w:rPr>
          <w:sz w:val="28"/>
          <w:szCs w:val="28"/>
        </w:rPr>
        <w:t>Hon. Sara Agne, Superior Court of Arizona in Maricopa County</w:t>
      </w:r>
    </w:p>
    <w:p w14:paraId="3AA8FB19" w14:textId="3ECDFD4D" w:rsidR="00BF2B27" w:rsidRPr="005D3C1B" w:rsidRDefault="00BF2B27" w:rsidP="0089142B">
      <w:pPr>
        <w:rPr>
          <w:sz w:val="28"/>
          <w:szCs w:val="28"/>
        </w:rPr>
      </w:pPr>
      <w:r w:rsidRPr="005D3C1B">
        <w:rPr>
          <w:sz w:val="28"/>
          <w:szCs w:val="28"/>
        </w:rPr>
        <w:t xml:space="preserve">Hon. </w:t>
      </w:r>
      <w:r w:rsidR="00B21956" w:rsidRPr="005D3C1B">
        <w:rPr>
          <w:sz w:val="28"/>
          <w:szCs w:val="28"/>
        </w:rPr>
        <w:t>Bryan Chambers, Superior Court of Arizona in Gila County</w:t>
      </w:r>
    </w:p>
    <w:p w14:paraId="359B17A0" w14:textId="2F20A1A1" w:rsidR="00B21956" w:rsidRPr="005D3C1B" w:rsidRDefault="006A2385" w:rsidP="0089142B">
      <w:pPr>
        <w:rPr>
          <w:sz w:val="28"/>
          <w:szCs w:val="28"/>
        </w:rPr>
      </w:pPr>
      <w:r w:rsidRPr="005D3C1B">
        <w:rPr>
          <w:sz w:val="28"/>
          <w:szCs w:val="28"/>
        </w:rPr>
        <w:t>Hon. Andrew Jacobs, Arizona Court of Appeals, Division One</w:t>
      </w:r>
    </w:p>
    <w:p w14:paraId="2A2B4E2F" w14:textId="6B5DF57B" w:rsidR="006A2385" w:rsidRPr="005D3C1B" w:rsidRDefault="00185B6D" w:rsidP="0089142B">
      <w:pPr>
        <w:rPr>
          <w:sz w:val="28"/>
          <w:szCs w:val="28"/>
        </w:rPr>
      </w:pPr>
      <w:r w:rsidRPr="005D3C1B">
        <w:rPr>
          <w:sz w:val="28"/>
          <w:szCs w:val="28"/>
        </w:rPr>
        <w:t>Hon. John Napper, Superior Court of Arizona in Yavapai County</w:t>
      </w:r>
    </w:p>
    <w:p w14:paraId="155AABCD" w14:textId="556F9B6C" w:rsidR="00185B6D" w:rsidRPr="005D3C1B" w:rsidRDefault="00185B6D" w:rsidP="0089142B">
      <w:pPr>
        <w:rPr>
          <w:sz w:val="28"/>
          <w:szCs w:val="28"/>
        </w:rPr>
      </w:pPr>
      <w:r w:rsidRPr="005D3C1B">
        <w:rPr>
          <w:sz w:val="28"/>
          <w:szCs w:val="28"/>
        </w:rPr>
        <w:t xml:space="preserve">Hon. </w:t>
      </w:r>
      <w:r w:rsidR="00F03ADF" w:rsidRPr="005D3C1B">
        <w:rPr>
          <w:sz w:val="28"/>
          <w:szCs w:val="28"/>
        </w:rPr>
        <w:t>Amanda Parker, Superior Court of Arizona in Maricopa County</w:t>
      </w:r>
    </w:p>
    <w:p w14:paraId="639FBB76" w14:textId="7619A18D" w:rsidR="00F03ADF" w:rsidRPr="005D3C1B" w:rsidRDefault="00677F46" w:rsidP="0089142B">
      <w:pPr>
        <w:rPr>
          <w:sz w:val="28"/>
          <w:szCs w:val="28"/>
        </w:rPr>
      </w:pPr>
      <w:r w:rsidRPr="005D3C1B">
        <w:rPr>
          <w:sz w:val="28"/>
          <w:szCs w:val="28"/>
        </w:rPr>
        <w:t>Hon. Michael Valenzuela, Superior Court of Arizona in Maricopa County</w:t>
      </w:r>
    </w:p>
    <w:p w14:paraId="4CD2C86E" w14:textId="258AEE44" w:rsidR="00677F46" w:rsidRPr="005D3C1B" w:rsidRDefault="00CA290A" w:rsidP="0089142B">
      <w:pPr>
        <w:rPr>
          <w:sz w:val="28"/>
          <w:szCs w:val="28"/>
        </w:rPr>
      </w:pPr>
      <w:r w:rsidRPr="005D3C1B">
        <w:rPr>
          <w:sz w:val="28"/>
          <w:szCs w:val="28"/>
        </w:rPr>
        <w:t>Hon. Gary</w:t>
      </w:r>
      <w:r w:rsidR="00A73C15" w:rsidRPr="005D3C1B">
        <w:rPr>
          <w:sz w:val="28"/>
          <w:szCs w:val="28"/>
        </w:rPr>
        <w:t>e</w:t>
      </w:r>
      <w:r w:rsidRPr="005D3C1B">
        <w:rPr>
          <w:sz w:val="28"/>
          <w:szCs w:val="28"/>
        </w:rPr>
        <w:t xml:space="preserve"> </w:t>
      </w:r>
      <w:r w:rsidR="00767C60" w:rsidRPr="005D3C1B">
        <w:rPr>
          <w:sz w:val="28"/>
          <w:szCs w:val="28"/>
        </w:rPr>
        <w:t>Vásquez</w:t>
      </w:r>
      <w:r w:rsidRPr="005D3C1B">
        <w:rPr>
          <w:sz w:val="28"/>
          <w:szCs w:val="28"/>
        </w:rPr>
        <w:t>, Chief Judge, Arizona Court of Appeals, Division Two</w:t>
      </w:r>
    </w:p>
    <w:p w14:paraId="727BD2D5" w14:textId="77777777" w:rsidR="0065393D" w:rsidRPr="00822430" w:rsidRDefault="0065393D" w:rsidP="0089142B">
      <w:pPr>
        <w:rPr>
          <w:sz w:val="16"/>
          <w:szCs w:val="16"/>
        </w:rPr>
      </w:pPr>
    </w:p>
    <w:p w14:paraId="21533E66" w14:textId="5D356189" w:rsidR="0065393D" w:rsidRPr="005D3C1B" w:rsidRDefault="00A544F4" w:rsidP="0089142B">
      <w:pPr>
        <w:rPr>
          <w:sz w:val="28"/>
          <w:szCs w:val="28"/>
          <w:u w:val="single"/>
        </w:rPr>
      </w:pPr>
      <w:r w:rsidRPr="005D3C1B">
        <w:rPr>
          <w:sz w:val="28"/>
          <w:szCs w:val="28"/>
          <w:u w:val="single"/>
        </w:rPr>
        <w:t>Court Community:</w:t>
      </w:r>
    </w:p>
    <w:p w14:paraId="61645604" w14:textId="655BF8E9" w:rsidR="00A544F4" w:rsidRPr="005D3C1B" w:rsidRDefault="005244B7" w:rsidP="0089142B">
      <w:pPr>
        <w:rPr>
          <w:sz w:val="28"/>
          <w:szCs w:val="28"/>
        </w:rPr>
      </w:pPr>
      <w:r w:rsidRPr="005D3C1B">
        <w:rPr>
          <w:sz w:val="28"/>
          <w:szCs w:val="28"/>
        </w:rPr>
        <w:t>Tracie Lindeman, Clerk of the Arizona Supreme Court</w:t>
      </w:r>
    </w:p>
    <w:p w14:paraId="17076567" w14:textId="1058E479" w:rsidR="005244B7" w:rsidRPr="005D3C1B" w:rsidRDefault="005E55B7" w:rsidP="0089142B">
      <w:pPr>
        <w:rPr>
          <w:sz w:val="28"/>
          <w:szCs w:val="28"/>
        </w:rPr>
      </w:pPr>
      <w:r w:rsidRPr="005D3C1B">
        <w:rPr>
          <w:sz w:val="28"/>
          <w:szCs w:val="28"/>
        </w:rPr>
        <w:t xml:space="preserve">David (Mac) McCallum, Chief Staff Attorney, </w:t>
      </w:r>
      <w:r w:rsidR="0082297C" w:rsidRPr="005D3C1B">
        <w:rPr>
          <w:sz w:val="28"/>
          <w:szCs w:val="28"/>
        </w:rPr>
        <w:t xml:space="preserve">Court of Appeals, </w:t>
      </w:r>
      <w:r w:rsidRPr="005D3C1B">
        <w:rPr>
          <w:sz w:val="28"/>
          <w:szCs w:val="28"/>
        </w:rPr>
        <w:t>Division Two</w:t>
      </w:r>
    </w:p>
    <w:p w14:paraId="68D0044A" w14:textId="55254CD6" w:rsidR="005E55B7" w:rsidRPr="005D3C1B" w:rsidRDefault="006117A7" w:rsidP="0089142B">
      <w:pPr>
        <w:rPr>
          <w:sz w:val="28"/>
          <w:szCs w:val="28"/>
        </w:rPr>
      </w:pPr>
      <w:r w:rsidRPr="005D3C1B">
        <w:rPr>
          <w:sz w:val="28"/>
          <w:szCs w:val="28"/>
        </w:rPr>
        <w:t>Amy Wood, Clerk of the Court of Appeals, Division One</w:t>
      </w:r>
    </w:p>
    <w:p w14:paraId="3BB87C71" w14:textId="77777777" w:rsidR="006117A7" w:rsidRPr="00822430" w:rsidRDefault="006117A7" w:rsidP="0089142B">
      <w:pPr>
        <w:rPr>
          <w:sz w:val="16"/>
          <w:szCs w:val="16"/>
        </w:rPr>
      </w:pPr>
    </w:p>
    <w:p w14:paraId="7A1C1742" w14:textId="75DD30DF" w:rsidR="006117A7" w:rsidRPr="005D3C1B" w:rsidRDefault="006117A7" w:rsidP="0089142B">
      <w:pPr>
        <w:rPr>
          <w:sz w:val="28"/>
          <w:szCs w:val="28"/>
          <w:u w:val="single"/>
        </w:rPr>
      </w:pPr>
      <w:r w:rsidRPr="005D3C1B">
        <w:rPr>
          <w:sz w:val="28"/>
          <w:szCs w:val="28"/>
          <w:u w:val="single"/>
        </w:rPr>
        <w:t>Attorneys:</w:t>
      </w:r>
    </w:p>
    <w:p w14:paraId="02A464B3" w14:textId="1F4A47FD" w:rsidR="006117A7" w:rsidRPr="005D3C1B" w:rsidRDefault="00343A13" w:rsidP="0089142B">
      <w:pPr>
        <w:rPr>
          <w:sz w:val="28"/>
          <w:szCs w:val="28"/>
        </w:rPr>
      </w:pPr>
      <w:r w:rsidRPr="005D3C1B">
        <w:rPr>
          <w:sz w:val="28"/>
          <w:szCs w:val="28"/>
        </w:rPr>
        <w:t>David Euchner, Office of the Pima County Public Defender</w:t>
      </w:r>
    </w:p>
    <w:p w14:paraId="628638BF" w14:textId="553E6996" w:rsidR="00343A13" w:rsidRPr="005D3C1B" w:rsidRDefault="00343A13" w:rsidP="0089142B">
      <w:pPr>
        <w:rPr>
          <w:sz w:val="28"/>
          <w:szCs w:val="28"/>
        </w:rPr>
      </w:pPr>
      <w:r w:rsidRPr="005D3C1B">
        <w:rPr>
          <w:sz w:val="28"/>
          <w:szCs w:val="28"/>
        </w:rPr>
        <w:t>Eric Fraser, Osborn Maledon</w:t>
      </w:r>
    </w:p>
    <w:p w14:paraId="16B0FD36" w14:textId="180E8C6C" w:rsidR="00A51635" w:rsidRPr="005D3C1B" w:rsidRDefault="00A51635" w:rsidP="0089142B">
      <w:pPr>
        <w:rPr>
          <w:sz w:val="28"/>
          <w:szCs w:val="28"/>
        </w:rPr>
      </w:pPr>
      <w:r w:rsidRPr="005D3C1B">
        <w:rPr>
          <w:sz w:val="28"/>
          <w:szCs w:val="28"/>
        </w:rPr>
        <w:t xml:space="preserve">Rachel </w:t>
      </w:r>
      <w:r w:rsidR="00582C2C" w:rsidRPr="005D3C1B">
        <w:rPr>
          <w:sz w:val="28"/>
          <w:szCs w:val="28"/>
        </w:rPr>
        <w:t xml:space="preserve">Frazier </w:t>
      </w:r>
      <w:r w:rsidRPr="005D3C1B">
        <w:rPr>
          <w:sz w:val="28"/>
          <w:szCs w:val="28"/>
        </w:rPr>
        <w:t xml:space="preserve">Johnson, Rachel </w:t>
      </w:r>
      <w:r w:rsidR="00582C2C" w:rsidRPr="005D3C1B">
        <w:rPr>
          <w:sz w:val="28"/>
          <w:szCs w:val="28"/>
        </w:rPr>
        <w:t xml:space="preserve">Frazier </w:t>
      </w:r>
      <w:r w:rsidRPr="005D3C1B">
        <w:rPr>
          <w:sz w:val="28"/>
          <w:szCs w:val="28"/>
        </w:rPr>
        <w:t>Johnson Law</w:t>
      </w:r>
    </w:p>
    <w:p w14:paraId="668E6E71" w14:textId="3FAFAEDA" w:rsidR="00A51635" w:rsidRPr="005D3C1B" w:rsidRDefault="001206E0" w:rsidP="0089142B">
      <w:pPr>
        <w:rPr>
          <w:sz w:val="28"/>
          <w:szCs w:val="28"/>
        </w:rPr>
      </w:pPr>
      <w:r w:rsidRPr="005D3C1B">
        <w:rPr>
          <w:sz w:val="28"/>
          <w:szCs w:val="28"/>
        </w:rPr>
        <w:t>Nic</w:t>
      </w:r>
      <w:r w:rsidR="007F0A9C" w:rsidRPr="005D3C1B">
        <w:rPr>
          <w:sz w:val="28"/>
          <w:szCs w:val="28"/>
        </w:rPr>
        <w:t>h</w:t>
      </w:r>
      <w:r w:rsidRPr="005D3C1B">
        <w:rPr>
          <w:sz w:val="28"/>
          <w:szCs w:val="28"/>
        </w:rPr>
        <w:t>olas Klingerman, Office of the Arizona Attorney General</w:t>
      </w:r>
    </w:p>
    <w:p w14:paraId="0D0680DB" w14:textId="2C3AC4F8" w:rsidR="001206E0" w:rsidRPr="005D3C1B" w:rsidRDefault="00EF4E26" w:rsidP="0089142B">
      <w:pPr>
        <w:rPr>
          <w:sz w:val="28"/>
          <w:szCs w:val="28"/>
        </w:rPr>
      </w:pPr>
      <w:r w:rsidRPr="005D3C1B">
        <w:rPr>
          <w:sz w:val="28"/>
          <w:szCs w:val="28"/>
        </w:rPr>
        <w:t>Xochitl Orozco, Cochise County Legal Defender</w:t>
      </w:r>
      <w:r w:rsidR="00B576D3" w:rsidRPr="005D3C1B">
        <w:rPr>
          <w:sz w:val="28"/>
          <w:szCs w:val="28"/>
        </w:rPr>
        <w:t>’</w:t>
      </w:r>
      <w:r w:rsidRPr="005D3C1B">
        <w:rPr>
          <w:sz w:val="28"/>
          <w:szCs w:val="28"/>
        </w:rPr>
        <w:t>s Office</w:t>
      </w:r>
    </w:p>
    <w:p w14:paraId="53E47F51" w14:textId="18D6B61A" w:rsidR="00EF4E26" w:rsidRPr="005D3C1B" w:rsidRDefault="00DC6042" w:rsidP="0089142B">
      <w:pPr>
        <w:rPr>
          <w:sz w:val="28"/>
          <w:szCs w:val="28"/>
        </w:rPr>
      </w:pPr>
      <w:r w:rsidRPr="005D3C1B">
        <w:rPr>
          <w:sz w:val="28"/>
          <w:szCs w:val="28"/>
        </w:rPr>
        <w:t>Elizabeth Ortiz, Arizona Prosecuting Attorneys</w:t>
      </w:r>
      <w:r w:rsidR="007F0A9C" w:rsidRPr="005D3C1B">
        <w:rPr>
          <w:sz w:val="28"/>
          <w:szCs w:val="28"/>
        </w:rPr>
        <w:t>’</w:t>
      </w:r>
      <w:r w:rsidRPr="005D3C1B">
        <w:rPr>
          <w:sz w:val="28"/>
          <w:szCs w:val="28"/>
        </w:rPr>
        <w:t xml:space="preserve"> Advisory Council</w:t>
      </w:r>
    </w:p>
    <w:p w14:paraId="6AA06E43" w14:textId="44CB1145" w:rsidR="00DC6042" w:rsidRPr="005D3C1B" w:rsidRDefault="00CF1716" w:rsidP="0089142B">
      <w:pPr>
        <w:rPr>
          <w:sz w:val="28"/>
          <w:szCs w:val="28"/>
        </w:rPr>
      </w:pPr>
      <w:r w:rsidRPr="005D3C1B">
        <w:rPr>
          <w:sz w:val="28"/>
          <w:szCs w:val="28"/>
        </w:rPr>
        <w:t>Gaetano Testini, Industrial Commission of Arizona</w:t>
      </w:r>
    </w:p>
    <w:p w14:paraId="7EFBFE81" w14:textId="521C4994" w:rsidR="00CF1716" w:rsidRPr="005D3C1B" w:rsidRDefault="00CF1716" w:rsidP="0089142B">
      <w:pPr>
        <w:rPr>
          <w:sz w:val="28"/>
          <w:szCs w:val="28"/>
        </w:rPr>
      </w:pPr>
      <w:r w:rsidRPr="005D3C1B">
        <w:rPr>
          <w:sz w:val="28"/>
          <w:szCs w:val="28"/>
        </w:rPr>
        <w:t>Charles Wirken, Gust Rosenfeld</w:t>
      </w:r>
    </w:p>
    <w:p w14:paraId="6C759364" w14:textId="77777777" w:rsidR="00444F91" w:rsidRPr="00822430" w:rsidRDefault="00444F91" w:rsidP="0089142B">
      <w:pPr>
        <w:rPr>
          <w:sz w:val="16"/>
          <w:szCs w:val="16"/>
          <w:u w:val="single"/>
        </w:rPr>
      </w:pPr>
    </w:p>
    <w:p w14:paraId="1DC9F535" w14:textId="03E0FF3E" w:rsidR="006834BD" w:rsidRDefault="00444F91" w:rsidP="0089142B">
      <w:pPr>
        <w:rPr>
          <w:sz w:val="28"/>
          <w:szCs w:val="28"/>
        </w:rPr>
      </w:pPr>
      <w:r w:rsidRPr="00EB67A7">
        <w:rPr>
          <w:b/>
          <w:bCs/>
          <w:sz w:val="28"/>
          <w:szCs w:val="28"/>
          <w:u w:val="single"/>
        </w:rPr>
        <w:t xml:space="preserve">Other </w:t>
      </w:r>
      <w:r w:rsidR="006834BD" w:rsidRPr="00EB67A7">
        <w:rPr>
          <w:b/>
          <w:bCs/>
          <w:sz w:val="28"/>
          <w:szCs w:val="28"/>
          <w:u w:val="single"/>
        </w:rPr>
        <w:t>Contributors</w:t>
      </w:r>
      <w:r w:rsidR="006834BD">
        <w:rPr>
          <w:sz w:val="28"/>
          <w:szCs w:val="28"/>
        </w:rPr>
        <w:t xml:space="preserve"> </w:t>
      </w:r>
    </w:p>
    <w:p w14:paraId="69AC9682" w14:textId="77777777" w:rsidR="00BC3D23" w:rsidRPr="00822430" w:rsidRDefault="00BC3D23" w:rsidP="0089142B">
      <w:pPr>
        <w:rPr>
          <w:sz w:val="16"/>
          <w:szCs w:val="16"/>
        </w:rPr>
      </w:pPr>
    </w:p>
    <w:p w14:paraId="3C2ADBA3" w14:textId="04C8935C" w:rsidR="00633042" w:rsidRPr="006834BD" w:rsidRDefault="006834BD" w:rsidP="0089142B">
      <w:pPr>
        <w:rPr>
          <w:b/>
          <w:bCs/>
          <w:sz w:val="28"/>
          <w:szCs w:val="28"/>
          <w:u w:val="single"/>
        </w:rPr>
      </w:pPr>
      <w:r>
        <w:rPr>
          <w:sz w:val="28"/>
          <w:szCs w:val="28"/>
        </w:rPr>
        <w:t>Joshua</w:t>
      </w:r>
      <w:r w:rsidR="00AE3D5A">
        <w:rPr>
          <w:sz w:val="28"/>
          <w:szCs w:val="28"/>
        </w:rPr>
        <w:t xml:space="preserve"> Bendor, </w:t>
      </w:r>
      <w:r w:rsidR="00444F91">
        <w:rPr>
          <w:sz w:val="28"/>
          <w:szCs w:val="28"/>
        </w:rPr>
        <w:t xml:space="preserve">Solicitor General, </w:t>
      </w:r>
      <w:r w:rsidR="006C490C">
        <w:rPr>
          <w:sz w:val="28"/>
          <w:szCs w:val="28"/>
        </w:rPr>
        <w:t xml:space="preserve">Arizona </w:t>
      </w:r>
      <w:r w:rsidR="00444F91">
        <w:rPr>
          <w:sz w:val="28"/>
          <w:szCs w:val="28"/>
        </w:rPr>
        <w:t>Attorney General’s Office</w:t>
      </w:r>
    </w:p>
    <w:p w14:paraId="514CA3A7" w14:textId="6462171F" w:rsidR="00730785" w:rsidRDefault="00730785" w:rsidP="0089142B">
      <w:pPr>
        <w:rPr>
          <w:sz w:val="28"/>
          <w:szCs w:val="28"/>
        </w:rPr>
      </w:pPr>
      <w:r>
        <w:rPr>
          <w:sz w:val="28"/>
          <w:szCs w:val="28"/>
        </w:rPr>
        <w:t>Hon</w:t>
      </w:r>
      <w:r w:rsidR="00C91035">
        <w:rPr>
          <w:sz w:val="28"/>
          <w:szCs w:val="28"/>
        </w:rPr>
        <w:t>.</w:t>
      </w:r>
      <w:r>
        <w:rPr>
          <w:sz w:val="28"/>
          <w:szCs w:val="28"/>
        </w:rPr>
        <w:t xml:space="preserve"> Michael Catlett</w:t>
      </w:r>
      <w:r w:rsidR="00C91035">
        <w:rPr>
          <w:sz w:val="28"/>
          <w:szCs w:val="28"/>
        </w:rPr>
        <w:t>, Arizona Court of Appeals, Division One</w:t>
      </w:r>
    </w:p>
    <w:p w14:paraId="664C0910" w14:textId="3296767F" w:rsidR="00795455" w:rsidRDefault="00795455" w:rsidP="0089142B">
      <w:pPr>
        <w:rPr>
          <w:sz w:val="28"/>
          <w:szCs w:val="28"/>
        </w:rPr>
      </w:pPr>
      <w:r w:rsidRPr="005D3C1B">
        <w:rPr>
          <w:sz w:val="28"/>
          <w:szCs w:val="28"/>
        </w:rPr>
        <w:t>Jessica Fotinos, Clerk’s Office, Superior Court of Arizona in Maricopa County</w:t>
      </w:r>
    </w:p>
    <w:p w14:paraId="204F4FFC" w14:textId="2D546B89" w:rsidR="00444F91" w:rsidRDefault="00C657CE" w:rsidP="0089142B">
      <w:pPr>
        <w:rPr>
          <w:sz w:val="28"/>
          <w:szCs w:val="28"/>
        </w:rPr>
      </w:pPr>
      <w:r>
        <w:rPr>
          <w:sz w:val="28"/>
          <w:szCs w:val="28"/>
        </w:rPr>
        <w:t>Clinten Garrett</w:t>
      </w:r>
      <w:r w:rsidR="006C490C">
        <w:rPr>
          <w:sz w:val="28"/>
          <w:szCs w:val="28"/>
        </w:rPr>
        <w:t>, Arizona Attorney General’s Office</w:t>
      </w:r>
    </w:p>
    <w:p w14:paraId="58D7D4DC" w14:textId="42576562" w:rsidR="00795455" w:rsidRPr="005D3C1B" w:rsidRDefault="00795455" w:rsidP="00795455">
      <w:pPr>
        <w:rPr>
          <w:sz w:val="28"/>
          <w:szCs w:val="28"/>
        </w:rPr>
      </w:pPr>
      <w:r w:rsidRPr="005D3C1B">
        <w:rPr>
          <w:sz w:val="28"/>
          <w:szCs w:val="28"/>
        </w:rPr>
        <w:t>Parker Jackson, Goldwater Institute</w:t>
      </w:r>
    </w:p>
    <w:p w14:paraId="3C23BFAD" w14:textId="77777777" w:rsidR="00D2584D" w:rsidRPr="00822430" w:rsidRDefault="00D2584D" w:rsidP="0089142B">
      <w:pPr>
        <w:rPr>
          <w:sz w:val="16"/>
          <w:szCs w:val="16"/>
        </w:rPr>
      </w:pPr>
    </w:p>
    <w:p w14:paraId="58616357" w14:textId="2FDB2FA6" w:rsidR="00D2584D" w:rsidRDefault="00D2584D" w:rsidP="0089142B">
      <w:pPr>
        <w:rPr>
          <w:b/>
          <w:bCs/>
          <w:sz w:val="28"/>
          <w:szCs w:val="28"/>
          <w:u w:val="single"/>
        </w:rPr>
      </w:pPr>
      <w:r w:rsidRPr="00C50AC9">
        <w:rPr>
          <w:b/>
          <w:bCs/>
          <w:sz w:val="28"/>
          <w:szCs w:val="28"/>
          <w:u w:val="single"/>
        </w:rPr>
        <w:t>AOC Staff</w:t>
      </w:r>
    </w:p>
    <w:p w14:paraId="06BFAFC7" w14:textId="77777777" w:rsidR="00BC3D23" w:rsidRPr="00822430" w:rsidRDefault="00BC3D23" w:rsidP="0089142B">
      <w:pPr>
        <w:rPr>
          <w:b/>
          <w:bCs/>
          <w:sz w:val="16"/>
          <w:szCs w:val="16"/>
          <w:u w:val="single"/>
        </w:rPr>
      </w:pPr>
    </w:p>
    <w:p w14:paraId="45292048" w14:textId="1791F8B8" w:rsidR="00D2584D" w:rsidRPr="005D3C1B" w:rsidRDefault="00D2584D" w:rsidP="0089142B">
      <w:pPr>
        <w:rPr>
          <w:sz w:val="28"/>
          <w:szCs w:val="28"/>
        </w:rPr>
      </w:pPr>
      <w:r w:rsidRPr="005D3C1B">
        <w:rPr>
          <w:sz w:val="28"/>
          <w:szCs w:val="28"/>
        </w:rPr>
        <w:t>Theresa Barrett</w:t>
      </w:r>
    </w:p>
    <w:p w14:paraId="42D4CA50" w14:textId="2598E31F" w:rsidR="00D2584D" w:rsidRPr="005D3C1B" w:rsidRDefault="00D2584D" w:rsidP="0089142B">
      <w:pPr>
        <w:rPr>
          <w:sz w:val="28"/>
          <w:szCs w:val="28"/>
        </w:rPr>
      </w:pPr>
      <w:r w:rsidRPr="005D3C1B">
        <w:rPr>
          <w:sz w:val="28"/>
          <w:szCs w:val="28"/>
        </w:rPr>
        <w:t>Mark Meltzer</w:t>
      </w:r>
    </w:p>
    <w:p w14:paraId="4937E884" w14:textId="5E05E98F" w:rsidR="00D2584D" w:rsidRPr="005D3C1B" w:rsidRDefault="00D2584D" w:rsidP="0089142B">
      <w:pPr>
        <w:rPr>
          <w:sz w:val="28"/>
          <w:szCs w:val="28"/>
        </w:rPr>
      </w:pPr>
      <w:r w:rsidRPr="005D3C1B">
        <w:rPr>
          <w:sz w:val="28"/>
          <w:szCs w:val="28"/>
        </w:rPr>
        <w:t>Veronica Gonzales</w:t>
      </w:r>
    </w:p>
    <w:sectPr w:rsidR="00D2584D" w:rsidRPr="005D3C1B" w:rsidSect="00B14D5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64D1" w14:textId="77777777" w:rsidR="00E92BDD" w:rsidRDefault="00E92BDD" w:rsidP="007E5D23">
      <w:r>
        <w:separator/>
      </w:r>
    </w:p>
  </w:endnote>
  <w:endnote w:type="continuationSeparator" w:id="0">
    <w:p w14:paraId="690BB223" w14:textId="77777777" w:rsidR="00E92BDD" w:rsidRDefault="00E92BDD" w:rsidP="007E5D23">
      <w:r>
        <w:continuationSeparator/>
      </w:r>
    </w:p>
  </w:endnote>
  <w:endnote w:type="continuationNotice" w:id="1">
    <w:p w14:paraId="0B958AFC" w14:textId="77777777" w:rsidR="00E92BDD" w:rsidRDefault="00E92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0CC7" w14:textId="77777777" w:rsidR="00461594" w:rsidRDefault="003F4417">
    <w:pPr>
      <w:pStyle w:val="Footer"/>
      <w:jc w:val="center"/>
    </w:pPr>
    <w:r>
      <w:fldChar w:fldCharType="begin"/>
    </w:r>
    <w:r>
      <w:instrText xml:space="preserve"> PAGE   \* MERGEFORMAT </w:instrText>
    </w:r>
    <w:r>
      <w:fldChar w:fldCharType="separate"/>
    </w:r>
    <w:r w:rsidR="00971384">
      <w:rPr>
        <w:noProof/>
      </w:rPr>
      <w:t>3</w:t>
    </w:r>
    <w:r>
      <w:fldChar w:fldCharType="end"/>
    </w:r>
  </w:p>
  <w:p w14:paraId="3DEEC669" w14:textId="77777777" w:rsidR="00461594" w:rsidRDefault="0046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B941" w14:textId="77777777" w:rsidR="00E92BDD" w:rsidRDefault="00E92BDD" w:rsidP="007E5D23">
      <w:r>
        <w:separator/>
      </w:r>
    </w:p>
  </w:footnote>
  <w:footnote w:type="continuationSeparator" w:id="0">
    <w:p w14:paraId="0E26F9E3" w14:textId="77777777" w:rsidR="00E92BDD" w:rsidRDefault="00E92BDD" w:rsidP="007E5D23">
      <w:r>
        <w:continuationSeparator/>
      </w:r>
    </w:p>
  </w:footnote>
  <w:footnote w:type="continuationNotice" w:id="1">
    <w:p w14:paraId="14DE956D" w14:textId="77777777" w:rsidR="00E92BDD" w:rsidRDefault="00E92B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12B"/>
    <w:multiLevelType w:val="hybridMultilevel"/>
    <w:tmpl w:val="103A02B2"/>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93FFE"/>
    <w:multiLevelType w:val="hybridMultilevel"/>
    <w:tmpl w:val="95A41C34"/>
    <w:lvl w:ilvl="0" w:tplc="E6BEB1B0">
      <w:start w:val="1"/>
      <w:numFmt w:val="decimal"/>
      <w:lvlText w:val="%1."/>
      <w:lvlJc w:val="left"/>
      <w:pPr>
        <w:ind w:left="1152" w:hanging="360"/>
      </w:pPr>
      <w:rPr>
        <w:rFonts w:hint="default"/>
        <w:b/>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6660725"/>
    <w:multiLevelType w:val="hybridMultilevel"/>
    <w:tmpl w:val="351E5180"/>
    <w:lvl w:ilvl="0" w:tplc="368C1A84">
      <w:start w:val="1"/>
      <w:numFmt w:val="decimal"/>
      <w:lvlText w:val="(%1)"/>
      <w:lvlJc w:val="left"/>
      <w:pPr>
        <w:ind w:left="0" w:firstLine="720"/>
      </w:pPr>
      <w:rPr>
        <w:rFonts w:hint="default"/>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06BC7"/>
    <w:multiLevelType w:val="hybridMultilevel"/>
    <w:tmpl w:val="5E1A6B56"/>
    <w:lvl w:ilvl="0" w:tplc="5B5091C0">
      <w:start w:val="1"/>
      <w:numFmt w:val="lowerLetter"/>
      <w:lvlText w:val="(%1)"/>
      <w:lvlJc w:val="left"/>
      <w:pPr>
        <w:ind w:left="1152" w:hanging="360"/>
      </w:pPr>
      <w:rPr>
        <w:rFonts w:hint="default"/>
        <w:b/>
        <w:i/>
        <w:i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88A18FC"/>
    <w:multiLevelType w:val="hybridMultilevel"/>
    <w:tmpl w:val="2184310C"/>
    <w:lvl w:ilvl="0" w:tplc="4F804A84">
      <w:start w:val="2"/>
      <w:numFmt w:val="bullet"/>
      <w:lvlText w:val="-"/>
      <w:lvlJc w:val="left"/>
      <w:pPr>
        <w:ind w:left="1080" w:hanging="360"/>
      </w:pPr>
      <w:rPr>
        <w:rFonts w:ascii="Book Antiqua" w:eastAsiaTheme="minorHAnsi" w:hAnsi="Book Antiqua" w:cs="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1E7813"/>
    <w:multiLevelType w:val="hybridMultilevel"/>
    <w:tmpl w:val="7794D240"/>
    <w:lvl w:ilvl="0" w:tplc="6A66213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137BA0"/>
    <w:multiLevelType w:val="hybridMultilevel"/>
    <w:tmpl w:val="7B3C148C"/>
    <w:lvl w:ilvl="0" w:tplc="1F3A713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0D2590"/>
    <w:multiLevelType w:val="hybridMultilevel"/>
    <w:tmpl w:val="5740C854"/>
    <w:lvl w:ilvl="0" w:tplc="51AE06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5E1A8D"/>
    <w:multiLevelType w:val="hybridMultilevel"/>
    <w:tmpl w:val="6F3CB664"/>
    <w:lvl w:ilvl="0" w:tplc="102256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E22CE0"/>
    <w:multiLevelType w:val="hybridMultilevel"/>
    <w:tmpl w:val="671861E0"/>
    <w:lvl w:ilvl="0" w:tplc="D16C9C2A">
      <w:start w:val="1"/>
      <w:numFmt w:val="decimal"/>
      <w:lvlText w:val="(%1)"/>
      <w:lvlJc w:val="left"/>
      <w:pPr>
        <w:ind w:left="720" w:firstLine="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A370CE"/>
    <w:multiLevelType w:val="hybridMultilevel"/>
    <w:tmpl w:val="7722D11C"/>
    <w:lvl w:ilvl="0" w:tplc="D60ACAF6">
      <w:start w:val="1"/>
      <w:numFmt w:val="lowerLetter"/>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033463"/>
    <w:multiLevelType w:val="hybridMultilevel"/>
    <w:tmpl w:val="D272DE8A"/>
    <w:lvl w:ilvl="0" w:tplc="742A0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C301AB"/>
    <w:multiLevelType w:val="hybridMultilevel"/>
    <w:tmpl w:val="26E6ACD4"/>
    <w:lvl w:ilvl="0" w:tplc="4D204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FA375F"/>
    <w:multiLevelType w:val="hybridMultilevel"/>
    <w:tmpl w:val="E62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56B64"/>
    <w:multiLevelType w:val="hybridMultilevel"/>
    <w:tmpl w:val="DF647AFA"/>
    <w:lvl w:ilvl="0" w:tplc="9F0C0BE0">
      <w:start w:val="1"/>
      <w:numFmt w:val="lowerLetter"/>
      <w:lvlText w:val="(%1)"/>
      <w:lvlJc w:val="left"/>
      <w:pPr>
        <w:ind w:left="1440" w:hanging="360"/>
      </w:pPr>
      <w:rPr>
        <w:rFonts w:ascii="Book Antiqua" w:hAnsi="Book Antiqua"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4B4A6F"/>
    <w:multiLevelType w:val="hybridMultilevel"/>
    <w:tmpl w:val="946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451676"/>
    <w:multiLevelType w:val="hybridMultilevel"/>
    <w:tmpl w:val="A7CCB2B6"/>
    <w:lvl w:ilvl="0" w:tplc="D16C9C2A">
      <w:start w:val="1"/>
      <w:numFmt w:val="decimal"/>
      <w:lvlText w:val="(%1)"/>
      <w:lvlJc w:val="left"/>
      <w:pPr>
        <w:ind w:left="0" w:firstLine="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4A3216"/>
    <w:multiLevelType w:val="hybridMultilevel"/>
    <w:tmpl w:val="E5CC40FC"/>
    <w:lvl w:ilvl="0" w:tplc="FF4462EC">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12CB2"/>
    <w:multiLevelType w:val="hybridMultilevel"/>
    <w:tmpl w:val="DA6610D6"/>
    <w:lvl w:ilvl="0" w:tplc="972A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C00EE7"/>
    <w:multiLevelType w:val="hybridMultilevel"/>
    <w:tmpl w:val="CAAE21B8"/>
    <w:lvl w:ilvl="0" w:tplc="80EEC2AE">
      <w:start w:val="1"/>
      <w:numFmt w:val="upperRoman"/>
      <w:lvlText w:val="%1."/>
      <w:lvlJc w:val="left"/>
      <w:pPr>
        <w:ind w:left="1440" w:hanging="360"/>
      </w:pPr>
      <w:rPr>
        <w:rFonts w:hint="default"/>
        <w:b/>
      </w:rPr>
    </w:lvl>
    <w:lvl w:ilvl="1" w:tplc="B8065F72">
      <w:start w:val="1"/>
      <w:numFmt w:val="lowerLetter"/>
      <w:lvlText w:val="(%2)"/>
      <w:lvlJc w:val="left"/>
      <w:pPr>
        <w:ind w:left="3060" w:hanging="1260"/>
      </w:pPr>
      <w:rPr>
        <w:rFonts w:hint="default"/>
        <w:b/>
        <w:i/>
      </w:rPr>
    </w:lvl>
    <w:lvl w:ilvl="2" w:tplc="131A114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D46A79"/>
    <w:multiLevelType w:val="hybridMultilevel"/>
    <w:tmpl w:val="05EC68EA"/>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A2FFE"/>
    <w:multiLevelType w:val="hybridMultilevel"/>
    <w:tmpl w:val="CD98CEA0"/>
    <w:lvl w:ilvl="0" w:tplc="4672E33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B733FB"/>
    <w:multiLevelType w:val="hybridMultilevel"/>
    <w:tmpl w:val="C03E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785C98"/>
    <w:multiLevelType w:val="hybridMultilevel"/>
    <w:tmpl w:val="0330AA18"/>
    <w:lvl w:ilvl="0" w:tplc="E96ED38E">
      <w:start w:val="1"/>
      <w:numFmt w:val="decimal"/>
      <w:lvlText w:val="%1."/>
      <w:lvlJc w:val="left"/>
      <w:pPr>
        <w:ind w:left="120" w:hanging="228"/>
      </w:pPr>
      <w:rPr>
        <w:rFonts w:ascii="Book Antiqua" w:eastAsia="Book Antiqua" w:hAnsi="Book Antiqua" w:cs="Book Antiqua" w:hint="default"/>
        <w:b/>
        <w:bCs/>
        <w:i w:val="0"/>
        <w:iCs w:val="0"/>
        <w:w w:val="100"/>
        <w:sz w:val="26"/>
        <w:szCs w:val="26"/>
        <w:lang w:val="en-US" w:eastAsia="en-US" w:bidi="ar-SA"/>
      </w:rPr>
    </w:lvl>
    <w:lvl w:ilvl="1" w:tplc="DBEC8C46">
      <w:start w:val="1"/>
      <w:numFmt w:val="lowerLetter"/>
      <w:lvlText w:val="(%2)"/>
      <w:lvlJc w:val="left"/>
      <w:pPr>
        <w:ind w:left="720" w:hanging="720"/>
      </w:pPr>
      <w:rPr>
        <w:rFonts w:ascii="Book Antiqua" w:eastAsia="Book Antiqua" w:hAnsi="Book Antiqua" w:cs="Book Antiqua" w:hint="default"/>
        <w:b/>
        <w:bCs/>
        <w:i/>
        <w:iCs/>
        <w:spacing w:val="-1"/>
        <w:w w:val="100"/>
        <w:sz w:val="26"/>
        <w:szCs w:val="26"/>
        <w:lang w:val="en-US" w:eastAsia="en-US" w:bidi="ar-SA"/>
      </w:rPr>
    </w:lvl>
    <w:lvl w:ilvl="2" w:tplc="9F0E55D0">
      <w:numFmt w:val="bullet"/>
      <w:lvlText w:val="•"/>
      <w:lvlJc w:val="left"/>
      <w:pPr>
        <w:ind w:left="2016" w:hanging="720"/>
      </w:pPr>
      <w:rPr>
        <w:rFonts w:hint="default"/>
        <w:lang w:val="en-US" w:eastAsia="en-US" w:bidi="ar-SA"/>
      </w:rPr>
    </w:lvl>
    <w:lvl w:ilvl="3" w:tplc="85A6A220">
      <w:numFmt w:val="bullet"/>
      <w:lvlText w:val="•"/>
      <w:lvlJc w:val="left"/>
      <w:pPr>
        <w:ind w:left="2964" w:hanging="720"/>
      </w:pPr>
      <w:rPr>
        <w:rFonts w:hint="default"/>
        <w:lang w:val="en-US" w:eastAsia="en-US" w:bidi="ar-SA"/>
      </w:rPr>
    </w:lvl>
    <w:lvl w:ilvl="4" w:tplc="571660C0">
      <w:numFmt w:val="bullet"/>
      <w:lvlText w:val="•"/>
      <w:lvlJc w:val="left"/>
      <w:pPr>
        <w:ind w:left="3912" w:hanging="720"/>
      </w:pPr>
      <w:rPr>
        <w:rFonts w:hint="default"/>
        <w:lang w:val="en-US" w:eastAsia="en-US" w:bidi="ar-SA"/>
      </w:rPr>
    </w:lvl>
    <w:lvl w:ilvl="5" w:tplc="4552B6EC">
      <w:numFmt w:val="bullet"/>
      <w:lvlText w:val="•"/>
      <w:lvlJc w:val="left"/>
      <w:pPr>
        <w:ind w:left="4860" w:hanging="720"/>
      </w:pPr>
      <w:rPr>
        <w:rFonts w:hint="default"/>
        <w:lang w:val="en-US" w:eastAsia="en-US" w:bidi="ar-SA"/>
      </w:rPr>
    </w:lvl>
    <w:lvl w:ilvl="6" w:tplc="17240E40">
      <w:numFmt w:val="bullet"/>
      <w:lvlText w:val="•"/>
      <w:lvlJc w:val="left"/>
      <w:pPr>
        <w:ind w:left="5808" w:hanging="720"/>
      </w:pPr>
      <w:rPr>
        <w:rFonts w:hint="default"/>
        <w:lang w:val="en-US" w:eastAsia="en-US" w:bidi="ar-SA"/>
      </w:rPr>
    </w:lvl>
    <w:lvl w:ilvl="7" w:tplc="FD703CE6">
      <w:numFmt w:val="bullet"/>
      <w:lvlText w:val="•"/>
      <w:lvlJc w:val="left"/>
      <w:pPr>
        <w:ind w:left="6756" w:hanging="720"/>
      </w:pPr>
      <w:rPr>
        <w:rFonts w:hint="default"/>
        <w:lang w:val="en-US" w:eastAsia="en-US" w:bidi="ar-SA"/>
      </w:rPr>
    </w:lvl>
    <w:lvl w:ilvl="8" w:tplc="A7AC046E">
      <w:numFmt w:val="bullet"/>
      <w:lvlText w:val="•"/>
      <w:lvlJc w:val="left"/>
      <w:pPr>
        <w:ind w:left="7704" w:hanging="720"/>
      </w:pPr>
      <w:rPr>
        <w:rFonts w:hint="default"/>
        <w:lang w:val="en-US" w:eastAsia="en-US" w:bidi="ar-SA"/>
      </w:rPr>
    </w:lvl>
  </w:abstractNum>
  <w:abstractNum w:abstractNumId="27" w15:restartNumberingAfterBreak="0">
    <w:nsid w:val="7A322821"/>
    <w:multiLevelType w:val="hybridMultilevel"/>
    <w:tmpl w:val="9842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769925">
    <w:abstractNumId w:val="25"/>
  </w:num>
  <w:num w:numId="2" w16cid:durableId="1059403087">
    <w:abstractNumId w:val="7"/>
  </w:num>
  <w:num w:numId="3" w16cid:durableId="1604455029">
    <w:abstractNumId w:val="13"/>
  </w:num>
  <w:num w:numId="4" w16cid:durableId="1319458192">
    <w:abstractNumId w:val="24"/>
  </w:num>
  <w:num w:numId="5" w16cid:durableId="954335689">
    <w:abstractNumId w:val="22"/>
  </w:num>
  <w:num w:numId="6" w16cid:durableId="499930264">
    <w:abstractNumId w:val="9"/>
  </w:num>
  <w:num w:numId="7" w16cid:durableId="423964552">
    <w:abstractNumId w:val="3"/>
  </w:num>
  <w:num w:numId="8" w16cid:durableId="790052554">
    <w:abstractNumId w:val="0"/>
  </w:num>
  <w:num w:numId="9" w16cid:durableId="2047216246">
    <w:abstractNumId w:val="23"/>
  </w:num>
  <w:num w:numId="10" w16cid:durableId="2059236207">
    <w:abstractNumId w:val="19"/>
  </w:num>
  <w:num w:numId="11" w16cid:durableId="1109162324">
    <w:abstractNumId w:val="11"/>
  </w:num>
  <w:num w:numId="12" w16cid:durableId="1437825843">
    <w:abstractNumId w:val="20"/>
  </w:num>
  <w:num w:numId="13" w16cid:durableId="604728240">
    <w:abstractNumId w:val="17"/>
  </w:num>
  <w:num w:numId="14" w16cid:durableId="19867836">
    <w:abstractNumId w:val="10"/>
  </w:num>
  <w:num w:numId="15" w16cid:durableId="1916358518">
    <w:abstractNumId w:val="18"/>
  </w:num>
  <w:num w:numId="16" w16cid:durableId="740174315">
    <w:abstractNumId w:val="16"/>
  </w:num>
  <w:num w:numId="17" w16cid:durableId="1420828892">
    <w:abstractNumId w:val="15"/>
  </w:num>
  <w:num w:numId="18" w16cid:durableId="1454909019">
    <w:abstractNumId w:val="21"/>
  </w:num>
  <w:num w:numId="19" w16cid:durableId="328870037">
    <w:abstractNumId w:val="14"/>
  </w:num>
  <w:num w:numId="20" w16cid:durableId="1544172329">
    <w:abstractNumId w:val="6"/>
  </w:num>
  <w:num w:numId="21" w16cid:durableId="376009729">
    <w:abstractNumId w:val="12"/>
  </w:num>
  <w:num w:numId="22" w16cid:durableId="821238859">
    <w:abstractNumId w:val="1"/>
  </w:num>
  <w:num w:numId="23" w16cid:durableId="360060078">
    <w:abstractNumId w:val="8"/>
  </w:num>
  <w:num w:numId="24" w16cid:durableId="2139714236">
    <w:abstractNumId w:val="2"/>
  </w:num>
  <w:num w:numId="25" w16cid:durableId="1462311322">
    <w:abstractNumId w:val="4"/>
  </w:num>
  <w:num w:numId="26" w16cid:durableId="180093477">
    <w:abstractNumId w:val="27"/>
  </w:num>
  <w:num w:numId="27" w16cid:durableId="2008357727">
    <w:abstractNumId w:val="26"/>
  </w:num>
  <w:num w:numId="28" w16cid:durableId="1483696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B"/>
    <w:rsid w:val="00001138"/>
    <w:rsid w:val="0000223E"/>
    <w:rsid w:val="0000427D"/>
    <w:rsid w:val="00005F83"/>
    <w:rsid w:val="00007D76"/>
    <w:rsid w:val="00011C42"/>
    <w:rsid w:val="00012274"/>
    <w:rsid w:val="00012606"/>
    <w:rsid w:val="00012928"/>
    <w:rsid w:val="00012FC4"/>
    <w:rsid w:val="000149B7"/>
    <w:rsid w:val="00015284"/>
    <w:rsid w:val="0001796D"/>
    <w:rsid w:val="00017FD5"/>
    <w:rsid w:val="000203D4"/>
    <w:rsid w:val="00020F89"/>
    <w:rsid w:val="0002184D"/>
    <w:rsid w:val="00022C1E"/>
    <w:rsid w:val="0002315C"/>
    <w:rsid w:val="000248DD"/>
    <w:rsid w:val="000250BC"/>
    <w:rsid w:val="00025313"/>
    <w:rsid w:val="00025431"/>
    <w:rsid w:val="00025469"/>
    <w:rsid w:val="00026BE0"/>
    <w:rsid w:val="00026D56"/>
    <w:rsid w:val="00027B9A"/>
    <w:rsid w:val="00030357"/>
    <w:rsid w:val="00030E08"/>
    <w:rsid w:val="00030FBF"/>
    <w:rsid w:val="00032C0A"/>
    <w:rsid w:val="00032DB5"/>
    <w:rsid w:val="0003327B"/>
    <w:rsid w:val="000336B7"/>
    <w:rsid w:val="00033E1D"/>
    <w:rsid w:val="00034668"/>
    <w:rsid w:val="000349C8"/>
    <w:rsid w:val="00035C1B"/>
    <w:rsid w:val="00036774"/>
    <w:rsid w:val="000373A1"/>
    <w:rsid w:val="0003776A"/>
    <w:rsid w:val="00037C88"/>
    <w:rsid w:val="000412A8"/>
    <w:rsid w:val="000427CC"/>
    <w:rsid w:val="00042968"/>
    <w:rsid w:val="00042A51"/>
    <w:rsid w:val="00042B11"/>
    <w:rsid w:val="00043C0D"/>
    <w:rsid w:val="00044CD9"/>
    <w:rsid w:val="00045609"/>
    <w:rsid w:val="000466DE"/>
    <w:rsid w:val="00050F27"/>
    <w:rsid w:val="000511BF"/>
    <w:rsid w:val="00051561"/>
    <w:rsid w:val="000516AC"/>
    <w:rsid w:val="00052510"/>
    <w:rsid w:val="0005297E"/>
    <w:rsid w:val="0005305C"/>
    <w:rsid w:val="00053112"/>
    <w:rsid w:val="00053586"/>
    <w:rsid w:val="00055817"/>
    <w:rsid w:val="00060306"/>
    <w:rsid w:val="000605E4"/>
    <w:rsid w:val="000630BB"/>
    <w:rsid w:val="00063C16"/>
    <w:rsid w:val="000646E7"/>
    <w:rsid w:val="00064FA3"/>
    <w:rsid w:val="00065C8A"/>
    <w:rsid w:val="00066137"/>
    <w:rsid w:val="00067DC5"/>
    <w:rsid w:val="00070566"/>
    <w:rsid w:val="0007060E"/>
    <w:rsid w:val="000717F2"/>
    <w:rsid w:val="000720A1"/>
    <w:rsid w:val="00072CF2"/>
    <w:rsid w:val="00074E62"/>
    <w:rsid w:val="0007636E"/>
    <w:rsid w:val="00076EA1"/>
    <w:rsid w:val="000775EA"/>
    <w:rsid w:val="00077A16"/>
    <w:rsid w:val="000809B7"/>
    <w:rsid w:val="00081348"/>
    <w:rsid w:val="0008136A"/>
    <w:rsid w:val="00081710"/>
    <w:rsid w:val="00082966"/>
    <w:rsid w:val="00084AA8"/>
    <w:rsid w:val="00085640"/>
    <w:rsid w:val="000864A9"/>
    <w:rsid w:val="00086EE3"/>
    <w:rsid w:val="000874C3"/>
    <w:rsid w:val="000875A8"/>
    <w:rsid w:val="000876ED"/>
    <w:rsid w:val="00091F59"/>
    <w:rsid w:val="00092AC1"/>
    <w:rsid w:val="000932E2"/>
    <w:rsid w:val="0009397F"/>
    <w:rsid w:val="00094BA2"/>
    <w:rsid w:val="00094D27"/>
    <w:rsid w:val="00095776"/>
    <w:rsid w:val="00097707"/>
    <w:rsid w:val="00097831"/>
    <w:rsid w:val="00097888"/>
    <w:rsid w:val="000A0A34"/>
    <w:rsid w:val="000A0D32"/>
    <w:rsid w:val="000A14E8"/>
    <w:rsid w:val="000A18AC"/>
    <w:rsid w:val="000A1D9F"/>
    <w:rsid w:val="000A2644"/>
    <w:rsid w:val="000A3936"/>
    <w:rsid w:val="000A4513"/>
    <w:rsid w:val="000A4DCA"/>
    <w:rsid w:val="000A5EE7"/>
    <w:rsid w:val="000A6C48"/>
    <w:rsid w:val="000A7280"/>
    <w:rsid w:val="000A73A2"/>
    <w:rsid w:val="000A7475"/>
    <w:rsid w:val="000A7A55"/>
    <w:rsid w:val="000A7CC2"/>
    <w:rsid w:val="000B2183"/>
    <w:rsid w:val="000B2392"/>
    <w:rsid w:val="000B2464"/>
    <w:rsid w:val="000B2506"/>
    <w:rsid w:val="000B30D4"/>
    <w:rsid w:val="000B35A8"/>
    <w:rsid w:val="000B4B59"/>
    <w:rsid w:val="000B566A"/>
    <w:rsid w:val="000B6387"/>
    <w:rsid w:val="000B7AB7"/>
    <w:rsid w:val="000B7BDB"/>
    <w:rsid w:val="000B7DE7"/>
    <w:rsid w:val="000C04F7"/>
    <w:rsid w:val="000C17F7"/>
    <w:rsid w:val="000C2490"/>
    <w:rsid w:val="000C2A6C"/>
    <w:rsid w:val="000C32E4"/>
    <w:rsid w:val="000C3689"/>
    <w:rsid w:val="000C36CA"/>
    <w:rsid w:val="000C398C"/>
    <w:rsid w:val="000C3EAA"/>
    <w:rsid w:val="000C4686"/>
    <w:rsid w:val="000C488F"/>
    <w:rsid w:val="000C4BEC"/>
    <w:rsid w:val="000C763B"/>
    <w:rsid w:val="000C7774"/>
    <w:rsid w:val="000D239E"/>
    <w:rsid w:val="000D3114"/>
    <w:rsid w:val="000D41E2"/>
    <w:rsid w:val="000D4204"/>
    <w:rsid w:val="000D47CD"/>
    <w:rsid w:val="000D4981"/>
    <w:rsid w:val="000D4D7A"/>
    <w:rsid w:val="000E01B6"/>
    <w:rsid w:val="000E02BE"/>
    <w:rsid w:val="000E0632"/>
    <w:rsid w:val="000E0F0B"/>
    <w:rsid w:val="000E1829"/>
    <w:rsid w:val="000E20C5"/>
    <w:rsid w:val="000E24E9"/>
    <w:rsid w:val="000E378D"/>
    <w:rsid w:val="000E39B2"/>
    <w:rsid w:val="000E43E2"/>
    <w:rsid w:val="000E4CAE"/>
    <w:rsid w:val="000E54DE"/>
    <w:rsid w:val="000E5AE3"/>
    <w:rsid w:val="000E648B"/>
    <w:rsid w:val="000E696A"/>
    <w:rsid w:val="000E7431"/>
    <w:rsid w:val="000E7A26"/>
    <w:rsid w:val="000F0871"/>
    <w:rsid w:val="000F1074"/>
    <w:rsid w:val="000F2CDA"/>
    <w:rsid w:val="000F3158"/>
    <w:rsid w:val="000F47FC"/>
    <w:rsid w:val="000F5678"/>
    <w:rsid w:val="000F63AE"/>
    <w:rsid w:val="000F71C5"/>
    <w:rsid w:val="000F78D5"/>
    <w:rsid w:val="001008DB"/>
    <w:rsid w:val="00101AB1"/>
    <w:rsid w:val="001022DD"/>
    <w:rsid w:val="00102BF5"/>
    <w:rsid w:val="0010413C"/>
    <w:rsid w:val="00105B68"/>
    <w:rsid w:val="00105F17"/>
    <w:rsid w:val="00107BF9"/>
    <w:rsid w:val="00110059"/>
    <w:rsid w:val="00110301"/>
    <w:rsid w:val="00110EC2"/>
    <w:rsid w:val="001113B4"/>
    <w:rsid w:val="0011146C"/>
    <w:rsid w:val="00111B4C"/>
    <w:rsid w:val="00111D0E"/>
    <w:rsid w:val="00111E42"/>
    <w:rsid w:val="00112529"/>
    <w:rsid w:val="00112A52"/>
    <w:rsid w:val="00113946"/>
    <w:rsid w:val="00113B68"/>
    <w:rsid w:val="00114EF9"/>
    <w:rsid w:val="0011604E"/>
    <w:rsid w:val="00116576"/>
    <w:rsid w:val="00116600"/>
    <w:rsid w:val="0011738A"/>
    <w:rsid w:val="00117623"/>
    <w:rsid w:val="0011785E"/>
    <w:rsid w:val="00117CFE"/>
    <w:rsid w:val="001206E0"/>
    <w:rsid w:val="00120C59"/>
    <w:rsid w:val="0012164B"/>
    <w:rsid w:val="00121E6F"/>
    <w:rsid w:val="0012200B"/>
    <w:rsid w:val="00122230"/>
    <w:rsid w:val="001222AA"/>
    <w:rsid w:val="00122380"/>
    <w:rsid w:val="00122CC2"/>
    <w:rsid w:val="0012336A"/>
    <w:rsid w:val="00123889"/>
    <w:rsid w:val="00124354"/>
    <w:rsid w:val="001253C0"/>
    <w:rsid w:val="00125EF2"/>
    <w:rsid w:val="001276C5"/>
    <w:rsid w:val="001278B3"/>
    <w:rsid w:val="00127F5E"/>
    <w:rsid w:val="0013147B"/>
    <w:rsid w:val="00131AFE"/>
    <w:rsid w:val="00132211"/>
    <w:rsid w:val="0013255F"/>
    <w:rsid w:val="00132892"/>
    <w:rsid w:val="00132CF7"/>
    <w:rsid w:val="00133B59"/>
    <w:rsid w:val="00134F7D"/>
    <w:rsid w:val="001350C9"/>
    <w:rsid w:val="001356C9"/>
    <w:rsid w:val="00135A4F"/>
    <w:rsid w:val="00135FB9"/>
    <w:rsid w:val="001364F1"/>
    <w:rsid w:val="00136ACD"/>
    <w:rsid w:val="00137A1C"/>
    <w:rsid w:val="0014009A"/>
    <w:rsid w:val="001409D8"/>
    <w:rsid w:val="00140B04"/>
    <w:rsid w:val="001414BE"/>
    <w:rsid w:val="00142999"/>
    <w:rsid w:val="00142C9B"/>
    <w:rsid w:val="00143C18"/>
    <w:rsid w:val="00143CB8"/>
    <w:rsid w:val="001448E8"/>
    <w:rsid w:val="00145EF5"/>
    <w:rsid w:val="00145F5B"/>
    <w:rsid w:val="001460AB"/>
    <w:rsid w:val="00146F70"/>
    <w:rsid w:val="001473D0"/>
    <w:rsid w:val="001501B9"/>
    <w:rsid w:val="00150E43"/>
    <w:rsid w:val="00151A9D"/>
    <w:rsid w:val="00151EF2"/>
    <w:rsid w:val="00151EF7"/>
    <w:rsid w:val="00152F41"/>
    <w:rsid w:val="001540BE"/>
    <w:rsid w:val="0015578D"/>
    <w:rsid w:val="00156628"/>
    <w:rsid w:val="00156FD9"/>
    <w:rsid w:val="001576CC"/>
    <w:rsid w:val="0015771C"/>
    <w:rsid w:val="00157BD4"/>
    <w:rsid w:val="00157EE3"/>
    <w:rsid w:val="00157F8C"/>
    <w:rsid w:val="0016005B"/>
    <w:rsid w:val="00160F50"/>
    <w:rsid w:val="00162765"/>
    <w:rsid w:val="001649AA"/>
    <w:rsid w:val="0016513D"/>
    <w:rsid w:val="00166DDB"/>
    <w:rsid w:val="001673A8"/>
    <w:rsid w:val="00167AE2"/>
    <w:rsid w:val="00167C4F"/>
    <w:rsid w:val="00170D29"/>
    <w:rsid w:val="001727F3"/>
    <w:rsid w:val="00172AF0"/>
    <w:rsid w:val="0017315C"/>
    <w:rsid w:val="00173625"/>
    <w:rsid w:val="00173810"/>
    <w:rsid w:val="0017437F"/>
    <w:rsid w:val="00175799"/>
    <w:rsid w:val="001760F0"/>
    <w:rsid w:val="0017634F"/>
    <w:rsid w:val="00176454"/>
    <w:rsid w:val="001766AB"/>
    <w:rsid w:val="0017744C"/>
    <w:rsid w:val="00177849"/>
    <w:rsid w:val="00180E0C"/>
    <w:rsid w:val="00181040"/>
    <w:rsid w:val="00181555"/>
    <w:rsid w:val="00181E35"/>
    <w:rsid w:val="0018247E"/>
    <w:rsid w:val="00182B31"/>
    <w:rsid w:val="0018315B"/>
    <w:rsid w:val="001836EB"/>
    <w:rsid w:val="00183D67"/>
    <w:rsid w:val="00184514"/>
    <w:rsid w:val="00185875"/>
    <w:rsid w:val="00185B6D"/>
    <w:rsid w:val="001860EC"/>
    <w:rsid w:val="0018620A"/>
    <w:rsid w:val="001866AD"/>
    <w:rsid w:val="00186DAC"/>
    <w:rsid w:val="00187005"/>
    <w:rsid w:val="00190426"/>
    <w:rsid w:val="00190656"/>
    <w:rsid w:val="00190D86"/>
    <w:rsid w:val="00191762"/>
    <w:rsid w:val="001917C3"/>
    <w:rsid w:val="001932C0"/>
    <w:rsid w:val="00193B35"/>
    <w:rsid w:val="00193D71"/>
    <w:rsid w:val="001948AA"/>
    <w:rsid w:val="00195EC7"/>
    <w:rsid w:val="00196B4F"/>
    <w:rsid w:val="00197920"/>
    <w:rsid w:val="001979D5"/>
    <w:rsid w:val="00197D3E"/>
    <w:rsid w:val="001A023B"/>
    <w:rsid w:val="001A088B"/>
    <w:rsid w:val="001A0BB5"/>
    <w:rsid w:val="001A0BBE"/>
    <w:rsid w:val="001A0F70"/>
    <w:rsid w:val="001A1679"/>
    <w:rsid w:val="001A1C6E"/>
    <w:rsid w:val="001A1F8B"/>
    <w:rsid w:val="001A2025"/>
    <w:rsid w:val="001A22C7"/>
    <w:rsid w:val="001A25E8"/>
    <w:rsid w:val="001A2CB9"/>
    <w:rsid w:val="001A35FE"/>
    <w:rsid w:val="001A3997"/>
    <w:rsid w:val="001A3BFD"/>
    <w:rsid w:val="001A3FB2"/>
    <w:rsid w:val="001A4E95"/>
    <w:rsid w:val="001A570E"/>
    <w:rsid w:val="001A58A3"/>
    <w:rsid w:val="001A639A"/>
    <w:rsid w:val="001A7B63"/>
    <w:rsid w:val="001A7E7E"/>
    <w:rsid w:val="001B2287"/>
    <w:rsid w:val="001B29F3"/>
    <w:rsid w:val="001B2FD1"/>
    <w:rsid w:val="001B328B"/>
    <w:rsid w:val="001B3480"/>
    <w:rsid w:val="001B3669"/>
    <w:rsid w:val="001B38A4"/>
    <w:rsid w:val="001B4258"/>
    <w:rsid w:val="001B499F"/>
    <w:rsid w:val="001B556B"/>
    <w:rsid w:val="001B558D"/>
    <w:rsid w:val="001B5FDF"/>
    <w:rsid w:val="001B65AE"/>
    <w:rsid w:val="001B6B1A"/>
    <w:rsid w:val="001B7261"/>
    <w:rsid w:val="001C0510"/>
    <w:rsid w:val="001C06E2"/>
    <w:rsid w:val="001C22C8"/>
    <w:rsid w:val="001C2562"/>
    <w:rsid w:val="001C5D81"/>
    <w:rsid w:val="001C6175"/>
    <w:rsid w:val="001C63C0"/>
    <w:rsid w:val="001C6521"/>
    <w:rsid w:val="001C6A25"/>
    <w:rsid w:val="001C6D24"/>
    <w:rsid w:val="001C6D86"/>
    <w:rsid w:val="001C7071"/>
    <w:rsid w:val="001D06F9"/>
    <w:rsid w:val="001D0B05"/>
    <w:rsid w:val="001D295A"/>
    <w:rsid w:val="001D2CD2"/>
    <w:rsid w:val="001D4B5E"/>
    <w:rsid w:val="001D4C62"/>
    <w:rsid w:val="001D7314"/>
    <w:rsid w:val="001D771B"/>
    <w:rsid w:val="001D7E31"/>
    <w:rsid w:val="001E0A7C"/>
    <w:rsid w:val="001E15F3"/>
    <w:rsid w:val="001E16D8"/>
    <w:rsid w:val="001E188F"/>
    <w:rsid w:val="001E193C"/>
    <w:rsid w:val="001E1946"/>
    <w:rsid w:val="001E1D39"/>
    <w:rsid w:val="001E2E46"/>
    <w:rsid w:val="001E2FA5"/>
    <w:rsid w:val="001E300E"/>
    <w:rsid w:val="001E312B"/>
    <w:rsid w:val="001E357D"/>
    <w:rsid w:val="001E4419"/>
    <w:rsid w:val="001E4A9A"/>
    <w:rsid w:val="001E4C5F"/>
    <w:rsid w:val="001E4F90"/>
    <w:rsid w:val="001E5FAF"/>
    <w:rsid w:val="001E6D5E"/>
    <w:rsid w:val="001E6E57"/>
    <w:rsid w:val="001E749E"/>
    <w:rsid w:val="001E7816"/>
    <w:rsid w:val="001E7F70"/>
    <w:rsid w:val="001F039F"/>
    <w:rsid w:val="001F0419"/>
    <w:rsid w:val="001F2205"/>
    <w:rsid w:val="001F226F"/>
    <w:rsid w:val="001F24BC"/>
    <w:rsid w:val="001F3834"/>
    <w:rsid w:val="001F487E"/>
    <w:rsid w:val="001F516A"/>
    <w:rsid w:val="001F51DC"/>
    <w:rsid w:val="001F598A"/>
    <w:rsid w:val="001F5B71"/>
    <w:rsid w:val="001F5BF8"/>
    <w:rsid w:val="001F5F9F"/>
    <w:rsid w:val="001F6149"/>
    <w:rsid w:val="001F6B07"/>
    <w:rsid w:val="00200F56"/>
    <w:rsid w:val="002018F0"/>
    <w:rsid w:val="00202252"/>
    <w:rsid w:val="0020270D"/>
    <w:rsid w:val="002038BD"/>
    <w:rsid w:val="0020397D"/>
    <w:rsid w:val="0020408D"/>
    <w:rsid w:val="002048BB"/>
    <w:rsid w:val="00204CDE"/>
    <w:rsid w:val="0020649C"/>
    <w:rsid w:val="002067AA"/>
    <w:rsid w:val="00206E9F"/>
    <w:rsid w:val="00207555"/>
    <w:rsid w:val="00210335"/>
    <w:rsid w:val="002111DF"/>
    <w:rsid w:val="002120A7"/>
    <w:rsid w:val="0021458E"/>
    <w:rsid w:val="002151A0"/>
    <w:rsid w:val="002153E6"/>
    <w:rsid w:val="002154BC"/>
    <w:rsid w:val="0021584A"/>
    <w:rsid w:val="00215BB6"/>
    <w:rsid w:val="00221E36"/>
    <w:rsid w:val="002223B0"/>
    <w:rsid w:val="0022344E"/>
    <w:rsid w:val="00223519"/>
    <w:rsid w:val="00223AE7"/>
    <w:rsid w:val="00223E4B"/>
    <w:rsid w:val="002242C6"/>
    <w:rsid w:val="002247C0"/>
    <w:rsid w:val="00224A45"/>
    <w:rsid w:val="00224B3E"/>
    <w:rsid w:val="00225017"/>
    <w:rsid w:val="002257E0"/>
    <w:rsid w:val="00226C7D"/>
    <w:rsid w:val="00227E87"/>
    <w:rsid w:val="002308BB"/>
    <w:rsid w:val="0023125A"/>
    <w:rsid w:val="002315DD"/>
    <w:rsid w:val="0023350E"/>
    <w:rsid w:val="0023365E"/>
    <w:rsid w:val="00233F9F"/>
    <w:rsid w:val="002346EE"/>
    <w:rsid w:val="002352B9"/>
    <w:rsid w:val="00235368"/>
    <w:rsid w:val="00235C27"/>
    <w:rsid w:val="00236B50"/>
    <w:rsid w:val="002372D4"/>
    <w:rsid w:val="00237983"/>
    <w:rsid w:val="00237CEB"/>
    <w:rsid w:val="002400CF"/>
    <w:rsid w:val="002407DD"/>
    <w:rsid w:val="002411F6"/>
    <w:rsid w:val="00241524"/>
    <w:rsid w:val="002418F7"/>
    <w:rsid w:val="0024268A"/>
    <w:rsid w:val="00242BD9"/>
    <w:rsid w:val="00242F7F"/>
    <w:rsid w:val="00243378"/>
    <w:rsid w:val="00243FAF"/>
    <w:rsid w:val="002444A2"/>
    <w:rsid w:val="00245725"/>
    <w:rsid w:val="00246CCF"/>
    <w:rsid w:val="00247962"/>
    <w:rsid w:val="00247A1F"/>
    <w:rsid w:val="00251A38"/>
    <w:rsid w:val="00251BD8"/>
    <w:rsid w:val="0025238A"/>
    <w:rsid w:val="00252858"/>
    <w:rsid w:val="0025323D"/>
    <w:rsid w:val="00254748"/>
    <w:rsid w:val="00256232"/>
    <w:rsid w:val="00256932"/>
    <w:rsid w:val="00256BDA"/>
    <w:rsid w:val="00256CB8"/>
    <w:rsid w:val="0025745C"/>
    <w:rsid w:val="00257D73"/>
    <w:rsid w:val="0026085C"/>
    <w:rsid w:val="0026191A"/>
    <w:rsid w:val="00261B4C"/>
    <w:rsid w:val="00261ECD"/>
    <w:rsid w:val="00262218"/>
    <w:rsid w:val="00262EC5"/>
    <w:rsid w:val="002642E9"/>
    <w:rsid w:val="00266083"/>
    <w:rsid w:val="002661C6"/>
    <w:rsid w:val="0026672A"/>
    <w:rsid w:val="002670FB"/>
    <w:rsid w:val="002671CD"/>
    <w:rsid w:val="002703B7"/>
    <w:rsid w:val="00270A35"/>
    <w:rsid w:val="002714B3"/>
    <w:rsid w:val="00271A80"/>
    <w:rsid w:val="00271C16"/>
    <w:rsid w:val="00272E0C"/>
    <w:rsid w:val="00273963"/>
    <w:rsid w:val="00274D50"/>
    <w:rsid w:val="00274DA7"/>
    <w:rsid w:val="002755E7"/>
    <w:rsid w:val="002761D8"/>
    <w:rsid w:val="002762FD"/>
    <w:rsid w:val="002767E7"/>
    <w:rsid w:val="00276F1E"/>
    <w:rsid w:val="00277221"/>
    <w:rsid w:val="00277BAB"/>
    <w:rsid w:val="00277FF6"/>
    <w:rsid w:val="002811CC"/>
    <w:rsid w:val="00282136"/>
    <w:rsid w:val="002828E6"/>
    <w:rsid w:val="002833D3"/>
    <w:rsid w:val="0028414A"/>
    <w:rsid w:val="00285359"/>
    <w:rsid w:val="00285424"/>
    <w:rsid w:val="0028582F"/>
    <w:rsid w:val="00285AE4"/>
    <w:rsid w:val="0028654C"/>
    <w:rsid w:val="0028662B"/>
    <w:rsid w:val="00286756"/>
    <w:rsid w:val="00287FD7"/>
    <w:rsid w:val="0029011E"/>
    <w:rsid w:val="002902C9"/>
    <w:rsid w:val="002903DC"/>
    <w:rsid w:val="0029088D"/>
    <w:rsid w:val="002916AC"/>
    <w:rsid w:val="00291883"/>
    <w:rsid w:val="00291D0B"/>
    <w:rsid w:val="00292327"/>
    <w:rsid w:val="00292519"/>
    <w:rsid w:val="0029255F"/>
    <w:rsid w:val="002925D9"/>
    <w:rsid w:val="002937A3"/>
    <w:rsid w:val="00293E95"/>
    <w:rsid w:val="002942A4"/>
    <w:rsid w:val="00294427"/>
    <w:rsid w:val="00294889"/>
    <w:rsid w:val="0029507D"/>
    <w:rsid w:val="0029613F"/>
    <w:rsid w:val="002A095C"/>
    <w:rsid w:val="002A0DC1"/>
    <w:rsid w:val="002A110C"/>
    <w:rsid w:val="002A1CBE"/>
    <w:rsid w:val="002A21B2"/>
    <w:rsid w:val="002A2C0F"/>
    <w:rsid w:val="002A37D4"/>
    <w:rsid w:val="002A3C60"/>
    <w:rsid w:val="002A3D6A"/>
    <w:rsid w:val="002A5855"/>
    <w:rsid w:val="002A67C5"/>
    <w:rsid w:val="002A6854"/>
    <w:rsid w:val="002B1020"/>
    <w:rsid w:val="002B128C"/>
    <w:rsid w:val="002B1B1C"/>
    <w:rsid w:val="002B294D"/>
    <w:rsid w:val="002B297C"/>
    <w:rsid w:val="002B41E1"/>
    <w:rsid w:val="002B4FD9"/>
    <w:rsid w:val="002B628E"/>
    <w:rsid w:val="002B673B"/>
    <w:rsid w:val="002B7CC0"/>
    <w:rsid w:val="002B7E75"/>
    <w:rsid w:val="002C01EF"/>
    <w:rsid w:val="002C1E83"/>
    <w:rsid w:val="002C1E86"/>
    <w:rsid w:val="002C2FC8"/>
    <w:rsid w:val="002C4898"/>
    <w:rsid w:val="002C6DC0"/>
    <w:rsid w:val="002C72F5"/>
    <w:rsid w:val="002C756F"/>
    <w:rsid w:val="002C7935"/>
    <w:rsid w:val="002D0B01"/>
    <w:rsid w:val="002D1AAF"/>
    <w:rsid w:val="002D4419"/>
    <w:rsid w:val="002D48B8"/>
    <w:rsid w:val="002D69BA"/>
    <w:rsid w:val="002D6D02"/>
    <w:rsid w:val="002D762F"/>
    <w:rsid w:val="002E1334"/>
    <w:rsid w:val="002E2F20"/>
    <w:rsid w:val="002E41FB"/>
    <w:rsid w:val="002E4A9C"/>
    <w:rsid w:val="002E4ADF"/>
    <w:rsid w:val="002E4B70"/>
    <w:rsid w:val="002E54C6"/>
    <w:rsid w:val="002E5623"/>
    <w:rsid w:val="002E5733"/>
    <w:rsid w:val="002E5896"/>
    <w:rsid w:val="002E6B3F"/>
    <w:rsid w:val="002E6CC8"/>
    <w:rsid w:val="002E705B"/>
    <w:rsid w:val="002E78FA"/>
    <w:rsid w:val="002E7EF3"/>
    <w:rsid w:val="002E7FE5"/>
    <w:rsid w:val="002F037A"/>
    <w:rsid w:val="002F0767"/>
    <w:rsid w:val="002F0FA8"/>
    <w:rsid w:val="002F166C"/>
    <w:rsid w:val="002F21F3"/>
    <w:rsid w:val="002F236F"/>
    <w:rsid w:val="002F2581"/>
    <w:rsid w:val="002F272C"/>
    <w:rsid w:val="002F28E6"/>
    <w:rsid w:val="002F388E"/>
    <w:rsid w:val="002F3E7D"/>
    <w:rsid w:val="002F6437"/>
    <w:rsid w:val="002F667F"/>
    <w:rsid w:val="002F6777"/>
    <w:rsid w:val="002F6F80"/>
    <w:rsid w:val="002F7716"/>
    <w:rsid w:val="00300972"/>
    <w:rsid w:val="00300B7E"/>
    <w:rsid w:val="00301D22"/>
    <w:rsid w:val="00301D87"/>
    <w:rsid w:val="00303A11"/>
    <w:rsid w:val="00303F4E"/>
    <w:rsid w:val="00304F7A"/>
    <w:rsid w:val="0030569E"/>
    <w:rsid w:val="00305955"/>
    <w:rsid w:val="003060DC"/>
    <w:rsid w:val="00306301"/>
    <w:rsid w:val="00307F98"/>
    <w:rsid w:val="0031095B"/>
    <w:rsid w:val="00310F69"/>
    <w:rsid w:val="00311160"/>
    <w:rsid w:val="0031350D"/>
    <w:rsid w:val="0031435C"/>
    <w:rsid w:val="003144D6"/>
    <w:rsid w:val="00315205"/>
    <w:rsid w:val="003152A0"/>
    <w:rsid w:val="003163CC"/>
    <w:rsid w:val="00316DE9"/>
    <w:rsid w:val="00316FB9"/>
    <w:rsid w:val="00317091"/>
    <w:rsid w:val="003174BB"/>
    <w:rsid w:val="00320F82"/>
    <w:rsid w:val="00321C3E"/>
    <w:rsid w:val="00321CEC"/>
    <w:rsid w:val="0032293F"/>
    <w:rsid w:val="0032348A"/>
    <w:rsid w:val="00323845"/>
    <w:rsid w:val="00324638"/>
    <w:rsid w:val="003265C0"/>
    <w:rsid w:val="003270A0"/>
    <w:rsid w:val="00330BF0"/>
    <w:rsid w:val="003317BE"/>
    <w:rsid w:val="00332237"/>
    <w:rsid w:val="003326B5"/>
    <w:rsid w:val="003330D1"/>
    <w:rsid w:val="00333BD9"/>
    <w:rsid w:val="00334811"/>
    <w:rsid w:val="00334C09"/>
    <w:rsid w:val="00334EC6"/>
    <w:rsid w:val="00336655"/>
    <w:rsid w:val="00336DD3"/>
    <w:rsid w:val="00337075"/>
    <w:rsid w:val="00337E8B"/>
    <w:rsid w:val="00341DD4"/>
    <w:rsid w:val="003429AF"/>
    <w:rsid w:val="00342F0A"/>
    <w:rsid w:val="00343A13"/>
    <w:rsid w:val="0034482D"/>
    <w:rsid w:val="00344BBC"/>
    <w:rsid w:val="003452D3"/>
    <w:rsid w:val="00345526"/>
    <w:rsid w:val="003468CE"/>
    <w:rsid w:val="00350062"/>
    <w:rsid w:val="00350CF9"/>
    <w:rsid w:val="0035107A"/>
    <w:rsid w:val="00351DB7"/>
    <w:rsid w:val="00353858"/>
    <w:rsid w:val="00354178"/>
    <w:rsid w:val="003546A4"/>
    <w:rsid w:val="00355CFF"/>
    <w:rsid w:val="0035663F"/>
    <w:rsid w:val="00356729"/>
    <w:rsid w:val="00356751"/>
    <w:rsid w:val="00356819"/>
    <w:rsid w:val="003575ED"/>
    <w:rsid w:val="003577B9"/>
    <w:rsid w:val="00357DED"/>
    <w:rsid w:val="00357E4C"/>
    <w:rsid w:val="00360243"/>
    <w:rsid w:val="00360415"/>
    <w:rsid w:val="00360501"/>
    <w:rsid w:val="003609C9"/>
    <w:rsid w:val="00361283"/>
    <w:rsid w:val="00361B37"/>
    <w:rsid w:val="0036209B"/>
    <w:rsid w:val="00362152"/>
    <w:rsid w:val="0036278A"/>
    <w:rsid w:val="00362F24"/>
    <w:rsid w:val="0036317F"/>
    <w:rsid w:val="00363671"/>
    <w:rsid w:val="0036385A"/>
    <w:rsid w:val="00363A33"/>
    <w:rsid w:val="00363ABA"/>
    <w:rsid w:val="00363AE2"/>
    <w:rsid w:val="00364AB8"/>
    <w:rsid w:val="003663F2"/>
    <w:rsid w:val="003664D1"/>
    <w:rsid w:val="003666C2"/>
    <w:rsid w:val="00370CCD"/>
    <w:rsid w:val="00370DCB"/>
    <w:rsid w:val="00370E93"/>
    <w:rsid w:val="00371010"/>
    <w:rsid w:val="00371A1D"/>
    <w:rsid w:val="003732DD"/>
    <w:rsid w:val="00374508"/>
    <w:rsid w:val="00374A11"/>
    <w:rsid w:val="00376D3D"/>
    <w:rsid w:val="00376DB1"/>
    <w:rsid w:val="00381455"/>
    <w:rsid w:val="00381636"/>
    <w:rsid w:val="00383F9A"/>
    <w:rsid w:val="00384D9C"/>
    <w:rsid w:val="003852B1"/>
    <w:rsid w:val="0038666F"/>
    <w:rsid w:val="00386923"/>
    <w:rsid w:val="0038723C"/>
    <w:rsid w:val="00387372"/>
    <w:rsid w:val="00387791"/>
    <w:rsid w:val="00390B39"/>
    <w:rsid w:val="00392CB6"/>
    <w:rsid w:val="003930AD"/>
    <w:rsid w:val="00393654"/>
    <w:rsid w:val="003937BB"/>
    <w:rsid w:val="00393B4A"/>
    <w:rsid w:val="00395920"/>
    <w:rsid w:val="00395ED5"/>
    <w:rsid w:val="0039757B"/>
    <w:rsid w:val="003976AC"/>
    <w:rsid w:val="003A01D4"/>
    <w:rsid w:val="003A098C"/>
    <w:rsid w:val="003A0C55"/>
    <w:rsid w:val="003A17EE"/>
    <w:rsid w:val="003A1B42"/>
    <w:rsid w:val="003A29D5"/>
    <w:rsid w:val="003A2A63"/>
    <w:rsid w:val="003A3198"/>
    <w:rsid w:val="003A51BF"/>
    <w:rsid w:val="003A5583"/>
    <w:rsid w:val="003A565B"/>
    <w:rsid w:val="003A588F"/>
    <w:rsid w:val="003A6427"/>
    <w:rsid w:val="003A676C"/>
    <w:rsid w:val="003A73BA"/>
    <w:rsid w:val="003A74EB"/>
    <w:rsid w:val="003A74FC"/>
    <w:rsid w:val="003A76D1"/>
    <w:rsid w:val="003A7BCF"/>
    <w:rsid w:val="003A7FD7"/>
    <w:rsid w:val="003B0000"/>
    <w:rsid w:val="003B0494"/>
    <w:rsid w:val="003B0AF9"/>
    <w:rsid w:val="003B17B7"/>
    <w:rsid w:val="003B20A5"/>
    <w:rsid w:val="003B2432"/>
    <w:rsid w:val="003B3342"/>
    <w:rsid w:val="003B348B"/>
    <w:rsid w:val="003B3580"/>
    <w:rsid w:val="003B36EE"/>
    <w:rsid w:val="003B3856"/>
    <w:rsid w:val="003B4BD7"/>
    <w:rsid w:val="003B796D"/>
    <w:rsid w:val="003B7A7F"/>
    <w:rsid w:val="003C032D"/>
    <w:rsid w:val="003C19AF"/>
    <w:rsid w:val="003C1F06"/>
    <w:rsid w:val="003C2754"/>
    <w:rsid w:val="003C28C1"/>
    <w:rsid w:val="003C2C19"/>
    <w:rsid w:val="003C2F29"/>
    <w:rsid w:val="003C3249"/>
    <w:rsid w:val="003C543C"/>
    <w:rsid w:val="003C6FFE"/>
    <w:rsid w:val="003C7932"/>
    <w:rsid w:val="003D182E"/>
    <w:rsid w:val="003D2F50"/>
    <w:rsid w:val="003D440E"/>
    <w:rsid w:val="003D65DB"/>
    <w:rsid w:val="003D728E"/>
    <w:rsid w:val="003D7663"/>
    <w:rsid w:val="003D795E"/>
    <w:rsid w:val="003D7BD8"/>
    <w:rsid w:val="003E0B8D"/>
    <w:rsid w:val="003E0EF2"/>
    <w:rsid w:val="003E1C0A"/>
    <w:rsid w:val="003E2B22"/>
    <w:rsid w:val="003E35CD"/>
    <w:rsid w:val="003E3E43"/>
    <w:rsid w:val="003E48A7"/>
    <w:rsid w:val="003E5894"/>
    <w:rsid w:val="003E640F"/>
    <w:rsid w:val="003E6FFB"/>
    <w:rsid w:val="003E7184"/>
    <w:rsid w:val="003F054B"/>
    <w:rsid w:val="003F0D01"/>
    <w:rsid w:val="003F2019"/>
    <w:rsid w:val="003F24F2"/>
    <w:rsid w:val="003F3003"/>
    <w:rsid w:val="003F4417"/>
    <w:rsid w:val="003F5718"/>
    <w:rsid w:val="003F6779"/>
    <w:rsid w:val="003F69A2"/>
    <w:rsid w:val="003F6B19"/>
    <w:rsid w:val="003F779F"/>
    <w:rsid w:val="004028C2"/>
    <w:rsid w:val="00402BBF"/>
    <w:rsid w:val="00402D4A"/>
    <w:rsid w:val="00404B74"/>
    <w:rsid w:val="00405707"/>
    <w:rsid w:val="00406517"/>
    <w:rsid w:val="004078DA"/>
    <w:rsid w:val="00407F55"/>
    <w:rsid w:val="00410FAE"/>
    <w:rsid w:val="004115C5"/>
    <w:rsid w:val="00411FCB"/>
    <w:rsid w:val="00412D3C"/>
    <w:rsid w:val="00413952"/>
    <w:rsid w:val="0041471C"/>
    <w:rsid w:val="00415652"/>
    <w:rsid w:val="004166C4"/>
    <w:rsid w:val="00417E8E"/>
    <w:rsid w:val="004207AB"/>
    <w:rsid w:val="00422F99"/>
    <w:rsid w:val="004230BB"/>
    <w:rsid w:val="00423B0F"/>
    <w:rsid w:val="00424253"/>
    <w:rsid w:val="00424BC1"/>
    <w:rsid w:val="00424C3E"/>
    <w:rsid w:val="0042565F"/>
    <w:rsid w:val="00425673"/>
    <w:rsid w:val="00426FF0"/>
    <w:rsid w:val="00427A73"/>
    <w:rsid w:val="004301BE"/>
    <w:rsid w:val="004328F8"/>
    <w:rsid w:val="00432A22"/>
    <w:rsid w:val="00433371"/>
    <w:rsid w:val="00433F40"/>
    <w:rsid w:val="00433F67"/>
    <w:rsid w:val="004348F5"/>
    <w:rsid w:val="004357FD"/>
    <w:rsid w:val="00435BB9"/>
    <w:rsid w:val="00436184"/>
    <w:rsid w:val="00436BA3"/>
    <w:rsid w:val="00436DCA"/>
    <w:rsid w:val="00437038"/>
    <w:rsid w:val="0043708C"/>
    <w:rsid w:val="00437A99"/>
    <w:rsid w:val="00437B6B"/>
    <w:rsid w:val="0044002D"/>
    <w:rsid w:val="00440924"/>
    <w:rsid w:val="0044254D"/>
    <w:rsid w:val="004435C8"/>
    <w:rsid w:val="00443E60"/>
    <w:rsid w:val="00443EEE"/>
    <w:rsid w:val="00444CF5"/>
    <w:rsid w:val="00444DE1"/>
    <w:rsid w:val="00444EA0"/>
    <w:rsid w:val="00444F91"/>
    <w:rsid w:val="00445466"/>
    <w:rsid w:val="00445ED9"/>
    <w:rsid w:val="00445EF1"/>
    <w:rsid w:val="004462A4"/>
    <w:rsid w:val="00446788"/>
    <w:rsid w:val="004469D3"/>
    <w:rsid w:val="004477F5"/>
    <w:rsid w:val="00447ACE"/>
    <w:rsid w:val="00447E12"/>
    <w:rsid w:val="00450DDE"/>
    <w:rsid w:val="004522CC"/>
    <w:rsid w:val="004531C8"/>
    <w:rsid w:val="00453432"/>
    <w:rsid w:val="00454FB0"/>
    <w:rsid w:val="00455A85"/>
    <w:rsid w:val="00455EE0"/>
    <w:rsid w:val="004560EE"/>
    <w:rsid w:val="00456AB0"/>
    <w:rsid w:val="00457A80"/>
    <w:rsid w:val="0046045B"/>
    <w:rsid w:val="00460707"/>
    <w:rsid w:val="00461594"/>
    <w:rsid w:val="00462BE2"/>
    <w:rsid w:val="0046305A"/>
    <w:rsid w:val="00463CC4"/>
    <w:rsid w:val="004653DE"/>
    <w:rsid w:val="0046553F"/>
    <w:rsid w:val="00467936"/>
    <w:rsid w:val="00467C93"/>
    <w:rsid w:val="00470C45"/>
    <w:rsid w:val="00472631"/>
    <w:rsid w:val="00472BCD"/>
    <w:rsid w:val="004730DE"/>
    <w:rsid w:val="00473A9B"/>
    <w:rsid w:val="0047424B"/>
    <w:rsid w:val="0047427A"/>
    <w:rsid w:val="004751FC"/>
    <w:rsid w:val="0047524F"/>
    <w:rsid w:val="004758E9"/>
    <w:rsid w:val="0047635E"/>
    <w:rsid w:val="00476F09"/>
    <w:rsid w:val="00480972"/>
    <w:rsid w:val="0048099F"/>
    <w:rsid w:val="004810DB"/>
    <w:rsid w:val="00484B9D"/>
    <w:rsid w:val="00485F92"/>
    <w:rsid w:val="00486236"/>
    <w:rsid w:val="004910A0"/>
    <w:rsid w:val="004910F0"/>
    <w:rsid w:val="00491F37"/>
    <w:rsid w:val="00492220"/>
    <w:rsid w:val="004922A0"/>
    <w:rsid w:val="00492309"/>
    <w:rsid w:val="00494417"/>
    <w:rsid w:val="00494933"/>
    <w:rsid w:val="00495425"/>
    <w:rsid w:val="004A1B79"/>
    <w:rsid w:val="004A20AB"/>
    <w:rsid w:val="004A293D"/>
    <w:rsid w:val="004A3C04"/>
    <w:rsid w:val="004A3C74"/>
    <w:rsid w:val="004A46D8"/>
    <w:rsid w:val="004A49B9"/>
    <w:rsid w:val="004A5997"/>
    <w:rsid w:val="004A63C6"/>
    <w:rsid w:val="004A7321"/>
    <w:rsid w:val="004A77A2"/>
    <w:rsid w:val="004B01E0"/>
    <w:rsid w:val="004B0FFA"/>
    <w:rsid w:val="004B1FDC"/>
    <w:rsid w:val="004B38A1"/>
    <w:rsid w:val="004B5474"/>
    <w:rsid w:val="004B5542"/>
    <w:rsid w:val="004B68C9"/>
    <w:rsid w:val="004B6954"/>
    <w:rsid w:val="004B6C86"/>
    <w:rsid w:val="004B7B8D"/>
    <w:rsid w:val="004C321F"/>
    <w:rsid w:val="004C4543"/>
    <w:rsid w:val="004C5C29"/>
    <w:rsid w:val="004C6199"/>
    <w:rsid w:val="004C72DF"/>
    <w:rsid w:val="004D0D27"/>
    <w:rsid w:val="004D1462"/>
    <w:rsid w:val="004D1B2E"/>
    <w:rsid w:val="004D1E3D"/>
    <w:rsid w:val="004D21E1"/>
    <w:rsid w:val="004D2717"/>
    <w:rsid w:val="004D27E1"/>
    <w:rsid w:val="004D381D"/>
    <w:rsid w:val="004D5CCC"/>
    <w:rsid w:val="004D652D"/>
    <w:rsid w:val="004D7198"/>
    <w:rsid w:val="004E1801"/>
    <w:rsid w:val="004E18F7"/>
    <w:rsid w:val="004E1A96"/>
    <w:rsid w:val="004E1C74"/>
    <w:rsid w:val="004E1E04"/>
    <w:rsid w:val="004E273E"/>
    <w:rsid w:val="004E36A9"/>
    <w:rsid w:val="004E3A30"/>
    <w:rsid w:val="004E3E38"/>
    <w:rsid w:val="004E43B9"/>
    <w:rsid w:val="004E43E3"/>
    <w:rsid w:val="004E5B35"/>
    <w:rsid w:val="004E643A"/>
    <w:rsid w:val="004E66A3"/>
    <w:rsid w:val="004E6D93"/>
    <w:rsid w:val="004E6F42"/>
    <w:rsid w:val="004E729D"/>
    <w:rsid w:val="004E741A"/>
    <w:rsid w:val="004E7E2B"/>
    <w:rsid w:val="004F04C6"/>
    <w:rsid w:val="004F058E"/>
    <w:rsid w:val="004F0F18"/>
    <w:rsid w:val="004F2082"/>
    <w:rsid w:val="004F2112"/>
    <w:rsid w:val="004F2449"/>
    <w:rsid w:val="004F26CF"/>
    <w:rsid w:val="004F35DA"/>
    <w:rsid w:val="004F4E33"/>
    <w:rsid w:val="004F58DA"/>
    <w:rsid w:val="004F6078"/>
    <w:rsid w:val="004F6FDB"/>
    <w:rsid w:val="004F7781"/>
    <w:rsid w:val="00500F76"/>
    <w:rsid w:val="00502490"/>
    <w:rsid w:val="00502B7F"/>
    <w:rsid w:val="00502B87"/>
    <w:rsid w:val="00502DD0"/>
    <w:rsid w:val="00503282"/>
    <w:rsid w:val="0050396F"/>
    <w:rsid w:val="00503BD0"/>
    <w:rsid w:val="00503DFD"/>
    <w:rsid w:val="00503EF8"/>
    <w:rsid w:val="00504B49"/>
    <w:rsid w:val="0051015D"/>
    <w:rsid w:val="005106F5"/>
    <w:rsid w:val="0051265D"/>
    <w:rsid w:val="00513EF5"/>
    <w:rsid w:val="00514B65"/>
    <w:rsid w:val="00515818"/>
    <w:rsid w:val="00515B97"/>
    <w:rsid w:val="00515FEF"/>
    <w:rsid w:val="0051605A"/>
    <w:rsid w:val="0051630F"/>
    <w:rsid w:val="0051668E"/>
    <w:rsid w:val="00516E3D"/>
    <w:rsid w:val="00517BF0"/>
    <w:rsid w:val="00520A49"/>
    <w:rsid w:val="00522243"/>
    <w:rsid w:val="005229DB"/>
    <w:rsid w:val="00522AD3"/>
    <w:rsid w:val="00523324"/>
    <w:rsid w:val="00523589"/>
    <w:rsid w:val="00523BB9"/>
    <w:rsid w:val="005244B7"/>
    <w:rsid w:val="00524EEE"/>
    <w:rsid w:val="00525547"/>
    <w:rsid w:val="0052645D"/>
    <w:rsid w:val="00530D1C"/>
    <w:rsid w:val="00531172"/>
    <w:rsid w:val="00531868"/>
    <w:rsid w:val="0053284F"/>
    <w:rsid w:val="00533193"/>
    <w:rsid w:val="00533434"/>
    <w:rsid w:val="0053409F"/>
    <w:rsid w:val="005349CB"/>
    <w:rsid w:val="00534D06"/>
    <w:rsid w:val="00535992"/>
    <w:rsid w:val="005379AF"/>
    <w:rsid w:val="005402E0"/>
    <w:rsid w:val="0054046A"/>
    <w:rsid w:val="00540829"/>
    <w:rsid w:val="00540ABF"/>
    <w:rsid w:val="00540EAC"/>
    <w:rsid w:val="005417C0"/>
    <w:rsid w:val="00542762"/>
    <w:rsid w:val="005428D7"/>
    <w:rsid w:val="00542E45"/>
    <w:rsid w:val="005442BB"/>
    <w:rsid w:val="00544423"/>
    <w:rsid w:val="005455CC"/>
    <w:rsid w:val="00545901"/>
    <w:rsid w:val="005465B0"/>
    <w:rsid w:val="0054690C"/>
    <w:rsid w:val="00550DEC"/>
    <w:rsid w:val="00551265"/>
    <w:rsid w:val="00551A78"/>
    <w:rsid w:val="00551D4A"/>
    <w:rsid w:val="00551ECA"/>
    <w:rsid w:val="005547F8"/>
    <w:rsid w:val="005548F0"/>
    <w:rsid w:val="00554D1E"/>
    <w:rsid w:val="00554D62"/>
    <w:rsid w:val="0055534F"/>
    <w:rsid w:val="00557CF8"/>
    <w:rsid w:val="00557DB3"/>
    <w:rsid w:val="00557F7A"/>
    <w:rsid w:val="00560DD8"/>
    <w:rsid w:val="00561463"/>
    <w:rsid w:val="00561781"/>
    <w:rsid w:val="00561931"/>
    <w:rsid w:val="00561B96"/>
    <w:rsid w:val="00562476"/>
    <w:rsid w:val="0056366D"/>
    <w:rsid w:val="00563A14"/>
    <w:rsid w:val="00563FA0"/>
    <w:rsid w:val="00565481"/>
    <w:rsid w:val="00566D28"/>
    <w:rsid w:val="0057067A"/>
    <w:rsid w:val="005710C3"/>
    <w:rsid w:val="00571234"/>
    <w:rsid w:val="00571BBF"/>
    <w:rsid w:val="00572DAF"/>
    <w:rsid w:val="00572F17"/>
    <w:rsid w:val="00572F57"/>
    <w:rsid w:val="005730B7"/>
    <w:rsid w:val="00573EAE"/>
    <w:rsid w:val="00574BA5"/>
    <w:rsid w:val="00574E8A"/>
    <w:rsid w:val="00575624"/>
    <w:rsid w:val="00576F9C"/>
    <w:rsid w:val="005771D2"/>
    <w:rsid w:val="00577EE8"/>
    <w:rsid w:val="005805D1"/>
    <w:rsid w:val="00582BC4"/>
    <w:rsid w:val="00582C2C"/>
    <w:rsid w:val="00584883"/>
    <w:rsid w:val="00585BA8"/>
    <w:rsid w:val="00585C22"/>
    <w:rsid w:val="00586D46"/>
    <w:rsid w:val="00586F20"/>
    <w:rsid w:val="005902C0"/>
    <w:rsid w:val="0059059B"/>
    <w:rsid w:val="005906EC"/>
    <w:rsid w:val="00590721"/>
    <w:rsid w:val="00590F10"/>
    <w:rsid w:val="0059118D"/>
    <w:rsid w:val="005916AB"/>
    <w:rsid w:val="00592F25"/>
    <w:rsid w:val="005935DB"/>
    <w:rsid w:val="00593C2F"/>
    <w:rsid w:val="005947D6"/>
    <w:rsid w:val="00594A76"/>
    <w:rsid w:val="005973FE"/>
    <w:rsid w:val="0059784A"/>
    <w:rsid w:val="00597922"/>
    <w:rsid w:val="005A1C5B"/>
    <w:rsid w:val="005A1F24"/>
    <w:rsid w:val="005A1FD0"/>
    <w:rsid w:val="005A23F1"/>
    <w:rsid w:val="005A468D"/>
    <w:rsid w:val="005A498B"/>
    <w:rsid w:val="005A5E23"/>
    <w:rsid w:val="005A66C3"/>
    <w:rsid w:val="005A6CFE"/>
    <w:rsid w:val="005A7C9F"/>
    <w:rsid w:val="005B0399"/>
    <w:rsid w:val="005B03FD"/>
    <w:rsid w:val="005B0977"/>
    <w:rsid w:val="005B29BB"/>
    <w:rsid w:val="005B34E6"/>
    <w:rsid w:val="005B3A92"/>
    <w:rsid w:val="005B426F"/>
    <w:rsid w:val="005B5002"/>
    <w:rsid w:val="005B6CA5"/>
    <w:rsid w:val="005C1289"/>
    <w:rsid w:val="005C18C0"/>
    <w:rsid w:val="005C1ADE"/>
    <w:rsid w:val="005C2582"/>
    <w:rsid w:val="005C27EC"/>
    <w:rsid w:val="005C2C05"/>
    <w:rsid w:val="005C39CF"/>
    <w:rsid w:val="005C3E74"/>
    <w:rsid w:val="005C45F3"/>
    <w:rsid w:val="005C4E61"/>
    <w:rsid w:val="005C538E"/>
    <w:rsid w:val="005C5B0F"/>
    <w:rsid w:val="005C5F13"/>
    <w:rsid w:val="005C6498"/>
    <w:rsid w:val="005C68C9"/>
    <w:rsid w:val="005D03A8"/>
    <w:rsid w:val="005D084E"/>
    <w:rsid w:val="005D3C1B"/>
    <w:rsid w:val="005D3EED"/>
    <w:rsid w:val="005D3FA4"/>
    <w:rsid w:val="005D5460"/>
    <w:rsid w:val="005D77E3"/>
    <w:rsid w:val="005D7A13"/>
    <w:rsid w:val="005E0B47"/>
    <w:rsid w:val="005E19A6"/>
    <w:rsid w:val="005E1C4D"/>
    <w:rsid w:val="005E223F"/>
    <w:rsid w:val="005E3239"/>
    <w:rsid w:val="005E335F"/>
    <w:rsid w:val="005E3983"/>
    <w:rsid w:val="005E46B0"/>
    <w:rsid w:val="005E50C5"/>
    <w:rsid w:val="005E55B7"/>
    <w:rsid w:val="005E5691"/>
    <w:rsid w:val="005E6AA4"/>
    <w:rsid w:val="005E6E7B"/>
    <w:rsid w:val="005E7C24"/>
    <w:rsid w:val="005F0A3C"/>
    <w:rsid w:val="005F43AB"/>
    <w:rsid w:val="005F44AC"/>
    <w:rsid w:val="005F47B9"/>
    <w:rsid w:val="005F52CE"/>
    <w:rsid w:val="005F60E4"/>
    <w:rsid w:val="005F6B28"/>
    <w:rsid w:val="005F6FF9"/>
    <w:rsid w:val="005F7769"/>
    <w:rsid w:val="00600CF2"/>
    <w:rsid w:val="00600D1A"/>
    <w:rsid w:val="00601081"/>
    <w:rsid w:val="00601188"/>
    <w:rsid w:val="00602EB5"/>
    <w:rsid w:val="0060330E"/>
    <w:rsid w:val="00604DB5"/>
    <w:rsid w:val="00604FE1"/>
    <w:rsid w:val="00606F6B"/>
    <w:rsid w:val="00607721"/>
    <w:rsid w:val="00611033"/>
    <w:rsid w:val="00611042"/>
    <w:rsid w:val="006117A7"/>
    <w:rsid w:val="00612CCD"/>
    <w:rsid w:val="00616723"/>
    <w:rsid w:val="00616B24"/>
    <w:rsid w:val="0061733C"/>
    <w:rsid w:val="00620282"/>
    <w:rsid w:val="00623992"/>
    <w:rsid w:val="00624597"/>
    <w:rsid w:val="0062547A"/>
    <w:rsid w:val="0062550B"/>
    <w:rsid w:val="00625930"/>
    <w:rsid w:val="00626CDF"/>
    <w:rsid w:val="00627180"/>
    <w:rsid w:val="00630C8F"/>
    <w:rsid w:val="006313A5"/>
    <w:rsid w:val="00632687"/>
    <w:rsid w:val="00632B06"/>
    <w:rsid w:val="00632BB8"/>
    <w:rsid w:val="00632CAD"/>
    <w:rsid w:val="00633042"/>
    <w:rsid w:val="006342EF"/>
    <w:rsid w:val="00635ACB"/>
    <w:rsid w:val="00636528"/>
    <w:rsid w:val="00636C27"/>
    <w:rsid w:val="00637EF0"/>
    <w:rsid w:val="006414E9"/>
    <w:rsid w:val="00641D5A"/>
    <w:rsid w:val="00642E38"/>
    <w:rsid w:val="00643A06"/>
    <w:rsid w:val="006469A4"/>
    <w:rsid w:val="0064734A"/>
    <w:rsid w:val="00647710"/>
    <w:rsid w:val="00652996"/>
    <w:rsid w:val="0065393D"/>
    <w:rsid w:val="006547C6"/>
    <w:rsid w:val="00657E60"/>
    <w:rsid w:val="00657FC4"/>
    <w:rsid w:val="00660D66"/>
    <w:rsid w:val="00661A43"/>
    <w:rsid w:val="00661AB7"/>
    <w:rsid w:val="00662008"/>
    <w:rsid w:val="00663481"/>
    <w:rsid w:val="0066384F"/>
    <w:rsid w:val="00663A8A"/>
    <w:rsid w:val="00663F36"/>
    <w:rsid w:val="00664296"/>
    <w:rsid w:val="00665AB0"/>
    <w:rsid w:val="00665C0B"/>
    <w:rsid w:val="00665D50"/>
    <w:rsid w:val="00665E74"/>
    <w:rsid w:val="00666257"/>
    <w:rsid w:val="006664E1"/>
    <w:rsid w:val="006664F6"/>
    <w:rsid w:val="00666728"/>
    <w:rsid w:val="00666FC3"/>
    <w:rsid w:val="006707A6"/>
    <w:rsid w:val="00671C73"/>
    <w:rsid w:val="006724D4"/>
    <w:rsid w:val="006729C8"/>
    <w:rsid w:val="00672A5C"/>
    <w:rsid w:val="00673104"/>
    <w:rsid w:val="0067470A"/>
    <w:rsid w:val="00674C24"/>
    <w:rsid w:val="00674DE5"/>
    <w:rsid w:val="00675D9E"/>
    <w:rsid w:val="0067657E"/>
    <w:rsid w:val="006767ED"/>
    <w:rsid w:val="0067729A"/>
    <w:rsid w:val="00677F46"/>
    <w:rsid w:val="006802B5"/>
    <w:rsid w:val="00681391"/>
    <w:rsid w:val="006834BD"/>
    <w:rsid w:val="006836F8"/>
    <w:rsid w:val="00683E6C"/>
    <w:rsid w:val="00684007"/>
    <w:rsid w:val="0068477A"/>
    <w:rsid w:val="006847D1"/>
    <w:rsid w:val="00684AC2"/>
    <w:rsid w:val="00685387"/>
    <w:rsid w:val="00685E92"/>
    <w:rsid w:val="00686BAC"/>
    <w:rsid w:val="00687318"/>
    <w:rsid w:val="00687DF8"/>
    <w:rsid w:val="0069096B"/>
    <w:rsid w:val="00690B53"/>
    <w:rsid w:val="00690FBD"/>
    <w:rsid w:val="0069169E"/>
    <w:rsid w:val="00691834"/>
    <w:rsid w:val="00691A7C"/>
    <w:rsid w:val="0069228B"/>
    <w:rsid w:val="00694264"/>
    <w:rsid w:val="00694DE1"/>
    <w:rsid w:val="00694F54"/>
    <w:rsid w:val="0069585D"/>
    <w:rsid w:val="006958EB"/>
    <w:rsid w:val="00696302"/>
    <w:rsid w:val="006A0054"/>
    <w:rsid w:val="006A106A"/>
    <w:rsid w:val="006A2385"/>
    <w:rsid w:val="006A2AC7"/>
    <w:rsid w:val="006A3433"/>
    <w:rsid w:val="006A395A"/>
    <w:rsid w:val="006A4688"/>
    <w:rsid w:val="006A480E"/>
    <w:rsid w:val="006A4CB4"/>
    <w:rsid w:val="006A5C5C"/>
    <w:rsid w:val="006A7220"/>
    <w:rsid w:val="006B08D1"/>
    <w:rsid w:val="006B13EB"/>
    <w:rsid w:val="006B2D09"/>
    <w:rsid w:val="006B2F2A"/>
    <w:rsid w:val="006B3A44"/>
    <w:rsid w:val="006B474E"/>
    <w:rsid w:val="006B5F6A"/>
    <w:rsid w:val="006B7021"/>
    <w:rsid w:val="006B711D"/>
    <w:rsid w:val="006B73FE"/>
    <w:rsid w:val="006C0A26"/>
    <w:rsid w:val="006C26F4"/>
    <w:rsid w:val="006C3579"/>
    <w:rsid w:val="006C490C"/>
    <w:rsid w:val="006C6E1D"/>
    <w:rsid w:val="006C7AD8"/>
    <w:rsid w:val="006C7B41"/>
    <w:rsid w:val="006D1B58"/>
    <w:rsid w:val="006D2305"/>
    <w:rsid w:val="006D2357"/>
    <w:rsid w:val="006D2B71"/>
    <w:rsid w:val="006D2E85"/>
    <w:rsid w:val="006D4083"/>
    <w:rsid w:val="006D40CE"/>
    <w:rsid w:val="006D49E5"/>
    <w:rsid w:val="006D4D96"/>
    <w:rsid w:val="006D580F"/>
    <w:rsid w:val="006D5864"/>
    <w:rsid w:val="006D6140"/>
    <w:rsid w:val="006D6ADB"/>
    <w:rsid w:val="006D6DEB"/>
    <w:rsid w:val="006D724D"/>
    <w:rsid w:val="006D7AED"/>
    <w:rsid w:val="006E0AB5"/>
    <w:rsid w:val="006E11E9"/>
    <w:rsid w:val="006E3E85"/>
    <w:rsid w:val="006E43F1"/>
    <w:rsid w:val="006E5554"/>
    <w:rsid w:val="006E5637"/>
    <w:rsid w:val="006E5CC2"/>
    <w:rsid w:val="006E5E7F"/>
    <w:rsid w:val="006F0355"/>
    <w:rsid w:val="006F040D"/>
    <w:rsid w:val="006F20F6"/>
    <w:rsid w:val="006F4722"/>
    <w:rsid w:val="006F545A"/>
    <w:rsid w:val="0070117A"/>
    <w:rsid w:val="00701F2F"/>
    <w:rsid w:val="007022BE"/>
    <w:rsid w:val="00703D28"/>
    <w:rsid w:val="00704349"/>
    <w:rsid w:val="007048C9"/>
    <w:rsid w:val="00705191"/>
    <w:rsid w:val="00706046"/>
    <w:rsid w:val="00706F23"/>
    <w:rsid w:val="00707181"/>
    <w:rsid w:val="007071A9"/>
    <w:rsid w:val="00707EE1"/>
    <w:rsid w:val="00707F28"/>
    <w:rsid w:val="00710B52"/>
    <w:rsid w:val="00711FFA"/>
    <w:rsid w:val="007124B3"/>
    <w:rsid w:val="00713739"/>
    <w:rsid w:val="0071386B"/>
    <w:rsid w:val="00714165"/>
    <w:rsid w:val="007150D4"/>
    <w:rsid w:val="00715268"/>
    <w:rsid w:val="007157ED"/>
    <w:rsid w:val="007171DC"/>
    <w:rsid w:val="00717ACC"/>
    <w:rsid w:val="00720826"/>
    <w:rsid w:val="007210D8"/>
    <w:rsid w:val="007216C1"/>
    <w:rsid w:val="007225B4"/>
    <w:rsid w:val="0072263C"/>
    <w:rsid w:val="00723FFB"/>
    <w:rsid w:val="007256E4"/>
    <w:rsid w:val="007263EB"/>
    <w:rsid w:val="007264C8"/>
    <w:rsid w:val="00726B18"/>
    <w:rsid w:val="00726B28"/>
    <w:rsid w:val="007276CA"/>
    <w:rsid w:val="00730247"/>
    <w:rsid w:val="00730785"/>
    <w:rsid w:val="007310EC"/>
    <w:rsid w:val="00731BB2"/>
    <w:rsid w:val="00731CAF"/>
    <w:rsid w:val="00731EE9"/>
    <w:rsid w:val="007323E2"/>
    <w:rsid w:val="00735FBE"/>
    <w:rsid w:val="00737B58"/>
    <w:rsid w:val="00737CBA"/>
    <w:rsid w:val="00740215"/>
    <w:rsid w:val="00740498"/>
    <w:rsid w:val="00740DB1"/>
    <w:rsid w:val="00741CB0"/>
    <w:rsid w:val="00741DC0"/>
    <w:rsid w:val="00742289"/>
    <w:rsid w:val="0074257A"/>
    <w:rsid w:val="00742967"/>
    <w:rsid w:val="00743559"/>
    <w:rsid w:val="00743B82"/>
    <w:rsid w:val="00743B8F"/>
    <w:rsid w:val="00745632"/>
    <w:rsid w:val="0074595D"/>
    <w:rsid w:val="00745B16"/>
    <w:rsid w:val="00745EAF"/>
    <w:rsid w:val="00746075"/>
    <w:rsid w:val="00746377"/>
    <w:rsid w:val="00746FA9"/>
    <w:rsid w:val="0074766E"/>
    <w:rsid w:val="00747979"/>
    <w:rsid w:val="00747DB9"/>
    <w:rsid w:val="007515DB"/>
    <w:rsid w:val="00752E2A"/>
    <w:rsid w:val="007536DE"/>
    <w:rsid w:val="00754944"/>
    <w:rsid w:val="00755707"/>
    <w:rsid w:val="00755A12"/>
    <w:rsid w:val="00755D5F"/>
    <w:rsid w:val="0075650A"/>
    <w:rsid w:val="00756F1C"/>
    <w:rsid w:val="00756FE3"/>
    <w:rsid w:val="00757876"/>
    <w:rsid w:val="007578C5"/>
    <w:rsid w:val="00760F2B"/>
    <w:rsid w:val="00762158"/>
    <w:rsid w:val="0076236B"/>
    <w:rsid w:val="0076398E"/>
    <w:rsid w:val="00766528"/>
    <w:rsid w:val="007667AD"/>
    <w:rsid w:val="00766D65"/>
    <w:rsid w:val="0076720C"/>
    <w:rsid w:val="00767956"/>
    <w:rsid w:val="00767B03"/>
    <w:rsid w:val="00767C60"/>
    <w:rsid w:val="00767C76"/>
    <w:rsid w:val="00767E19"/>
    <w:rsid w:val="00770508"/>
    <w:rsid w:val="007708D2"/>
    <w:rsid w:val="007714FA"/>
    <w:rsid w:val="00774294"/>
    <w:rsid w:val="00774B8D"/>
    <w:rsid w:val="0077537A"/>
    <w:rsid w:val="00775CE4"/>
    <w:rsid w:val="007760E7"/>
    <w:rsid w:val="00776991"/>
    <w:rsid w:val="00776C21"/>
    <w:rsid w:val="00776C98"/>
    <w:rsid w:val="007802B9"/>
    <w:rsid w:val="007814AD"/>
    <w:rsid w:val="007815E9"/>
    <w:rsid w:val="00782F9F"/>
    <w:rsid w:val="0078379A"/>
    <w:rsid w:val="00783CA5"/>
    <w:rsid w:val="00784A92"/>
    <w:rsid w:val="0078528C"/>
    <w:rsid w:val="00785C71"/>
    <w:rsid w:val="00786331"/>
    <w:rsid w:val="00787649"/>
    <w:rsid w:val="0079090D"/>
    <w:rsid w:val="00791C09"/>
    <w:rsid w:val="00793860"/>
    <w:rsid w:val="00794AA5"/>
    <w:rsid w:val="00795455"/>
    <w:rsid w:val="007955F2"/>
    <w:rsid w:val="0079600D"/>
    <w:rsid w:val="00796150"/>
    <w:rsid w:val="0079765C"/>
    <w:rsid w:val="007979F3"/>
    <w:rsid w:val="00797D9C"/>
    <w:rsid w:val="007A0624"/>
    <w:rsid w:val="007A2023"/>
    <w:rsid w:val="007A2AC4"/>
    <w:rsid w:val="007A2E3E"/>
    <w:rsid w:val="007A3ACB"/>
    <w:rsid w:val="007A4390"/>
    <w:rsid w:val="007A552D"/>
    <w:rsid w:val="007A70C5"/>
    <w:rsid w:val="007A77A9"/>
    <w:rsid w:val="007A7947"/>
    <w:rsid w:val="007A7FF3"/>
    <w:rsid w:val="007B0166"/>
    <w:rsid w:val="007B0875"/>
    <w:rsid w:val="007B0F17"/>
    <w:rsid w:val="007B222C"/>
    <w:rsid w:val="007B42B9"/>
    <w:rsid w:val="007B4912"/>
    <w:rsid w:val="007B645B"/>
    <w:rsid w:val="007B6F38"/>
    <w:rsid w:val="007B7C31"/>
    <w:rsid w:val="007B7F5E"/>
    <w:rsid w:val="007C0D40"/>
    <w:rsid w:val="007C0DDF"/>
    <w:rsid w:val="007C27B4"/>
    <w:rsid w:val="007C27E9"/>
    <w:rsid w:val="007C2DFD"/>
    <w:rsid w:val="007C2E88"/>
    <w:rsid w:val="007C3742"/>
    <w:rsid w:val="007C3961"/>
    <w:rsid w:val="007C489D"/>
    <w:rsid w:val="007C4CB9"/>
    <w:rsid w:val="007C52CF"/>
    <w:rsid w:val="007C539D"/>
    <w:rsid w:val="007C5888"/>
    <w:rsid w:val="007C5EE8"/>
    <w:rsid w:val="007C68E7"/>
    <w:rsid w:val="007C7108"/>
    <w:rsid w:val="007C735C"/>
    <w:rsid w:val="007C73CD"/>
    <w:rsid w:val="007C7406"/>
    <w:rsid w:val="007D000A"/>
    <w:rsid w:val="007D099D"/>
    <w:rsid w:val="007D0B06"/>
    <w:rsid w:val="007D1B83"/>
    <w:rsid w:val="007D1F7C"/>
    <w:rsid w:val="007D2B71"/>
    <w:rsid w:val="007D3260"/>
    <w:rsid w:val="007D3813"/>
    <w:rsid w:val="007D3986"/>
    <w:rsid w:val="007D3BA4"/>
    <w:rsid w:val="007D3EAA"/>
    <w:rsid w:val="007D4385"/>
    <w:rsid w:val="007D484D"/>
    <w:rsid w:val="007D52C1"/>
    <w:rsid w:val="007D5DBE"/>
    <w:rsid w:val="007D6718"/>
    <w:rsid w:val="007D736C"/>
    <w:rsid w:val="007D74F8"/>
    <w:rsid w:val="007D77CB"/>
    <w:rsid w:val="007E0929"/>
    <w:rsid w:val="007E0ECA"/>
    <w:rsid w:val="007E0FA6"/>
    <w:rsid w:val="007E12E1"/>
    <w:rsid w:val="007E1B5E"/>
    <w:rsid w:val="007E2EF2"/>
    <w:rsid w:val="007E3513"/>
    <w:rsid w:val="007E3B22"/>
    <w:rsid w:val="007E3E11"/>
    <w:rsid w:val="007E4AA8"/>
    <w:rsid w:val="007E4DF4"/>
    <w:rsid w:val="007E57F0"/>
    <w:rsid w:val="007E5D23"/>
    <w:rsid w:val="007E5EE7"/>
    <w:rsid w:val="007E76A9"/>
    <w:rsid w:val="007E7969"/>
    <w:rsid w:val="007E7B4B"/>
    <w:rsid w:val="007F05DD"/>
    <w:rsid w:val="007F0A9C"/>
    <w:rsid w:val="007F1C58"/>
    <w:rsid w:val="007F21DD"/>
    <w:rsid w:val="007F22F1"/>
    <w:rsid w:val="007F2825"/>
    <w:rsid w:val="007F2D51"/>
    <w:rsid w:val="007F2F0A"/>
    <w:rsid w:val="007F36D6"/>
    <w:rsid w:val="007F3893"/>
    <w:rsid w:val="007F3EA8"/>
    <w:rsid w:val="007F420A"/>
    <w:rsid w:val="007F49D4"/>
    <w:rsid w:val="007F4F01"/>
    <w:rsid w:val="007F634B"/>
    <w:rsid w:val="007F63C3"/>
    <w:rsid w:val="007F63E0"/>
    <w:rsid w:val="007F66BB"/>
    <w:rsid w:val="007F6BF0"/>
    <w:rsid w:val="007F7B1A"/>
    <w:rsid w:val="00800C21"/>
    <w:rsid w:val="008011B2"/>
    <w:rsid w:val="00801346"/>
    <w:rsid w:val="00801690"/>
    <w:rsid w:val="00801E6A"/>
    <w:rsid w:val="00802162"/>
    <w:rsid w:val="00802959"/>
    <w:rsid w:val="008030AA"/>
    <w:rsid w:val="0080326F"/>
    <w:rsid w:val="008033B9"/>
    <w:rsid w:val="008039CB"/>
    <w:rsid w:val="00804387"/>
    <w:rsid w:val="00811550"/>
    <w:rsid w:val="00813277"/>
    <w:rsid w:val="008143E5"/>
    <w:rsid w:val="00814C06"/>
    <w:rsid w:val="00814C87"/>
    <w:rsid w:val="0081500F"/>
    <w:rsid w:val="00815262"/>
    <w:rsid w:val="0081544E"/>
    <w:rsid w:val="00815B03"/>
    <w:rsid w:val="008179CD"/>
    <w:rsid w:val="0082041A"/>
    <w:rsid w:val="00820455"/>
    <w:rsid w:val="00821C9B"/>
    <w:rsid w:val="00822430"/>
    <w:rsid w:val="0082297C"/>
    <w:rsid w:val="00825091"/>
    <w:rsid w:val="00825E60"/>
    <w:rsid w:val="00826511"/>
    <w:rsid w:val="008268D1"/>
    <w:rsid w:val="00827384"/>
    <w:rsid w:val="0083041F"/>
    <w:rsid w:val="00830EB7"/>
    <w:rsid w:val="008325A1"/>
    <w:rsid w:val="00833F6B"/>
    <w:rsid w:val="00834FFF"/>
    <w:rsid w:val="00835204"/>
    <w:rsid w:val="00836274"/>
    <w:rsid w:val="00840530"/>
    <w:rsid w:val="00840FA0"/>
    <w:rsid w:val="0084149B"/>
    <w:rsid w:val="00841657"/>
    <w:rsid w:val="008426B9"/>
    <w:rsid w:val="0084473D"/>
    <w:rsid w:val="008452E3"/>
    <w:rsid w:val="008457F5"/>
    <w:rsid w:val="00845EF9"/>
    <w:rsid w:val="00846EB6"/>
    <w:rsid w:val="0084713C"/>
    <w:rsid w:val="00847D54"/>
    <w:rsid w:val="008503F2"/>
    <w:rsid w:val="00850A24"/>
    <w:rsid w:val="00850C83"/>
    <w:rsid w:val="0085313C"/>
    <w:rsid w:val="008536A7"/>
    <w:rsid w:val="00853C27"/>
    <w:rsid w:val="00855858"/>
    <w:rsid w:val="0085585F"/>
    <w:rsid w:val="008568D7"/>
    <w:rsid w:val="00856ABF"/>
    <w:rsid w:val="00856C95"/>
    <w:rsid w:val="0085709E"/>
    <w:rsid w:val="00857AAB"/>
    <w:rsid w:val="00860AB3"/>
    <w:rsid w:val="00861CAB"/>
    <w:rsid w:val="0086207E"/>
    <w:rsid w:val="008628E2"/>
    <w:rsid w:val="0086329E"/>
    <w:rsid w:val="00863552"/>
    <w:rsid w:val="00864632"/>
    <w:rsid w:val="008665FB"/>
    <w:rsid w:val="00866EBC"/>
    <w:rsid w:val="00867072"/>
    <w:rsid w:val="008673F7"/>
    <w:rsid w:val="00867509"/>
    <w:rsid w:val="00867B16"/>
    <w:rsid w:val="00867EC0"/>
    <w:rsid w:val="00871560"/>
    <w:rsid w:val="00871ABA"/>
    <w:rsid w:val="00872ECB"/>
    <w:rsid w:val="008734F5"/>
    <w:rsid w:val="00873A5D"/>
    <w:rsid w:val="0087406C"/>
    <w:rsid w:val="008743C1"/>
    <w:rsid w:val="008755FA"/>
    <w:rsid w:val="00875964"/>
    <w:rsid w:val="008766DC"/>
    <w:rsid w:val="00876707"/>
    <w:rsid w:val="008771F8"/>
    <w:rsid w:val="008776CC"/>
    <w:rsid w:val="0087783D"/>
    <w:rsid w:val="00880190"/>
    <w:rsid w:val="00880289"/>
    <w:rsid w:val="00880414"/>
    <w:rsid w:val="00881D7F"/>
    <w:rsid w:val="008834ED"/>
    <w:rsid w:val="00883959"/>
    <w:rsid w:val="00884A47"/>
    <w:rsid w:val="00885143"/>
    <w:rsid w:val="00887F89"/>
    <w:rsid w:val="00890CAC"/>
    <w:rsid w:val="0089105E"/>
    <w:rsid w:val="00891228"/>
    <w:rsid w:val="0089142B"/>
    <w:rsid w:val="00893D65"/>
    <w:rsid w:val="00894175"/>
    <w:rsid w:val="00894379"/>
    <w:rsid w:val="00894687"/>
    <w:rsid w:val="00894F18"/>
    <w:rsid w:val="008955F0"/>
    <w:rsid w:val="0089697D"/>
    <w:rsid w:val="00896F78"/>
    <w:rsid w:val="008970EB"/>
    <w:rsid w:val="0089789F"/>
    <w:rsid w:val="00897B91"/>
    <w:rsid w:val="008A0B68"/>
    <w:rsid w:val="008A1F2C"/>
    <w:rsid w:val="008A2860"/>
    <w:rsid w:val="008A38AF"/>
    <w:rsid w:val="008A4045"/>
    <w:rsid w:val="008A421D"/>
    <w:rsid w:val="008A452A"/>
    <w:rsid w:val="008A4F40"/>
    <w:rsid w:val="008A511A"/>
    <w:rsid w:val="008A75AB"/>
    <w:rsid w:val="008B0071"/>
    <w:rsid w:val="008B0B3F"/>
    <w:rsid w:val="008B2188"/>
    <w:rsid w:val="008B22C5"/>
    <w:rsid w:val="008B241F"/>
    <w:rsid w:val="008B3117"/>
    <w:rsid w:val="008B3D7C"/>
    <w:rsid w:val="008B465F"/>
    <w:rsid w:val="008B4C5C"/>
    <w:rsid w:val="008B703F"/>
    <w:rsid w:val="008B779A"/>
    <w:rsid w:val="008B7C9D"/>
    <w:rsid w:val="008C07F1"/>
    <w:rsid w:val="008C3E20"/>
    <w:rsid w:val="008C4A7E"/>
    <w:rsid w:val="008C4F85"/>
    <w:rsid w:val="008C5BB8"/>
    <w:rsid w:val="008C665C"/>
    <w:rsid w:val="008C6BBC"/>
    <w:rsid w:val="008D03D8"/>
    <w:rsid w:val="008D0596"/>
    <w:rsid w:val="008D0CB6"/>
    <w:rsid w:val="008D0E14"/>
    <w:rsid w:val="008D123E"/>
    <w:rsid w:val="008D2084"/>
    <w:rsid w:val="008D2AE4"/>
    <w:rsid w:val="008D3836"/>
    <w:rsid w:val="008D3897"/>
    <w:rsid w:val="008D3A1C"/>
    <w:rsid w:val="008D3F2F"/>
    <w:rsid w:val="008D54C1"/>
    <w:rsid w:val="008E0ABC"/>
    <w:rsid w:val="008E3597"/>
    <w:rsid w:val="008E46BA"/>
    <w:rsid w:val="008E5047"/>
    <w:rsid w:val="008E64F7"/>
    <w:rsid w:val="008E790D"/>
    <w:rsid w:val="008E7B17"/>
    <w:rsid w:val="008E7E0D"/>
    <w:rsid w:val="008F119E"/>
    <w:rsid w:val="008F1A0F"/>
    <w:rsid w:val="008F2CA3"/>
    <w:rsid w:val="008F5F53"/>
    <w:rsid w:val="008F7AF3"/>
    <w:rsid w:val="009001C1"/>
    <w:rsid w:val="00900334"/>
    <w:rsid w:val="009005CA"/>
    <w:rsid w:val="00900BE7"/>
    <w:rsid w:val="00902E41"/>
    <w:rsid w:val="009030D3"/>
    <w:rsid w:val="00903312"/>
    <w:rsid w:val="00903679"/>
    <w:rsid w:val="009048F0"/>
    <w:rsid w:val="0090546F"/>
    <w:rsid w:val="00905769"/>
    <w:rsid w:val="009069DD"/>
    <w:rsid w:val="00906E23"/>
    <w:rsid w:val="0090718B"/>
    <w:rsid w:val="009074A8"/>
    <w:rsid w:val="0091036E"/>
    <w:rsid w:val="00910678"/>
    <w:rsid w:val="0091070A"/>
    <w:rsid w:val="009110DF"/>
    <w:rsid w:val="00911951"/>
    <w:rsid w:val="009121C1"/>
    <w:rsid w:val="00913848"/>
    <w:rsid w:val="00914205"/>
    <w:rsid w:val="00914F65"/>
    <w:rsid w:val="00916FA6"/>
    <w:rsid w:val="009178E0"/>
    <w:rsid w:val="00917ADE"/>
    <w:rsid w:val="00917B96"/>
    <w:rsid w:val="00920E34"/>
    <w:rsid w:val="00920F43"/>
    <w:rsid w:val="00920FF6"/>
    <w:rsid w:val="009218F2"/>
    <w:rsid w:val="00921BDD"/>
    <w:rsid w:val="00921DB6"/>
    <w:rsid w:val="00921E92"/>
    <w:rsid w:val="00922880"/>
    <w:rsid w:val="0092293F"/>
    <w:rsid w:val="00922FFB"/>
    <w:rsid w:val="009239E9"/>
    <w:rsid w:val="00923CD2"/>
    <w:rsid w:val="00924EC8"/>
    <w:rsid w:val="0092610C"/>
    <w:rsid w:val="00926D2E"/>
    <w:rsid w:val="00926DF3"/>
    <w:rsid w:val="00927339"/>
    <w:rsid w:val="00927D2E"/>
    <w:rsid w:val="00927E7D"/>
    <w:rsid w:val="009306B5"/>
    <w:rsid w:val="009308C9"/>
    <w:rsid w:val="00930F72"/>
    <w:rsid w:val="009314EF"/>
    <w:rsid w:val="00932044"/>
    <w:rsid w:val="00932CAC"/>
    <w:rsid w:val="00933304"/>
    <w:rsid w:val="00933832"/>
    <w:rsid w:val="00934EF2"/>
    <w:rsid w:val="00936A74"/>
    <w:rsid w:val="00936C7C"/>
    <w:rsid w:val="00936DE7"/>
    <w:rsid w:val="009404CA"/>
    <w:rsid w:val="009413CB"/>
    <w:rsid w:val="00941472"/>
    <w:rsid w:val="00941B85"/>
    <w:rsid w:val="00941C3E"/>
    <w:rsid w:val="0094211B"/>
    <w:rsid w:val="00942670"/>
    <w:rsid w:val="00944B57"/>
    <w:rsid w:val="00944EAC"/>
    <w:rsid w:val="0094519C"/>
    <w:rsid w:val="009452C2"/>
    <w:rsid w:val="00946EBA"/>
    <w:rsid w:val="009477EA"/>
    <w:rsid w:val="00947806"/>
    <w:rsid w:val="00947875"/>
    <w:rsid w:val="00947899"/>
    <w:rsid w:val="00947AFD"/>
    <w:rsid w:val="00950833"/>
    <w:rsid w:val="00950A47"/>
    <w:rsid w:val="00952F53"/>
    <w:rsid w:val="00952FDA"/>
    <w:rsid w:val="009534BD"/>
    <w:rsid w:val="00953D36"/>
    <w:rsid w:val="009541A1"/>
    <w:rsid w:val="00955AC0"/>
    <w:rsid w:val="009570A0"/>
    <w:rsid w:val="0095719A"/>
    <w:rsid w:val="009575E4"/>
    <w:rsid w:val="00957626"/>
    <w:rsid w:val="00961436"/>
    <w:rsid w:val="0096177E"/>
    <w:rsid w:val="00961DC5"/>
    <w:rsid w:val="009629F8"/>
    <w:rsid w:val="00962D4C"/>
    <w:rsid w:val="00962E4A"/>
    <w:rsid w:val="00962FDA"/>
    <w:rsid w:val="009630BD"/>
    <w:rsid w:val="00963626"/>
    <w:rsid w:val="0096364E"/>
    <w:rsid w:val="00963661"/>
    <w:rsid w:val="00963A96"/>
    <w:rsid w:val="00963EA9"/>
    <w:rsid w:val="00964BB1"/>
    <w:rsid w:val="009661E5"/>
    <w:rsid w:val="00966A21"/>
    <w:rsid w:val="009675C1"/>
    <w:rsid w:val="00967F2C"/>
    <w:rsid w:val="0097001E"/>
    <w:rsid w:val="00971384"/>
    <w:rsid w:val="00972389"/>
    <w:rsid w:val="009734A4"/>
    <w:rsid w:val="009738D0"/>
    <w:rsid w:val="00973D56"/>
    <w:rsid w:val="00975444"/>
    <w:rsid w:val="00975CFD"/>
    <w:rsid w:val="00976E83"/>
    <w:rsid w:val="00980377"/>
    <w:rsid w:val="00980BA0"/>
    <w:rsid w:val="009830CB"/>
    <w:rsid w:val="009832AC"/>
    <w:rsid w:val="009833D7"/>
    <w:rsid w:val="009834EA"/>
    <w:rsid w:val="00984490"/>
    <w:rsid w:val="00985FA3"/>
    <w:rsid w:val="009861DB"/>
    <w:rsid w:val="009864C3"/>
    <w:rsid w:val="00987D50"/>
    <w:rsid w:val="0099043C"/>
    <w:rsid w:val="00992903"/>
    <w:rsid w:val="00992B1B"/>
    <w:rsid w:val="00992DCB"/>
    <w:rsid w:val="009945B7"/>
    <w:rsid w:val="0099515D"/>
    <w:rsid w:val="009951CD"/>
    <w:rsid w:val="009965E4"/>
    <w:rsid w:val="009966D0"/>
    <w:rsid w:val="009966EA"/>
    <w:rsid w:val="009A1BF6"/>
    <w:rsid w:val="009A1CCA"/>
    <w:rsid w:val="009A418D"/>
    <w:rsid w:val="009A4717"/>
    <w:rsid w:val="009A47DB"/>
    <w:rsid w:val="009A48DA"/>
    <w:rsid w:val="009A5386"/>
    <w:rsid w:val="009A5412"/>
    <w:rsid w:val="009A58FE"/>
    <w:rsid w:val="009A5CA4"/>
    <w:rsid w:val="009A6698"/>
    <w:rsid w:val="009A6BA5"/>
    <w:rsid w:val="009A6F89"/>
    <w:rsid w:val="009A759B"/>
    <w:rsid w:val="009A7821"/>
    <w:rsid w:val="009A7EC4"/>
    <w:rsid w:val="009B0367"/>
    <w:rsid w:val="009B121D"/>
    <w:rsid w:val="009B1743"/>
    <w:rsid w:val="009B1AAC"/>
    <w:rsid w:val="009B2494"/>
    <w:rsid w:val="009B2E43"/>
    <w:rsid w:val="009B3702"/>
    <w:rsid w:val="009B3ADA"/>
    <w:rsid w:val="009B429C"/>
    <w:rsid w:val="009B44F6"/>
    <w:rsid w:val="009B69A2"/>
    <w:rsid w:val="009B6C9B"/>
    <w:rsid w:val="009B7FB1"/>
    <w:rsid w:val="009C0206"/>
    <w:rsid w:val="009C2559"/>
    <w:rsid w:val="009C3124"/>
    <w:rsid w:val="009C3B9D"/>
    <w:rsid w:val="009C3D03"/>
    <w:rsid w:val="009C3DAE"/>
    <w:rsid w:val="009C409E"/>
    <w:rsid w:val="009C50E1"/>
    <w:rsid w:val="009C5270"/>
    <w:rsid w:val="009C674D"/>
    <w:rsid w:val="009C6D39"/>
    <w:rsid w:val="009C7875"/>
    <w:rsid w:val="009D0537"/>
    <w:rsid w:val="009D1547"/>
    <w:rsid w:val="009D1B89"/>
    <w:rsid w:val="009D1C2A"/>
    <w:rsid w:val="009D30D9"/>
    <w:rsid w:val="009D609A"/>
    <w:rsid w:val="009D6A5C"/>
    <w:rsid w:val="009D6A95"/>
    <w:rsid w:val="009D6BD0"/>
    <w:rsid w:val="009D6BDE"/>
    <w:rsid w:val="009D6D83"/>
    <w:rsid w:val="009D7AC0"/>
    <w:rsid w:val="009E02F3"/>
    <w:rsid w:val="009E0903"/>
    <w:rsid w:val="009E0A3E"/>
    <w:rsid w:val="009E0EB6"/>
    <w:rsid w:val="009E12DA"/>
    <w:rsid w:val="009E1CDA"/>
    <w:rsid w:val="009E2DC2"/>
    <w:rsid w:val="009E3173"/>
    <w:rsid w:val="009E3193"/>
    <w:rsid w:val="009E33F0"/>
    <w:rsid w:val="009E34C1"/>
    <w:rsid w:val="009E3CBE"/>
    <w:rsid w:val="009E46BE"/>
    <w:rsid w:val="009E4755"/>
    <w:rsid w:val="009E690F"/>
    <w:rsid w:val="009E7A34"/>
    <w:rsid w:val="009E7A39"/>
    <w:rsid w:val="009E7DB9"/>
    <w:rsid w:val="009F08B9"/>
    <w:rsid w:val="009F0C41"/>
    <w:rsid w:val="009F0E42"/>
    <w:rsid w:val="009F0F33"/>
    <w:rsid w:val="009F1B24"/>
    <w:rsid w:val="009F202A"/>
    <w:rsid w:val="009F2EED"/>
    <w:rsid w:val="009F3D4D"/>
    <w:rsid w:val="009F4485"/>
    <w:rsid w:val="009F48C5"/>
    <w:rsid w:val="009F5C78"/>
    <w:rsid w:val="009F5DB9"/>
    <w:rsid w:val="009F69DE"/>
    <w:rsid w:val="009F705E"/>
    <w:rsid w:val="009F7A94"/>
    <w:rsid w:val="009F7F99"/>
    <w:rsid w:val="00A01D4A"/>
    <w:rsid w:val="00A037C8"/>
    <w:rsid w:val="00A04BEF"/>
    <w:rsid w:val="00A0581E"/>
    <w:rsid w:val="00A05FFF"/>
    <w:rsid w:val="00A062FD"/>
    <w:rsid w:val="00A10BB6"/>
    <w:rsid w:val="00A11680"/>
    <w:rsid w:val="00A1196B"/>
    <w:rsid w:val="00A125FE"/>
    <w:rsid w:val="00A14C20"/>
    <w:rsid w:val="00A15466"/>
    <w:rsid w:val="00A163E4"/>
    <w:rsid w:val="00A17129"/>
    <w:rsid w:val="00A21F2A"/>
    <w:rsid w:val="00A22BAC"/>
    <w:rsid w:val="00A22C33"/>
    <w:rsid w:val="00A22E1E"/>
    <w:rsid w:val="00A23C87"/>
    <w:rsid w:val="00A23FD5"/>
    <w:rsid w:val="00A24112"/>
    <w:rsid w:val="00A243B0"/>
    <w:rsid w:val="00A247B1"/>
    <w:rsid w:val="00A24C26"/>
    <w:rsid w:val="00A24CE0"/>
    <w:rsid w:val="00A24DAB"/>
    <w:rsid w:val="00A24E8D"/>
    <w:rsid w:val="00A2607C"/>
    <w:rsid w:val="00A26088"/>
    <w:rsid w:val="00A264C9"/>
    <w:rsid w:val="00A271DF"/>
    <w:rsid w:val="00A273F6"/>
    <w:rsid w:val="00A27E4A"/>
    <w:rsid w:val="00A30CE7"/>
    <w:rsid w:val="00A313B4"/>
    <w:rsid w:val="00A31C29"/>
    <w:rsid w:val="00A31FB9"/>
    <w:rsid w:val="00A320C6"/>
    <w:rsid w:val="00A32DBC"/>
    <w:rsid w:val="00A347EC"/>
    <w:rsid w:val="00A349EC"/>
    <w:rsid w:val="00A34BEA"/>
    <w:rsid w:val="00A34CD6"/>
    <w:rsid w:val="00A350C2"/>
    <w:rsid w:val="00A35FD4"/>
    <w:rsid w:val="00A36075"/>
    <w:rsid w:val="00A36973"/>
    <w:rsid w:val="00A37340"/>
    <w:rsid w:val="00A37A04"/>
    <w:rsid w:val="00A37B08"/>
    <w:rsid w:val="00A401B8"/>
    <w:rsid w:val="00A40EE3"/>
    <w:rsid w:val="00A41243"/>
    <w:rsid w:val="00A41851"/>
    <w:rsid w:val="00A418BE"/>
    <w:rsid w:val="00A445AC"/>
    <w:rsid w:val="00A45459"/>
    <w:rsid w:val="00A45656"/>
    <w:rsid w:val="00A46343"/>
    <w:rsid w:val="00A47A18"/>
    <w:rsid w:val="00A47BAE"/>
    <w:rsid w:val="00A5024C"/>
    <w:rsid w:val="00A509D4"/>
    <w:rsid w:val="00A511E9"/>
    <w:rsid w:val="00A51635"/>
    <w:rsid w:val="00A51BFE"/>
    <w:rsid w:val="00A544F4"/>
    <w:rsid w:val="00A547A9"/>
    <w:rsid w:val="00A55752"/>
    <w:rsid w:val="00A56DBA"/>
    <w:rsid w:val="00A56F52"/>
    <w:rsid w:val="00A6181F"/>
    <w:rsid w:val="00A62219"/>
    <w:rsid w:val="00A6229B"/>
    <w:rsid w:val="00A62F9C"/>
    <w:rsid w:val="00A630CA"/>
    <w:rsid w:val="00A6329B"/>
    <w:rsid w:val="00A63372"/>
    <w:rsid w:val="00A64752"/>
    <w:rsid w:val="00A65058"/>
    <w:rsid w:val="00A65991"/>
    <w:rsid w:val="00A659FC"/>
    <w:rsid w:val="00A65C74"/>
    <w:rsid w:val="00A65FD3"/>
    <w:rsid w:val="00A66D27"/>
    <w:rsid w:val="00A672C8"/>
    <w:rsid w:val="00A71BEF"/>
    <w:rsid w:val="00A7322E"/>
    <w:rsid w:val="00A73C15"/>
    <w:rsid w:val="00A73ECC"/>
    <w:rsid w:val="00A755B4"/>
    <w:rsid w:val="00A75B3E"/>
    <w:rsid w:val="00A7642F"/>
    <w:rsid w:val="00A76492"/>
    <w:rsid w:val="00A77FA1"/>
    <w:rsid w:val="00A8096C"/>
    <w:rsid w:val="00A845A7"/>
    <w:rsid w:val="00A84FDF"/>
    <w:rsid w:val="00A85528"/>
    <w:rsid w:val="00A855EB"/>
    <w:rsid w:val="00A857D4"/>
    <w:rsid w:val="00A85845"/>
    <w:rsid w:val="00A86758"/>
    <w:rsid w:val="00A87504"/>
    <w:rsid w:val="00A87B46"/>
    <w:rsid w:val="00A90670"/>
    <w:rsid w:val="00A92472"/>
    <w:rsid w:val="00A92BB1"/>
    <w:rsid w:val="00A94F88"/>
    <w:rsid w:val="00A95385"/>
    <w:rsid w:val="00A954BB"/>
    <w:rsid w:val="00A95D33"/>
    <w:rsid w:val="00A96090"/>
    <w:rsid w:val="00AA10D7"/>
    <w:rsid w:val="00AA1B2A"/>
    <w:rsid w:val="00AA30DC"/>
    <w:rsid w:val="00AA34E0"/>
    <w:rsid w:val="00AA396F"/>
    <w:rsid w:val="00AA534E"/>
    <w:rsid w:val="00AA57AD"/>
    <w:rsid w:val="00AA59D1"/>
    <w:rsid w:val="00AA693D"/>
    <w:rsid w:val="00AA7475"/>
    <w:rsid w:val="00AA7B19"/>
    <w:rsid w:val="00AB0322"/>
    <w:rsid w:val="00AB32F9"/>
    <w:rsid w:val="00AB41DC"/>
    <w:rsid w:val="00AB492A"/>
    <w:rsid w:val="00AB5923"/>
    <w:rsid w:val="00AB6373"/>
    <w:rsid w:val="00AB642D"/>
    <w:rsid w:val="00AB66F1"/>
    <w:rsid w:val="00AC0129"/>
    <w:rsid w:val="00AC01AF"/>
    <w:rsid w:val="00AC15B7"/>
    <w:rsid w:val="00AC161A"/>
    <w:rsid w:val="00AC1E8A"/>
    <w:rsid w:val="00AC2BC6"/>
    <w:rsid w:val="00AC2BEA"/>
    <w:rsid w:val="00AC3139"/>
    <w:rsid w:val="00AC34EB"/>
    <w:rsid w:val="00AC49C0"/>
    <w:rsid w:val="00AC4F77"/>
    <w:rsid w:val="00AC554C"/>
    <w:rsid w:val="00AC5640"/>
    <w:rsid w:val="00AC62F5"/>
    <w:rsid w:val="00AC6349"/>
    <w:rsid w:val="00AC66EB"/>
    <w:rsid w:val="00AC70BF"/>
    <w:rsid w:val="00AC72D9"/>
    <w:rsid w:val="00AC7436"/>
    <w:rsid w:val="00AD0AA9"/>
    <w:rsid w:val="00AD1E6B"/>
    <w:rsid w:val="00AD444B"/>
    <w:rsid w:val="00AD576E"/>
    <w:rsid w:val="00AD57E9"/>
    <w:rsid w:val="00AD671A"/>
    <w:rsid w:val="00AD7E69"/>
    <w:rsid w:val="00AE0444"/>
    <w:rsid w:val="00AE0AB3"/>
    <w:rsid w:val="00AE1F58"/>
    <w:rsid w:val="00AE2014"/>
    <w:rsid w:val="00AE255A"/>
    <w:rsid w:val="00AE3BA3"/>
    <w:rsid w:val="00AE3D5A"/>
    <w:rsid w:val="00AE4003"/>
    <w:rsid w:val="00AE4814"/>
    <w:rsid w:val="00AE4B4A"/>
    <w:rsid w:val="00AE78A0"/>
    <w:rsid w:val="00AE7BC8"/>
    <w:rsid w:val="00AF0335"/>
    <w:rsid w:val="00AF0D08"/>
    <w:rsid w:val="00AF2625"/>
    <w:rsid w:val="00AF2A7F"/>
    <w:rsid w:val="00AF35CE"/>
    <w:rsid w:val="00AF4943"/>
    <w:rsid w:val="00AF5A69"/>
    <w:rsid w:val="00AF60BC"/>
    <w:rsid w:val="00B00064"/>
    <w:rsid w:val="00B006F8"/>
    <w:rsid w:val="00B0165E"/>
    <w:rsid w:val="00B01823"/>
    <w:rsid w:val="00B0190D"/>
    <w:rsid w:val="00B01B68"/>
    <w:rsid w:val="00B03C3E"/>
    <w:rsid w:val="00B03D41"/>
    <w:rsid w:val="00B03F6E"/>
    <w:rsid w:val="00B04120"/>
    <w:rsid w:val="00B04778"/>
    <w:rsid w:val="00B04F46"/>
    <w:rsid w:val="00B0582F"/>
    <w:rsid w:val="00B05993"/>
    <w:rsid w:val="00B06550"/>
    <w:rsid w:val="00B06735"/>
    <w:rsid w:val="00B07CD6"/>
    <w:rsid w:val="00B10B8F"/>
    <w:rsid w:val="00B1130D"/>
    <w:rsid w:val="00B11D88"/>
    <w:rsid w:val="00B120EB"/>
    <w:rsid w:val="00B12FCB"/>
    <w:rsid w:val="00B14319"/>
    <w:rsid w:val="00B1487F"/>
    <w:rsid w:val="00B14D5B"/>
    <w:rsid w:val="00B15321"/>
    <w:rsid w:val="00B159EF"/>
    <w:rsid w:val="00B16913"/>
    <w:rsid w:val="00B17029"/>
    <w:rsid w:val="00B174EF"/>
    <w:rsid w:val="00B179B2"/>
    <w:rsid w:val="00B17BC0"/>
    <w:rsid w:val="00B2020C"/>
    <w:rsid w:val="00B2078F"/>
    <w:rsid w:val="00B21956"/>
    <w:rsid w:val="00B2237A"/>
    <w:rsid w:val="00B22F9F"/>
    <w:rsid w:val="00B24A83"/>
    <w:rsid w:val="00B25DA2"/>
    <w:rsid w:val="00B278AB"/>
    <w:rsid w:val="00B27D57"/>
    <w:rsid w:val="00B30830"/>
    <w:rsid w:val="00B31201"/>
    <w:rsid w:val="00B31768"/>
    <w:rsid w:val="00B33649"/>
    <w:rsid w:val="00B34255"/>
    <w:rsid w:val="00B34FD3"/>
    <w:rsid w:val="00B3653D"/>
    <w:rsid w:val="00B37649"/>
    <w:rsid w:val="00B3764D"/>
    <w:rsid w:val="00B37890"/>
    <w:rsid w:val="00B4032E"/>
    <w:rsid w:val="00B40693"/>
    <w:rsid w:val="00B41957"/>
    <w:rsid w:val="00B41B49"/>
    <w:rsid w:val="00B42B5F"/>
    <w:rsid w:val="00B42BA0"/>
    <w:rsid w:val="00B430B2"/>
    <w:rsid w:val="00B43665"/>
    <w:rsid w:val="00B43840"/>
    <w:rsid w:val="00B4583F"/>
    <w:rsid w:val="00B45F44"/>
    <w:rsid w:val="00B465D7"/>
    <w:rsid w:val="00B46A48"/>
    <w:rsid w:val="00B4776D"/>
    <w:rsid w:val="00B5009B"/>
    <w:rsid w:val="00B51C27"/>
    <w:rsid w:val="00B52427"/>
    <w:rsid w:val="00B540BD"/>
    <w:rsid w:val="00B55FD3"/>
    <w:rsid w:val="00B56B69"/>
    <w:rsid w:val="00B56DB6"/>
    <w:rsid w:val="00B5727C"/>
    <w:rsid w:val="00B576D3"/>
    <w:rsid w:val="00B60706"/>
    <w:rsid w:val="00B613DC"/>
    <w:rsid w:val="00B62353"/>
    <w:rsid w:val="00B62EEF"/>
    <w:rsid w:val="00B62FA3"/>
    <w:rsid w:val="00B635F3"/>
    <w:rsid w:val="00B63654"/>
    <w:rsid w:val="00B647C4"/>
    <w:rsid w:val="00B654D2"/>
    <w:rsid w:val="00B65F5B"/>
    <w:rsid w:val="00B663F2"/>
    <w:rsid w:val="00B66852"/>
    <w:rsid w:val="00B66997"/>
    <w:rsid w:val="00B66FE1"/>
    <w:rsid w:val="00B673A2"/>
    <w:rsid w:val="00B70113"/>
    <w:rsid w:val="00B70A4B"/>
    <w:rsid w:val="00B70BC7"/>
    <w:rsid w:val="00B70E74"/>
    <w:rsid w:val="00B71327"/>
    <w:rsid w:val="00B721D0"/>
    <w:rsid w:val="00B72CBF"/>
    <w:rsid w:val="00B73845"/>
    <w:rsid w:val="00B73E34"/>
    <w:rsid w:val="00B74E9C"/>
    <w:rsid w:val="00B75927"/>
    <w:rsid w:val="00B7628F"/>
    <w:rsid w:val="00B7784B"/>
    <w:rsid w:val="00B8016A"/>
    <w:rsid w:val="00B826A7"/>
    <w:rsid w:val="00B83011"/>
    <w:rsid w:val="00B83E35"/>
    <w:rsid w:val="00B85241"/>
    <w:rsid w:val="00B85514"/>
    <w:rsid w:val="00B858BF"/>
    <w:rsid w:val="00B85B2B"/>
    <w:rsid w:val="00B85EA3"/>
    <w:rsid w:val="00B85ECC"/>
    <w:rsid w:val="00B865C0"/>
    <w:rsid w:val="00B873CA"/>
    <w:rsid w:val="00B877DF"/>
    <w:rsid w:val="00B92296"/>
    <w:rsid w:val="00B9237E"/>
    <w:rsid w:val="00B92588"/>
    <w:rsid w:val="00B92B43"/>
    <w:rsid w:val="00B932DA"/>
    <w:rsid w:val="00B93462"/>
    <w:rsid w:val="00B93497"/>
    <w:rsid w:val="00B94F35"/>
    <w:rsid w:val="00B95981"/>
    <w:rsid w:val="00B95C6F"/>
    <w:rsid w:val="00B960D9"/>
    <w:rsid w:val="00B964D9"/>
    <w:rsid w:val="00B96DAF"/>
    <w:rsid w:val="00B975F5"/>
    <w:rsid w:val="00BA04AA"/>
    <w:rsid w:val="00BA0AEC"/>
    <w:rsid w:val="00BA0CD7"/>
    <w:rsid w:val="00BA2131"/>
    <w:rsid w:val="00BA2DD5"/>
    <w:rsid w:val="00BA3BDD"/>
    <w:rsid w:val="00BA3E65"/>
    <w:rsid w:val="00BA4CC7"/>
    <w:rsid w:val="00BA5359"/>
    <w:rsid w:val="00BA565C"/>
    <w:rsid w:val="00BA6035"/>
    <w:rsid w:val="00BA60C4"/>
    <w:rsid w:val="00BA61FF"/>
    <w:rsid w:val="00BA71B4"/>
    <w:rsid w:val="00BA7889"/>
    <w:rsid w:val="00BA795D"/>
    <w:rsid w:val="00BA7D3C"/>
    <w:rsid w:val="00BA7D9F"/>
    <w:rsid w:val="00BB01B5"/>
    <w:rsid w:val="00BB1801"/>
    <w:rsid w:val="00BB19F9"/>
    <w:rsid w:val="00BB3B50"/>
    <w:rsid w:val="00BB53CD"/>
    <w:rsid w:val="00BB5A57"/>
    <w:rsid w:val="00BB6740"/>
    <w:rsid w:val="00BB69CF"/>
    <w:rsid w:val="00BB7127"/>
    <w:rsid w:val="00BB72A3"/>
    <w:rsid w:val="00BB73FF"/>
    <w:rsid w:val="00BC0209"/>
    <w:rsid w:val="00BC0D9D"/>
    <w:rsid w:val="00BC1342"/>
    <w:rsid w:val="00BC221A"/>
    <w:rsid w:val="00BC3958"/>
    <w:rsid w:val="00BC3D23"/>
    <w:rsid w:val="00BC4C75"/>
    <w:rsid w:val="00BC6472"/>
    <w:rsid w:val="00BC6604"/>
    <w:rsid w:val="00BC6AC2"/>
    <w:rsid w:val="00BC6BC8"/>
    <w:rsid w:val="00BC73F5"/>
    <w:rsid w:val="00BC74E0"/>
    <w:rsid w:val="00BC7BC3"/>
    <w:rsid w:val="00BC7C6E"/>
    <w:rsid w:val="00BD0254"/>
    <w:rsid w:val="00BD1930"/>
    <w:rsid w:val="00BD4220"/>
    <w:rsid w:val="00BD4C6A"/>
    <w:rsid w:val="00BD590F"/>
    <w:rsid w:val="00BD74C8"/>
    <w:rsid w:val="00BD7E7D"/>
    <w:rsid w:val="00BE1484"/>
    <w:rsid w:val="00BE194B"/>
    <w:rsid w:val="00BE1B41"/>
    <w:rsid w:val="00BE2111"/>
    <w:rsid w:val="00BE2398"/>
    <w:rsid w:val="00BE2502"/>
    <w:rsid w:val="00BE2F54"/>
    <w:rsid w:val="00BE33AD"/>
    <w:rsid w:val="00BE3549"/>
    <w:rsid w:val="00BE576B"/>
    <w:rsid w:val="00BE690F"/>
    <w:rsid w:val="00BE6C4F"/>
    <w:rsid w:val="00BE7DB8"/>
    <w:rsid w:val="00BF00C2"/>
    <w:rsid w:val="00BF0BFB"/>
    <w:rsid w:val="00BF2B27"/>
    <w:rsid w:val="00BF2CE4"/>
    <w:rsid w:val="00BF2DC8"/>
    <w:rsid w:val="00BF47E5"/>
    <w:rsid w:val="00BF4FFC"/>
    <w:rsid w:val="00BF504D"/>
    <w:rsid w:val="00BF5075"/>
    <w:rsid w:val="00BF5D43"/>
    <w:rsid w:val="00BF632A"/>
    <w:rsid w:val="00BF6522"/>
    <w:rsid w:val="00BF7505"/>
    <w:rsid w:val="00BF7A49"/>
    <w:rsid w:val="00BF7C41"/>
    <w:rsid w:val="00C00132"/>
    <w:rsid w:val="00C003DC"/>
    <w:rsid w:val="00C02525"/>
    <w:rsid w:val="00C02B50"/>
    <w:rsid w:val="00C02F9C"/>
    <w:rsid w:val="00C03140"/>
    <w:rsid w:val="00C03837"/>
    <w:rsid w:val="00C0479E"/>
    <w:rsid w:val="00C048F5"/>
    <w:rsid w:val="00C04FA6"/>
    <w:rsid w:val="00C051E1"/>
    <w:rsid w:val="00C0540C"/>
    <w:rsid w:val="00C0541E"/>
    <w:rsid w:val="00C05AC1"/>
    <w:rsid w:val="00C07080"/>
    <w:rsid w:val="00C0709B"/>
    <w:rsid w:val="00C07221"/>
    <w:rsid w:val="00C0762E"/>
    <w:rsid w:val="00C1064F"/>
    <w:rsid w:val="00C114D8"/>
    <w:rsid w:val="00C12078"/>
    <w:rsid w:val="00C13557"/>
    <w:rsid w:val="00C13606"/>
    <w:rsid w:val="00C137F4"/>
    <w:rsid w:val="00C13F0E"/>
    <w:rsid w:val="00C14D41"/>
    <w:rsid w:val="00C15F2B"/>
    <w:rsid w:val="00C16222"/>
    <w:rsid w:val="00C208F1"/>
    <w:rsid w:val="00C20DC2"/>
    <w:rsid w:val="00C21915"/>
    <w:rsid w:val="00C2319D"/>
    <w:rsid w:val="00C23AA0"/>
    <w:rsid w:val="00C2506A"/>
    <w:rsid w:val="00C254DB"/>
    <w:rsid w:val="00C256D5"/>
    <w:rsid w:val="00C25851"/>
    <w:rsid w:val="00C2685F"/>
    <w:rsid w:val="00C26B3A"/>
    <w:rsid w:val="00C26E6D"/>
    <w:rsid w:val="00C274AA"/>
    <w:rsid w:val="00C27733"/>
    <w:rsid w:val="00C30C19"/>
    <w:rsid w:val="00C3124C"/>
    <w:rsid w:val="00C3297A"/>
    <w:rsid w:val="00C329E9"/>
    <w:rsid w:val="00C33A88"/>
    <w:rsid w:val="00C34F3D"/>
    <w:rsid w:val="00C35090"/>
    <w:rsid w:val="00C352CE"/>
    <w:rsid w:val="00C357F8"/>
    <w:rsid w:val="00C3693A"/>
    <w:rsid w:val="00C376D2"/>
    <w:rsid w:val="00C37741"/>
    <w:rsid w:val="00C40275"/>
    <w:rsid w:val="00C409E7"/>
    <w:rsid w:val="00C457F7"/>
    <w:rsid w:val="00C4641B"/>
    <w:rsid w:val="00C4737D"/>
    <w:rsid w:val="00C4752F"/>
    <w:rsid w:val="00C50AC9"/>
    <w:rsid w:val="00C51BD2"/>
    <w:rsid w:val="00C51C34"/>
    <w:rsid w:val="00C52EA2"/>
    <w:rsid w:val="00C548C6"/>
    <w:rsid w:val="00C553E5"/>
    <w:rsid w:val="00C55A4D"/>
    <w:rsid w:val="00C56B6A"/>
    <w:rsid w:val="00C617CC"/>
    <w:rsid w:val="00C63108"/>
    <w:rsid w:val="00C63470"/>
    <w:rsid w:val="00C63DF9"/>
    <w:rsid w:val="00C64AC2"/>
    <w:rsid w:val="00C652DF"/>
    <w:rsid w:val="00C657CE"/>
    <w:rsid w:val="00C675A4"/>
    <w:rsid w:val="00C7088C"/>
    <w:rsid w:val="00C70CBB"/>
    <w:rsid w:val="00C75213"/>
    <w:rsid w:val="00C759F3"/>
    <w:rsid w:val="00C75F57"/>
    <w:rsid w:val="00C7627F"/>
    <w:rsid w:val="00C764AD"/>
    <w:rsid w:val="00C76B2C"/>
    <w:rsid w:val="00C7781D"/>
    <w:rsid w:val="00C80792"/>
    <w:rsid w:val="00C80A61"/>
    <w:rsid w:val="00C81331"/>
    <w:rsid w:val="00C81941"/>
    <w:rsid w:val="00C82E52"/>
    <w:rsid w:val="00C8378A"/>
    <w:rsid w:val="00C85AFF"/>
    <w:rsid w:val="00C8630B"/>
    <w:rsid w:val="00C8733F"/>
    <w:rsid w:val="00C87406"/>
    <w:rsid w:val="00C87803"/>
    <w:rsid w:val="00C9096D"/>
    <w:rsid w:val="00C91035"/>
    <w:rsid w:val="00C91EF0"/>
    <w:rsid w:val="00C921C6"/>
    <w:rsid w:val="00C93340"/>
    <w:rsid w:val="00C93426"/>
    <w:rsid w:val="00C9396F"/>
    <w:rsid w:val="00C94276"/>
    <w:rsid w:val="00C944AA"/>
    <w:rsid w:val="00C95651"/>
    <w:rsid w:val="00C95D7D"/>
    <w:rsid w:val="00C9614F"/>
    <w:rsid w:val="00C96DB6"/>
    <w:rsid w:val="00CA0A29"/>
    <w:rsid w:val="00CA0C1C"/>
    <w:rsid w:val="00CA0E96"/>
    <w:rsid w:val="00CA100B"/>
    <w:rsid w:val="00CA11CA"/>
    <w:rsid w:val="00CA1C7F"/>
    <w:rsid w:val="00CA1FD2"/>
    <w:rsid w:val="00CA2085"/>
    <w:rsid w:val="00CA290A"/>
    <w:rsid w:val="00CA2AF8"/>
    <w:rsid w:val="00CA3C60"/>
    <w:rsid w:val="00CA3C77"/>
    <w:rsid w:val="00CA47D6"/>
    <w:rsid w:val="00CA4EBD"/>
    <w:rsid w:val="00CA5022"/>
    <w:rsid w:val="00CA6344"/>
    <w:rsid w:val="00CA6C57"/>
    <w:rsid w:val="00CA6DB8"/>
    <w:rsid w:val="00CA6FB7"/>
    <w:rsid w:val="00CA76EC"/>
    <w:rsid w:val="00CB08DF"/>
    <w:rsid w:val="00CB0F43"/>
    <w:rsid w:val="00CB11E7"/>
    <w:rsid w:val="00CB161A"/>
    <w:rsid w:val="00CB21D7"/>
    <w:rsid w:val="00CB2CA1"/>
    <w:rsid w:val="00CB3091"/>
    <w:rsid w:val="00CB365B"/>
    <w:rsid w:val="00CB3AD0"/>
    <w:rsid w:val="00CB3C43"/>
    <w:rsid w:val="00CB5BAC"/>
    <w:rsid w:val="00CB6CA2"/>
    <w:rsid w:val="00CB7126"/>
    <w:rsid w:val="00CB7173"/>
    <w:rsid w:val="00CB736E"/>
    <w:rsid w:val="00CC21DC"/>
    <w:rsid w:val="00CC22F1"/>
    <w:rsid w:val="00CC2497"/>
    <w:rsid w:val="00CC24FF"/>
    <w:rsid w:val="00CC2BC7"/>
    <w:rsid w:val="00CC32A0"/>
    <w:rsid w:val="00CC3AB1"/>
    <w:rsid w:val="00CC5103"/>
    <w:rsid w:val="00CC538D"/>
    <w:rsid w:val="00CC64C8"/>
    <w:rsid w:val="00CC795A"/>
    <w:rsid w:val="00CC7DDC"/>
    <w:rsid w:val="00CD067F"/>
    <w:rsid w:val="00CD0D55"/>
    <w:rsid w:val="00CD1656"/>
    <w:rsid w:val="00CD1E07"/>
    <w:rsid w:val="00CD25BF"/>
    <w:rsid w:val="00CD2C9F"/>
    <w:rsid w:val="00CD403E"/>
    <w:rsid w:val="00CD405E"/>
    <w:rsid w:val="00CD4DF9"/>
    <w:rsid w:val="00CD5224"/>
    <w:rsid w:val="00CD5780"/>
    <w:rsid w:val="00CD7158"/>
    <w:rsid w:val="00CD7405"/>
    <w:rsid w:val="00CD7531"/>
    <w:rsid w:val="00CD796E"/>
    <w:rsid w:val="00CE118C"/>
    <w:rsid w:val="00CE1451"/>
    <w:rsid w:val="00CE1520"/>
    <w:rsid w:val="00CE25AD"/>
    <w:rsid w:val="00CE2C78"/>
    <w:rsid w:val="00CE2DF0"/>
    <w:rsid w:val="00CE393E"/>
    <w:rsid w:val="00CE39D0"/>
    <w:rsid w:val="00CE4A91"/>
    <w:rsid w:val="00CE6639"/>
    <w:rsid w:val="00CF0E59"/>
    <w:rsid w:val="00CF1716"/>
    <w:rsid w:val="00CF2306"/>
    <w:rsid w:val="00CF26D1"/>
    <w:rsid w:val="00CF3876"/>
    <w:rsid w:val="00CF430B"/>
    <w:rsid w:val="00CF44C3"/>
    <w:rsid w:val="00CF4E12"/>
    <w:rsid w:val="00CF6110"/>
    <w:rsid w:val="00CF6A05"/>
    <w:rsid w:val="00CF6AAF"/>
    <w:rsid w:val="00CF7732"/>
    <w:rsid w:val="00D00ABA"/>
    <w:rsid w:val="00D00BE3"/>
    <w:rsid w:val="00D02B29"/>
    <w:rsid w:val="00D03339"/>
    <w:rsid w:val="00D04E9D"/>
    <w:rsid w:val="00D054FE"/>
    <w:rsid w:val="00D10847"/>
    <w:rsid w:val="00D108B2"/>
    <w:rsid w:val="00D1127F"/>
    <w:rsid w:val="00D112F3"/>
    <w:rsid w:val="00D11931"/>
    <w:rsid w:val="00D11C9A"/>
    <w:rsid w:val="00D11F15"/>
    <w:rsid w:val="00D125A7"/>
    <w:rsid w:val="00D129FA"/>
    <w:rsid w:val="00D13B28"/>
    <w:rsid w:val="00D148D9"/>
    <w:rsid w:val="00D159DF"/>
    <w:rsid w:val="00D15E75"/>
    <w:rsid w:val="00D160E1"/>
    <w:rsid w:val="00D1612B"/>
    <w:rsid w:val="00D16B5A"/>
    <w:rsid w:val="00D16DA7"/>
    <w:rsid w:val="00D17CD8"/>
    <w:rsid w:val="00D20323"/>
    <w:rsid w:val="00D223E8"/>
    <w:rsid w:val="00D22405"/>
    <w:rsid w:val="00D22818"/>
    <w:rsid w:val="00D23D8E"/>
    <w:rsid w:val="00D243A7"/>
    <w:rsid w:val="00D2520F"/>
    <w:rsid w:val="00D2584D"/>
    <w:rsid w:val="00D26A6B"/>
    <w:rsid w:val="00D27C82"/>
    <w:rsid w:val="00D31E91"/>
    <w:rsid w:val="00D3207D"/>
    <w:rsid w:val="00D344AE"/>
    <w:rsid w:val="00D34F65"/>
    <w:rsid w:val="00D360AC"/>
    <w:rsid w:val="00D36441"/>
    <w:rsid w:val="00D379ED"/>
    <w:rsid w:val="00D401D8"/>
    <w:rsid w:val="00D40C52"/>
    <w:rsid w:val="00D41DCE"/>
    <w:rsid w:val="00D42D08"/>
    <w:rsid w:val="00D44602"/>
    <w:rsid w:val="00D44B2D"/>
    <w:rsid w:val="00D44B7E"/>
    <w:rsid w:val="00D45961"/>
    <w:rsid w:val="00D45B9E"/>
    <w:rsid w:val="00D4623D"/>
    <w:rsid w:val="00D46DF4"/>
    <w:rsid w:val="00D4713C"/>
    <w:rsid w:val="00D47475"/>
    <w:rsid w:val="00D5021C"/>
    <w:rsid w:val="00D5045F"/>
    <w:rsid w:val="00D509DC"/>
    <w:rsid w:val="00D50B9C"/>
    <w:rsid w:val="00D51CC0"/>
    <w:rsid w:val="00D526F7"/>
    <w:rsid w:val="00D52BCA"/>
    <w:rsid w:val="00D5395C"/>
    <w:rsid w:val="00D53E7D"/>
    <w:rsid w:val="00D540FE"/>
    <w:rsid w:val="00D54D05"/>
    <w:rsid w:val="00D55374"/>
    <w:rsid w:val="00D5574D"/>
    <w:rsid w:val="00D558D4"/>
    <w:rsid w:val="00D5610C"/>
    <w:rsid w:val="00D565E7"/>
    <w:rsid w:val="00D57FED"/>
    <w:rsid w:val="00D60080"/>
    <w:rsid w:val="00D6129D"/>
    <w:rsid w:val="00D61382"/>
    <w:rsid w:val="00D61ABC"/>
    <w:rsid w:val="00D62690"/>
    <w:rsid w:val="00D627BB"/>
    <w:rsid w:val="00D63268"/>
    <w:rsid w:val="00D66B36"/>
    <w:rsid w:val="00D673A3"/>
    <w:rsid w:val="00D6756D"/>
    <w:rsid w:val="00D6782A"/>
    <w:rsid w:val="00D71EDF"/>
    <w:rsid w:val="00D72707"/>
    <w:rsid w:val="00D72CAF"/>
    <w:rsid w:val="00D74974"/>
    <w:rsid w:val="00D75B86"/>
    <w:rsid w:val="00D7600B"/>
    <w:rsid w:val="00D7621C"/>
    <w:rsid w:val="00D765A1"/>
    <w:rsid w:val="00D778AF"/>
    <w:rsid w:val="00D77E3C"/>
    <w:rsid w:val="00D8005D"/>
    <w:rsid w:val="00D810BB"/>
    <w:rsid w:val="00D810E3"/>
    <w:rsid w:val="00D813CD"/>
    <w:rsid w:val="00D81B5A"/>
    <w:rsid w:val="00D81EA1"/>
    <w:rsid w:val="00D82169"/>
    <w:rsid w:val="00D82955"/>
    <w:rsid w:val="00D8389B"/>
    <w:rsid w:val="00D83FA5"/>
    <w:rsid w:val="00D843AE"/>
    <w:rsid w:val="00D84812"/>
    <w:rsid w:val="00D84EE9"/>
    <w:rsid w:val="00D85803"/>
    <w:rsid w:val="00D85ACB"/>
    <w:rsid w:val="00D85BBF"/>
    <w:rsid w:val="00D85E16"/>
    <w:rsid w:val="00D8766C"/>
    <w:rsid w:val="00D87B6D"/>
    <w:rsid w:val="00D87CE7"/>
    <w:rsid w:val="00D90A0C"/>
    <w:rsid w:val="00D90D24"/>
    <w:rsid w:val="00D9116D"/>
    <w:rsid w:val="00D91401"/>
    <w:rsid w:val="00D91BBE"/>
    <w:rsid w:val="00D923BA"/>
    <w:rsid w:val="00D93A87"/>
    <w:rsid w:val="00D94AF5"/>
    <w:rsid w:val="00D955E2"/>
    <w:rsid w:val="00D95F8F"/>
    <w:rsid w:val="00D95F94"/>
    <w:rsid w:val="00D9612F"/>
    <w:rsid w:val="00D9693F"/>
    <w:rsid w:val="00D97D2C"/>
    <w:rsid w:val="00DA0EDF"/>
    <w:rsid w:val="00DA1511"/>
    <w:rsid w:val="00DA1BA1"/>
    <w:rsid w:val="00DA2071"/>
    <w:rsid w:val="00DA26AD"/>
    <w:rsid w:val="00DA31D3"/>
    <w:rsid w:val="00DA4FD6"/>
    <w:rsid w:val="00DA5DA6"/>
    <w:rsid w:val="00DA6495"/>
    <w:rsid w:val="00DA6696"/>
    <w:rsid w:val="00DA6E64"/>
    <w:rsid w:val="00DB00D0"/>
    <w:rsid w:val="00DB05F0"/>
    <w:rsid w:val="00DB1F8C"/>
    <w:rsid w:val="00DB219B"/>
    <w:rsid w:val="00DB4F06"/>
    <w:rsid w:val="00DB5030"/>
    <w:rsid w:val="00DB50D0"/>
    <w:rsid w:val="00DB6332"/>
    <w:rsid w:val="00DB703B"/>
    <w:rsid w:val="00DB756E"/>
    <w:rsid w:val="00DC11A1"/>
    <w:rsid w:val="00DC264A"/>
    <w:rsid w:val="00DC53B4"/>
    <w:rsid w:val="00DC6042"/>
    <w:rsid w:val="00DC6E93"/>
    <w:rsid w:val="00DC7361"/>
    <w:rsid w:val="00DD0217"/>
    <w:rsid w:val="00DD0C5B"/>
    <w:rsid w:val="00DD0CE9"/>
    <w:rsid w:val="00DD0F51"/>
    <w:rsid w:val="00DD5482"/>
    <w:rsid w:val="00DD54BE"/>
    <w:rsid w:val="00DD6040"/>
    <w:rsid w:val="00DD79BB"/>
    <w:rsid w:val="00DD7F77"/>
    <w:rsid w:val="00DD7F78"/>
    <w:rsid w:val="00DE0179"/>
    <w:rsid w:val="00DE1C7A"/>
    <w:rsid w:val="00DE1C85"/>
    <w:rsid w:val="00DE24DA"/>
    <w:rsid w:val="00DE2A2B"/>
    <w:rsid w:val="00DE3592"/>
    <w:rsid w:val="00DE3B1B"/>
    <w:rsid w:val="00DE5854"/>
    <w:rsid w:val="00DE5F1F"/>
    <w:rsid w:val="00DE606C"/>
    <w:rsid w:val="00DE658A"/>
    <w:rsid w:val="00DE7885"/>
    <w:rsid w:val="00DF1837"/>
    <w:rsid w:val="00DF221D"/>
    <w:rsid w:val="00DF2891"/>
    <w:rsid w:val="00DF4328"/>
    <w:rsid w:val="00DF45C0"/>
    <w:rsid w:val="00DF5719"/>
    <w:rsid w:val="00DF5E22"/>
    <w:rsid w:val="00DF63DB"/>
    <w:rsid w:val="00DF6936"/>
    <w:rsid w:val="00DF6B44"/>
    <w:rsid w:val="00DF7621"/>
    <w:rsid w:val="00DF7680"/>
    <w:rsid w:val="00DF774B"/>
    <w:rsid w:val="00DF7C6B"/>
    <w:rsid w:val="00E004BF"/>
    <w:rsid w:val="00E00650"/>
    <w:rsid w:val="00E01200"/>
    <w:rsid w:val="00E020E9"/>
    <w:rsid w:val="00E02C0D"/>
    <w:rsid w:val="00E053C5"/>
    <w:rsid w:val="00E05977"/>
    <w:rsid w:val="00E06CA5"/>
    <w:rsid w:val="00E07C12"/>
    <w:rsid w:val="00E127F6"/>
    <w:rsid w:val="00E12A44"/>
    <w:rsid w:val="00E12BFE"/>
    <w:rsid w:val="00E1322A"/>
    <w:rsid w:val="00E13B1F"/>
    <w:rsid w:val="00E13B6D"/>
    <w:rsid w:val="00E143FF"/>
    <w:rsid w:val="00E14B1B"/>
    <w:rsid w:val="00E15D92"/>
    <w:rsid w:val="00E16457"/>
    <w:rsid w:val="00E165B5"/>
    <w:rsid w:val="00E16CD6"/>
    <w:rsid w:val="00E20D48"/>
    <w:rsid w:val="00E212AD"/>
    <w:rsid w:val="00E22489"/>
    <w:rsid w:val="00E22568"/>
    <w:rsid w:val="00E2298D"/>
    <w:rsid w:val="00E2393A"/>
    <w:rsid w:val="00E23CBB"/>
    <w:rsid w:val="00E24C3C"/>
    <w:rsid w:val="00E2537F"/>
    <w:rsid w:val="00E26E9F"/>
    <w:rsid w:val="00E3034C"/>
    <w:rsid w:val="00E309B0"/>
    <w:rsid w:val="00E310AD"/>
    <w:rsid w:val="00E31B93"/>
    <w:rsid w:val="00E322C1"/>
    <w:rsid w:val="00E324F0"/>
    <w:rsid w:val="00E328AD"/>
    <w:rsid w:val="00E32F88"/>
    <w:rsid w:val="00E332A4"/>
    <w:rsid w:val="00E33675"/>
    <w:rsid w:val="00E34059"/>
    <w:rsid w:val="00E35F41"/>
    <w:rsid w:val="00E36E53"/>
    <w:rsid w:val="00E370A3"/>
    <w:rsid w:val="00E375D4"/>
    <w:rsid w:val="00E40684"/>
    <w:rsid w:val="00E410F4"/>
    <w:rsid w:val="00E41D35"/>
    <w:rsid w:val="00E42112"/>
    <w:rsid w:val="00E4212B"/>
    <w:rsid w:val="00E42AD1"/>
    <w:rsid w:val="00E43826"/>
    <w:rsid w:val="00E438C1"/>
    <w:rsid w:val="00E4418A"/>
    <w:rsid w:val="00E46435"/>
    <w:rsid w:val="00E47544"/>
    <w:rsid w:val="00E47795"/>
    <w:rsid w:val="00E478B1"/>
    <w:rsid w:val="00E47FD1"/>
    <w:rsid w:val="00E5066A"/>
    <w:rsid w:val="00E50D75"/>
    <w:rsid w:val="00E50EA5"/>
    <w:rsid w:val="00E517FC"/>
    <w:rsid w:val="00E51B1E"/>
    <w:rsid w:val="00E51B2F"/>
    <w:rsid w:val="00E52B3F"/>
    <w:rsid w:val="00E54728"/>
    <w:rsid w:val="00E54B97"/>
    <w:rsid w:val="00E55B85"/>
    <w:rsid w:val="00E56157"/>
    <w:rsid w:val="00E567DA"/>
    <w:rsid w:val="00E60437"/>
    <w:rsid w:val="00E60AAD"/>
    <w:rsid w:val="00E60ABC"/>
    <w:rsid w:val="00E615D8"/>
    <w:rsid w:val="00E6197C"/>
    <w:rsid w:val="00E61A8D"/>
    <w:rsid w:val="00E63018"/>
    <w:rsid w:val="00E6385A"/>
    <w:rsid w:val="00E64C8D"/>
    <w:rsid w:val="00E64D96"/>
    <w:rsid w:val="00E6533C"/>
    <w:rsid w:val="00E65407"/>
    <w:rsid w:val="00E65DCE"/>
    <w:rsid w:val="00E66C87"/>
    <w:rsid w:val="00E67862"/>
    <w:rsid w:val="00E67908"/>
    <w:rsid w:val="00E70B57"/>
    <w:rsid w:val="00E71D1D"/>
    <w:rsid w:val="00E7219E"/>
    <w:rsid w:val="00E7297C"/>
    <w:rsid w:val="00E73A23"/>
    <w:rsid w:val="00E73A73"/>
    <w:rsid w:val="00E7495A"/>
    <w:rsid w:val="00E749E0"/>
    <w:rsid w:val="00E749F2"/>
    <w:rsid w:val="00E753DA"/>
    <w:rsid w:val="00E75642"/>
    <w:rsid w:val="00E75BA8"/>
    <w:rsid w:val="00E76352"/>
    <w:rsid w:val="00E770C2"/>
    <w:rsid w:val="00E80A80"/>
    <w:rsid w:val="00E82D44"/>
    <w:rsid w:val="00E82D5A"/>
    <w:rsid w:val="00E83D55"/>
    <w:rsid w:val="00E83E48"/>
    <w:rsid w:val="00E85A7D"/>
    <w:rsid w:val="00E85C65"/>
    <w:rsid w:val="00E85F26"/>
    <w:rsid w:val="00E8600F"/>
    <w:rsid w:val="00E86AA1"/>
    <w:rsid w:val="00E878FB"/>
    <w:rsid w:val="00E90023"/>
    <w:rsid w:val="00E90425"/>
    <w:rsid w:val="00E91090"/>
    <w:rsid w:val="00E91827"/>
    <w:rsid w:val="00E92A7E"/>
    <w:rsid w:val="00E92BDD"/>
    <w:rsid w:val="00E933D3"/>
    <w:rsid w:val="00E939AC"/>
    <w:rsid w:val="00E93ADB"/>
    <w:rsid w:val="00E93BD4"/>
    <w:rsid w:val="00E93D6C"/>
    <w:rsid w:val="00E9773A"/>
    <w:rsid w:val="00E97FE8"/>
    <w:rsid w:val="00EA0FE8"/>
    <w:rsid w:val="00EA1071"/>
    <w:rsid w:val="00EA125D"/>
    <w:rsid w:val="00EA1830"/>
    <w:rsid w:val="00EA2415"/>
    <w:rsid w:val="00EA29BE"/>
    <w:rsid w:val="00EA495A"/>
    <w:rsid w:val="00EA4EE2"/>
    <w:rsid w:val="00EA54AE"/>
    <w:rsid w:val="00EA68DB"/>
    <w:rsid w:val="00EA7380"/>
    <w:rsid w:val="00EA75D5"/>
    <w:rsid w:val="00EA7E65"/>
    <w:rsid w:val="00EB09B3"/>
    <w:rsid w:val="00EB2F49"/>
    <w:rsid w:val="00EB31E7"/>
    <w:rsid w:val="00EB3264"/>
    <w:rsid w:val="00EB4B36"/>
    <w:rsid w:val="00EB5B98"/>
    <w:rsid w:val="00EB67A7"/>
    <w:rsid w:val="00EB722D"/>
    <w:rsid w:val="00EC0023"/>
    <w:rsid w:val="00EC1AAC"/>
    <w:rsid w:val="00EC338F"/>
    <w:rsid w:val="00EC3C71"/>
    <w:rsid w:val="00EC3D48"/>
    <w:rsid w:val="00EC46F8"/>
    <w:rsid w:val="00EC4784"/>
    <w:rsid w:val="00EC4FFE"/>
    <w:rsid w:val="00EC62DE"/>
    <w:rsid w:val="00EC6744"/>
    <w:rsid w:val="00ED0B5B"/>
    <w:rsid w:val="00ED163C"/>
    <w:rsid w:val="00ED4033"/>
    <w:rsid w:val="00ED45EB"/>
    <w:rsid w:val="00ED4685"/>
    <w:rsid w:val="00ED4A59"/>
    <w:rsid w:val="00ED5B75"/>
    <w:rsid w:val="00ED6558"/>
    <w:rsid w:val="00ED7590"/>
    <w:rsid w:val="00ED7B2B"/>
    <w:rsid w:val="00EE02BD"/>
    <w:rsid w:val="00EE0E2B"/>
    <w:rsid w:val="00EE18E8"/>
    <w:rsid w:val="00EE1C46"/>
    <w:rsid w:val="00EE1E44"/>
    <w:rsid w:val="00EE3FE3"/>
    <w:rsid w:val="00EE4527"/>
    <w:rsid w:val="00EE5723"/>
    <w:rsid w:val="00EE5CE4"/>
    <w:rsid w:val="00EE6A02"/>
    <w:rsid w:val="00EE7630"/>
    <w:rsid w:val="00EF074C"/>
    <w:rsid w:val="00EF248D"/>
    <w:rsid w:val="00EF2545"/>
    <w:rsid w:val="00EF3E35"/>
    <w:rsid w:val="00EF3E62"/>
    <w:rsid w:val="00EF43B3"/>
    <w:rsid w:val="00EF4E26"/>
    <w:rsid w:val="00EF580B"/>
    <w:rsid w:val="00EF672B"/>
    <w:rsid w:val="00EF7C3E"/>
    <w:rsid w:val="00F0021A"/>
    <w:rsid w:val="00F00EF0"/>
    <w:rsid w:val="00F0139B"/>
    <w:rsid w:val="00F01452"/>
    <w:rsid w:val="00F01703"/>
    <w:rsid w:val="00F01B5B"/>
    <w:rsid w:val="00F01BD3"/>
    <w:rsid w:val="00F02915"/>
    <w:rsid w:val="00F02F0D"/>
    <w:rsid w:val="00F03ADF"/>
    <w:rsid w:val="00F03ECA"/>
    <w:rsid w:val="00F0405D"/>
    <w:rsid w:val="00F04648"/>
    <w:rsid w:val="00F04E74"/>
    <w:rsid w:val="00F05AB7"/>
    <w:rsid w:val="00F06AE7"/>
    <w:rsid w:val="00F078B0"/>
    <w:rsid w:val="00F11364"/>
    <w:rsid w:val="00F12F4E"/>
    <w:rsid w:val="00F130E4"/>
    <w:rsid w:val="00F139DA"/>
    <w:rsid w:val="00F143BB"/>
    <w:rsid w:val="00F144E0"/>
    <w:rsid w:val="00F14882"/>
    <w:rsid w:val="00F15A10"/>
    <w:rsid w:val="00F163B7"/>
    <w:rsid w:val="00F16F81"/>
    <w:rsid w:val="00F17211"/>
    <w:rsid w:val="00F176BA"/>
    <w:rsid w:val="00F17D47"/>
    <w:rsid w:val="00F20F5B"/>
    <w:rsid w:val="00F221FD"/>
    <w:rsid w:val="00F22404"/>
    <w:rsid w:val="00F22B42"/>
    <w:rsid w:val="00F242DB"/>
    <w:rsid w:val="00F24B05"/>
    <w:rsid w:val="00F25A57"/>
    <w:rsid w:val="00F27132"/>
    <w:rsid w:val="00F27620"/>
    <w:rsid w:val="00F2781B"/>
    <w:rsid w:val="00F303D9"/>
    <w:rsid w:val="00F31892"/>
    <w:rsid w:val="00F31D2B"/>
    <w:rsid w:val="00F33DE4"/>
    <w:rsid w:val="00F3498C"/>
    <w:rsid w:val="00F3648D"/>
    <w:rsid w:val="00F36650"/>
    <w:rsid w:val="00F36B0A"/>
    <w:rsid w:val="00F377BA"/>
    <w:rsid w:val="00F37C75"/>
    <w:rsid w:val="00F37F87"/>
    <w:rsid w:val="00F4015E"/>
    <w:rsid w:val="00F41D42"/>
    <w:rsid w:val="00F4278B"/>
    <w:rsid w:val="00F42BAD"/>
    <w:rsid w:val="00F43DD2"/>
    <w:rsid w:val="00F440C6"/>
    <w:rsid w:val="00F44DD9"/>
    <w:rsid w:val="00F4550B"/>
    <w:rsid w:val="00F463D4"/>
    <w:rsid w:val="00F46854"/>
    <w:rsid w:val="00F50A2D"/>
    <w:rsid w:val="00F5113B"/>
    <w:rsid w:val="00F51351"/>
    <w:rsid w:val="00F525D4"/>
    <w:rsid w:val="00F52930"/>
    <w:rsid w:val="00F52A03"/>
    <w:rsid w:val="00F537D4"/>
    <w:rsid w:val="00F53B25"/>
    <w:rsid w:val="00F53DC1"/>
    <w:rsid w:val="00F54B00"/>
    <w:rsid w:val="00F54C0B"/>
    <w:rsid w:val="00F555CE"/>
    <w:rsid w:val="00F55944"/>
    <w:rsid w:val="00F565E8"/>
    <w:rsid w:val="00F56C5D"/>
    <w:rsid w:val="00F572DA"/>
    <w:rsid w:val="00F575A1"/>
    <w:rsid w:val="00F60829"/>
    <w:rsid w:val="00F60EC5"/>
    <w:rsid w:val="00F61771"/>
    <w:rsid w:val="00F629C3"/>
    <w:rsid w:val="00F62CFF"/>
    <w:rsid w:val="00F63760"/>
    <w:rsid w:val="00F641B5"/>
    <w:rsid w:val="00F647D5"/>
    <w:rsid w:val="00F64F53"/>
    <w:rsid w:val="00F65889"/>
    <w:rsid w:val="00F6600B"/>
    <w:rsid w:val="00F6629A"/>
    <w:rsid w:val="00F66856"/>
    <w:rsid w:val="00F66CF2"/>
    <w:rsid w:val="00F673E3"/>
    <w:rsid w:val="00F72065"/>
    <w:rsid w:val="00F72236"/>
    <w:rsid w:val="00F72402"/>
    <w:rsid w:val="00F73037"/>
    <w:rsid w:val="00F731D3"/>
    <w:rsid w:val="00F73BEA"/>
    <w:rsid w:val="00F7513A"/>
    <w:rsid w:val="00F7594D"/>
    <w:rsid w:val="00F77CBB"/>
    <w:rsid w:val="00F8140C"/>
    <w:rsid w:val="00F826E0"/>
    <w:rsid w:val="00F82D88"/>
    <w:rsid w:val="00F833AC"/>
    <w:rsid w:val="00F83593"/>
    <w:rsid w:val="00F838E7"/>
    <w:rsid w:val="00F839B1"/>
    <w:rsid w:val="00F83A91"/>
    <w:rsid w:val="00F83F7B"/>
    <w:rsid w:val="00F84193"/>
    <w:rsid w:val="00F84878"/>
    <w:rsid w:val="00F84907"/>
    <w:rsid w:val="00F84BC3"/>
    <w:rsid w:val="00F84EAC"/>
    <w:rsid w:val="00F8555A"/>
    <w:rsid w:val="00F85ACB"/>
    <w:rsid w:val="00F8602C"/>
    <w:rsid w:val="00F86208"/>
    <w:rsid w:val="00F87A91"/>
    <w:rsid w:val="00F87CAD"/>
    <w:rsid w:val="00F87D8C"/>
    <w:rsid w:val="00F90147"/>
    <w:rsid w:val="00F90CDD"/>
    <w:rsid w:val="00F90DBE"/>
    <w:rsid w:val="00F90F6A"/>
    <w:rsid w:val="00F912EF"/>
    <w:rsid w:val="00F91EEE"/>
    <w:rsid w:val="00F91F41"/>
    <w:rsid w:val="00F922FC"/>
    <w:rsid w:val="00F928A2"/>
    <w:rsid w:val="00F92E0A"/>
    <w:rsid w:val="00F93EE7"/>
    <w:rsid w:val="00F942FD"/>
    <w:rsid w:val="00F94372"/>
    <w:rsid w:val="00F94AF3"/>
    <w:rsid w:val="00F953DC"/>
    <w:rsid w:val="00F96B21"/>
    <w:rsid w:val="00F976D2"/>
    <w:rsid w:val="00FA08CD"/>
    <w:rsid w:val="00FA0A62"/>
    <w:rsid w:val="00FA0B42"/>
    <w:rsid w:val="00FA1F54"/>
    <w:rsid w:val="00FA24CF"/>
    <w:rsid w:val="00FA25BD"/>
    <w:rsid w:val="00FA304F"/>
    <w:rsid w:val="00FA306F"/>
    <w:rsid w:val="00FA3CA9"/>
    <w:rsid w:val="00FA3CE9"/>
    <w:rsid w:val="00FA449A"/>
    <w:rsid w:val="00FA46B3"/>
    <w:rsid w:val="00FA5701"/>
    <w:rsid w:val="00FA6143"/>
    <w:rsid w:val="00FA6CC3"/>
    <w:rsid w:val="00FA79E5"/>
    <w:rsid w:val="00FB0361"/>
    <w:rsid w:val="00FB07EA"/>
    <w:rsid w:val="00FB084A"/>
    <w:rsid w:val="00FB090B"/>
    <w:rsid w:val="00FB151E"/>
    <w:rsid w:val="00FB1EA5"/>
    <w:rsid w:val="00FB224C"/>
    <w:rsid w:val="00FB286F"/>
    <w:rsid w:val="00FB294D"/>
    <w:rsid w:val="00FB3372"/>
    <w:rsid w:val="00FB3875"/>
    <w:rsid w:val="00FB40E5"/>
    <w:rsid w:val="00FB446F"/>
    <w:rsid w:val="00FB4636"/>
    <w:rsid w:val="00FB48AE"/>
    <w:rsid w:val="00FB4E29"/>
    <w:rsid w:val="00FB526E"/>
    <w:rsid w:val="00FB5B8F"/>
    <w:rsid w:val="00FB6A09"/>
    <w:rsid w:val="00FB74E6"/>
    <w:rsid w:val="00FB76E4"/>
    <w:rsid w:val="00FC0BA0"/>
    <w:rsid w:val="00FC1800"/>
    <w:rsid w:val="00FC21E1"/>
    <w:rsid w:val="00FC3197"/>
    <w:rsid w:val="00FC4583"/>
    <w:rsid w:val="00FC4A10"/>
    <w:rsid w:val="00FC4AAB"/>
    <w:rsid w:val="00FC515D"/>
    <w:rsid w:val="00FC598F"/>
    <w:rsid w:val="00FC5C46"/>
    <w:rsid w:val="00FC63DC"/>
    <w:rsid w:val="00FC7863"/>
    <w:rsid w:val="00FD0618"/>
    <w:rsid w:val="00FD07AB"/>
    <w:rsid w:val="00FD0BAF"/>
    <w:rsid w:val="00FD0D9F"/>
    <w:rsid w:val="00FD1CEF"/>
    <w:rsid w:val="00FD1F6A"/>
    <w:rsid w:val="00FD20CD"/>
    <w:rsid w:val="00FD23C5"/>
    <w:rsid w:val="00FD49A0"/>
    <w:rsid w:val="00FD513E"/>
    <w:rsid w:val="00FD518E"/>
    <w:rsid w:val="00FD5E9D"/>
    <w:rsid w:val="00FD60C1"/>
    <w:rsid w:val="00FD6786"/>
    <w:rsid w:val="00FD696E"/>
    <w:rsid w:val="00FE086D"/>
    <w:rsid w:val="00FE08C3"/>
    <w:rsid w:val="00FE09E5"/>
    <w:rsid w:val="00FE1987"/>
    <w:rsid w:val="00FE1C8C"/>
    <w:rsid w:val="00FE551E"/>
    <w:rsid w:val="00FE55EB"/>
    <w:rsid w:val="00FE5969"/>
    <w:rsid w:val="00FE5D38"/>
    <w:rsid w:val="00FE5DC4"/>
    <w:rsid w:val="00FE5DD7"/>
    <w:rsid w:val="00FE7555"/>
    <w:rsid w:val="00FE7FE6"/>
    <w:rsid w:val="00FF141F"/>
    <w:rsid w:val="00FF19AD"/>
    <w:rsid w:val="00FF2924"/>
    <w:rsid w:val="00FF323A"/>
    <w:rsid w:val="00FF3677"/>
    <w:rsid w:val="00FF3871"/>
    <w:rsid w:val="00FF4371"/>
    <w:rsid w:val="00FF45F3"/>
    <w:rsid w:val="00FF47ED"/>
    <w:rsid w:val="00FF4EC5"/>
    <w:rsid w:val="00FF556F"/>
    <w:rsid w:val="00FF6FAC"/>
    <w:rsid w:val="0394C7AB"/>
    <w:rsid w:val="04809D18"/>
    <w:rsid w:val="09540E3B"/>
    <w:rsid w:val="0CEBAEA5"/>
    <w:rsid w:val="0D61A7AD"/>
    <w:rsid w:val="0F4B88EC"/>
    <w:rsid w:val="11A844F4"/>
    <w:rsid w:val="128735A8"/>
    <w:rsid w:val="150746C0"/>
    <w:rsid w:val="1958F72E"/>
    <w:rsid w:val="1CAA107E"/>
    <w:rsid w:val="20C5EE53"/>
    <w:rsid w:val="212B9236"/>
    <w:rsid w:val="237C23F0"/>
    <w:rsid w:val="278D8A5A"/>
    <w:rsid w:val="27A89EB0"/>
    <w:rsid w:val="2AE3066F"/>
    <w:rsid w:val="2DFCCBDE"/>
    <w:rsid w:val="2F989C3F"/>
    <w:rsid w:val="304950B8"/>
    <w:rsid w:val="31346CA0"/>
    <w:rsid w:val="31A264B1"/>
    <w:rsid w:val="3233D964"/>
    <w:rsid w:val="3255CE64"/>
    <w:rsid w:val="32E573E7"/>
    <w:rsid w:val="33F097D4"/>
    <w:rsid w:val="3409C031"/>
    <w:rsid w:val="34814448"/>
    <w:rsid w:val="3541A3FF"/>
    <w:rsid w:val="37283896"/>
    <w:rsid w:val="38DD3154"/>
    <w:rsid w:val="3BFBA9B9"/>
    <w:rsid w:val="3E19846F"/>
    <w:rsid w:val="45055F6E"/>
    <w:rsid w:val="4529FD72"/>
    <w:rsid w:val="459FF67A"/>
    <w:rsid w:val="4D4EB54A"/>
    <w:rsid w:val="4E46C973"/>
    <w:rsid w:val="4EEA85AB"/>
    <w:rsid w:val="4FFF0601"/>
    <w:rsid w:val="50F6DE1F"/>
    <w:rsid w:val="535BA99D"/>
    <w:rsid w:val="552358DF"/>
    <w:rsid w:val="56F59790"/>
    <w:rsid w:val="57D98E7C"/>
    <w:rsid w:val="59CAEB21"/>
    <w:rsid w:val="5B37BF06"/>
    <w:rsid w:val="5C3EA4DF"/>
    <w:rsid w:val="5F6AD384"/>
    <w:rsid w:val="62AB5C34"/>
    <w:rsid w:val="6577D87F"/>
    <w:rsid w:val="66B15BAF"/>
    <w:rsid w:val="6DB90118"/>
    <w:rsid w:val="6F6A4FE2"/>
    <w:rsid w:val="733CD0D2"/>
    <w:rsid w:val="769F9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D111"/>
  <w15:chartTrackingRefBased/>
  <w15:docId w15:val="{E91C8A4A-AAF0-49E4-86B6-015E1BF5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5B"/>
    <w:pPr>
      <w:contextualSpacing/>
    </w:pPr>
    <w:rPr>
      <w:rFonts w:ascii="Times New Roman" w:hAnsi="Times New Roman"/>
      <w:sz w:val="24"/>
      <w:szCs w:val="22"/>
      <w:lang w:eastAsia="en-US"/>
    </w:rPr>
  </w:style>
  <w:style w:type="paragraph" w:styleId="Heading1">
    <w:name w:val="heading 1"/>
    <w:basedOn w:val="Normal"/>
    <w:link w:val="Heading1Char"/>
    <w:uiPriority w:val="9"/>
    <w:qFormat/>
    <w:rsid w:val="00C00132"/>
    <w:pPr>
      <w:spacing w:before="100" w:beforeAutospacing="1" w:after="100" w:afterAutospacing="1"/>
      <w:contextualSpacing w:val="0"/>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link w:val="Footer"/>
    <w:uiPriority w:val="99"/>
    <w:rsid w:val="00CB365B"/>
    <w:rPr>
      <w:rFonts w:ascii="Times New Roman" w:eastAsia="Calibri" w:hAnsi="Times New Roman" w:cs="Times New Roman"/>
      <w:sz w:val="24"/>
    </w:rPr>
  </w:style>
  <w:style w:type="character" w:styleId="Hyperlink">
    <w:name w:val="Hyperlink"/>
    <w:uiPriority w:val="99"/>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link w:val="Header"/>
    <w:uiPriority w:val="99"/>
    <w:rsid w:val="00BF7A49"/>
    <w:rPr>
      <w:rFonts w:ascii="Times New Roman" w:eastAsia="Calibri" w:hAnsi="Times New Roman" w:cs="Times New Roman"/>
      <w:sz w:val="24"/>
    </w:rPr>
  </w:style>
  <w:style w:type="paragraph" w:styleId="FootnoteText">
    <w:name w:val="footnote text"/>
    <w:basedOn w:val="Normal"/>
    <w:link w:val="FootnoteTextChar"/>
    <w:uiPriority w:val="99"/>
    <w:unhideWhenUsed/>
    <w:rsid w:val="009D1B89"/>
    <w:rPr>
      <w:sz w:val="20"/>
      <w:szCs w:val="20"/>
    </w:rPr>
  </w:style>
  <w:style w:type="character" w:customStyle="1" w:styleId="FootnoteTextChar">
    <w:name w:val="Footnote Text Char"/>
    <w:link w:val="FootnoteText"/>
    <w:uiPriority w:val="99"/>
    <w:rsid w:val="009D1B89"/>
    <w:rPr>
      <w:rFonts w:ascii="Times New Roman" w:eastAsia="Calibri" w:hAnsi="Times New Roman" w:cs="Times New Roman"/>
      <w:sz w:val="20"/>
      <w:szCs w:val="20"/>
    </w:rPr>
  </w:style>
  <w:style w:type="character" w:styleId="FootnoteReference">
    <w:name w:val="footnote reference"/>
    <w:uiPriority w:val="99"/>
    <w:semiHidden/>
    <w:unhideWhenUsed/>
    <w:rsid w:val="009D1B89"/>
    <w:rPr>
      <w:vertAlign w:val="superscript"/>
    </w:rPr>
  </w:style>
  <w:style w:type="character" w:styleId="CommentReference">
    <w:name w:val="annotation reference"/>
    <w:uiPriority w:val="99"/>
    <w:semiHidden/>
    <w:unhideWhenUsed/>
    <w:rsid w:val="00896F78"/>
    <w:rPr>
      <w:sz w:val="16"/>
      <w:szCs w:val="16"/>
    </w:rPr>
  </w:style>
  <w:style w:type="paragraph" w:styleId="CommentText">
    <w:name w:val="annotation text"/>
    <w:basedOn w:val="Normal"/>
    <w:link w:val="CommentTextChar"/>
    <w:uiPriority w:val="99"/>
    <w:semiHidden/>
    <w:unhideWhenUsed/>
    <w:rsid w:val="00896F78"/>
    <w:rPr>
      <w:sz w:val="20"/>
      <w:szCs w:val="20"/>
    </w:rPr>
  </w:style>
  <w:style w:type="character" w:customStyle="1" w:styleId="CommentTextChar">
    <w:name w:val="Comment Text Char"/>
    <w:link w:val="CommentText"/>
    <w:uiPriority w:val="99"/>
    <w:semiHidden/>
    <w:rsid w:val="00896F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F78"/>
    <w:rPr>
      <w:b/>
      <w:bCs/>
    </w:rPr>
  </w:style>
  <w:style w:type="character" w:customStyle="1" w:styleId="CommentSubjectChar">
    <w:name w:val="Comment Subject Char"/>
    <w:link w:val="CommentSubject"/>
    <w:uiPriority w:val="99"/>
    <w:semiHidden/>
    <w:rsid w:val="00896F78"/>
    <w:rPr>
      <w:rFonts w:ascii="Times New Roman" w:eastAsia="Calibri" w:hAnsi="Times New Roman" w:cs="Times New Roman"/>
      <w:b/>
      <w:bCs/>
      <w:sz w:val="20"/>
      <w:szCs w:val="20"/>
    </w:rPr>
  </w:style>
  <w:style w:type="character" w:styleId="FollowedHyperlink">
    <w:name w:val="FollowedHyperlink"/>
    <w:uiPriority w:val="99"/>
    <w:semiHidden/>
    <w:unhideWhenUsed/>
    <w:rsid w:val="005F0A3C"/>
    <w:rPr>
      <w:color w:val="800080"/>
      <w:u w:val="single"/>
    </w:rPr>
  </w:style>
  <w:style w:type="character" w:styleId="Strong">
    <w:name w:val="Strong"/>
    <w:uiPriority w:val="22"/>
    <w:qFormat/>
    <w:rsid w:val="004922A0"/>
    <w:rPr>
      <w:b/>
      <w:bCs/>
    </w:rPr>
  </w:style>
  <w:style w:type="paragraph" w:customStyle="1" w:styleId="Default">
    <w:name w:val="Default"/>
    <w:rsid w:val="00CC3AB1"/>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9D1C2A"/>
    <w:rPr>
      <w:rFonts w:ascii="Times New Roman" w:hAnsi="Times New Roman"/>
      <w:sz w:val="24"/>
      <w:szCs w:val="22"/>
      <w:lang w:eastAsia="en-US"/>
    </w:rPr>
  </w:style>
  <w:style w:type="character" w:customStyle="1" w:styleId="normaltextrun">
    <w:name w:val="normaltextrun"/>
    <w:basedOn w:val="DefaultParagraphFont"/>
    <w:rsid w:val="006A106A"/>
  </w:style>
  <w:style w:type="character" w:customStyle="1" w:styleId="findhit">
    <w:name w:val="findhit"/>
    <w:basedOn w:val="DefaultParagraphFont"/>
    <w:rsid w:val="006A106A"/>
  </w:style>
  <w:style w:type="character" w:customStyle="1" w:styleId="eop">
    <w:name w:val="eop"/>
    <w:basedOn w:val="DefaultParagraphFont"/>
    <w:rsid w:val="006A106A"/>
  </w:style>
  <w:style w:type="paragraph" w:styleId="NoSpacing">
    <w:name w:val="No Spacing"/>
    <w:uiPriority w:val="1"/>
    <w:qFormat/>
    <w:rsid w:val="00A243B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B7127"/>
    <w:rPr>
      <w:color w:val="605E5C"/>
      <w:shd w:val="clear" w:color="auto" w:fill="E1DFDD"/>
    </w:rPr>
  </w:style>
  <w:style w:type="character" w:customStyle="1" w:styleId="bumpedfont15">
    <w:name w:val="bumpedfont15"/>
    <w:basedOn w:val="DefaultParagraphFont"/>
    <w:rsid w:val="008F5F53"/>
  </w:style>
  <w:style w:type="character" w:customStyle="1" w:styleId="Heading1Char">
    <w:name w:val="Heading 1 Char"/>
    <w:basedOn w:val="DefaultParagraphFont"/>
    <w:link w:val="Heading1"/>
    <w:uiPriority w:val="9"/>
    <w:rsid w:val="00C00132"/>
    <w:rPr>
      <w:rFonts w:ascii="Times New Roman" w:eastAsia="Times New Roman" w:hAnsi="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412120071">
                      <w:marLeft w:val="72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1326936822">
                      <w:marLeft w:val="18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667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4424">
      <w:bodyDiv w:val="1"/>
      <w:marLeft w:val="0"/>
      <w:marRight w:val="0"/>
      <w:marTop w:val="0"/>
      <w:marBottom w:val="0"/>
      <w:divBdr>
        <w:top w:val="none" w:sz="0" w:space="0" w:color="auto"/>
        <w:left w:val="none" w:sz="0" w:space="0" w:color="auto"/>
        <w:bottom w:val="none" w:sz="0" w:space="0" w:color="auto"/>
        <w:right w:val="none" w:sz="0" w:space="0" w:color="auto"/>
      </w:divBdr>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566453536">
                      <w:marLeft w:val="180"/>
                      <w:marRight w:val="0"/>
                      <w:marTop w:val="0"/>
                      <w:marBottom w:val="0"/>
                      <w:divBdr>
                        <w:top w:val="none" w:sz="0" w:space="0" w:color="auto"/>
                        <w:left w:val="none" w:sz="0" w:space="0" w:color="auto"/>
                        <w:bottom w:val="none" w:sz="0" w:space="0" w:color="auto"/>
                        <w:right w:val="none" w:sz="0" w:space="0" w:color="auto"/>
                      </w:divBdr>
                    </w:div>
                    <w:div w:id="6573473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683">
      <w:bodyDiv w:val="1"/>
      <w:marLeft w:val="0"/>
      <w:marRight w:val="0"/>
      <w:marTop w:val="0"/>
      <w:marBottom w:val="0"/>
      <w:divBdr>
        <w:top w:val="none" w:sz="0" w:space="0" w:color="auto"/>
        <w:left w:val="none" w:sz="0" w:space="0" w:color="auto"/>
        <w:bottom w:val="none" w:sz="0" w:space="0" w:color="auto"/>
        <w:right w:val="none" w:sz="0" w:space="0" w:color="auto"/>
      </w:divBdr>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339650878">
      <w:bodyDiv w:val="1"/>
      <w:marLeft w:val="0"/>
      <w:marRight w:val="0"/>
      <w:marTop w:val="0"/>
      <w:marBottom w:val="0"/>
      <w:divBdr>
        <w:top w:val="none" w:sz="0" w:space="0" w:color="auto"/>
        <w:left w:val="none" w:sz="0" w:space="0" w:color="auto"/>
        <w:bottom w:val="none" w:sz="0" w:space="0" w:color="auto"/>
        <w:right w:val="none" w:sz="0" w:space="0" w:color="auto"/>
      </w:divBdr>
      <w:divsChild>
        <w:div w:id="1644236760">
          <w:marLeft w:val="150"/>
          <w:marRight w:val="150"/>
          <w:marTop w:val="150"/>
          <w:marBottom w:val="150"/>
          <w:divBdr>
            <w:top w:val="none" w:sz="0" w:space="0" w:color="auto"/>
            <w:left w:val="none" w:sz="0" w:space="0" w:color="auto"/>
            <w:bottom w:val="none" w:sz="0" w:space="0" w:color="auto"/>
            <w:right w:val="none" w:sz="0" w:space="0" w:color="auto"/>
          </w:divBdr>
          <w:divsChild>
            <w:div w:id="1556046147">
              <w:marLeft w:val="0"/>
              <w:marRight w:val="0"/>
              <w:marTop w:val="0"/>
              <w:marBottom w:val="0"/>
              <w:divBdr>
                <w:top w:val="none" w:sz="0" w:space="0" w:color="auto"/>
                <w:left w:val="none" w:sz="0" w:space="0" w:color="auto"/>
                <w:bottom w:val="none" w:sz="0" w:space="0" w:color="auto"/>
                <w:right w:val="none" w:sz="0" w:space="0" w:color="auto"/>
              </w:divBdr>
              <w:divsChild>
                <w:div w:id="1078820638">
                  <w:marLeft w:val="0"/>
                  <w:marRight w:val="0"/>
                  <w:marTop w:val="0"/>
                  <w:marBottom w:val="0"/>
                  <w:divBdr>
                    <w:top w:val="none" w:sz="0" w:space="0" w:color="auto"/>
                    <w:left w:val="none" w:sz="0" w:space="0" w:color="auto"/>
                    <w:bottom w:val="none" w:sz="0" w:space="0" w:color="auto"/>
                    <w:right w:val="none" w:sz="0" w:space="0" w:color="auto"/>
                  </w:divBdr>
                  <w:divsChild>
                    <w:div w:id="767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3505">
      <w:bodyDiv w:val="1"/>
      <w:marLeft w:val="0"/>
      <w:marRight w:val="0"/>
      <w:marTop w:val="0"/>
      <w:marBottom w:val="0"/>
      <w:divBdr>
        <w:top w:val="none" w:sz="0" w:space="0" w:color="auto"/>
        <w:left w:val="none" w:sz="0" w:space="0" w:color="auto"/>
        <w:bottom w:val="none" w:sz="0" w:space="0" w:color="auto"/>
        <w:right w:val="none" w:sz="0" w:space="0" w:color="auto"/>
      </w:divBdr>
    </w:div>
    <w:div w:id="21243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OpinionFiles/Div1/2024/IC23-0025%20Pierpont%20(05202024)%20Fina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2E095-4FD9-4681-8D56-F2B0585953D1}">
  <ds:schemaRefs>
    <ds:schemaRef ds:uri="http://schemas.microsoft.com/sharepoint/v3/contenttype/forms"/>
  </ds:schemaRefs>
</ds:datastoreItem>
</file>

<file path=customXml/itemProps2.xml><?xml version="1.0" encoding="utf-8"?>
<ds:datastoreItem xmlns:ds="http://schemas.openxmlformats.org/officeDocument/2006/customXml" ds:itemID="{429530B3-B498-44A8-9863-B5C5E431E96B}">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16814C15-0C4D-4E7F-AC48-9DA40AEA86DB}">
  <ds:schemaRefs>
    <ds:schemaRef ds:uri="http://schemas.openxmlformats.org/officeDocument/2006/bibliography"/>
  </ds:schemaRefs>
</ds:datastoreItem>
</file>

<file path=customXml/itemProps4.xml><?xml version="1.0" encoding="utf-8"?>
<ds:datastoreItem xmlns:ds="http://schemas.openxmlformats.org/officeDocument/2006/customXml" ds:itemID="{C0650486-538D-4A7C-B1D6-89B4FB5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4460</Words>
  <Characters>24041</Characters>
  <Application>Microsoft Office Word</Application>
  <DocSecurity>0</DocSecurity>
  <Lines>437</Lines>
  <Paragraphs>131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28370</CharactersWithSpaces>
  <SharedDoc>false</SharedDoc>
  <HLinks>
    <vt:vector size="6" baseType="variant">
      <vt:variant>
        <vt:i4>65548</vt:i4>
      </vt:variant>
      <vt:variant>
        <vt:i4>0</vt:i4>
      </vt:variant>
      <vt:variant>
        <vt:i4>0</vt:i4>
      </vt:variant>
      <vt:variant>
        <vt:i4>5</vt:i4>
      </vt:variant>
      <vt:variant>
        <vt:lpwstr>https://www.azcourts.gov/Portals/0/OpinionFiles/Div1/2024/IC23-0025 Pierpont (05202024)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Gonzales, Veronica</cp:lastModifiedBy>
  <cp:revision>31</cp:revision>
  <cp:lastPrinted>2016-12-02T04:02:00Z</cp:lastPrinted>
  <dcterms:created xsi:type="dcterms:W3CDTF">2024-06-25T19:02:00Z</dcterms:created>
  <dcterms:modified xsi:type="dcterms:W3CDTF">2024-06-27T16:59:00Z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