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2B5E" w14:textId="77777777" w:rsidR="00CB085A" w:rsidRPr="00B256DE" w:rsidRDefault="00CB085A" w:rsidP="00CB085A">
      <w:pPr>
        <w:jc w:val="both"/>
        <w:rPr>
          <w:sz w:val="28"/>
          <w:szCs w:val="28"/>
        </w:rPr>
      </w:pPr>
      <w:r w:rsidRPr="00B256DE">
        <w:rPr>
          <w:sz w:val="28"/>
          <w:szCs w:val="28"/>
        </w:rPr>
        <w:t>Sara J. Agne</w:t>
      </w:r>
    </w:p>
    <w:p w14:paraId="64268AB7" w14:textId="6036DA43" w:rsidR="00CB085A" w:rsidRPr="00B256DE" w:rsidRDefault="00CB085A" w:rsidP="00CB085A">
      <w:pPr>
        <w:jc w:val="both"/>
        <w:rPr>
          <w:sz w:val="28"/>
          <w:szCs w:val="28"/>
        </w:rPr>
      </w:pPr>
      <w:r w:rsidRPr="00B256DE">
        <w:rPr>
          <w:sz w:val="28"/>
          <w:szCs w:val="28"/>
        </w:rPr>
        <w:t>Chair, Advisory Committee on Rules of Evidence</w:t>
      </w:r>
    </w:p>
    <w:p w14:paraId="35A478F4" w14:textId="77777777" w:rsidR="00CB085A" w:rsidRPr="00B256DE" w:rsidRDefault="00CB085A" w:rsidP="00CB085A">
      <w:pPr>
        <w:jc w:val="both"/>
        <w:rPr>
          <w:sz w:val="28"/>
          <w:szCs w:val="28"/>
        </w:rPr>
      </w:pPr>
      <w:r w:rsidRPr="00B256DE">
        <w:rPr>
          <w:sz w:val="28"/>
          <w:szCs w:val="28"/>
        </w:rPr>
        <w:t>Judge, Arizona Superior Court</w:t>
      </w:r>
    </w:p>
    <w:p w14:paraId="01C106C1" w14:textId="77777777" w:rsidR="00CB085A" w:rsidRPr="00B256DE" w:rsidRDefault="00CB085A" w:rsidP="00CB085A">
      <w:pPr>
        <w:jc w:val="both"/>
        <w:rPr>
          <w:sz w:val="28"/>
          <w:szCs w:val="28"/>
        </w:rPr>
      </w:pPr>
      <w:r w:rsidRPr="00B256DE">
        <w:rPr>
          <w:sz w:val="28"/>
          <w:szCs w:val="28"/>
        </w:rPr>
        <w:t>101 W. Jefferson Street</w:t>
      </w:r>
    </w:p>
    <w:p w14:paraId="652CD2FB" w14:textId="77777777" w:rsidR="00CB085A" w:rsidRPr="00B256DE" w:rsidRDefault="00CB085A" w:rsidP="00CB085A">
      <w:pPr>
        <w:jc w:val="both"/>
        <w:rPr>
          <w:sz w:val="28"/>
          <w:szCs w:val="28"/>
        </w:rPr>
      </w:pPr>
      <w:r w:rsidRPr="00B256DE">
        <w:rPr>
          <w:sz w:val="28"/>
          <w:szCs w:val="28"/>
        </w:rPr>
        <w:t>Phoenix, AZ  85003</w:t>
      </w:r>
    </w:p>
    <w:p w14:paraId="03A6E239" w14:textId="77777777" w:rsidR="00CB085A" w:rsidRPr="00B256DE" w:rsidRDefault="00CB085A" w:rsidP="00CB085A">
      <w:pPr>
        <w:jc w:val="both"/>
        <w:rPr>
          <w:sz w:val="28"/>
          <w:szCs w:val="28"/>
        </w:rPr>
      </w:pPr>
      <w:r w:rsidRPr="00B256DE">
        <w:rPr>
          <w:sz w:val="28"/>
          <w:szCs w:val="28"/>
        </w:rPr>
        <w:t>Telephone: 602-506-8288</w:t>
      </w:r>
    </w:p>
    <w:p w14:paraId="34415290" w14:textId="77777777" w:rsidR="00CB085A" w:rsidRPr="00B256DE" w:rsidRDefault="00CB085A" w:rsidP="00CB085A">
      <w:pPr>
        <w:jc w:val="both"/>
        <w:rPr>
          <w:sz w:val="28"/>
          <w:szCs w:val="28"/>
        </w:rPr>
      </w:pPr>
      <w:r w:rsidRPr="00B256DE">
        <w:rPr>
          <w:sz w:val="28"/>
          <w:szCs w:val="28"/>
        </w:rPr>
        <w:t>Facsimile: 602-372-5817</w:t>
      </w:r>
    </w:p>
    <w:p w14:paraId="00E570F4" w14:textId="77777777" w:rsidR="00C41CA7" w:rsidRPr="00B256DE" w:rsidRDefault="00C41CA7">
      <w:pPr>
        <w:jc w:val="both"/>
        <w:rPr>
          <w:sz w:val="28"/>
          <w:szCs w:val="28"/>
        </w:rPr>
      </w:pPr>
    </w:p>
    <w:p w14:paraId="7D2AE1D5" w14:textId="77777777" w:rsidR="00C41CA7" w:rsidRPr="00B256DE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B256DE">
        <w:rPr>
          <w:rFonts w:ascii="Times New Roman" w:hAnsi="Times New Roman"/>
          <w:bCs/>
          <w:sz w:val="28"/>
          <w:szCs w:val="28"/>
        </w:rPr>
        <w:t>IN THE SUPREME COURT</w:t>
      </w:r>
    </w:p>
    <w:p w14:paraId="71269420" w14:textId="77777777" w:rsidR="00C41CA7" w:rsidRPr="00B256DE" w:rsidRDefault="00C41CA7">
      <w:pPr>
        <w:pStyle w:val="Heading1"/>
        <w:spacing w:line="240" w:lineRule="auto"/>
        <w:rPr>
          <w:rFonts w:ascii="Times New Roman" w:hAnsi="Times New Roman"/>
          <w:bCs/>
          <w:sz w:val="28"/>
          <w:szCs w:val="28"/>
        </w:rPr>
      </w:pPr>
      <w:r w:rsidRPr="00B256DE">
        <w:rPr>
          <w:rFonts w:ascii="Times New Roman" w:hAnsi="Times New Roman"/>
          <w:bCs/>
          <w:sz w:val="28"/>
          <w:szCs w:val="28"/>
        </w:rPr>
        <w:t>STATE OF ARIZONA</w:t>
      </w:r>
    </w:p>
    <w:p w14:paraId="700D7CA5" w14:textId="0BD23108" w:rsidR="001451DE" w:rsidRPr="00B256DE" w:rsidRDefault="001451DE" w:rsidP="001451DE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110D0" w:rsidRPr="00B256DE" w14:paraId="55EA8BCE" w14:textId="77777777" w:rsidTr="008110D0">
        <w:tc>
          <w:tcPr>
            <w:tcW w:w="4675" w:type="dxa"/>
            <w:tcBorders>
              <w:top w:val="nil"/>
              <w:left w:val="nil"/>
            </w:tcBorders>
          </w:tcPr>
          <w:p w14:paraId="6CD5886A" w14:textId="77777777" w:rsidR="008110D0" w:rsidRPr="00B256DE" w:rsidRDefault="008110D0" w:rsidP="001451DE">
            <w:pPr>
              <w:rPr>
                <w:sz w:val="28"/>
                <w:szCs w:val="28"/>
              </w:rPr>
            </w:pPr>
            <w:r w:rsidRPr="00B256DE">
              <w:rPr>
                <w:sz w:val="28"/>
                <w:szCs w:val="28"/>
              </w:rPr>
              <w:t xml:space="preserve">In the Matter of </w:t>
            </w:r>
          </w:p>
          <w:p w14:paraId="4E5EE401" w14:textId="77777777" w:rsidR="008110D0" w:rsidRPr="00B256DE" w:rsidRDefault="008110D0" w:rsidP="001451DE">
            <w:pPr>
              <w:rPr>
                <w:sz w:val="28"/>
                <w:szCs w:val="28"/>
              </w:rPr>
            </w:pPr>
          </w:p>
          <w:p w14:paraId="29B69D27" w14:textId="6523DBAB" w:rsidR="008110D0" w:rsidRPr="00B256DE" w:rsidRDefault="008110D0" w:rsidP="001451DE">
            <w:pPr>
              <w:rPr>
                <w:sz w:val="28"/>
                <w:szCs w:val="28"/>
              </w:rPr>
            </w:pPr>
            <w:r w:rsidRPr="00B256DE">
              <w:rPr>
                <w:sz w:val="28"/>
                <w:szCs w:val="28"/>
              </w:rPr>
              <w:t xml:space="preserve">ARIZONA RULE OF EVIDENCE </w:t>
            </w:r>
            <w:r w:rsidR="00B66518">
              <w:rPr>
                <w:sz w:val="28"/>
                <w:szCs w:val="28"/>
              </w:rPr>
              <w:t>412</w:t>
            </w:r>
          </w:p>
          <w:p w14:paraId="6B603AFA" w14:textId="77777777" w:rsidR="008110D0" w:rsidRPr="00B256DE" w:rsidRDefault="008110D0" w:rsidP="001451DE">
            <w:pPr>
              <w:rPr>
                <w:sz w:val="28"/>
                <w:szCs w:val="28"/>
              </w:rPr>
            </w:pPr>
          </w:p>
          <w:p w14:paraId="534C89EF" w14:textId="5DB7B323" w:rsidR="008110D0" w:rsidRPr="00B256DE" w:rsidRDefault="008110D0" w:rsidP="001451DE">
            <w:pPr>
              <w:rPr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nil"/>
              <w:bottom w:val="nil"/>
              <w:right w:val="nil"/>
            </w:tcBorders>
          </w:tcPr>
          <w:p w14:paraId="3B9016B1" w14:textId="18CD5D57" w:rsidR="008110D0" w:rsidRPr="00B256DE" w:rsidRDefault="008110D0" w:rsidP="001451DE">
            <w:pPr>
              <w:rPr>
                <w:sz w:val="28"/>
                <w:szCs w:val="28"/>
              </w:rPr>
            </w:pPr>
            <w:r w:rsidRPr="00B256DE">
              <w:rPr>
                <w:sz w:val="28"/>
                <w:szCs w:val="28"/>
              </w:rPr>
              <w:t>Arizona Supreme Court No. R-2</w:t>
            </w:r>
            <w:r w:rsidR="00B66518">
              <w:rPr>
                <w:sz w:val="28"/>
                <w:szCs w:val="28"/>
              </w:rPr>
              <w:t>4</w:t>
            </w:r>
            <w:r w:rsidRPr="00B256DE">
              <w:rPr>
                <w:sz w:val="28"/>
                <w:szCs w:val="28"/>
              </w:rPr>
              <w:t>-</w:t>
            </w:r>
            <w:r w:rsidR="00DB4F14">
              <w:rPr>
                <w:sz w:val="28"/>
                <w:szCs w:val="28"/>
              </w:rPr>
              <w:t>0</w:t>
            </w:r>
            <w:r w:rsidR="002529B0">
              <w:rPr>
                <w:sz w:val="28"/>
                <w:szCs w:val="28"/>
              </w:rPr>
              <w:t>0</w:t>
            </w:r>
            <w:r w:rsidR="00B66518">
              <w:rPr>
                <w:sz w:val="28"/>
                <w:szCs w:val="28"/>
              </w:rPr>
              <w:t>18</w:t>
            </w:r>
          </w:p>
          <w:p w14:paraId="5E67039A" w14:textId="77777777" w:rsidR="008110D0" w:rsidRPr="00B256DE" w:rsidRDefault="008110D0" w:rsidP="001451DE">
            <w:pPr>
              <w:rPr>
                <w:sz w:val="28"/>
                <w:szCs w:val="28"/>
              </w:rPr>
            </w:pPr>
          </w:p>
          <w:p w14:paraId="3A547A74" w14:textId="581078FB" w:rsidR="008110D0" w:rsidRPr="00660758" w:rsidRDefault="00660758" w:rsidP="00DB4F1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REPLY IN SUPPORT OF PETITION TO AMEND ARIZONA RULE OF EVIDENCE 412</w:t>
            </w:r>
            <w:r w:rsidR="00FA4DB7" w:rsidRPr="00660758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19AFB6E8" w14:textId="0508A233" w:rsidR="008110D0" w:rsidRPr="00B256DE" w:rsidRDefault="008110D0" w:rsidP="001451DE">
      <w:pPr>
        <w:rPr>
          <w:sz w:val="28"/>
          <w:szCs w:val="28"/>
        </w:rPr>
      </w:pPr>
    </w:p>
    <w:p w14:paraId="506CC4E2" w14:textId="77777777" w:rsidR="00C41CA7" w:rsidRPr="00B256DE" w:rsidRDefault="00C41CA7">
      <w:pPr>
        <w:jc w:val="both"/>
        <w:rPr>
          <w:sz w:val="28"/>
          <w:szCs w:val="28"/>
        </w:rPr>
      </w:pPr>
    </w:p>
    <w:p w14:paraId="74795F1B" w14:textId="0AFE07AF" w:rsidR="00DB4F14" w:rsidRDefault="00FA4DB7" w:rsidP="00E66A0A">
      <w:pPr>
        <w:pStyle w:val="BodyText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REPLY TO COMMENT ON </w:t>
      </w:r>
      <w:r w:rsidR="00C41CA7" w:rsidRPr="00B256DE">
        <w:rPr>
          <w:b/>
          <w:bCs/>
          <w:szCs w:val="28"/>
        </w:rPr>
        <w:t xml:space="preserve">PETITION </w:t>
      </w:r>
      <w:r w:rsidR="00A61FF5" w:rsidRPr="00B256DE">
        <w:rPr>
          <w:b/>
          <w:bCs/>
          <w:szCs w:val="28"/>
        </w:rPr>
        <w:t xml:space="preserve">TO </w:t>
      </w:r>
      <w:r w:rsidR="00E66A0A" w:rsidRPr="00B256DE">
        <w:rPr>
          <w:b/>
          <w:bCs/>
          <w:szCs w:val="28"/>
        </w:rPr>
        <w:t xml:space="preserve">AMEND </w:t>
      </w:r>
    </w:p>
    <w:p w14:paraId="77C9F887" w14:textId="43F65EEB" w:rsidR="001A3658" w:rsidRPr="00B256DE" w:rsidRDefault="00A61FF5" w:rsidP="00E66A0A">
      <w:pPr>
        <w:pStyle w:val="BodyText"/>
        <w:jc w:val="center"/>
        <w:rPr>
          <w:b/>
          <w:bCs/>
          <w:szCs w:val="28"/>
        </w:rPr>
      </w:pPr>
      <w:r w:rsidRPr="00B256DE">
        <w:rPr>
          <w:b/>
          <w:bCs/>
          <w:szCs w:val="28"/>
        </w:rPr>
        <w:t xml:space="preserve">ARIZONA RULE OF EVIDENCE </w:t>
      </w:r>
      <w:r w:rsidR="00B66518">
        <w:rPr>
          <w:b/>
          <w:bCs/>
          <w:szCs w:val="28"/>
        </w:rPr>
        <w:t>412</w:t>
      </w:r>
    </w:p>
    <w:p w14:paraId="1A503880" w14:textId="77777777" w:rsidR="00695322" w:rsidRPr="00B256DE" w:rsidRDefault="00695322" w:rsidP="00E66A0A">
      <w:pPr>
        <w:pStyle w:val="BodyText"/>
        <w:rPr>
          <w:szCs w:val="28"/>
        </w:rPr>
      </w:pPr>
    </w:p>
    <w:p w14:paraId="2E7665FB" w14:textId="663B6CE7" w:rsidR="00D43AA0" w:rsidRDefault="00716C66" w:rsidP="00BF4500">
      <w:pPr>
        <w:pStyle w:val="BodyText"/>
        <w:tabs>
          <w:tab w:val="left" w:pos="711"/>
        </w:tabs>
        <w:spacing w:line="480" w:lineRule="auto"/>
        <w:jc w:val="both"/>
        <w:rPr>
          <w:szCs w:val="28"/>
        </w:rPr>
      </w:pPr>
      <w:r w:rsidRPr="00B256DE">
        <w:rPr>
          <w:szCs w:val="28"/>
        </w:rPr>
        <w:tab/>
      </w:r>
      <w:r w:rsidR="00D43AA0">
        <w:rPr>
          <w:szCs w:val="28"/>
        </w:rPr>
        <w:t xml:space="preserve">In support of its pending Petition to Amend Arizona Rule of Evidence </w:t>
      </w:r>
      <w:r w:rsidR="00D1296F">
        <w:rPr>
          <w:szCs w:val="28"/>
        </w:rPr>
        <w:t>412</w:t>
      </w:r>
      <w:r w:rsidR="00D43AA0">
        <w:rPr>
          <w:szCs w:val="28"/>
        </w:rPr>
        <w:t>, t</w:t>
      </w:r>
      <w:r w:rsidR="00D43AA0" w:rsidRPr="00B256DE">
        <w:rPr>
          <w:szCs w:val="28"/>
        </w:rPr>
        <w:t>he Advisory Committee on Rules of Evidence (the “Committee”), by and through its Chair, the Honorable Sara Agne,</w:t>
      </w:r>
      <w:r w:rsidR="00D43AA0">
        <w:rPr>
          <w:szCs w:val="28"/>
        </w:rPr>
        <w:t xml:space="preserve"> provides this Reply to </w:t>
      </w:r>
      <w:r w:rsidR="00B66518">
        <w:rPr>
          <w:szCs w:val="28"/>
        </w:rPr>
        <w:t>respond to a comment filed by the Arizona Attorneys for Criminal Justice (“AACJ”).</w:t>
      </w:r>
      <w:r w:rsidR="00D1296F">
        <w:rPr>
          <w:rStyle w:val="FootnoteReference"/>
          <w:szCs w:val="28"/>
        </w:rPr>
        <w:footnoteReference w:id="1"/>
      </w:r>
      <w:r w:rsidR="00B66518">
        <w:rPr>
          <w:szCs w:val="28"/>
        </w:rPr>
        <w:t xml:space="preserve"> </w:t>
      </w:r>
    </w:p>
    <w:p w14:paraId="1E6AF269" w14:textId="75B2C601" w:rsidR="00B66518" w:rsidRDefault="00200839" w:rsidP="00B66518">
      <w:pPr>
        <w:keepNext/>
        <w:spacing w:line="48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The Committee submitted the </w:t>
      </w:r>
      <w:r w:rsidR="00D43AA0">
        <w:rPr>
          <w:bCs/>
          <w:sz w:val="28"/>
          <w:szCs w:val="28"/>
        </w:rPr>
        <w:t xml:space="preserve">Petition </w:t>
      </w:r>
      <w:r w:rsidR="00B66518">
        <w:rPr>
          <w:bCs/>
          <w:sz w:val="28"/>
          <w:szCs w:val="28"/>
        </w:rPr>
        <w:t xml:space="preserve">to correct an oversight regarding the coverage of Arizona’s rape-shield law. Arizona has had a </w:t>
      </w:r>
      <w:r w:rsidR="00B66518">
        <w:rPr>
          <w:bCs/>
          <w:i/>
          <w:iCs/>
          <w:sz w:val="28"/>
          <w:szCs w:val="28"/>
        </w:rPr>
        <w:t xml:space="preserve">criminal </w:t>
      </w:r>
      <w:r w:rsidR="00B66518">
        <w:rPr>
          <w:bCs/>
          <w:sz w:val="28"/>
          <w:szCs w:val="28"/>
        </w:rPr>
        <w:t>rape-shield statute, A.R.S. § 13-1421, since 1998</w:t>
      </w:r>
      <w:r>
        <w:rPr>
          <w:bCs/>
          <w:sz w:val="28"/>
          <w:szCs w:val="28"/>
        </w:rPr>
        <w:t>. W</w:t>
      </w:r>
      <w:r w:rsidR="00B66518">
        <w:rPr>
          <w:bCs/>
          <w:sz w:val="28"/>
          <w:szCs w:val="28"/>
        </w:rPr>
        <w:t xml:space="preserve">hen this Committee was formed in 2012, it </w:t>
      </w:r>
      <w:r w:rsidR="00B66518">
        <w:rPr>
          <w:bCs/>
          <w:sz w:val="28"/>
          <w:szCs w:val="28"/>
        </w:rPr>
        <w:lastRenderedPageBreak/>
        <w:t xml:space="preserve">did not adopt a </w:t>
      </w:r>
      <w:r w:rsidR="00B66518">
        <w:rPr>
          <w:bCs/>
          <w:i/>
          <w:iCs/>
          <w:sz w:val="28"/>
          <w:szCs w:val="28"/>
        </w:rPr>
        <w:t xml:space="preserve">civil </w:t>
      </w:r>
      <w:r w:rsidR="00B66518">
        <w:rPr>
          <w:bCs/>
          <w:sz w:val="28"/>
          <w:szCs w:val="28"/>
        </w:rPr>
        <w:t xml:space="preserve">rape-shield rule, presumably </w:t>
      </w:r>
      <w:r>
        <w:rPr>
          <w:bCs/>
          <w:sz w:val="28"/>
          <w:szCs w:val="28"/>
        </w:rPr>
        <w:t xml:space="preserve">on the belief </w:t>
      </w:r>
      <w:r w:rsidR="00B66518">
        <w:rPr>
          <w:bCs/>
          <w:sz w:val="28"/>
          <w:szCs w:val="28"/>
        </w:rPr>
        <w:t xml:space="preserve">that the criminal statute covered the field. It </w:t>
      </w:r>
      <w:r>
        <w:rPr>
          <w:bCs/>
          <w:sz w:val="28"/>
          <w:szCs w:val="28"/>
        </w:rPr>
        <w:t xml:space="preserve">did not, and it </w:t>
      </w:r>
      <w:r w:rsidR="00B66518">
        <w:rPr>
          <w:bCs/>
          <w:sz w:val="28"/>
          <w:szCs w:val="28"/>
        </w:rPr>
        <w:t>does not. To fill that gap, the Committee</w:t>
      </w:r>
      <w:r w:rsidR="00134042">
        <w:rPr>
          <w:bCs/>
          <w:sz w:val="28"/>
          <w:szCs w:val="28"/>
        </w:rPr>
        <w:t>’s Petition</w:t>
      </w:r>
      <w:r w:rsidR="00B66518">
        <w:rPr>
          <w:bCs/>
          <w:sz w:val="28"/>
          <w:szCs w:val="28"/>
        </w:rPr>
        <w:t xml:space="preserve"> proposed</w:t>
      </w:r>
      <w:r w:rsidR="00660758">
        <w:rPr>
          <w:bCs/>
          <w:sz w:val="28"/>
          <w:szCs w:val="28"/>
        </w:rPr>
        <w:t xml:space="preserve"> amendments to</w:t>
      </w:r>
      <w:r w:rsidR="00B66518">
        <w:rPr>
          <w:bCs/>
          <w:sz w:val="28"/>
          <w:szCs w:val="28"/>
        </w:rPr>
        <w:t xml:space="preserve"> Arizona Rule 412 to cover non-criminal cases.</w:t>
      </w:r>
    </w:p>
    <w:p w14:paraId="292D414B" w14:textId="66631683" w:rsidR="00B66518" w:rsidRDefault="00B66518" w:rsidP="00B66518">
      <w:pPr>
        <w:keepNext/>
        <w:spacing w:line="48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The AACJ comment raises</w:t>
      </w:r>
      <w:r w:rsidR="00134042">
        <w:rPr>
          <w:bCs/>
          <w:sz w:val="28"/>
          <w:szCs w:val="28"/>
        </w:rPr>
        <w:t xml:space="preserve"> many</w:t>
      </w:r>
      <w:r>
        <w:rPr>
          <w:bCs/>
          <w:sz w:val="28"/>
          <w:szCs w:val="28"/>
        </w:rPr>
        <w:t xml:space="preserve"> i</w:t>
      </w:r>
      <w:r w:rsidR="00134042">
        <w:rPr>
          <w:bCs/>
          <w:sz w:val="28"/>
          <w:szCs w:val="28"/>
        </w:rPr>
        <w:t>ssues</w:t>
      </w:r>
      <w:r>
        <w:rPr>
          <w:bCs/>
          <w:sz w:val="28"/>
          <w:szCs w:val="28"/>
        </w:rPr>
        <w:t xml:space="preserve"> regarding the </w:t>
      </w:r>
      <w:r w:rsidR="00581B21">
        <w:rPr>
          <w:bCs/>
          <w:sz w:val="28"/>
          <w:szCs w:val="28"/>
        </w:rPr>
        <w:t xml:space="preserve">scope </w:t>
      </w:r>
      <w:r w:rsidR="00200839">
        <w:rPr>
          <w:bCs/>
          <w:sz w:val="28"/>
          <w:szCs w:val="28"/>
        </w:rPr>
        <w:t xml:space="preserve">and procedures of the </w:t>
      </w:r>
      <w:r>
        <w:rPr>
          <w:bCs/>
          <w:i/>
          <w:iCs/>
          <w:sz w:val="28"/>
          <w:szCs w:val="28"/>
        </w:rPr>
        <w:t xml:space="preserve">criminal </w:t>
      </w:r>
      <w:r>
        <w:rPr>
          <w:bCs/>
          <w:sz w:val="28"/>
          <w:szCs w:val="28"/>
        </w:rPr>
        <w:t>statute. The Committee does not take a position on th</w:t>
      </w:r>
      <w:r w:rsidR="00134042">
        <w:rPr>
          <w:bCs/>
          <w:sz w:val="28"/>
          <w:szCs w:val="28"/>
        </w:rPr>
        <w:t>ose</w:t>
      </w:r>
      <w:r>
        <w:rPr>
          <w:bCs/>
          <w:sz w:val="28"/>
          <w:szCs w:val="28"/>
        </w:rPr>
        <w:t xml:space="preserve"> issues raised by th</w:t>
      </w:r>
      <w:r w:rsidR="00581B21">
        <w:rPr>
          <w:bCs/>
          <w:sz w:val="28"/>
          <w:szCs w:val="28"/>
        </w:rPr>
        <w:t>e</w:t>
      </w:r>
      <w:r>
        <w:rPr>
          <w:bCs/>
          <w:sz w:val="28"/>
          <w:szCs w:val="28"/>
        </w:rPr>
        <w:t xml:space="preserve"> comment, as </w:t>
      </w:r>
      <w:r w:rsidR="00581B21">
        <w:rPr>
          <w:bCs/>
          <w:sz w:val="28"/>
          <w:szCs w:val="28"/>
        </w:rPr>
        <w:t xml:space="preserve">the criminal statute </w:t>
      </w:r>
      <w:r>
        <w:rPr>
          <w:bCs/>
          <w:sz w:val="28"/>
          <w:szCs w:val="28"/>
        </w:rPr>
        <w:t xml:space="preserve">is outside the scope of </w:t>
      </w:r>
      <w:r w:rsidR="00581B21">
        <w:rPr>
          <w:bCs/>
          <w:sz w:val="28"/>
          <w:szCs w:val="28"/>
        </w:rPr>
        <w:t xml:space="preserve">the </w:t>
      </w:r>
      <w:r>
        <w:rPr>
          <w:bCs/>
          <w:sz w:val="28"/>
          <w:szCs w:val="28"/>
        </w:rPr>
        <w:t>proposed amendment</w:t>
      </w:r>
      <w:r w:rsidR="00660758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 xml:space="preserve">. </w:t>
      </w:r>
      <w:r w:rsidR="00134042">
        <w:rPr>
          <w:bCs/>
          <w:sz w:val="28"/>
          <w:szCs w:val="28"/>
        </w:rPr>
        <w:t>In petitioning, we</w:t>
      </w:r>
      <w:r>
        <w:rPr>
          <w:bCs/>
          <w:sz w:val="28"/>
          <w:szCs w:val="28"/>
        </w:rPr>
        <w:t xml:space="preserve"> ha</w:t>
      </w:r>
      <w:r w:rsidR="00134042">
        <w:rPr>
          <w:bCs/>
          <w:sz w:val="28"/>
          <w:szCs w:val="28"/>
        </w:rPr>
        <w:t>d</w:t>
      </w:r>
      <w:r>
        <w:rPr>
          <w:bCs/>
          <w:sz w:val="28"/>
          <w:szCs w:val="28"/>
        </w:rPr>
        <w:t xml:space="preserve"> not </w:t>
      </w:r>
      <w:r w:rsidR="00273498">
        <w:rPr>
          <w:bCs/>
          <w:sz w:val="28"/>
          <w:szCs w:val="28"/>
        </w:rPr>
        <w:t xml:space="preserve">conducted any research on </w:t>
      </w:r>
      <w:r w:rsidR="00581B21">
        <w:rPr>
          <w:bCs/>
          <w:sz w:val="28"/>
          <w:szCs w:val="28"/>
        </w:rPr>
        <w:t xml:space="preserve">the </w:t>
      </w:r>
      <w:r w:rsidR="00273498">
        <w:rPr>
          <w:bCs/>
          <w:sz w:val="28"/>
          <w:szCs w:val="28"/>
        </w:rPr>
        <w:t>issues</w:t>
      </w:r>
      <w:r w:rsidR="00581B21">
        <w:rPr>
          <w:bCs/>
          <w:sz w:val="28"/>
          <w:szCs w:val="28"/>
        </w:rPr>
        <w:t xml:space="preserve"> the AACJ raises. Nor have we surveyed stakeholders regarding the workability of the current </w:t>
      </w:r>
      <w:r w:rsidR="00581B21">
        <w:rPr>
          <w:bCs/>
          <w:i/>
          <w:iCs/>
          <w:sz w:val="28"/>
          <w:szCs w:val="28"/>
        </w:rPr>
        <w:t xml:space="preserve">criminal </w:t>
      </w:r>
      <w:r w:rsidR="00581B21">
        <w:rPr>
          <w:bCs/>
          <w:sz w:val="28"/>
          <w:szCs w:val="28"/>
        </w:rPr>
        <w:t>statute</w:t>
      </w:r>
      <w:r w:rsidR="00134042">
        <w:rPr>
          <w:bCs/>
          <w:sz w:val="28"/>
          <w:szCs w:val="28"/>
        </w:rPr>
        <w:t xml:space="preserve"> as implemented</w:t>
      </w:r>
      <w:r w:rsidR="00273498">
        <w:rPr>
          <w:bCs/>
          <w:sz w:val="28"/>
          <w:szCs w:val="28"/>
        </w:rPr>
        <w:t xml:space="preserve">. But we do not believe that the issues raised by the AACJ preclude adoption of a </w:t>
      </w:r>
      <w:r w:rsidR="00273498" w:rsidRPr="00581B21">
        <w:rPr>
          <w:bCs/>
          <w:i/>
          <w:iCs/>
          <w:sz w:val="28"/>
          <w:szCs w:val="28"/>
        </w:rPr>
        <w:t>civil</w:t>
      </w:r>
      <w:r w:rsidR="00273498">
        <w:rPr>
          <w:bCs/>
          <w:sz w:val="28"/>
          <w:szCs w:val="28"/>
        </w:rPr>
        <w:t xml:space="preserve"> rape-shield rule in Arizona. </w:t>
      </w:r>
      <w:r w:rsidR="00581B21">
        <w:rPr>
          <w:bCs/>
          <w:sz w:val="28"/>
          <w:szCs w:val="28"/>
        </w:rPr>
        <w:t xml:space="preserve">Indeed, </w:t>
      </w:r>
      <w:r w:rsidR="00134042">
        <w:rPr>
          <w:bCs/>
          <w:sz w:val="28"/>
          <w:szCs w:val="28"/>
        </w:rPr>
        <w:t>the AACJ</w:t>
      </w:r>
      <w:r w:rsidR="00581B21">
        <w:rPr>
          <w:bCs/>
          <w:sz w:val="28"/>
          <w:szCs w:val="28"/>
        </w:rPr>
        <w:t xml:space="preserve"> comment does not raise any concerns regarding the non-criminal applications of rape-shield protections. </w:t>
      </w:r>
      <w:r w:rsidR="00273498">
        <w:rPr>
          <w:bCs/>
          <w:sz w:val="28"/>
          <w:szCs w:val="28"/>
        </w:rPr>
        <w:t xml:space="preserve"> </w:t>
      </w:r>
    </w:p>
    <w:p w14:paraId="43DBE300" w14:textId="402760C0" w:rsidR="002539C8" w:rsidRDefault="00273498" w:rsidP="00FA0133">
      <w:pPr>
        <w:keepNext/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Committee respectfully requests that the Court adopt the</w:t>
      </w:r>
      <w:r w:rsidR="00660758">
        <w:rPr>
          <w:sz w:val="28"/>
          <w:szCs w:val="28"/>
        </w:rPr>
        <w:t xml:space="preserve"> changes proposed by the</w:t>
      </w:r>
      <w:r>
        <w:rPr>
          <w:sz w:val="28"/>
          <w:szCs w:val="28"/>
        </w:rPr>
        <w:t xml:space="preserve"> Petition to </w:t>
      </w:r>
      <w:r w:rsidR="00660758">
        <w:rPr>
          <w:sz w:val="28"/>
          <w:szCs w:val="28"/>
        </w:rPr>
        <w:t>Amend</w:t>
      </w:r>
      <w:r>
        <w:rPr>
          <w:sz w:val="28"/>
          <w:szCs w:val="28"/>
        </w:rPr>
        <w:t xml:space="preserve"> Rule 412 </w:t>
      </w:r>
      <w:r w:rsidR="00660758">
        <w:rPr>
          <w:sz w:val="28"/>
          <w:szCs w:val="28"/>
        </w:rPr>
        <w:t>of</w:t>
      </w:r>
      <w:r>
        <w:rPr>
          <w:sz w:val="28"/>
          <w:szCs w:val="28"/>
        </w:rPr>
        <w:t xml:space="preserve"> the Arizona Rules of Evidence</w:t>
      </w:r>
      <w:r w:rsidR="00660758">
        <w:rPr>
          <w:sz w:val="28"/>
          <w:szCs w:val="28"/>
        </w:rPr>
        <w:t xml:space="preserve"> as presented, with an effective date of January 1, 2025</w:t>
      </w:r>
      <w:r>
        <w:rPr>
          <w:sz w:val="28"/>
          <w:szCs w:val="28"/>
        </w:rPr>
        <w:t xml:space="preserve">. </w:t>
      </w:r>
    </w:p>
    <w:p w14:paraId="1C00D232" w14:textId="77777777" w:rsidR="00D1296F" w:rsidRDefault="00D1296F" w:rsidP="00DB4F14">
      <w:pPr>
        <w:jc w:val="both"/>
        <w:rPr>
          <w:sz w:val="28"/>
          <w:szCs w:val="28"/>
        </w:rPr>
      </w:pPr>
    </w:p>
    <w:p w14:paraId="3D540C0D" w14:textId="7D86D057" w:rsidR="00DB4F14" w:rsidRDefault="00DB4F14" w:rsidP="00DB4F14">
      <w:pPr>
        <w:jc w:val="both"/>
        <w:rPr>
          <w:sz w:val="28"/>
          <w:szCs w:val="28"/>
        </w:rPr>
      </w:pPr>
      <w:r w:rsidRPr="005F6861">
        <w:rPr>
          <w:sz w:val="28"/>
          <w:szCs w:val="28"/>
        </w:rPr>
        <w:t xml:space="preserve">DATED this </w:t>
      </w:r>
      <w:r w:rsidR="00273498">
        <w:rPr>
          <w:sz w:val="28"/>
          <w:szCs w:val="28"/>
        </w:rPr>
        <w:t>_</w:t>
      </w:r>
      <w:r w:rsidR="00660758">
        <w:rPr>
          <w:sz w:val="28"/>
          <w:szCs w:val="28"/>
        </w:rPr>
        <w:t>2n</w:t>
      </w:r>
      <w:r w:rsidR="00134042">
        <w:rPr>
          <w:sz w:val="28"/>
          <w:szCs w:val="28"/>
        </w:rPr>
        <w:t>d</w:t>
      </w:r>
      <w:r w:rsidR="00273498">
        <w:rPr>
          <w:sz w:val="28"/>
          <w:szCs w:val="28"/>
        </w:rPr>
        <w:t xml:space="preserve"> </w:t>
      </w:r>
      <w:r w:rsidRPr="005F6861">
        <w:rPr>
          <w:sz w:val="28"/>
          <w:szCs w:val="28"/>
        </w:rPr>
        <w:t xml:space="preserve">day of </w:t>
      </w:r>
      <w:r w:rsidR="00273498">
        <w:rPr>
          <w:sz w:val="28"/>
          <w:szCs w:val="28"/>
        </w:rPr>
        <w:t>_</w:t>
      </w:r>
      <w:r w:rsidR="00134042">
        <w:rPr>
          <w:sz w:val="28"/>
          <w:szCs w:val="28"/>
        </w:rPr>
        <w:t>June</w:t>
      </w:r>
      <w:r w:rsidRPr="005F6861">
        <w:rPr>
          <w:sz w:val="28"/>
          <w:szCs w:val="28"/>
        </w:rPr>
        <w:t>, 202</w:t>
      </w:r>
      <w:r w:rsidR="00273498">
        <w:rPr>
          <w:sz w:val="28"/>
          <w:szCs w:val="28"/>
        </w:rPr>
        <w:t>4</w:t>
      </w:r>
      <w:r w:rsidRPr="005F6861">
        <w:rPr>
          <w:sz w:val="28"/>
          <w:szCs w:val="28"/>
        </w:rPr>
        <w:t>.</w:t>
      </w:r>
    </w:p>
    <w:p w14:paraId="78B2143C" w14:textId="77777777" w:rsidR="00134042" w:rsidRDefault="00DB4F14" w:rsidP="00DB4F14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5C5F1E72" w14:textId="1E27D20E" w:rsidR="00DB4F14" w:rsidRPr="005F6861" w:rsidRDefault="00DB4F14" w:rsidP="00134042">
      <w:pPr>
        <w:spacing w:before="120"/>
        <w:ind w:left="2160" w:firstLine="720"/>
        <w:jc w:val="both"/>
        <w:rPr>
          <w:sz w:val="28"/>
          <w:szCs w:val="28"/>
        </w:rPr>
      </w:pPr>
      <w:r w:rsidRPr="005F6861">
        <w:rPr>
          <w:i/>
          <w:sz w:val="28"/>
          <w:szCs w:val="28"/>
        </w:rPr>
        <w:t>_</w:t>
      </w:r>
      <w:r>
        <w:rPr>
          <w:i/>
          <w:sz w:val="28"/>
          <w:szCs w:val="28"/>
        </w:rPr>
        <w:t>/s/ Sara J. Agne</w:t>
      </w:r>
      <w:r w:rsidRPr="005F6861">
        <w:rPr>
          <w:i/>
          <w:sz w:val="28"/>
          <w:szCs w:val="28"/>
        </w:rPr>
        <w:t>_____</w:t>
      </w:r>
      <w:r w:rsidRPr="005F6861">
        <w:rPr>
          <w:sz w:val="28"/>
          <w:szCs w:val="28"/>
        </w:rPr>
        <w:t>__________</w:t>
      </w:r>
    </w:p>
    <w:p w14:paraId="481FDF71" w14:textId="77777777" w:rsidR="00DB4F14" w:rsidRPr="005F6861" w:rsidRDefault="00DB4F14" w:rsidP="00DB4F14">
      <w:pPr>
        <w:jc w:val="both"/>
        <w:rPr>
          <w:sz w:val="28"/>
          <w:szCs w:val="28"/>
        </w:rPr>
      </w:pPr>
      <w:r w:rsidRPr="005F6861">
        <w:rPr>
          <w:sz w:val="28"/>
          <w:szCs w:val="28"/>
        </w:rPr>
        <w:tab/>
      </w:r>
      <w:r w:rsidRPr="005F6861">
        <w:rPr>
          <w:sz w:val="28"/>
          <w:szCs w:val="28"/>
        </w:rPr>
        <w:tab/>
      </w:r>
      <w:r w:rsidRPr="005F6861">
        <w:rPr>
          <w:sz w:val="28"/>
          <w:szCs w:val="28"/>
        </w:rPr>
        <w:tab/>
      </w:r>
      <w:r w:rsidRPr="005F6861">
        <w:rPr>
          <w:sz w:val="28"/>
          <w:szCs w:val="28"/>
        </w:rPr>
        <w:tab/>
        <w:t>Sara J. Agne</w:t>
      </w:r>
    </w:p>
    <w:p w14:paraId="09CBDEB3" w14:textId="186E9C30" w:rsidR="00DB4F14" w:rsidRPr="005F6861" w:rsidRDefault="00DB4F14" w:rsidP="00DB4F14">
      <w:pPr>
        <w:spacing w:after="120"/>
        <w:jc w:val="both"/>
        <w:rPr>
          <w:sz w:val="28"/>
          <w:szCs w:val="28"/>
        </w:rPr>
      </w:pPr>
      <w:r w:rsidRPr="005F6861">
        <w:rPr>
          <w:sz w:val="28"/>
          <w:szCs w:val="28"/>
        </w:rPr>
        <w:tab/>
      </w:r>
      <w:r w:rsidRPr="005F6861">
        <w:rPr>
          <w:sz w:val="28"/>
          <w:szCs w:val="28"/>
        </w:rPr>
        <w:tab/>
      </w:r>
      <w:r w:rsidRPr="005F6861">
        <w:rPr>
          <w:sz w:val="28"/>
          <w:szCs w:val="28"/>
        </w:rPr>
        <w:tab/>
      </w:r>
      <w:r w:rsidRPr="005F6861">
        <w:rPr>
          <w:sz w:val="28"/>
          <w:szCs w:val="28"/>
        </w:rPr>
        <w:tab/>
        <w:t>Chair, Advisory Committee on Rules of Evidence</w:t>
      </w:r>
    </w:p>
    <w:p w14:paraId="586F1BC6" w14:textId="77777777" w:rsidR="00DB4F14" w:rsidRDefault="00DB4F14" w:rsidP="00FA0133">
      <w:pPr>
        <w:keepNext/>
        <w:spacing w:line="480" w:lineRule="auto"/>
        <w:ind w:firstLine="720"/>
        <w:jc w:val="both"/>
        <w:rPr>
          <w:sz w:val="28"/>
          <w:szCs w:val="28"/>
        </w:rPr>
      </w:pPr>
    </w:p>
    <w:p w14:paraId="170D6130" w14:textId="712DA267" w:rsidR="00716C66" w:rsidRPr="00B256DE" w:rsidRDefault="001210F6" w:rsidP="00581B2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16C66" w:rsidRPr="00B256DE" w:rsidSect="00EE2BC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C57F7" w14:textId="77777777" w:rsidR="0035744B" w:rsidRDefault="0035744B">
      <w:r>
        <w:separator/>
      </w:r>
    </w:p>
  </w:endnote>
  <w:endnote w:type="continuationSeparator" w:id="0">
    <w:p w14:paraId="3ECB129E" w14:textId="77777777" w:rsidR="0035744B" w:rsidRDefault="00357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0EF9" w14:textId="77777777" w:rsidR="003D73E0" w:rsidRDefault="003D73E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9687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648C6A" w14:textId="174779EE" w:rsidR="00C04654" w:rsidRDefault="00C0465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169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16967BA" w14:textId="1BD89F50" w:rsidR="003D73E0" w:rsidRDefault="003D73E0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45850" w14:textId="77777777" w:rsidR="003D73E0" w:rsidRDefault="003D73E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862AF" w14:textId="77777777" w:rsidR="0035744B" w:rsidRDefault="0035744B">
      <w:r>
        <w:separator/>
      </w:r>
    </w:p>
  </w:footnote>
  <w:footnote w:type="continuationSeparator" w:id="0">
    <w:p w14:paraId="270D9BAA" w14:textId="77777777" w:rsidR="0035744B" w:rsidRDefault="0035744B">
      <w:r>
        <w:continuationSeparator/>
      </w:r>
    </w:p>
  </w:footnote>
  <w:footnote w:id="1">
    <w:p w14:paraId="10CDB901" w14:textId="05851624" w:rsidR="00D1296F" w:rsidRPr="00D1296F" w:rsidRDefault="00D1296F">
      <w:pPr>
        <w:pStyle w:val="FootnoteText"/>
        <w:rPr>
          <w:sz w:val="28"/>
          <w:szCs w:val="28"/>
        </w:rPr>
      </w:pPr>
      <w:r w:rsidRPr="00D1296F">
        <w:rPr>
          <w:rStyle w:val="FootnoteReference"/>
          <w:sz w:val="28"/>
          <w:szCs w:val="28"/>
        </w:rPr>
        <w:footnoteRef/>
      </w:r>
      <w:r w:rsidRPr="00D1296F">
        <w:rPr>
          <w:sz w:val="28"/>
          <w:szCs w:val="28"/>
        </w:rPr>
        <w:t xml:space="preserve"> </w:t>
      </w:r>
      <w:r>
        <w:rPr>
          <w:sz w:val="28"/>
          <w:szCs w:val="28"/>
        </w:rPr>
        <w:t>A</w:t>
      </w:r>
      <w:r w:rsidRPr="00D1296F">
        <w:rPr>
          <w:sz w:val="28"/>
          <w:szCs w:val="28"/>
        </w:rPr>
        <w:t>dditional comments</w:t>
      </w:r>
      <w:r>
        <w:rPr>
          <w:sz w:val="28"/>
          <w:szCs w:val="28"/>
        </w:rPr>
        <w:t xml:space="preserve">—by the State Bar of Arizona, </w:t>
      </w:r>
      <w:r w:rsidR="00134042">
        <w:rPr>
          <w:sz w:val="28"/>
          <w:szCs w:val="28"/>
        </w:rPr>
        <w:t>t</w:t>
      </w:r>
      <w:r>
        <w:rPr>
          <w:sz w:val="28"/>
          <w:szCs w:val="28"/>
        </w:rPr>
        <w:t xml:space="preserve">he Arizona Commission on Access to Justice, and three individual ASU Law students—each </w:t>
      </w:r>
      <w:r w:rsidRPr="00D1296F">
        <w:rPr>
          <w:sz w:val="28"/>
          <w:szCs w:val="28"/>
        </w:rPr>
        <w:t xml:space="preserve">supported the Petition in full.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AE48" w14:textId="77777777" w:rsidR="003D73E0" w:rsidRDefault="003D73E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264E" w14:textId="77777777" w:rsidR="003D73E0" w:rsidRDefault="003D73E0">
    <w:pPr>
      <w:pStyle w:val="Header"/>
      <w:jc w:val="center"/>
    </w:pPr>
    <w:r>
      <w:t>DRAFT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95846"/>
    <w:multiLevelType w:val="hybridMultilevel"/>
    <w:tmpl w:val="DF4AA4EA"/>
    <w:lvl w:ilvl="0" w:tplc="FFFFFFFF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91763C"/>
    <w:multiLevelType w:val="singleLevel"/>
    <w:tmpl w:val="3E26A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30293F4B"/>
    <w:multiLevelType w:val="hybridMultilevel"/>
    <w:tmpl w:val="4386D4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815FE"/>
    <w:multiLevelType w:val="hybridMultilevel"/>
    <w:tmpl w:val="76A2B254"/>
    <w:lvl w:ilvl="0" w:tplc="35126C0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160626"/>
    <w:multiLevelType w:val="singleLevel"/>
    <w:tmpl w:val="0BD4039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4045530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ADF1BDE"/>
    <w:multiLevelType w:val="hybridMultilevel"/>
    <w:tmpl w:val="E88A87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0730B"/>
    <w:multiLevelType w:val="hybridMultilevel"/>
    <w:tmpl w:val="32E6FEDA"/>
    <w:lvl w:ilvl="0" w:tplc="888618EA">
      <w:start w:val="1"/>
      <w:numFmt w:val="decimal"/>
      <w:lvlText w:val="(%1)"/>
      <w:lvlJc w:val="left"/>
      <w:pPr>
        <w:ind w:left="1087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52BC3D1A"/>
    <w:multiLevelType w:val="hybridMultilevel"/>
    <w:tmpl w:val="5EEAAC2A"/>
    <w:lvl w:ilvl="0" w:tplc="269218D0">
      <w:start w:val="1"/>
      <w:numFmt w:val="lowerLetter"/>
      <w:lvlText w:val="(%1)"/>
      <w:lvlJc w:val="left"/>
      <w:pPr>
        <w:ind w:left="40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552B2063"/>
    <w:multiLevelType w:val="hybridMultilevel"/>
    <w:tmpl w:val="D200FF86"/>
    <w:lvl w:ilvl="0" w:tplc="54FE308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6160F54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CB6016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FB57954"/>
    <w:multiLevelType w:val="hybridMultilevel"/>
    <w:tmpl w:val="DF4AA4EA"/>
    <w:lvl w:ilvl="0" w:tplc="ECE2385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15D7C49"/>
    <w:multiLevelType w:val="hybridMultilevel"/>
    <w:tmpl w:val="3E1E6252"/>
    <w:lvl w:ilvl="0" w:tplc="E4901C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DC739DD"/>
    <w:multiLevelType w:val="singleLevel"/>
    <w:tmpl w:val="08E0F99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</w:abstractNum>
  <w:abstractNum w:abstractNumId="14" w15:restartNumberingAfterBreak="0">
    <w:nsid w:val="6E81288F"/>
    <w:multiLevelType w:val="hybridMultilevel"/>
    <w:tmpl w:val="22A2F3A2"/>
    <w:lvl w:ilvl="0" w:tplc="C9A8F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35672"/>
    <w:multiLevelType w:val="hybridMultilevel"/>
    <w:tmpl w:val="C96EFC5C"/>
    <w:lvl w:ilvl="0" w:tplc="BD7022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652442">
    <w:abstractNumId w:val="4"/>
  </w:num>
  <w:num w:numId="2" w16cid:durableId="962542441">
    <w:abstractNumId w:val="9"/>
  </w:num>
  <w:num w:numId="3" w16cid:durableId="2096592083">
    <w:abstractNumId w:val="12"/>
  </w:num>
  <w:num w:numId="4" w16cid:durableId="257567699">
    <w:abstractNumId w:val="1"/>
  </w:num>
  <w:num w:numId="5" w16cid:durableId="816797078">
    <w:abstractNumId w:val="13"/>
  </w:num>
  <w:num w:numId="6" w16cid:durableId="948271911">
    <w:abstractNumId w:val="10"/>
  </w:num>
  <w:num w:numId="7" w16cid:durableId="1819880658">
    <w:abstractNumId w:val="5"/>
  </w:num>
  <w:num w:numId="8" w16cid:durableId="739137058">
    <w:abstractNumId w:val="8"/>
  </w:num>
  <w:num w:numId="9" w16cid:durableId="716513424">
    <w:abstractNumId w:val="7"/>
  </w:num>
  <w:num w:numId="10" w16cid:durableId="357001313">
    <w:abstractNumId w:val="14"/>
  </w:num>
  <w:num w:numId="11" w16cid:durableId="1050153769">
    <w:abstractNumId w:val="2"/>
  </w:num>
  <w:num w:numId="12" w16cid:durableId="409348186">
    <w:abstractNumId w:val="6"/>
  </w:num>
  <w:num w:numId="13" w16cid:durableId="1130243941">
    <w:abstractNumId w:val="3"/>
  </w:num>
  <w:num w:numId="14" w16cid:durableId="1561985990">
    <w:abstractNumId w:val="11"/>
  </w:num>
  <w:num w:numId="15" w16cid:durableId="1430925663">
    <w:abstractNumId w:val="0"/>
  </w:num>
  <w:num w:numId="16" w16cid:durableId="43124736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6AE"/>
    <w:rsid w:val="00001F43"/>
    <w:rsid w:val="00014F13"/>
    <w:rsid w:val="00016835"/>
    <w:rsid w:val="0002547F"/>
    <w:rsid w:val="000409A2"/>
    <w:rsid w:val="00041FC5"/>
    <w:rsid w:val="0004337F"/>
    <w:rsid w:val="00045421"/>
    <w:rsid w:val="000476BF"/>
    <w:rsid w:val="00062089"/>
    <w:rsid w:val="00063A90"/>
    <w:rsid w:val="00064955"/>
    <w:rsid w:val="00070435"/>
    <w:rsid w:val="00094B58"/>
    <w:rsid w:val="000A717F"/>
    <w:rsid w:val="000B2CEB"/>
    <w:rsid w:val="000B659A"/>
    <w:rsid w:val="000B7448"/>
    <w:rsid w:val="000C0F05"/>
    <w:rsid w:val="000C387D"/>
    <w:rsid w:val="000C5CB0"/>
    <w:rsid w:val="000C5DD7"/>
    <w:rsid w:val="000D0F16"/>
    <w:rsid w:val="000E37DB"/>
    <w:rsid w:val="000E3B3A"/>
    <w:rsid w:val="000E7EE1"/>
    <w:rsid w:val="000F59ED"/>
    <w:rsid w:val="00101F9C"/>
    <w:rsid w:val="001110BA"/>
    <w:rsid w:val="00112975"/>
    <w:rsid w:val="00114090"/>
    <w:rsid w:val="00120C0B"/>
    <w:rsid w:val="001210F6"/>
    <w:rsid w:val="001239F6"/>
    <w:rsid w:val="00127FE1"/>
    <w:rsid w:val="00130FC7"/>
    <w:rsid w:val="00134042"/>
    <w:rsid w:val="00135C63"/>
    <w:rsid w:val="0014017C"/>
    <w:rsid w:val="001451DE"/>
    <w:rsid w:val="001464F3"/>
    <w:rsid w:val="00153161"/>
    <w:rsid w:val="0016131A"/>
    <w:rsid w:val="001650DE"/>
    <w:rsid w:val="0018249D"/>
    <w:rsid w:val="001873C4"/>
    <w:rsid w:val="00194284"/>
    <w:rsid w:val="001966BD"/>
    <w:rsid w:val="001A3658"/>
    <w:rsid w:val="001A7EF9"/>
    <w:rsid w:val="001B030F"/>
    <w:rsid w:val="001B6095"/>
    <w:rsid w:val="001C49BB"/>
    <w:rsid w:val="001C7389"/>
    <w:rsid w:val="001E0228"/>
    <w:rsid w:val="001E171A"/>
    <w:rsid w:val="001E46BA"/>
    <w:rsid w:val="001E5139"/>
    <w:rsid w:val="001F3032"/>
    <w:rsid w:val="001F3F71"/>
    <w:rsid w:val="00200839"/>
    <w:rsid w:val="0020191B"/>
    <w:rsid w:val="0020422E"/>
    <w:rsid w:val="00204415"/>
    <w:rsid w:val="00204848"/>
    <w:rsid w:val="00206EE6"/>
    <w:rsid w:val="00212026"/>
    <w:rsid w:val="002166E4"/>
    <w:rsid w:val="00234ED0"/>
    <w:rsid w:val="00246E9A"/>
    <w:rsid w:val="00251D2C"/>
    <w:rsid w:val="002529B0"/>
    <w:rsid w:val="002539C8"/>
    <w:rsid w:val="002545BD"/>
    <w:rsid w:val="00254E37"/>
    <w:rsid w:val="00272AD8"/>
    <w:rsid w:val="00273315"/>
    <w:rsid w:val="00273498"/>
    <w:rsid w:val="0028442C"/>
    <w:rsid w:val="00286573"/>
    <w:rsid w:val="002915CA"/>
    <w:rsid w:val="00291B34"/>
    <w:rsid w:val="0029218E"/>
    <w:rsid w:val="00294568"/>
    <w:rsid w:val="002954B2"/>
    <w:rsid w:val="002967EB"/>
    <w:rsid w:val="0029769D"/>
    <w:rsid w:val="002A3826"/>
    <w:rsid w:val="002A62C5"/>
    <w:rsid w:val="002C260D"/>
    <w:rsid w:val="002D22D6"/>
    <w:rsid w:val="002D5B9B"/>
    <w:rsid w:val="002E475E"/>
    <w:rsid w:val="002F5FC0"/>
    <w:rsid w:val="0030696F"/>
    <w:rsid w:val="0031002A"/>
    <w:rsid w:val="00311D4B"/>
    <w:rsid w:val="003123C2"/>
    <w:rsid w:val="00316C1C"/>
    <w:rsid w:val="00321B38"/>
    <w:rsid w:val="00327FF9"/>
    <w:rsid w:val="00335AF8"/>
    <w:rsid w:val="00352D09"/>
    <w:rsid w:val="0035744B"/>
    <w:rsid w:val="00372EC0"/>
    <w:rsid w:val="003815A3"/>
    <w:rsid w:val="00381690"/>
    <w:rsid w:val="00382EE8"/>
    <w:rsid w:val="00384804"/>
    <w:rsid w:val="00384D36"/>
    <w:rsid w:val="00386B14"/>
    <w:rsid w:val="00395568"/>
    <w:rsid w:val="003A171B"/>
    <w:rsid w:val="003A4A9C"/>
    <w:rsid w:val="003A5F66"/>
    <w:rsid w:val="003B73EF"/>
    <w:rsid w:val="003C307E"/>
    <w:rsid w:val="003C429B"/>
    <w:rsid w:val="003C7139"/>
    <w:rsid w:val="003D73E0"/>
    <w:rsid w:val="003E5C65"/>
    <w:rsid w:val="00401A22"/>
    <w:rsid w:val="004057D7"/>
    <w:rsid w:val="0041229A"/>
    <w:rsid w:val="00415027"/>
    <w:rsid w:val="00430699"/>
    <w:rsid w:val="00432A28"/>
    <w:rsid w:val="00434DBF"/>
    <w:rsid w:val="004401D5"/>
    <w:rsid w:val="004462DA"/>
    <w:rsid w:val="00450A4A"/>
    <w:rsid w:val="00452A0D"/>
    <w:rsid w:val="0046620F"/>
    <w:rsid w:val="00466D75"/>
    <w:rsid w:val="00470AD0"/>
    <w:rsid w:val="00475773"/>
    <w:rsid w:val="00480D82"/>
    <w:rsid w:val="004825C5"/>
    <w:rsid w:val="0049055F"/>
    <w:rsid w:val="00491633"/>
    <w:rsid w:val="00494527"/>
    <w:rsid w:val="004A330A"/>
    <w:rsid w:val="004A37B0"/>
    <w:rsid w:val="004D5499"/>
    <w:rsid w:val="004E6C3D"/>
    <w:rsid w:val="004F26BF"/>
    <w:rsid w:val="004F57C6"/>
    <w:rsid w:val="00504E1F"/>
    <w:rsid w:val="005102FF"/>
    <w:rsid w:val="00516E1B"/>
    <w:rsid w:val="00516E35"/>
    <w:rsid w:val="0053369A"/>
    <w:rsid w:val="00544249"/>
    <w:rsid w:val="0054791C"/>
    <w:rsid w:val="00562710"/>
    <w:rsid w:val="00566FEC"/>
    <w:rsid w:val="0057310B"/>
    <w:rsid w:val="00581B21"/>
    <w:rsid w:val="005A7886"/>
    <w:rsid w:val="005A7BDB"/>
    <w:rsid w:val="005C08D4"/>
    <w:rsid w:val="005C470C"/>
    <w:rsid w:val="005C7C06"/>
    <w:rsid w:val="005D03AF"/>
    <w:rsid w:val="005D2313"/>
    <w:rsid w:val="005D5AA2"/>
    <w:rsid w:val="005F11EA"/>
    <w:rsid w:val="005F3D17"/>
    <w:rsid w:val="005F7BBA"/>
    <w:rsid w:val="006007F5"/>
    <w:rsid w:val="0060188F"/>
    <w:rsid w:val="00603A00"/>
    <w:rsid w:val="006052DE"/>
    <w:rsid w:val="00605591"/>
    <w:rsid w:val="006072CC"/>
    <w:rsid w:val="0061354D"/>
    <w:rsid w:val="0061656B"/>
    <w:rsid w:val="00623CFC"/>
    <w:rsid w:val="006356D7"/>
    <w:rsid w:val="00642063"/>
    <w:rsid w:val="00656710"/>
    <w:rsid w:val="00657E55"/>
    <w:rsid w:val="00660758"/>
    <w:rsid w:val="00660C0F"/>
    <w:rsid w:val="006627DB"/>
    <w:rsid w:val="006709E9"/>
    <w:rsid w:val="00670A6D"/>
    <w:rsid w:val="00672F03"/>
    <w:rsid w:val="00681559"/>
    <w:rsid w:val="00695322"/>
    <w:rsid w:val="006A51FD"/>
    <w:rsid w:val="006A6670"/>
    <w:rsid w:val="006B4552"/>
    <w:rsid w:val="006D5FFA"/>
    <w:rsid w:val="006E3663"/>
    <w:rsid w:val="006F60FA"/>
    <w:rsid w:val="006F77F3"/>
    <w:rsid w:val="00712033"/>
    <w:rsid w:val="00716C66"/>
    <w:rsid w:val="00726D5D"/>
    <w:rsid w:val="007406F1"/>
    <w:rsid w:val="007412B2"/>
    <w:rsid w:val="00742558"/>
    <w:rsid w:val="00750890"/>
    <w:rsid w:val="00752CF7"/>
    <w:rsid w:val="00753937"/>
    <w:rsid w:val="00763789"/>
    <w:rsid w:val="007640C5"/>
    <w:rsid w:val="00785F30"/>
    <w:rsid w:val="00793E22"/>
    <w:rsid w:val="007A4A1D"/>
    <w:rsid w:val="007B3A55"/>
    <w:rsid w:val="007C0429"/>
    <w:rsid w:val="007D5081"/>
    <w:rsid w:val="007D5D7A"/>
    <w:rsid w:val="007E382D"/>
    <w:rsid w:val="007E3B02"/>
    <w:rsid w:val="007E44D6"/>
    <w:rsid w:val="007F7F7B"/>
    <w:rsid w:val="008110D0"/>
    <w:rsid w:val="00814FA8"/>
    <w:rsid w:val="008248E9"/>
    <w:rsid w:val="00833F02"/>
    <w:rsid w:val="00851A26"/>
    <w:rsid w:val="00851AF9"/>
    <w:rsid w:val="00865D6A"/>
    <w:rsid w:val="00874930"/>
    <w:rsid w:val="0088177D"/>
    <w:rsid w:val="008908F0"/>
    <w:rsid w:val="00892F9D"/>
    <w:rsid w:val="00893543"/>
    <w:rsid w:val="008A18F8"/>
    <w:rsid w:val="008B1778"/>
    <w:rsid w:val="008B227A"/>
    <w:rsid w:val="008B5A58"/>
    <w:rsid w:val="008C6F78"/>
    <w:rsid w:val="008C75AD"/>
    <w:rsid w:val="008D2BF3"/>
    <w:rsid w:val="008D3E3D"/>
    <w:rsid w:val="008E7E85"/>
    <w:rsid w:val="008F26A1"/>
    <w:rsid w:val="008F5ED6"/>
    <w:rsid w:val="00903404"/>
    <w:rsid w:val="009062BC"/>
    <w:rsid w:val="0091039C"/>
    <w:rsid w:val="009107A9"/>
    <w:rsid w:val="00910A20"/>
    <w:rsid w:val="00910CC0"/>
    <w:rsid w:val="00911252"/>
    <w:rsid w:val="00930728"/>
    <w:rsid w:val="00932BE0"/>
    <w:rsid w:val="00937D74"/>
    <w:rsid w:val="0094614F"/>
    <w:rsid w:val="00946825"/>
    <w:rsid w:val="00955820"/>
    <w:rsid w:val="00956322"/>
    <w:rsid w:val="00956911"/>
    <w:rsid w:val="009627FF"/>
    <w:rsid w:val="009667CB"/>
    <w:rsid w:val="00976F01"/>
    <w:rsid w:val="00981F02"/>
    <w:rsid w:val="0099102F"/>
    <w:rsid w:val="00994665"/>
    <w:rsid w:val="009A2705"/>
    <w:rsid w:val="009B0D47"/>
    <w:rsid w:val="009B0EBD"/>
    <w:rsid w:val="009B3E3D"/>
    <w:rsid w:val="009B4462"/>
    <w:rsid w:val="009C13A4"/>
    <w:rsid w:val="009C3B71"/>
    <w:rsid w:val="009D0FBC"/>
    <w:rsid w:val="009D231B"/>
    <w:rsid w:val="009F5930"/>
    <w:rsid w:val="00A01980"/>
    <w:rsid w:val="00A05FD7"/>
    <w:rsid w:val="00A06D75"/>
    <w:rsid w:val="00A125DB"/>
    <w:rsid w:val="00A22B07"/>
    <w:rsid w:val="00A25376"/>
    <w:rsid w:val="00A263F3"/>
    <w:rsid w:val="00A3006C"/>
    <w:rsid w:val="00A31D06"/>
    <w:rsid w:val="00A32156"/>
    <w:rsid w:val="00A34B57"/>
    <w:rsid w:val="00A4013E"/>
    <w:rsid w:val="00A530BF"/>
    <w:rsid w:val="00A56423"/>
    <w:rsid w:val="00A61FF5"/>
    <w:rsid w:val="00A73AC8"/>
    <w:rsid w:val="00A81C59"/>
    <w:rsid w:val="00A828FF"/>
    <w:rsid w:val="00A929EB"/>
    <w:rsid w:val="00AA6BB9"/>
    <w:rsid w:val="00AB3C45"/>
    <w:rsid w:val="00AE6A65"/>
    <w:rsid w:val="00AF1A43"/>
    <w:rsid w:val="00AF3BF5"/>
    <w:rsid w:val="00B021F3"/>
    <w:rsid w:val="00B02FE6"/>
    <w:rsid w:val="00B07F13"/>
    <w:rsid w:val="00B11672"/>
    <w:rsid w:val="00B12BA8"/>
    <w:rsid w:val="00B23469"/>
    <w:rsid w:val="00B23BE3"/>
    <w:rsid w:val="00B24780"/>
    <w:rsid w:val="00B256DE"/>
    <w:rsid w:val="00B26A77"/>
    <w:rsid w:val="00B3367B"/>
    <w:rsid w:val="00B35AAC"/>
    <w:rsid w:val="00B376AE"/>
    <w:rsid w:val="00B46592"/>
    <w:rsid w:val="00B5168A"/>
    <w:rsid w:val="00B64E18"/>
    <w:rsid w:val="00B66518"/>
    <w:rsid w:val="00B80328"/>
    <w:rsid w:val="00B8061E"/>
    <w:rsid w:val="00B91E14"/>
    <w:rsid w:val="00B91FCC"/>
    <w:rsid w:val="00B93C99"/>
    <w:rsid w:val="00B9728F"/>
    <w:rsid w:val="00BA0D86"/>
    <w:rsid w:val="00BA2226"/>
    <w:rsid w:val="00BA340C"/>
    <w:rsid w:val="00BC3783"/>
    <w:rsid w:val="00BD1C33"/>
    <w:rsid w:val="00BD373E"/>
    <w:rsid w:val="00BD3B93"/>
    <w:rsid w:val="00BD6A25"/>
    <w:rsid w:val="00BE2F8C"/>
    <w:rsid w:val="00BE5EAF"/>
    <w:rsid w:val="00BF4500"/>
    <w:rsid w:val="00C00376"/>
    <w:rsid w:val="00C04654"/>
    <w:rsid w:val="00C06B90"/>
    <w:rsid w:val="00C0704A"/>
    <w:rsid w:val="00C10B4D"/>
    <w:rsid w:val="00C120DF"/>
    <w:rsid w:val="00C121E4"/>
    <w:rsid w:val="00C20483"/>
    <w:rsid w:val="00C25222"/>
    <w:rsid w:val="00C257B0"/>
    <w:rsid w:val="00C3747B"/>
    <w:rsid w:val="00C41CA7"/>
    <w:rsid w:val="00C73BB1"/>
    <w:rsid w:val="00C85D57"/>
    <w:rsid w:val="00C87389"/>
    <w:rsid w:val="00C90839"/>
    <w:rsid w:val="00CA7502"/>
    <w:rsid w:val="00CB05DC"/>
    <w:rsid w:val="00CB085A"/>
    <w:rsid w:val="00CB69C5"/>
    <w:rsid w:val="00CC0A43"/>
    <w:rsid w:val="00CE4251"/>
    <w:rsid w:val="00CE5718"/>
    <w:rsid w:val="00CF6BC5"/>
    <w:rsid w:val="00D11A9D"/>
    <w:rsid w:val="00D1296F"/>
    <w:rsid w:val="00D25ED1"/>
    <w:rsid w:val="00D27B00"/>
    <w:rsid w:val="00D27E20"/>
    <w:rsid w:val="00D34176"/>
    <w:rsid w:val="00D43AA0"/>
    <w:rsid w:val="00D50D33"/>
    <w:rsid w:val="00D52EB6"/>
    <w:rsid w:val="00D52FE5"/>
    <w:rsid w:val="00D55095"/>
    <w:rsid w:val="00D63A59"/>
    <w:rsid w:val="00D65580"/>
    <w:rsid w:val="00D706E2"/>
    <w:rsid w:val="00D72696"/>
    <w:rsid w:val="00D815BD"/>
    <w:rsid w:val="00D8417E"/>
    <w:rsid w:val="00D87F80"/>
    <w:rsid w:val="00D90045"/>
    <w:rsid w:val="00D90C79"/>
    <w:rsid w:val="00D930DA"/>
    <w:rsid w:val="00D94362"/>
    <w:rsid w:val="00DB06C6"/>
    <w:rsid w:val="00DB4F14"/>
    <w:rsid w:val="00DC447E"/>
    <w:rsid w:val="00DC4A55"/>
    <w:rsid w:val="00DC5878"/>
    <w:rsid w:val="00DD540B"/>
    <w:rsid w:val="00DE1B0D"/>
    <w:rsid w:val="00DE6792"/>
    <w:rsid w:val="00DF0AEA"/>
    <w:rsid w:val="00DF2BB5"/>
    <w:rsid w:val="00DF3F66"/>
    <w:rsid w:val="00DF4649"/>
    <w:rsid w:val="00DF54BF"/>
    <w:rsid w:val="00E0019F"/>
    <w:rsid w:val="00E01020"/>
    <w:rsid w:val="00E03BB6"/>
    <w:rsid w:val="00E03DC7"/>
    <w:rsid w:val="00E05418"/>
    <w:rsid w:val="00E06AFB"/>
    <w:rsid w:val="00E06D81"/>
    <w:rsid w:val="00E10DBA"/>
    <w:rsid w:val="00E318D6"/>
    <w:rsid w:val="00E32482"/>
    <w:rsid w:val="00E468A0"/>
    <w:rsid w:val="00E66A0A"/>
    <w:rsid w:val="00E66AFE"/>
    <w:rsid w:val="00E7723D"/>
    <w:rsid w:val="00E8448E"/>
    <w:rsid w:val="00E930DA"/>
    <w:rsid w:val="00EA14C0"/>
    <w:rsid w:val="00EB028F"/>
    <w:rsid w:val="00EB4DA4"/>
    <w:rsid w:val="00ED04A5"/>
    <w:rsid w:val="00ED5A3B"/>
    <w:rsid w:val="00EE0933"/>
    <w:rsid w:val="00EE0A66"/>
    <w:rsid w:val="00EE0B76"/>
    <w:rsid w:val="00EE0C61"/>
    <w:rsid w:val="00EE2BC2"/>
    <w:rsid w:val="00EE40B0"/>
    <w:rsid w:val="00EE40CC"/>
    <w:rsid w:val="00EE4124"/>
    <w:rsid w:val="00EE4847"/>
    <w:rsid w:val="00EE4D4F"/>
    <w:rsid w:val="00EF190C"/>
    <w:rsid w:val="00F03FDF"/>
    <w:rsid w:val="00F15D8F"/>
    <w:rsid w:val="00F16193"/>
    <w:rsid w:val="00F26FFD"/>
    <w:rsid w:val="00F27A0A"/>
    <w:rsid w:val="00F27BF6"/>
    <w:rsid w:val="00F30061"/>
    <w:rsid w:val="00F31320"/>
    <w:rsid w:val="00F3179C"/>
    <w:rsid w:val="00F321B7"/>
    <w:rsid w:val="00F33F76"/>
    <w:rsid w:val="00F35E65"/>
    <w:rsid w:val="00F37275"/>
    <w:rsid w:val="00F40359"/>
    <w:rsid w:val="00F40E3A"/>
    <w:rsid w:val="00F4386D"/>
    <w:rsid w:val="00F51D92"/>
    <w:rsid w:val="00F549B3"/>
    <w:rsid w:val="00F618AD"/>
    <w:rsid w:val="00F66EFD"/>
    <w:rsid w:val="00F70E9F"/>
    <w:rsid w:val="00F73E2A"/>
    <w:rsid w:val="00F82A57"/>
    <w:rsid w:val="00F94293"/>
    <w:rsid w:val="00FA0133"/>
    <w:rsid w:val="00FA20F3"/>
    <w:rsid w:val="00FA4DB7"/>
    <w:rsid w:val="00FC0B07"/>
    <w:rsid w:val="00FC3BAC"/>
    <w:rsid w:val="00FD351F"/>
    <w:rsid w:val="00FE096C"/>
    <w:rsid w:val="00FE5750"/>
    <w:rsid w:val="00FE7840"/>
    <w:rsid w:val="00FF2B36"/>
    <w:rsid w:val="00FF304D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69F30B"/>
  <w15:docId w15:val="{BF3933F5-A1B8-4BC0-ACC2-4A40E729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BC2"/>
    <w:rPr>
      <w:sz w:val="24"/>
    </w:rPr>
  </w:style>
  <w:style w:type="paragraph" w:styleId="Heading1">
    <w:name w:val="heading 1"/>
    <w:basedOn w:val="Normal"/>
    <w:next w:val="Normal"/>
    <w:qFormat/>
    <w:rsid w:val="00EE2BC2"/>
    <w:pPr>
      <w:keepNext/>
      <w:spacing w:line="360" w:lineRule="auto"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EE2BC2"/>
    <w:pPr>
      <w:keepNext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EE2BC2"/>
    <w:pPr>
      <w:keepNext/>
      <w:spacing w:line="480" w:lineRule="auto"/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E2BC2"/>
    <w:pPr>
      <w:keepNext/>
      <w:ind w:left="360"/>
      <w:jc w:val="both"/>
      <w:outlineLvl w:val="3"/>
    </w:pPr>
    <w:rPr>
      <w:b/>
      <w:color w:val="000000"/>
      <w:szCs w:val="24"/>
    </w:rPr>
  </w:style>
  <w:style w:type="paragraph" w:styleId="Heading5">
    <w:name w:val="heading 5"/>
    <w:basedOn w:val="Normal"/>
    <w:next w:val="Normal"/>
    <w:qFormat/>
    <w:rsid w:val="00EE2BC2"/>
    <w:pPr>
      <w:keepNext/>
      <w:ind w:left="360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E2BC2"/>
    <w:pPr>
      <w:keepNext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EE2BC2"/>
    <w:pPr>
      <w:keepNext/>
      <w:jc w:val="both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rsid w:val="00EE2BC2"/>
    <w:pPr>
      <w:keepNext/>
      <w:spacing w:line="480" w:lineRule="auto"/>
      <w:ind w:left="360"/>
      <w:jc w:val="both"/>
      <w:outlineLvl w:val="7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E2BC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BC2"/>
  </w:style>
  <w:style w:type="paragraph" w:styleId="FootnoteText">
    <w:name w:val="footnote text"/>
    <w:basedOn w:val="Normal"/>
    <w:link w:val="FootnoteTextChar"/>
    <w:uiPriority w:val="99"/>
    <w:semiHidden/>
    <w:rsid w:val="00EE2BC2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EE2BC2"/>
    <w:rPr>
      <w:vertAlign w:val="superscript"/>
    </w:rPr>
  </w:style>
  <w:style w:type="paragraph" w:styleId="Header">
    <w:name w:val="header"/>
    <w:basedOn w:val="Normal"/>
    <w:rsid w:val="00EE2BC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EE2BC2"/>
    <w:rPr>
      <w:sz w:val="28"/>
    </w:rPr>
  </w:style>
  <w:style w:type="paragraph" w:styleId="BodyTextIndent">
    <w:name w:val="Body Text Indent"/>
    <w:basedOn w:val="Normal"/>
    <w:rsid w:val="00EE2BC2"/>
    <w:pPr>
      <w:tabs>
        <w:tab w:val="left" w:pos="0"/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61" w:lineRule="atLeast"/>
      <w:ind w:left="1440"/>
      <w:jc w:val="both"/>
    </w:pPr>
    <w:rPr>
      <w:bCs/>
    </w:rPr>
  </w:style>
  <w:style w:type="paragraph" w:customStyle="1" w:styleId="a">
    <w:name w:val="_"/>
    <w:rsid w:val="00EE2BC2"/>
    <w:pPr>
      <w:ind w:left="720"/>
    </w:pPr>
    <w:rPr>
      <w:snapToGrid w:val="0"/>
      <w:sz w:val="24"/>
    </w:rPr>
  </w:style>
  <w:style w:type="paragraph" w:styleId="BodyTextIndent2">
    <w:name w:val="Body Text Indent 2"/>
    <w:basedOn w:val="Normal"/>
    <w:rsid w:val="00EE2BC2"/>
    <w:pPr>
      <w:ind w:left="1800"/>
      <w:jc w:val="both"/>
    </w:pPr>
  </w:style>
  <w:style w:type="paragraph" w:styleId="BodyTextIndent3">
    <w:name w:val="Body Text Indent 3"/>
    <w:basedOn w:val="Normal"/>
    <w:rsid w:val="00EE2BC2"/>
    <w:pPr>
      <w:spacing w:line="480" w:lineRule="auto"/>
      <w:ind w:left="360"/>
    </w:pPr>
    <w:rPr>
      <w:bCs/>
    </w:rPr>
  </w:style>
  <w:style w:type="character" w:styleId="Hyperlink">
    <w:name w:val="Hyperlink"/>
    <w:basedOn w:val="DefaultParagraphFont"/>
    <w:rsid w:val="00EE2BC2"/>
    <w:rPr>
      <w:color w:val="0000FF"/>
      <w:u w:val="single"/>
    </w:rPr>
  </w:style>
  <w:style w:type="character" w:styleId="FollowedHyperlink">
    <w:name w:val="FollowedHyperlink"/>
    <w:basedOn w:val="DefaultParagraphFont"/>
    <w:rsid w:val="00EE2BC2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D27B00"/>
    <w:pPr>
      <w:spacing w:before="100" w:beforeAutospacing="1" w:after="100" w:afterAutospacing="1"/>
    </w:pPr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100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002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00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2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0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02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4013E"/>
    <w:rPr>
      <w:sz w:val="24"/>
    </w:rPr>
  </w:style>
  <w:style w:type="character" w:styleId="Emphasis">
    <w:name w:val="Emphasis"/>
    <w:basedOn w:val="DefaultParagraphFont"/>
    <w:uiPriority w:val="20"/>
    <w:qFormat/>
    <w:rsid w:val="00E10DBA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039C"/>
  </w:style>
  <w:style w:type="paragraph" w:styleId="ListParagraph">
    <w:name w:val="List Paragraph"/>
    <w:basedOn w:val="Normal"/>
    <w:uiPriority w:val="34"/>
    <w:qFormat/>
    <w:rsid w:val="00C120DF"/>
    <w:pPr>
      <w:ind w:left="72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3ADB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C04654"/>
    <w:rPr>
      <w:sz w:val="24"/>
    </w:rPr>
  </w:style>
  <w:style w:type="table" w:styleId="TableGrid">
    <w:name w:val="Table Grid"/>
    <w:basedOn w:val="TableNormal"/>
    <w:uiPriority w:val="59"/>
    <w:rsid w:val="00811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72F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5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74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8878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1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44A1ADC-1AD5-485A-8EBA-BEDAC105B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358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Petition to Add a Local Rule for Northwest Judicial District</vt:lpstr>
    </vt:vector>
  </TitlesOfParts>
  <Company>Maricopa County</Company>
  <LinksUpToDate>false</LinksUpToDate>
  <CharactersWithSpaces>2250</CharactersWithSpaces>
  <SharedDoc>false</SharedDoc>
  <HLinks>
    <vt:vector size="12" baseType="variant">
      <vt:variant>
        <vt:i4>5636113</vt:i4>
      </vt:variant>
      <vt:variant>
        <vt:i4>3</vt:i4>
      </vt:variant>
      <vt:variant>
        <vt:i4>0</vt:i4>
      </vt:variant>
      <vt:variant>
        <vt:i4>5</vt:i4>
      </vt:variant>
      <vt:variant>
        <vt:lpwstr>http://www.uscourts.gov/uscourts/RulesAndPolicies/rules/jc09-2010/2010-09-Appendix-D.pdf</vt:lpwstr>
      </vt:variant>
      <vt:variant>
        <vt:lpwstr/>
      </vt:variant>
      <vt:variant>
        <vt:i4>3801133</vt:i4>
      </vt:variant>
      <vt:variant>
        <vt:i4>0</vt:i4>
      </vt:variant>
      <vt:variant>
        <vt:i4>0</vt:i4>
      </vt:variant>
      <vt:variant>
        <vt:i4>5</vt:i4>
      </vt:variant>
      <vt:variant>
        <vt:lpwstr>http://www.azcourts.gov/rules/AdHocCommitteeonRulesofEvidence.aspx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 to Add a Local Rule for Northwest Judicial District</dc:title>
  <dc:creator>Superior Court</dc:creator>
  <cp:lastModifiedBy>Sara Agne (SUP)</cp:lastModifiedBy>
  <cp:revision>4</cp:revision>
  <cp:lastPrinted>2022-09-09T15:57:00Z</cp:lastPrinted>
  <dcterms:created xsi:type="dcterms:W3CDTF">2024-05-23T20:45:00Z</dcterms:created>
  <dcterms:modified xsi:type="dcterms:W3CDTF">2024-06-02T19:29:00Z</dcterms:modified>
</cp:coreProperties>
</file>