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12D3" w14:textId="6BFF7501" w:rsidR="00BF4ED1" w:rsidRPr="00F76744" w:rsidRDefault="00E20698" w:rsidP="00BF4ED1">
      <w:pPr>
        <w:jc w:val="both"/>
        <w:rPr>
          <w:sz w:val="28"/>
          <w:szCs w:val="28"/>
        </w:rPr>
      </w:pPr>
      <w:r w:rsidRPr="00F76744">
        <w:rPr>
          <w:sz w:val="28"/>
          <w:szCs w:val="28"/>
        </w:rPr>
        <w:t xml:space="preserve">William </w:t>
      </w:r>
      <w:r w:rsidR="008D009E" w:rsidRPr="00F76744">
        <w:rPr>
          <w:sz w:val="28"/>
          <w:szCs w:val="28"/>
        </w:rPr>
        <w:t xml:space="preserve">G. </w:t>
      </w:r>
      <w:r w:rsidRPr="00F76744">
        <w:rPr>
          <w:sz w:val="28"/>
          <w:szCs w:val="28"/>
        </w:rPr>
        <w:t>Montgomery,</w:t>
      </w:r>
      <w:r w:rsidR="00BF4ED1" w:rsidRPr="00F76744">
        <w:rPr>
          <w:sz w:val="28"/>
          <w:szCs w:val="28"/>
        </w:rPr>
        <w:t xml:space="preserve"> Chair</w:t>
      </w:r>
    </w:p>
    <w:p w14:paraId="1BAF1E5E" w14:textId="75F559BF" w:rsidR="00BF4ED1" w:rsidRPr="00F76744" w:rsidRDefault="00EA4BC8" w:rsidP="00EA4BC8">
      <w:pPr>
        <w:ind w:left="360" w:hanging="360"/>
        <w:jc w:val="both"/>
        <w:rPr>
          <w:sz w:val="28"/>
          <w:szCs w:val="28"/>
        </w:rPr>
      </w:pPr>
      <w:r w:rsidRPr="00F76744">
        <w:rPr>
          <w:sz w:val="28"/>
          <w:szCs w:val="28"/>
        </w:rPr>
        <w:t>Task Force on Ethics Rules Governing the State Attorney General, County Attorneys, and Other Public Lawyers</w:t>
      </w:r>
      <w:r w:rsidR="00BF4ED1" w:rsidRPr="00F76744">
        <w:rPr>
          <w:sz w:val="28"/>
          <w:szCs w:val="28"/>
        </w:rPr>
        <w:t>, Petitioner</w:t>
      </w:r>
    </w:p>
    <w:p w14:paraId="282CBD6A" w14:textId="77777777" w:rsidR="00BF4ED1" w:rsidRPr="00F76744" w:rsidRDefault="00BF4ED1" w:rsidP="00BF4ED1">
      <w:pPr>
        <w:jc w:val="both"/>
        <w:rPr>
          <w:sz w:val="28"/>
          <w:szCs w:val="28"/>
        </w:rPr>
      </w:pPr>
      <w:r w:rsidRPr="00F76744">
        <w:rPr>
          <w:sz w:val="28"/>
          <w:szCs w:val="28"/>
        </w:rPr>
        <w:t>1501 W. Washington St.</w:t>
      </w:r>
    </w:p>
    <w:p w14:paraId="576B4700" w14:textId="57C6108D" w:rsidR="00BF4ED1" w:rsidRPr="00F76744" w:rsidRDefault="00BF4ED1" w:rsidP="00BF4ED1">
      <w:pPr>
        <w:jc w:val="both"/>
        <w:rPr>
          <w:sz w:val="28"/>
          <w:szCs w:val="28"/>
        </w:rPr>
      </w:pPr>
      <w:r w:rsidRPr="00F76744">
        <w:rPr>
          <w:sz w:val="28"/>
          <w:szCs w:val="28"/>
        </w:rPr>
        <w:t xml:space="preserve">Phoenix, AZ </w:t>
      </w:r>
      <w:r w:rsidR="00EF1600" w:rsidRPr="00F76744">
        <w:rPr>
          <w:sz w:val="28"/>
          <w:szCs w:val="28"/>
        </w:rPr>
        <w:t xml:space="preserve"> </w:t>
      </w:r>
      <w:r w:rsidRPr="00F76744">
        <w:rPr>
          <w:sz w:val="28"/>
          <w:szCs w:val="28"/>
        </w:rPr>
        <w:t>85007</w:t>
      </w:r>
    </w:p>
    <w:p w14:paraId="498FAD61" w14:textId="77777777" w:rsidR="00BF4ED1" w:rsidRPr="00F76744" w:rsidRDefault="00BF4ED1" w:rsidP="00BF4ED1">
      <w:pPr>
        <w:jc w:val="both"/>
        <w:rPr>
          <w:sz w:val="28"/>
          <w:szCs w:val="28"/>
        </w:rPr>
      </w:pPr>
    </w:p>
    <w:p w14:paraId="27FB4F09" w14:textId="3473A136" w:rsidR="00BF4ED1" w:rsidRPr="00F76744" w:rsidRDefault="00BF4ED1" w:rsidP="004D5213">
      <w:pPr>
        <w:contextualSpacing w:val="0"/>
        <w:jc w:val="both"/>
        <w:rPr>
          <w:sz w:val="28"/>
          <w:szCs w:val="28"/>
        </w:rPr>
      </w:pPr>
    </w:p>
    <w:p w14:paraId="52FC6397" w14:textId="77777777" w:rsidR="004D5213" w:rsidRPr="00F76744" w:rsidRDefault="004D5213" w:rsidP="008E48D5">
      <w:pPr>
        <w:contextualSpacing w:val="0"/>
        <w:jc w:val="both"/>
        <w:rPr>
          <w:sz w:val="28"/>
          <w:szCs w:val="28"/>
        </w:rPr>
      </w:pPr>
    </w:p>
    <w:p w14:paraId="6F13DC37" w14:textId="77777777" w:rsidR="00BF4ED1" w:rsidRPr="00F76744" w:rsidRDefault="00BF4ED1" w:rsidP="00BF4ED1">
      <w:pPr>
        <w:spacing w:line="480" w:lineRule="auto"/>
        <w:contextualSpacing w:val="0"/>
        <w:jc w:val="both"/>
        <w:rPr>
          <w:sz w:val="28"/>
          <w:szCs w:val="28"/>
          <w:u w:val="single"/>
        </w:rPr>
      </w:pPr>
    </w:p>
    <w:p w14:paraId="67F422EA" w14:textId="77777777" w:rsidR="00BF4ED1" w:rsidRPr="00F76744" w:rsidRDefault="00BF4ED1" w:rsidP="00C362A3">
      <w:pPr>
        <w:spacing w:line="480" w:lineRule="auto"/>
        <w:contextualSpacing w:val="0"/>
        <w:jc w:val="center"/>
        <w:rPr>
          <w:sz w:val="28"/>
          <w:szCs w:val="28"/>
        </w:rPr>
      </w:pPr>
      <w:r w:rsidRPr="00F76744">
        <w:rPr>
          <w:sz w:val="28"/>
          <w:szCs w:val="28"/>
        </w:rPr>
        <w:t>SUPREME COURT OF ARIZONA</w:t>
      </w:r>
    </w:p>
    <w:p w14:paraId="5316FF1F" w14:textId="77777777" w:rsidR="00BF4ED1" w:rsidRPr="00F76744" w:rsidRDefault="00BF4ED1" w:rsidP="00BF4ED1">
      <w:pPr>
        <w:jc w:val="both"/>
        <w:rPr>
          <w:sz w:val="28"/>
          <w:szCs w:val="28"/>
        </w:rPr>
      </w:pPr>
    </w:p>
    <w:p w14:paraId="344636A2" w14:textId="6A76DCB0" w:rsidR="00BF4ED1" w:rsidRPr="00F76744" w:rsidRDefault="00BF4ED1" w:rsidP="008E48D5">
      <w:pPr>
        <w:tabs>
          <w:tab w:val="left" w:pos="4320"/>
        </w:tabs>
        <w:jc w:val="both"/>
        <w:rPr>
          <w:sz w:val="28"/>
          <w:szCs w:val="28"/>
        </w:rPr>
      </w:pPr>
      <w:r w:rsidRPr="00F76744">
        <w:rPr>
          <w:sz w:val="28"/>
          <w:szCs w:val="28"/>
        </w:rPr>
        <w:t xml:space="preserve">PETITION TO </w:t>
      </w:r>
      <w:r w:rsidR="00671493" w:rsidRPr="00F76744">
        <w:rPr>
          <w:sz w:val="28"/>
          <w:szCs w:val="28"/>
        </w:rPr>
        <w:t xml:space="preserve">AMEND </w:t>
      </w:r>
      <w:r w:rsidR="00B26843" w:rsidRPr="00F76744">
        <w:rPr>
          <w:sz w:val="28"/>
          <w:szCs w:val="28"/>
        </w:rPr>
        <w:tab/>
      </w:r>
      <w:r w:rsidR="00792F37" w:rsidRPr="00F76744">
        <w:rPr>
          <w:sz w:val="28"/>
          <w:szCs w:val="28"/>
        </w:rPr>
        <w:t xml:space="preserve">)  </w:t>
      </w:r>
      <w:r w:rsidRPr="00F76744">
        <w:rPr>
          <w:sz w:val="28"/>
          <w:szCs w:val="28"/>
        </w:rPr>
        <w:t>Supreme Court No. R-</w:t>
      </w:r>
      <w:r w:rsidR="00D37D5C" w:rsidRPr="00F76744">
        <w:rPr>
          <w:sz w:val="28"/>
          <w:szCs w:val="28"/>
        </w:rPr>
        <w:t>2</w:t>
      </w:r>
      <w:r w:rsidR="00E20698" w:rsidRPr="00F76744">
        <w:rPr>
          <w:sz w:val="28"/>
          <w:szCs w:val="28"/>
        </w:rPr>
        <w:t>4-</w:t>
      </w:r>
      <w:r w:rsidR="00547CEA">
        <w:rPr>
          <w:sz w:val="28"/>
          <w:szCs w:val="28"/>
        </w:rPr>
        <w:t>0003</w:t>
      </w:r>
    </w:p>
    <w:p w14:paraId="04AAADB0" w14:textId="61043807" w:rsidR="00BF4ED1" w:rsidRPr="00F76744" w:rsidRDefault="00BF4ED1" w:rsidP="00BF4ED1">
      <w:pPr>
        <w:jc w:val="both"/>
        <w:rPr>
          <w:sz w:val="28"/>
          <w:szCs w:val="28"/>
        </w:rPr>
      </w:pPr>
      <w:r w:rsidRPr="00F76744">
        <w:rPr>
          <w:sz w:val="28"/>
          <w:szCs w:val="28"/>
        </w:rPr>
        <w:t>RULE</w:t>
      </w:r>
      <w:r w:rsidR="008274DC" w:rsidRPr="00F76744">
        <w:rPr>
          <w:sz w:val="28"/>
          <w:szCs w:val="28"/>
        </w:rPr>
        <w:t>S</w:t>
      </w:r>
      <w:r w:rsidR="001423BB" w:rsidRPr="00F76744">
        <w:rPr>
          <w:sz w:val="28"/>
          <w:szCs w:val="28"/>
        </w:rPr>
        <w:t xml:space="preserve"> 42 and 45,</w:t>
      </w:r>
      <w:r w:rsidRPr="00F76744">
        <w:rPr>
          <w:sz w:val="28"/>
          <w:szCs w:val="28"/>
        </w:rPr>
        <w:tab/>
      </w:r>
      <w:r w:rsidR="008274DC" w:rsidRPr="00F76744">
        <w:rPr>
          <w:sz w:val="28"/>
          <w:szCs w:val="28"/>
        </w:rPr>
        <w:t xml:space="preserve"> RULES OF </w:t>
      </w:r>
      <w:r w:rsidR="00E8546F" w:rsidRPr="00F76744">
        <w:rPr>
          <w:sz w:val="28"/>
          <w:szCs w:val="28"/>
        </w:rPr>
        <w:t>THE</w:t>
      </w:r>
      <w:r w:rsidR="008274DC" w:rsidRPr="00F76744">
        <w:rPr>
          <w:sz w:val="28"/>
          <w:szCs w:val="28"/>
        </w:rPr>
        <w:tab/>
      </w:r>
      <w:r w:rsidRPr="00F76744">
        <w:rPr>
          <w:sz w:val="28"/>
          <w:szCs w:val="28"/>
        </w:rPr>
        <w:t>)</w:t>
      </w:r>
    </w:p>
    <w:p w14:paraId="22D5DB55" w14:textId="39BD2C43" w:rsidR="00AA02E4" w:rsidRPr="00F76744" w:rsidRDefault="00484199" w:rsidP="00BF4ED1">
      <w:pPr>
        <w:ind w:left="4320" w:hanging="4320"/>
        <w:jc w:val="both"/>
        <w:rPr>
          <w:sz w:val="28"/>
          <w:szCs w:val="28"/>
        </w:rPr>
      </w:pPr>
      <w:r w:rsidRPr="00F76744">
        <w:rPr>
          <w:sz w:val="28"/>
          <w:szCs w:val="28"/>
        </w:rPr>
        <w:t>ARIZONA SUPREME COURT</w:t>
      </w:r>
      <w:r w:rsidR="00557BAF" w:rsidRPr="00F76744">
        <w:rPr>
          <w:sz w:val="28"/>
          <w:szCs w:val="28"/>
        </w:rPr>
        <w:tab/>
        <w:t>)</w:t>
      </w:r>
      <w:r w:rsidR="00547CEA">
        <w:rPr>
          <w:sz w:val="28"/>
          <w:szCs w:val="28"/>
        </w:rPr>
        <w:t xml:space="preserve"> </w:t>
      </w:r>
      <w:r w:rsidR="00AF01DD">
        <w:rPr>
          <w:sz w:val="28"/>
          <w:szCs w:val="28"/>
        </w:rPr>
        <w:t xml:space="preserve"> </w:t>
      </w:r>
      <w:r w:rsidR="004C2A0D">
        <w:rPr>
          <w:sz w:val="28"/>
          <w:szCs w:val="28"/>
        </w:rPr>
        <w:t xml:space="preserve">TASK FORCE </w:t>
      </w:r>
      <w:r w:rsidR="00557BAF">
        <w:rPr>
          <w:sz w:val="28"/>
          <w:szCs w:val="28"/>
        </w:rPr>
        <w:t xml:space="preserve">REPLY </w:t>
      </w:r>
    </w:p>
    <w:p w14:paraId="7E62E114" w14:textId="4499CA0B" w:rsidR="00626554" w:rsidRPr="00F76744" w:rsidRDefault="00AA02E4" w:rsidP="00BF4ED1">
      <w:pPr>
        <w:ind w:left="4320" w:hanging="4320"/>
        <w:jc w:val="both"/>
        <w:rPr>
          <w:sz w:val="28"/>
          <w:szCs w:val="28"/>
        </w:rPr>
      </w:pPr>
      <w:r w:rsidRPr="00F76744">
        <w:rPr>
          <w:sz w:val="28"/>
          <w:szCs w:val="28"/>
        </w:rPr>
        <w:tab/>
      </w:r>
      <w:r w:rsidR="00BF4ED1" w:rsidRPr="00F76744">
        <w:rPr>
          <w:sz w:val="28"/>
          <w:szCs w:val="28"/>
        </w:rPr>
        <w:t>)</w:t>
      </w:r>
      <w:r w:rsidR="00557BAF">
        <w:rPr>
          <w:sz w:val="28"/>
          <w:szCs w:val="28"/>
        </w:rPr>
        <w:t xml:space="preserve"> </w:t>
      </w:r>
      <w:r w:rsidR="00547CEA">
        <w:rPr>
          <w:sz w:val="28"/>
          <w:szCs w:val="28"/>
        </w:rPr>
        <w:t xml:space="preserve"> </w:t>
      </w:r>
      <w:r w:rsidR="004C2A0D">
        <w:rPr>
          <w:sz w:val="28"/>
          <w:szCs w:val="28"/>
        </w:rPr>
        <w:t>TO THE COMMENTS</w:t>
      </w:r>
    </w:p>
    <w:p w14:paraId="08743B72" w14:textId="5E72727B" w:rsidR="00532AD5" w:rsidRPr="00F76744" w:rsidRDefault="00413639" w:rsidP="00174DA7">
      <w:pPr>
        <w:tabs>
          <w:tab w:val="left" w:pos="4320"/>
        </w:tabs>
        <w:jc w:val="both"/>
        <w:rPr>
          <w:sz w:val="28"/>
          <w:szCs w:val="28"/>
        </w:rPr>
      </w:pPr>
      <w:r w:rsidRPr="00F76744">
        <w:rPr>
          <w:sz w:val="28"/>
          <w:szCs w:val="28"/>
        </w:rPr>
        <w:t>______________________________</w:t>
      </w:r>
      <w:r w:rsidRPr="00F76744">
        <w:rPr>
          <w:sz w:val="28"/>
          <w:szCs w:val="28"/>
        </w:rPr>
        <w:tab/>
      </w:r>
      <w:r w:rsidR="00626554" w:rsidRPr="00F76744">
        <w:rPr>
          <w:sz w:val="28"/>
          <w:szCs w:val="28"/>
        </w:rPr>
        <w:t>)</w:t>
      </w:r>
      <w:r w:rsidR="00DF44D0" w:rsidRPr="00F76744">
        <w:rPr>
          <w:sz w:val="28"/>
          <w:szCs w:val="28"/>
        </w:rPr>
        <w:t xml:space="preserve">  </w:t>
      </w:r>
    </w:p>
    <w:p w14:paraId="5075565B" w14:textId="77777777" w:rsidR="00174DA7" w:rsidRPr="00F76744" w:rsidRDefault="00174DA7" w:rsidP="00174DA7">
      <w:pPr>
        <w:tabs>
          <w:tab w:val="left" w:pos="4320"/>
        </w:tabs>
        <w:jc w:val="both"/>
        <w:rPr>
          <w:sz w:val="28"/>
          <w:szCs w:val="28"/>
        </w:rPr>
      </w:pPr>
    </w:p>
    <w:p w14:paraId="03FAD11F" w14:textId="22E89453" w:rsidR="007670A1" w:rsidRPr="00F76744" w:rsidRDefault="00E5043B" w:rsidP="00FE01A9">
      <w:pPr>
        <w:keepNext/>
        <w:spacing w:line="480" w:lineRule="auto"/>
        <w:ind w:firstLine="720"/>
        <w:jc w:val="both"/>
        <w:rPr>
          <w:sz w:val="28"/>
          <w:szCs w:val="28"/>
        </w:rPr>
      </w:pPr>
      <w:r>
        <w:rPr>
          <w:sz w:val="28"/>
          <w:szCs w:val="28"/>
        </w:rPr>
        <w:t xml:space="preserve">The Task Force </w:t>
      </w:r>
      <w:r w:rsidR="00E27261">
        <w:rPr>
          <w:sz w:val="28"/>
          <w:szCs w:val="28"/>
        </w:rPr>
        <w:t xml:space="preserve">met on May 10, 2024, to </w:t>
      </w:r>
      <w:r>
        <w:rPr>
          <w:sz w:val="28"/>
          <w:szCs w:val="28"/>
        </w:rPr>
        <w:t>consider</w:t>
      </w:r>
      <w:r w:rsidR="00D65B9D">
        <w:rPr>
          <w:sz w:val="28"/>
          <w:szCs w:val="28"/>
        </w:rPr>
        <w:t xml:space="preserve"> </w:t>
      </w:r>
      <w:r w:rsidR="00151E31">
        <w:rPr>
          <w:sz w:val="28"/>
          <w:szCs w:val="28"/>
        </w:rPr>
        <w:t>the four comments posted on the Court Rules Forum</w:t>
      </w:r>
      <w:r w:rsidR="009905A2">
        <w:rPr>
          <w:sz w:val="28"/>
          <w:szCs w:val="28"/>
        </w:rPr>
        <w:t>, and it</w:t>
      </w:r>
      <w:r w:rsidR="006F58CC">
        <w:rPr>
          <w:sz w:val="28"/>
          <w:szCs w:val="28"/>
        </w:rPr>
        <w:t xml:space="preserve"> </w:t>
      </w:r>
      <w:r w:rsidR="003E0EEC">
        <w:rPr>
          <w:sz w:val="28"/>
          <w:szCs w:val="28"/>
        </w:rPr>
        <w:t xml:space="preserve">now </w:t>
      </w:r>
      <w:r w:rsidR="00CC5E53">
        <w:rPr>
          <w:sz w:val="28"/>
          <w:szCs w:val="28"/>
        </w:rPr>
        <w:t>replies to each comment</w:t>
      </w:r>
      <w:r w:rsidR="0042361D">
        <w:rPr>
          <w:sz w:val="28"/>
          <w:szCs w:val="28"/>
        </w:rPr>
        <w:t xml:space="preserve">.  </w:t>
      </w:r>
      <w:r w:rsidR="001214DF">
        <w:rPr>
          <w:sz w:val="28"/>
          <w:szCs w:val="28"/>
        </w:rPr>
        <w:t>The Task Force</w:t>
      </w:r>
      <w:r w:rsidR="0042361D">
        <w:rPr>
          <w:sz w:val="28"/>
          <w:szCs w:val="28"/>
        </w:rPr>
        <w:t xml:space="preserve"> also submits</w:t>
      </w:r>
      <w:r w:rsidR="00BE3BD5">
        <w:rPr>
          <w:sz w:val="28"/>
          <w:szCs w:val="28"/>
        </w:rPr>
        <w:t xml:space="preserve"> two </w:t>
      </w:r>
      <w:r w:rsidR="00CE6E44">
        <w:rPr>
          <w:sz w:val="28"/>
          <w:szCs w:val="28"/>
        </w:rPr>
        <w:t>additional</w:t>
      </w:r>
      <w:r w:rsidR="00F87E31">
        <w:rPr>
          <w:sz w:val="28"/>
          <w:szCs w:val="28"/>
        </w:rPr>
        <w:t xml:space="preserve"> amendments</w:t>
      </w:r>
      <w:r w:rsidR="00CE6E44">
        <w:rPr>
          <w:sz w:val="28"/>
          <w:szCs w:val="28"/>
        </w:rPr>
        <w:t xml:space="preserve"> for the Court’s consideration</w:t>
      </w:r>
      <w:r w:rsidR="0042361D">
        <w:rPr>
          <w:sz w:val="28"/>
          <w:szCs w:val="28"/>
        </w:rPr>
        <w:t>,</w:t>
      </w:r>
      <w:r w:rsidR="00F87E31">
        <w:rPr>
          <w:sz w:val="28"/>
          <w:szCs w:val="28"/>
        </w:rPr>
        <w:t xml:space="preserve"> one </w:t>
      </w:r>
      <w:r w:rsidR="0042361D">
        <w:rPr>
          <w:sz w:val="28"/>
          <w:szCs w:val="28"/>
        </w:rPr>
        <w:t>concerning</w:t>
      </w:r>
      <w:r w:rsidR="00F87E31">
        <w:rPr>
          <w:sz w:val="28"/>
          <w:szCs w:val="28"/>
        </w:rPr>
        <w:t xml:space="preserve"> the Preamble and the other </w:t>
      </w:r>
      <w:r w:rsidR="0042361D">
        <w:rPr>
          <w:sz w:val="28"/>
          <w:szCs w:val="28"/>
        </w:rPr>
        <w:t>regarding</w:t>
      </w:r>
      <w:r w:rsidR="00F87E31">
        <w:rPr>
          <w:sz w:val="28"/>
          <w:szCs w:val="28"/>
        </w:rPr>
        <w:t xml:space="preserve"> Paragraph</w:t>
      </w:r>
      <w:r w:rsidR="008D3B23">
        <w:rPr>
          <w:sz w:val="28"/>
          <w:szCs w:val="28"/>
        </w:rPr>
        <w:t xml:space="preserve"> 9 of the comment to ER 1.7</w:t>
      </w:r>
      <w:r w:rsidR="009079A9">
        <w:rPr>
          <w:sz w:val="28"/>
          <w:szCs w:val="28"/>
        </w:rPr>
        <w:t xml:space="preserve">. </w:t>
      </w:r>
    </w:p>
    <w:p w14:paraId="31B19881" w14:textId="42230D8D" w:rsidR="00D2078A" w:rsidRDefault="00504225" w:rsidP="00AF01DD">
      <w:pPr>
        <w:spacing w:line="480" w:lineRule="auto"/>
        <w:ind w:firstLine="720"/>
        <w:jc w:val="both"/>
        <w:rPr>
          <w:bCs/>
          <w:sz w:val="28"/>
          <w:szCs w:val="28"/>
        </w:rPr>
      </w:pPr>
      <w:r w:rsidRPr="00504225">
        <w:rPr>
          <w:b/>
          <w:sz w:val="28"/>
          <w:szCs w:val="28"/>
          <w:u w:val="single"/>
        </w:rPr>
        <w:t>1.</w:t>
      </w:r>
      <w:r>
        <w:rPr>
          <w:b/>
          <w:sz w:val="28"/>
          <w:szCs w:val="28"/>
          <w:u w:val="single"/>
        </w:rPr>
        <w:t xml:space="preserve">  </w:t>
      </w:r>
      <w:r w:rsidR="00FB318D">
        <w:rPr>
          <w:b/>
          <w:sz w:val="28"/>
          <w:szCs w:val="28"/>
          <w:u w:val="single"/>
        </w:rPr>
        <w:t>Department of Justice</w:t>
      </w:r>
      <w:r w:rsidR="00142128">
        <w:rPr>
          <w:b/>
          <w:sz w:val="28"/>
          <w:szCs w:val="28"/>
          <w:u w:val="single"/>
        </w:rPr>
        <w:t xml:space="preserve"> (“DOJ”)</w:t>
      </w:r>
      <w:r w:rsidR="00FB318D">
        <w:rPr>
          <w:b/>
          <w:sz w:val="28"/>
          <w:szCs w:val="28"/>
          <w:u w:val="single"/>
        </w:rPr>
        <w:t xml:space="preserve"> Comment.</w:t>
      </w:r>
      <w:r w:rsidR="00B926D5">
        <w:rPr>
          <w:b/>
          <w:sz w:val="28"/>
          <w:szCs w:val="28"/>
          <w:u w:val="single"/>
        </w:rPr>
        <w:t xml:space="preserve"> </w:t>
      </w:r>
      <w:r w:rsidR="00B926D5">
        <w:rPr>
          <w:bCs/>
          <w:sz w:val="28"/>
          <w:szCs w:val="28"/>
        </w:rPr>
        <w:t xml:space="preserve"> </w:t>
      </w:r>
      <w:r w:rsidR="001545B5">
        <w:rPr>
          <w:bCs/>
          <w:sz w:val="28"/>
          <w:szCs w:val="28"/>
        </w:rPr>
        <w:t>A representative from the office of the United States Attorney for the District of Arizona</w:t>
      </w:r>
      <w:r w:rsidR="0076364C">
        <w:rPr>
          <w:bCs/>
          <w:sz w:val="28"/>
          <w:szCs w:val="28"/>
        </w:rPr>
        <w:t xml:space="preserve"> (</w:t>
      </w:r>
      <w:r w:rsidR="000B34AF">
        <w:rPr>
          <w:bCs/>
          <w:sz w:val="28"/>
          <w:szCs w:val="28"/>
        </w:rPr>
        <w:t>referred to here</w:t>
      </w:r>
      <w:r w:rsidR="00E76E77">
        <w:rPr>
          <w:bCs/>
          <w:sz w:val="28"/>
          <w:szCs w:val="28"/>
        </w:rPr>
        <w:t xml:space="preserve"> as</w:t>
      </w:r>
      <w:r w:rsidR="0076364C">
        <w:rPr>
          <w:bCs/>
          <w:sz w:val="28"/>
          <w:szCs w:val="28"/>
        </w:rPr>
        <w:t xml:space="preserve"> the Department of Justice or “</w:t>
      </w:r>
      <w:r w:rsidR="00E76E77">
        <w:rPr>
          <w:bCs/>
          <w:sz w:val="28"/>
          <w:szCs w:val="28"/>
        </w:rPr>
        <w:t>DOJ</w:t>
      </w:r>
      <w:r w:rsidR="0076364C">
        <w:rPr>
          <w:bCs/>
          <w:sz w:val="28"/>
          <w:szCs w:val="28"/>
        </w:rPr>
        <w:t>”)</w:t>
      </w:r>
      <w:r w:rsidR="001545B5">
        <w:rPr>
          <w:bCs/>
          <w:sz w:val="28"/>
          <w:szCs w:val="28"/>
        </w:rPr>
        <w:t xml:space="preserve"> attended </w:t>
      </w:r>
      <w:r w:rsidR="00C4402E">
        <w:rPr>
          <w:bCs/>
          <w:sz w:val="28"/>
          <w:szCs w:val="28"/>
        </w:rPr>
        <w:t>the majority of Task Force meetings</w:t>
      </w:r>
      <w:r w:rsidR="003D5C12">
        <w:rPr>
          <w:bCs/>
          <w:sz w:val="28"/>
          <w:szCs w:val="28"/>
        </w:rPr>
        <w:t>. As</w:t>
      </w:r>
      <w:r w:rsidR="00637CC1">
        <w:rPr>
          <w:bCs/>
          <w:sz w:val="28"/>
          <w:szCs w:val="28"/>
        </w:rPr>
        <w:t xml:space="preserve"> indicated by th</w:t>
      </w:r>
      <w:r w:rsidR="00E476B3">
        <w:rPr>
          <w:bCs/>
          <w:sz w:val="28"/>
          <w:szCs w:val="28"/>
        </w:rPr>
        <w:t xml:space="preserve">e </w:t>
      </w:r>
      <w:r w:rsidR="00E76E77">
        <w:rPr>
          <w:bCs/>
          <w:sz w:val="28"/>
          <w:szCs w:val="28"/>
        </w:rPr>
        <w:t>DOJ</w:t>
      </w:r>
      <w:r w:rsidR="00E476B3">
        <w:rPr>
          <w:bCs/>
          <w:sz w:val="28"/>
          <w:szCs w:val="28"/>
        </w:rPr>
        <w:t>’s</w:t>
      </w:r>
      <w:r w:rsidR="00637CC1">
        <w:rPr>
          <w:bCs/>
          <w:sz w:val="28"/>
          <w:szCs w:val="28"/>
        </w:rPr>
        <w:t xml:space="preserve"> comment,</w:t>
      </w:r>
      <w:r w:rsidR="00C4402E">
        <w:rPr>
          <w:bCs/>
          <w:sz w:val="28"/>
          <w:szCs w:val="28"/>
        </w:rPr>
        <w:t xml:space="preserve"> </w:t>
      </w:r>
      <w:r w:rsidR="002C2ED9">
        <w:rPr>
          <w:bCs/>
          <w:sz w:val="28"/>
          <w:szCs w:val="28"/>
        </w:rPr>
        <w:t>its</w:t>
      </w:r>
      <w:r w:rsidR="003D5C12">
        <w:rPr>
          <w:bCs/>
          <w:sz w:val="28"/>
          <w:szCs w:val="28"/>
        </w:rPr>
        <w:t xml:space="preserve"> representative</w:t>
      </w:r>
      <w:r w:rsidR="002C2ED9">
        <w:rPr>
          <w:bCs/>
          <w:sz w:val="28"/>
          <w:szCs w:val="28"/>
        </w:rPr>
        <w:t>s</w:t>
      </w:r>
      <w:r w:rsidR="003D5C12">
        <w:rPr>
          <w:bCs/>
          <w:sz w:val="28"/>
          <w:szCs w:val="28"/>
        </w:rPr>
        <w:t xml:space="preserve"> </w:t>
      </w:r>
      <w:r w:rsidR="00C4402E">
        <w:rPr>
          <w:bCs/>
          <w:sz w:val="28"/>
          <w:szCs w:val="28"/>
        </w:rPr>
        <w:t xml:space="preserve">provided </w:t>
      </w:r>
      <w:r w:rsidR="00680768">
        <w:rPr>
          <w:bCs/>
          <w:sz w:val="28"/>
          <w:szCs w:val="28"/>
        </w:rPr>
        <w:t>beneficial</w:t>
      </w:r>
      <w:r w:rsidR="00C4402E">
        <w:rPr>
          <w:bCs/>
          <w:sz w:val="28"/>
          <w:szCs w:val="28"/>
        </w:rPr>
        <w:t xml:space="preserve"> input </w:t>
      </w:r>
      <w:r w:rsidR="002C2ED9">
        <w:rPr>
          <w:bCs/>
          <w:sz w:val="28"/>
          <w:szCs w:val="28"/>
        </w:rPr>
        <w:t xml:space="preserve">to the Task Force </w:t>
      </w:r>
      <w:r w:rsidR="00C4402E">
        <w:rPr>
          <w:bCs/>
          <w:sz w:val="28"/>
          <w:szCs w:val="28"/>
        </w:rPr>
        <w:t>throughout this process.</w:t>
      </w:r>
      <w:r w:rsidR="0093324C">
        <w:rPr>
          <w:bCs/>
          <w:sz w:val="28"/>
          <w:szCs w:val="28"/>
        </w:rPr>
        <w:t xml:space="preserve"> </w:t>
      </w:r>
      <w:r w:rsidR="003B6003">
        <w:rPr>
          <w:bCs/>
          <w:sz w:val="28"/>
          <w:szCs w:val="28"/>
        </w:rPr>
        <w:t xml:space="preserve">The </w:t>
      </w:r>
      <w:r w:rsidR="00E76E77">
        <w:rPr>
          <w:bCs/>
          <w:sz w:val="28"/>
          <w:szCs w:val="28"/>
        </w:rPr>
        <w:t>DOJ</w:t>
      </w:r>
      <w:r w:rsidR="00DF7C6D">
        <w:rPr>
          <w:bCs/>
          <w:sz w:val="28"/>
          <w:szCs w:val="28"/>
        </w:rPr>
        <w:t>’s</w:t>
      </w:r>
      <w:r w:rsidR="003B6003">
        <w:rPr>
          <w:bCs/>
          <w:sz w:val="28"/>
          <w:szCs w:val="28"/>
        </w:rPr>
        <w:t xml:space="preserve"> comment</w:t>
      </w:r>
      <w:r w:rsidR="00CA750A">
        <w:rPr>
          <w:bCs/>
          <w:sz w:val="28"/>
          <w:szCs w:val="28"/>
        </w:rPr>
        <w:t xml:space="preserve"> </w:t>
      </w:r>
      <w:r w:rsidR="00DF7C6D">
        <w:rPr>
          <w:bCs/>
          <w:sz w:val="28"/>
          <w:szCs w:val="28"/>
        </w:rPr>
        <w:t>reiterates</w:t>
      </w:r>
      <w:r w:rsidR="00CA750A">
        <w:rPr>
          <w:bCs/>
          <w:sz w:val="28"/>
          <w:szCs w:val="28"/>
        </w:rPr>
        <w:t xml:space="preserve"> the unique relationship between the United States Attorney and its sole client</w:t>
      </w:r>
      <w:r w:rsidR="00095369">
        <w:rPr>
          <w:bCs/>
          <w:sz w:val="28"/>
          <w:szCs w:val="28"/>
        </w:rPr>
        <w:t xml:space="preserve">, </w:t>
      </w:r>
      <w:r w:rsidR="00AF128B">
        <w:rPr>
          <w:bCs/>
          <w:sz w:val="28"/>
          <w:szCs w:val="28"/>
        </w:rPr>
        <w:t>the United States</w:t>
      </w:r>
      <w:r w:rsidR="007E2E0E">
        <w:rPr>
          <w:bCs/>
          <w:sz w:val="28"/>
          <w:szCs w:val="28"/>
        </w:rPr>
        <w:t>.  The comment</w:t>
      </w:r>
      <w:r w:rsidR="00AF128B">
        <w:rPr>
          <w:bCs/>
          <w:sz w:val="28"/>
          <w:szCs w:val="28"/>
        </w:rPr>
        <w:t xml:space="preserve"> then </w:t>
      </w:r>
      <w:r w:rsidR="00664E42">
        <w:rPr>
          <w:bCs/>
          <w:sz w:val="28"/>
          <w:szCs w:val="28"/>
        </w:rPr>
        <w:t>suggests</w:t>
      </w:r>
      <w:r w:rsidR="005D3263">
        <w:rPr>
          <w:bCs/>
          <w:sz w:val="28"/>
          <w:szCs w:val="28"/>
        </w:rPr>
        <w:t xml:space="preserve"> that</w:t>
      </w:r>
      <w:r w:rsidR="001A5645">
        <w:rPr>
          <w:bCs/>
          <w:sz w:val="28"/>
          <w:szCs w:val="28"/>
        </w:rPr>
        <w:t xml:space="preserve"> …</w:t>
      </w:r>
      <w:r w:rsidR="00664E42">
        <w:rPr>
          <w:bCs/>
          <w:sz w:val="28"/>
          <w:szCs w:val="28"/>
        </w:rPr>
        <w:t xml:space="preserve"> </w:t>
      </w:r>
    </w:p>
    <w:p w14:paraId="3833E15F" w14:textId="77777777" w:rsidR="00066504" w:rsidRDefault="005071F6" w:rsidP="00FC5FA1">
      <w:pPr>
        <w:ind w:left="720" w:firstLine="72"/>
        <w:jc w:val="both"/>
        <w:rPr>
          <w:sz w:val="28"/>
          <w:szCs w:val="28"/>
          <w:lang w:eastAsia="zh-CN"/>
        </w:rPr>
      </w:pPr>
      <w:r>
        <w:rPr>
          <w:bCs/>
          <w:sz w:val="28"/>
          <w:szCs w:val="28"/>
        </w:rPr>
        <w:lastRenderedPageBreak/>
        <w:t xml:space="preserve">… </w:t>
      </w:r>
      <w:r w:rsidR="00122B9B">
        <w:rPr>
          <w:sz w:val="28"/>
          <w:szCs w:val="28"/>
          <w:lang w:eastAsia="zh-CN"/>
        </w:rPr>
        <w:t xml:space="preserve">an acknowledgment that the new rules are intended to be interpreted in light of the differing circumstances in federal governmental practice would be helpful to interpreting the proposed new rules and avoiding any confusion about the scope of their application. </w:t>
      </w:r>
    </w:p>
    <w:p w14:paraId="2861BBBD" w14:textId="77777777" w:rsidR="00480EFD" w:rsidRDefault="00480EFD" w:rsidP="005071F6">
      <w:pPr>
        <w:ind w:left="720" w:firstLine="72"/>
        <w:rPr>
          <w:sz w:val="28"/>
          <w:szCs w:val="28"/>
          <w:lang w:eastAsia="zh-CN"/>
        </w:rPr>
      </w:pPr>
    </w:p>
    <w:p w14:paraId="684BC875" w14:textId="41A038FE" w:rsidR="006B0E68" w:rsidRDefault="00066504" w:rsidP="00AF01DD">
      <w:pPr>
        <w:spacing w:line="480" w:lineRule="auto"/>
        <w:jc w:val="both"/>
        <w:rPr>
          <w:sz w:val="28"/>
          <w:szCs w:val="28"/>
          <w:lang w:eastAsia="zh-CN"/>
        </w:rPr>
      </w:pPr>
      <w:r>
        <w:rPr>
          <w:sz w:val="28"/>
          <w:szCs w:val="28"/>
          <w:lang w:eastAsia="zh-CN"/>
        </w:rPr>
        <w:t xml:space="preserve">The </w:t>
      </w:r>
      <w:r w:rsidR="00E76E77">
        <w:rPr>
          <w:sz w:val="28"/>
          <w:szCs w:val="28"/>
          <w:lang w:eastAsia="zh-CN"/>
        </w:rPr>
        <w:t>DOJ</w:t>
      </w:r>
      <w:r>
        <w:rPr>
          <w:sz w:val="28"/>
          <w:szCs w:val="28"/>
          <w:lang w:eastAsia="zh-CN"/>
        </w:rPr>
        <w:t xml:space="preserve"> </w:t>
      </w:r>
      <w:r w:rsidR="00122B9B">
        <w:rPr>
          <w:sz w:val="28"/>
          <w:szCs w:val="28"/>
          <w:lang w:eastAsia="zh-CN"/>
        </w:rPr>
        <w:t xml:space="preserve">accordingly </w:t>
      </w:r>
      <w:r w:rsidR="00BE539A">
        <w:rPr>
          <w:sz w:val="28"/>
          <w:szCs w:val="28"/>
          <w:lang w:eastAsia="zh-CN"/>
        </w:rPr>
        <w:t xml:space="preserve">proposed </w:t>
      </w:r>
      <w:r w:rsidR="00122B9B">
        <w:rPr>
          <w:sz w:val="28"/>
          <w:szCs w:val="28"/>
          <w:lang w:eastAsia="zh-CN"/>
        </w:rPr>
        <w:t xml:space="preserve">a two-sentence addition to </w:t>
      </w:r>
      <w:r w:rsidR="002F5B26">
        <w:rPr>
          <w:sz w:val="28"/>
          <w:szCs w:val="28"/>
          <w:lang w:eastAsia="zh-CN"/>
        </w:rPr>
        <w:t>Paragraph</w:t>
      </w:r>
      <w:r w:rsidR="00122B9B">
        <w:rPr>
          <w:sz w:val="28"/>
          <w:szCs w:val="28"/>
          <w:lang w:eastAsia="zh-CN"/>
        </w:rPr>
        <w:t xml:space="preserve"> 21 of the Preamble</w:t>
      </w:r>
      <w:r w:rsidR="003C23AC">
        <w:rPr>
          <w:sz w:val="28"/>
          <w:szCs w:val="28"/>
          <w:lang w:eastAsia="zh-CN"/>
        </w:rPr>
        <w:t>, as shown in the body of its comment.</w:t>
      </w:r>
      <w:r w:rsidR="006B0E68">
        <w:rPr>
          <w:sz w:val="28"/>
          <w:szCs w:val="28"/>
          <w:lang w:eastAsia="zh-CN"/>
        </w:rPr>
        <w:t xml:space="preserve"> </w:t>
      </w:r>
      <w:r w:rsidR="00347CF5">
        <w:rPr>
          <w:sz w:val="28"/>
          <w:szCs w:val="28"/>
          <w:lang w:eastAsia="zh-CN"/>
        </w:rPr>
        <w:t xml:space="preserve">After discussion, the Task Force concluded that the </w:t>
      </w:r>
      <w:r w:rsidR="009E5579">
        <w:rPr>
          <w:sz w:val="28"/>
          <w:szCs w:val="28"/>
          <w:lang w:eastAsia="zh-CN"/>
        </w:rPr>
        <w:t xml:space="preserve">DOJ’s </w:t>
      </w:r>
      <w:r w:rsidR="00347CF5">
        <w:rPr>
          <w:sz w:val="28"/>
          <w:szCs w:val="28"/>
          <w:lang w:eastAsia="zh-CN"/>
        </w:rPr>
        <w:t xml:space="preserve">suggested addition might not be necessary. </w:t>
      </w:r>
      <w:r w:rsidR="001056C5">
        <w:rPr>
          <w:sz w:val="28"/>
          <w:szCs w:val="28"/>
          <w:lang w:eastAsia="zh-CN"/>
        </w:rPr>
        <w:t>Task Force members also agreed</w:t>
      </w:r>
      <w:r w:rsidR="00D26FAD">
        <w:rPr>
          <w:sz w:val="28"/>
          <w:szCs w:val="28"/>
          <w:lang w:eastAsia="zh-CN"/>
        </w:rPr>
        <w:t>, however,</w:t>
      </w:r>
      <w:r w:rsidR="001056C5">
        <w:rPr>
          <w:sz w:val="28"/>
          <w:szCs w:val="28"/>
          <w:lang w:eastAsia="zh-CN"/>
        </w:rPr>
        <w:t xml:space="preserve"> that if the Court believed the </w:t>
      </w:r>
      <w:r w:rsidR="00DB2556">
        <w:rPr>
          <w:sz w:val="28"/>
          <w:szCs w:val="28"/>
          <w:lang w:eastAsia="zh-CN"/>
        </w:rPr>
        <w:t>addition would add clarity and assist with fu</w:t>
      </w:r>
      <w:r w:rsidR="00D9292D">
        <w:rPr>
          <w:sz w:val="28"/>
          <w:szCs w:val="28"/>
          <w:lang w:eastAsia="zh-CN"/>
        </w:rPr>
        <w:t>ture</w:t>
      </w:r>
      <w:r w:rsidR="00DB2556">
        <w:rPr>
          <w:sz w:val="28"/>
          <w:szCs w:val="28"/>
          <w:lang w:eastAsia="zh-CN"/>
        </w:rPr>
        <w:t xml:space="preserve"> interpretation of the Ethics Rules, then </w:t>
      </w:r>
      <w:r w:rsidR="0084721F">
        <w:rPr>
          <w:sz w:val="28"/>
          <w:szCs w:val="28"/>
          <w:lang w:eastAsia="zh-CN"/>
        </w:rPr>
        <w:t xml:space="preserve">the addition would be acceptable, </w:t>
      </w:r>
      <w:r w:rsidR="00D26FAD">
        <w:rPr>
          <w:sz w:val="28"/>
          <w:szCs w:val="28"/>
          <w:lang w:eastAsia="zh-CN"/>
        </w:rPr>
        <w:t xml:space="preserve">albeit </w:t>
      </w:r>
      <w:r w:rsidR="0084721F">
        <w:rPr>
          <w:sz w:val="28"/>
          <w:szCs w:val="28"/>
          <w:lang w:eastAsia="zh-CN"/>
        </w:rPr>
        <w:t>with the following modifications.</w:t>
      </w:r>
    </w:p>
    <w:p w14:paraId="0B94818F" w14:textId="1D18E29C" w:rsidR="006B0E68" w:rsidRDefault="00D433C6" w:rsidP="002C2ED9">
      <w:pPr>
        <w:spacing w:line="480" w:lineRule="auto"/>
        <w:ind w:firstLine="720"/>
        <w:jc w:val="both"/>
        <w:rPr>
          <w:sz w:val="28"/>
          <w:szCs w:val="28"/>
          <w:lang w:eastAsia="zh-CN"/>
        </w:rPr>
      </w:pPr>
      <w:r>
        <w:rPr>
          <w:sz w:val="28"/>
          <w:szCs w:val="28"/>
          <w:lang w:eastAsia="zh-CN"/>
        </w:rPr>
        <w:t xml:space="preserve">First, the </w:t>
      </w:r>
      <w:r w:rsidR="00B7507C">
        <w:rPr>
          <w:sz w:val="28"/>
          <w:szCs w:val="28"/>
          <w:lang w:eastAsia="zh-CN"/>
        </w:rPr>
        <w:t xml:space="preserve">subject matter of the DOJ’s </w:t>
      </w:r>
      <w:r w:rsidR="00B103A7">
        <w:rPr>
          <w:sz w:val="28"/>
          <w:szCs w:val="28"/>
          <w:lang w:eastAsia="zh-CN"/>
        </w:rPr>
        <w:t>suggested</w:t>
      </w:r>
      <w:r>
        <w:rPr>
          <w:sz w:val="28"/>
          <w:szCs w:val="28"/>
          <w:lang w:eastAsia="zh-CN"/>
        </w:rPr>
        <w:t xml:space="preserve"> addition is distinct from </w:t>
      </w:r>
      <w:r w:rsidR="00B7507C">
        <w:rPr>
          <w:sz w:val="28"/>
          <w:szCs w:val="28"/>
          <w:lang w:eastAsia="zh-CN"/>
        </w:rPr>
        <w:t xml:space="preserve">the </w:t>
      </w:r>
      <w:r w:rsidR="00991038">
        <w:rPr>
          <w:sz w:val="28"/>
          <w:szCs w:val="28"/>
          <w:lang w:eastAsia="zh-CN"/>
        </w:rPr>
        <w:t xml:space="preserve">subject matter </w:t>
      </w:r>
      <w:r w:rsidR="003D51A6">
        <w:rPr>
          <w:sz w:val="28"/>
          <w:szCs w:val="28"/>
          <w:lang w:eastAsia="zh-CN"/>
        </w:rPr>
        <w:t>of</w:t>
      </w:r>
      <w:r w:rsidR="00991038">
        <w:rPr>
          <w:sz w:val="28"/>
          <w:szCs w:val="28"/>
          <w:lang w:eastAsia="zh-CN"/>
        </w:rPr>
        <w:t xml:space="preserve"> </w:t>
      </w:r>
      <w:r>
        <w:rPr>
          <w:sz w:val="28"/>
          <w:szCs w:val="28"/>
          <w:lang w:eastAsia="zh-CN"/>
        </w:rPr>
        <w:t xml:space="preserve">the </w:t>
      </w:r>
      <w:r w:rsidR="00991038">
        <w:rPr>
          <w:sz w:val="28"/>
          <w:szCs w:val="28"/>
          <w:lang w:eastAsia="zh-CN"/>
        </w:rPr>
        <w:t xml:space="preserve">Task Force’s </w:t>
      </w:r>
      <w:r>
        <w:rPr>
          <w:sz w:val="28"/>
          <w:szCs w:val="28"/>
          <w:lang w:eastAsia="zh-CN"/>
        </w:rPr>
        <w:t>first two</w:t>
      </w:r>
      <w:r w:rsidR="00991038">
        <w:rPr>
          <w:sz w:val="28"/>
          <w:szCs w:val="28"/>
          <w:lang w:eastAsia="zh-CN"/>
        </w:rPr>
        <w:t xml:space="preserve"> sentences of </w:t>
      </w:r>
      <w:r w:rsidR="002F5B26">
        <w:rPr>
          <w:sz w:val="28"/>
          <w:szCs w:val="28"/>
          <w:lang w:eastAsia="zh-CN"/>
        </w:rPr>
        <w:t>Paragraph</w:t>
      </w:r>
      <w:r w:rsidR="00991038">
        <w:rPr>
          <w:sz w:val="28"/>
          <w:szCs w:val="28"/>
          <w:lang w:eastAsia="zh-CN"/>
        </w:rPr>
        <w:t xml:space="preserve"> 21. </w:t>
      </w:r>
      <w:r w:rsidR="00833E95">
        <w:rPr>
          <w:sz w:val="28"/>
          <w:szCs w:val="28"/>
          <w:lang w:eastAsia="zh-CN"/>
        </w:rPr>
        <w:t xml:space="preserve">Paragraph 21 applies to all </w:t>
      </w:r>
      <w:r w:rsidR="00BB1DFA">
        <w:rPr>
          <w:sz w:val="28"/>
          <w:szCs w:val="28"/>
          <w:lang w:eastAsia="zh-CN"/>
        </w:rPr>
        <w:t xml:space="preserve">Arizona </w:t>
      </w:r>
      <w:r w:rsidR="00833E95">
        <w:rPr>
          <w:sz w:val="28"/>
          <w:szCs w:val="28"/>
          <w:lang w:eastAsia="zh-CN"/>
        </w:rPr>
        <w:t>government</w:t>
      </w:r>
      <w:r w:rsidR="006B1679">
        <w:rPr>
          <w:sz w:val="28"/>
          <w:szCs w:val="28"/>
          <w:lang w:eastAsia="zh-CN"/>
        </w:rPr>
        <w:t xml:space="preserve"> lawyers, whereas the </w:t>
      </w:r>
      <w:r w:rsidR="00780AC4">
        <w:rPr>
          <w:sz w:val="28"/>
          <w:szCs w:val="28"/>
          <w:lang w:eastAsia="zh-CN"/>
        </w:rPr>
        <w:t xml:space="preserve">DOJ’s </w:t>
      </w:r>
      <w:r w:rsidR="006B1679">
        <w:rPr>
          <w:sz w:val="28"/>
          <w:szCs w:val="28"/>
          <w:lang w:eastAsia="zh-CN"/>
        </w:rPr>
        <w:t>ne</w:t>
      </w:r>
      <w:r w:rsidR="00B103A7">
        <w:rPr>
          <w:sz w:val="28"/>
          <w:szCs w:val="28"/>
          <w:lang w:eastAsia="zh-CN"/>
        </w:rPr>
        <w:t>w</w:t>
      </w:r>
      <w:r w:rsidR="006B1679">
        <w:rPr>
          <w:sz w:val="28"/>
          <w:szCs w:val="28"/>
          <w:lang w:eastAsia="zh-CN"/>
        </w:rPr>
        <w:t xml:space="preserve"> text appl</w:t>
      </w:r>
      <w:r w:rsidR="00B103A7">
        <w:rPr>
          <w:sz w:val="28"/>
          <w:szCs w:val="28"/>
          <w:lang w:eastAsia="zh-CN"/>
        </w:rPr>
        <w:t>ies</w:t>
      </w:r>
      <w:r w:rsidR="006B1679">
        <w:rPr>
          <w:sz w:val="28"/>
          <w:szCs w:val="28"/>
          <w:lang w:eastAsia="zh-CN"/>
        </w:rPr>
        <w:t xml:space="preserve"> solely</w:t>
      </w:r>
      <w:r w:rsidR="00300E1E">
        <w:rPr>
          <w:sz w:val="28"/>
          <w:szCs w:val="28"/>
          <w:lang w:eastAsia="zh-CN"/>
        </w:rPr>
        <w:t xml:space="preserve"> to attorneys </w:t>
      </w:r>
      <w:r w:rsidR="00CA2F7C">
        <w:rPr>
          <w:sz w:val="28"/>
          <w:szCs w:val="28"/>
          <w:lang w:eastAsia="zh-CN"/>
        </w:rPr>
        <w:t>in the office of the United States Attorney General</w:t>
      </w:r>
      <w:r w:rsidR="00300E1E">
        <w:rPr>
          <w:sz w:val="28"/>
          <w:szCs w:val="28"/>
          <w:lang w:eastAsia="zh-CN"/>
        </w:rPr>
        <w:t xml:space="preserve">. </w:t>
      </w:r>
      <w:r w:rsidR="00AF01DD">
        <w:rPr>
          <w:sz w:val="28"/>
          <w:szCs w:val="28"/>
          <w:lang w:eastAsia="zh-CN"/>
        </w:rPr>
        <w:t>The Task Force</w:t>
      </w:r>
      <w:r w:rsidR="00991038">
        <w:rPr>
          <w:sz w:val="28"/>
          <w:szCs w:val="28"/>
          <w:lang w:eastAsia="zh-CN"/>
        </w:rPr>
        <w:t xml:space="preserve"> therefore proposes that</w:t>
      </w:r>
      <w:r w:rsidR="002B4E43">
        <w:rPr>
          <w:sz w:val="28"/>
          <w:szCs w:val="28"/>
          <w:lang w:eastAsia="zh-CN"/>
        </w:rPr>
        <w:t xml:space="preserve"> if</w:t>
      </w:r>
      <w:r w:rsidR="00991038">
        <w:rPr>
          <w:sz w:val="28"/>
          <w:szCs w:val="28"/>
          <w:lang w:eastAsia="zh-CN"/>
        </w:rPr>
        <w:t xml:space="preserve"> </w:t>
      </w:r>
      <w:r w:rsidR="007C5A4E">
        <w:rPr>
          <w:sz w:val="28"/>
          <w:szCs w:val="28"/>
          <w:lang w:eastAsia="zh-CN"/>
        </w:rPr>
        <w:t>the Court adds text</w:t>
      </w:r>
      <w:r w:rsidR="002B4E43">
        <w:rPr>
          <w:sz w:val="28"/>
          <w:szCs w:val="28"/>
          <w:lang w:eastAsia="zh-CN"/>
        </w:rPr>
        <w:t>, it be added</w:t>
      </w:r>
      <w:r w:rsidR="00C83564">
        <w:rPr>
          <w:sz w:val="28"/>
          <w:szCs w:val="28"/>
          <w:lang w:eastAsia="zh-CN"/>
        </w:rPr>
        <w:t xml:space="preserve"> as </w:t>
      </w:r>
      <w:r w:rsidR="008E3E5F">
        <w:rPr>
          <w:sz w:val="28"/>
          <w:szCs w:val="28"/>
          <w:lang w:eastAsia="zh-CN"/>
        </w:rPr>
        <w:t xml:space="preserve">a new </w:t>
      </w:r>
      <w:r w:rsidR="002F5B26">
        <w:rPr>
          <w:sz w:val="28"/>
          <w:szCs w:val="28"/>
          <w:lang w:eastAsia="zh-CN"/>
        </w:rPr>
        <w:t>Paragraph</w:t>
      </w:r>
      <w:r w:rsidR="008E3E5F">
        <w:rPr>
          <w:sz w:val="28"/>
          <w:szCs w:val="28"/>
          <w:lang w:eastAsia="zh-CN"/>
        </w:rPr>
        <w:t xml:space="preserve"> 22</w:t>
      </w:r>
      <w:r w:rsidR="00EC5E32">
        <w:rPr>
          <w:sz w:val="28"/>
          <w:szCs w:val="28"/>
          <w:lang w:eastAsia="zh-CN"/>
        </w:rPr>
        <w:t xml:space="preserve"> rather than </w:t>
      </w:r>
      <w:r w:rsidR="007A0C03">
        <w:rPr>
          <w:sz w:val="28"/>
          <w:szCs w:val="28"/>
          <w:lang w:eastAsia="zh-CN"/>
        </w:rPr>
        <w:t>as an addition</w:t>
      </w:r>
      <w:r w:rsidR="00EC5E32">
        <w:rPr>
          <w:sz w:val="28"/>
          <w:szCs w:val="28"/>
          <w:lang w:eastAsia="zh-CN"/>
        </w:rPr>
        <w:t xml:space="preserve"> </w:t>
      </w:r>
      <w:r w:rsidR="00423BD2">
        <w:rPr>
          <w:sz w:val="28"/>
          <w:szCs w:val="28"/>
          <w:lang w:eastAsia="zh-CN"/>
        </w:rPr>
        <w:t>to</w:t>
      </w:r>
      <w:r w:rsidR="00EC5E32">
        <w:rPr>
          <w:sz w:val="28"/>
          <w:szCs w:val="28"/>
          <w:lang w:eastAsia="zh-CN"/>
        </w:rPr>
        <w:t xml:space="preserve"> </w:t>
      </w:r>
      <w:r w:rsidR="002F5B26">
        <w:rPr>
          <w:sz w:val="28"/>
          <w:szCs w:val="28"/>
          <w:lang w:eastAsia="zh-CN"/>
        </w:rPr>
        <w:t>Paragraph</w:t>
      </w:r>
      <w:r w:rsidR="00EC5E32">
        <w:rPr>
          <w:sz w:val="28"/>
          <w:szCs w:val="28"/>
          <w:lang w:eastAsia="zh-CN"/>
        </w:rPr>
        <w:t xml:space="preserve"> 21</w:t>
      </w:r>
      <w:r w:rsidR="008E3E5F">
        <w:rPr>
          <w:sz w:val="28"/>
          <w:szCs w:val="28"/>
          <w:lang w:eastAsia="zh-CN"/>
        </w:rPr>
        <w:t xml:space="preserve">.  </w:t>
      </w:r>
    </w:p>
    <w:p w14:paraId="032663B0" w14:textId="285C63CC" w:rsidR="003C23AC" w:rsidRDefault="00EE5BE5" w:rsidP="00A039A5">
      <w:pPr>
        <w:spacing w:line="480" w:lineRule="auto"/>
        <w:ind w:firstLine="720"/>
        <w:jc w:val="both"/>
        <w:rPr>
          <w:sz w:val="28"/>
          <w:szCs w:val="28"/>
          <w:lang w:eastAsia="zh-CN"/>
        </w:rPr>
      </w:pPr>
      <w:r>
        <w:rPr>
          <w:sz w:val="28"/>
          <w:szCs w:val="28"/>
          <w:lang w:eastAsia="zh-CN"/>
        </w:rPr>
        <w:t xml:space="preserve">Second, </w:t>
      </w:r>
      <w:r w:rsidR="00F66637">
        <w:rPr>
          <w:sz w:val="28"/>
          <w:szCs w:val="28"/>
          <w:lang w:eastAsia="zh-CN"/>
        </w:rPr>
        <w:t xml:space="preserve">if the Court adds Paragraph 22, then </w:t>
      </w:r>
      <w:r w:rsidR="00AF01DD">
        <w:rPr>
          <w:sz w:val="28"/>
          <w:szCs w:val="28"/>
          <w:lang w:eastAsia="zh-CN"/>
        </w:rPr>
        <w:t>the Task Force</w:t>
      </w:r>
      <w:r>
        <w:rPr>
          <w:sz w:val="28"/>
          <w:szCs w:val="28"/>
          <w:lang w:eastAsia="zh-CN"/>
        </w:rPr>
        <w:t xml:space="preserve"> </w:t>
      </w:r>
      <w:r w:rsidR="008E3E5F">
        <w:rPr>
          <w:sz w:val="28"/>
          <w:szCs w:val="28"/>
          <w:lang w:eastAsia="zh-CN"/>
        </w:rPr>
        <w:t xml:space="preserve">proposes the following, non-substantive </w:t>
      </w:r>
      <w:r w:rsidR="00CC2196">
        <w:rPr>
          <w:sz w:val="28"/>
          <w:szCs w:val="28"/>
          <w:lang w:eastAsia="zh-CN"/>
        </w:rPr>
        <w:t>edits to</w:t>
      </w:r>
      <w:r w:rsidR="008E3E5F">
        <w:rPr>
          <w:sz w:val="28"/>
          <w:szCs w:val="28"/>
          <w:lang w:eastAsia="zh-CN"/>
        </w:rPr>
        <w:t xml:space="preserve"> the </w:t>
      </w:r>
      <w:r w:rsidR="00CC2196">
        <w:rPr>
          <w:sz w:val="28"/>
          <w:szCs w:val="28"/>
          <w:lang w:eastAsia="zh-CN"/>
        </w:rPr>
        <w:t>DOJ’s suggested</w:t>
      </w:r>
      <w:r w:rsidR="00E3056F">
        <w:rPr>
          <w:sz w:val="28"/>
          <w:szCs w:val="28"/>
          <w:lang w:eastAsia="zh-CN"/>
        </w:rPr>
        <w:t xml:space="preserve"> text:</w:t>
      </w:r>
    </w:p>
    <w:p w14:paraId="19CEE1FB" w14:textId="07915215" w:rsidR="00E3056F" w:rsidRDefault="00540660" w:rsidP="00FC5FA1">
      <w:pPr>
        <w:ind w:left="720"/>
        <w:jc w:val="both"/>
        <w:rPr>
          <w:sz w:val="28"/>
          <w:szCs w:val="28"/>
          <w:lang w:eastAsia="zh-CN"/>
        </w:rPr>
      </w:pPr>
      <w:r w:rsidRPr="00540660">
        <w:rPr>
          <w:sz w:val="28"/>
          <w:szCs w:val="28"/>
          <w:lang w:eastAsia="zh-CN"/>
        </w:rPr>
        <w:t xml:space="preserve">The </w:t>
      </w:r>
      <w:r w:rsidR="003D62BB" w:rsidRPr="00F3497C">
        <w:rPr>
          <w:sz w:val="28"/>
          <w:szCs w:val="28"/>
          <w:u w:val="single"/>
          <w:lang w:eastAsia="zh-CN"/>
        </w:rPr>
        <w:t>2024</w:t>
      </w:r>
      <w:r w:rsidR="003D62BB">
        <w:rPr>
          <w:sz w:val="28"/>
          <w:szCs w:val="28"/>
          <w:lang w:eastAsia="zh-CN"/>
        </w:rPr>
        <w:t xml:space="preserve"> </w:t>
      </w:r>
      <w:r w:rsidRPr="00540660">
        <w:rPr>
          <w:sz w:val="28"/>
          <w:szCs w:val="28"/>
          <w:lang w:eastAsia="zh-CN"/>
        </w:rPr>
        <w:t>amendments are intended to accommodate</w:t>
      </w:r>
      <w:r w:rsidR="00D53A3E" w:rsidRPr="00D53A3E">
        <w:rPr>
          <w:sz w:val="28"/>
          <w:szCs w:val="28"/>
          <w:u w:val="single"/>
          <w:lang w:eastAsia="zh-CN"/>
        </w:rPr>
        <w:t>, and should be interpreted in recognition of,</w:t>
      </w:r>
      <w:r w:rsidRPr="00540660">
        <w:rPr>
          <w:sz w:val="28"/>
          <w:szCs w:val="28"/>
          <w:lang w:eastAsia="zh-CN"/>
        </w:rPr>
        <w:t xml:space="preserve"> the differences in federal government practice.  </w:t>
      </w:r>
      <w:r w:rsidRPr="00F3497C">
        <w:rPr>
          <w:strike/>
          <w:sz w:val="28"/>
          <w:szCs w:val="28"/>
          <w:lang w:eastAsia="zh-CN"/>
        </w:rPr>
        <w:t xml:space="preserve">For example, </w:t>
      </w:r>
      <w:r w:rsidR="00776638">
        <w:rPr>
          <w:strike/>
          <w:sz w:val="28"/>
          <w:szCs w:val="28"/>
          <w:lang w:eastAsia="zh-CN"/>
        </w:rPr>
        <w:t xml:space="preserve">one </w:t>
      </w:r>
      <w:r w:rsidR="00776638">
        <w:rPr>
          <w:sz w:val="28"/>
          <w:szCs w:val="28"/>
          <w:u w:val="single"/>
          <w:lang w:eastAsia="zh-CN"/>
        </w:rPr>
        <w:t>O</w:t>
      </w:r>
      <w:r w:rsidRPr="00776638">
        <w:rPr>
          <w:sz w:val="28"/>
          <w:szCs w:val="28"/>
          <w:u w:val="single"/>
          <w:lang w:eastAsia="zh-CN"/>
        </w:rPr>
        <w:t>ne</w:t>
      </w:r>
      <w:r w:rsidRPr="00540660">
        <w:rPr>
          <w:sz w:val="28"/>
          <w:szCs w:val="28"/>
          <w:lang w:eastAsia="zh-CN"/>
        </w:rPr>
        <w:t xml:space="preserve"> important difference </w:t>
      </w:r>
      <w:r w:rsidR="0013690E" w:rsidRPr="0013690E">
        <w:rPr>
          <w:sz w:val="28"/>
          <w:szCs w:val="28"/>
          <w:u w:val="single"/>
          <w:lang w:eastAsia="zh-CN"/>
        </w:rPr>
        <w:t>in federal practice</w:t>
      </w:r>
      <w:r w:rsidR="0013690E">
        <w:rPr>
          <w:sz w:val="28"/>
          <w:szCs w:val="28"/>
          <w:lang w:eastAsia="zh-CN"/>
        </w:rPr>
        <w:t xml:space="preserve"> </w:t>
      </w:r>
      <w:r w:rsidRPr="00540660">
        <w:rPr>
          <w:sz w:val="28"/>
          <w:szCs w:val="28"/>
          <w:lang w:eastAsia="zh-CN"/>
        </w:rPr>
        <w:t>is that</w:t>
      </w:r>
      <w:r w:rsidRPr="00A96045">
        <w:rPr>
          <w:strike/>
          <w:sz w:val="28"/>
          <w:szCs w:val="28"/>
          <w:lang w:eastAsia="zh-CN"/>
        </w:rPr>
        <w:t>,</w:t>
      </w:r>
      <w:r w:rsidRPr="00540660">
        <w:rPr>
          <w:sz w:val="28"/>
          <w:szCs w:val="28"/>
          <w:lang w:eastAsia="zh-CN"/>
        </w:rPr>
        <w:t xml:space="preserve"> as a matter of federal law, litigation authority in </w:t>
      </w:r>
      <w:r w:rsidRPr="00A96045">
        <w:rPr>
          <w:strike/>
          <w:sz w:val="28"/>
          <w:szCs w:val="28"/>
          <w:lang w:eastAsia="zh-CN"/>
        </w:rPr>
        <w:t>the majority of</w:t>
      </w:r>
      <w:r w:rsidRPr="00540660">
        <w:rPr>
          <w:sz w:val="28"/>
          <w:szCs w:val="28"/>
          <w:lang w:eastAsia="zh-CN"/>
        </w:rPr>
        <w:t xml:space="preserve"> </w:t>
      </w:r>
      <w:r w:rsidR="003A753E" w:rsidRPr="003A753E">
        <w:rPr>
          <w:sz w:val="28"/>
          <w:szCs w:val="28"/>
          <w:u w:val="single"/>
          <w:lang w:eastAsia="zh-CN"/>
        </w:rPr>
        <w:t>most</w:t>
      </w:r>
      <w:r w:rsidR="003A753E">
        <w:rPr>
          <w:sz w:val="28"/>
          <w:szCs w:val="28"/>
          <w:lang w:eastAsia="zh-CN"/>
        </w:rPr>
        <w:t xml:space="preserve"> </w:t>
      </w:r>
      <w:r w:rsidRPr="00540660">
        <w:rPr>
          <w:sz w:val="28"/>
          <w:szCs w:val="28"/>
          <w:lang w:eastAsia="zh-CN"/>
        </w:rPr>
        <w:t>cases is centralized in the Attorney General of the United States</w:t>
      </w:r>
      <w:r w:rsidRPr="00FD1061">
        <w:rPr>
          <w:strike/>
          <w:sz w:val="28"/>
          <w:szCs w:val="28"/>
          <w:lang w:eastAsia="zh-CN"/>
        </w:rPr>
        <w:t>, who, also</w:t>
      </w:r>
      <w:r w:rsidR="001372A1">
        <w:rPr>
          <w:sz w:val="28"/>
          <w:szCs w:val="28"/>
          <w:lang w:eastAsia="zh-CN"/>
        </w:rPr>
        <w:t xml:space="preserve">. </w:t>
      </w:r>
      <w:r w:rsidR="001372A1" w:rsidRPr="001372A1">
        <w:rPr>
          <w:sz w:val="28"/>
          <w:szCs w:val="28"/>
          <w:u w:val="single"/>
          <w:lang w:eastAsia="zh-CN"/>
        </w:rPr>
        <w:t>The Attorney General</w:t>
      </w:r>
      <w:r w:rsidR="00E00096">
        <w:rPr>
          <w:sz w:val="28"/>
          <w:szCs w:val="28"/>
          <w:u w:val="single"/>
          <w:lang w:eastAsia="zh-CN"/>
        </w:rPr>
        <w:t xml:space="preserve"> </w:t>
      </w:r>
      <w:r w:rsidR="00AC734D" w:rsidRPr="00980BD1">
        <w:rPr>
          <w:sz w:val="28"/>
          <w:szCs w:val="28"/>
          <w:u w:val="single"/>
          <w:lang w:eastAsia="zh-CN"/>
        </w:rPr>
        <w:t>and any</w:t>
      </w:r>
      <w:r w:rsidR="00294071">
        <w:rPr>
          <w:sz w:val="28"/>
          <w:szCs w:val="28"/>
          <w:u w:val="single"/>
          <w:lang w:eastAsia="zh-CN"/>
        </w:rPr>
        <w:t xml:space="preserve"> of</w:t>
      </w:r>
      <w:r w:rsidR="00AC734D">
        <w:rPr>
          <w:sz w:val="28"/>
          <w:szCs w:val="28"/>
          <w:lang w:eastAsia="zh-CN"/>
        </w:rPr>
        <w:t xml:space="preserve"> </w:t>
      </w:r>
      <w:r w:rsidRPr="005B1E87">
        <w:rPr>
          <w:strike/>
          <w:sz w:val="28"/>
          <w:szCs w:val="28"/>
          <w:lang w:eastAsia="zh-CN"/>
        </w:rPr>
        <w:t>with</w:t>
      </w:r>
      <w:r w:rsidRPr="00294071">
        <w:rPr>
          <w:sz w:val="28"/>
          <w:szCs w:val="28"/>
          <w:lang w:eastAsia="zh-CN"/>
        </w:rPr>
        <w:t xml:space="preserve"> the</w:t>
      </w:r>
      <w:r w:rsidRPr="005B1E87">
        <w:rPr>
          <w:strike/>
          <w:sz w:val="28"/>
          <w:szCs w:val="28"/>
          <w:lang w:eastAsia="zh-CN"/>
        </w:rPr>
        <w:t xml:space="preserve"> </w:t>
      </w:r>
      <w:r w:rsidRPr="00AC734D">
        <w:rPr>
          <w:sz w:val="28"/>
          <w:szCs w:val="28"/>
          <w:lang w:eastAsia="zh-CN"/>
        </w:rPr>
        <w:t xml:space="preserve">Attorney General’s </w:t>
      </w:r>
      <w:r w:rsidRPr="00540660">
        <w:rPr>
          <w:sz w:val="28"/>
          <w:szCs w:val="28"/>
          <w:lang w:eastAsia="zh-CN"/>
        </w:rPr>
        <w:t>designees</w:t>
      </w:r>
      <w:r w:rsidRPr="004D5468">
        <w:rPr>
          <w:strike/>
          <w:sz w:val="28"/>
          <w:szCs w:val="28"/>
          <w:lang w:eastAsia="zh-CN"/>
        </w:rPr>
        <w:t xml:space="preserve">, </w:t>
      </w:r>
      <w:r w:rsidR="0032516E">
        <w:rPr>
          <w:sz w:val="28"/>
          <w:szCs w:val="28"/>
          <w:lang w:eastAsia="zh-CN"/>
        </w:rPr>
        <w:t xml:space="preserve"> </w:t>
      </w:r>
      <w:r w:rsidR="001925A3">
        <w:rPr>
          <w:sz w:val="28"/>
          <w:szCs w:val="28"/>
          <w:u w:val="single"/>
          <w:lang w:eastAsia="zh-CN"/>
        </w:rPr>
        <w:t xml:space="preserve">usually </w:t>
      </w:r>
      <w:r w:rsidRPr="00540660">
        <w:rPr>
          <w:sz w:val="28"/>
          <w:szCs w:val="28"/>
          <w:lang w:eastAsia="zh-CN"/>
        </w:rPr>
        <w:t>represent</w:t>
      </w:r>
      <w:r w:rsidRPr="001015C3">
        <w:rPr>
          <w:strike/>
          <w:sz w:val="28"/>
          <w:szCs w:val="28"/>
          <w:lang w:eastAsia="zh-CN"/>
        </w:rPr>
        <w:t xml:space="preserve">s </w:t>
      </w:r>
      <w:r w:rsidRPr="00540660">
        <w:rPr>
          <w:sz w:val="28"/>
          <w:szCs w:val="28"/>
          <w:lang w:eastAsia="zh-CN"/>
        </w:rPr>
        <w:t>a single client, the United States.</w:t>
      </w:r>
    </w:p>
    <w:p w14:paraId="4A56CA5C" w14:textId="77777777" w:rsidR="00CC2196" w:rsidRDefault="00CC2196" w:rsidP="00CC2196">
      <w:pPr>
        <w:rPr>
          <w:sz w:val="28"/>
          <w:szCs w:val="28"/>
          <w:lang w:eastAsia="zh-CN"/>
        </w:rPr>
      </w:pPr>
    </w:p>
    <w:p w14:paraId="32BDB98A" w14:textId="569ABA70" w:rsidR="006A5395" w:rsidRPr="00540660" w:rsidRDefault="00AF01DD" w:rsidP="002B6309">
      <w:pPr>
        <w:spacing w:line="480" w:lineRule="auto"/>
        <w:jc w:val="both"/>
        <w:rPr>
          <w:sz w:val="28"/>
          <w:szCs w:val="28"/>
          <w:lang w:eastAsia="zh-CN"/>
        </w:rPr>
      </w:pPr>
      <w:r>
        <w:rPr>
          <w:sz w:val="28"/>
          <w:szCs w:val="28"/>
          <w:lang w:eastAsia="zh-CN"/>
        </w:rPr>
        <w:t>The Task Force</w:t>
      </w:r>
      <w:r w:rsidR="00D06007">
        <w:rPr>
          <w:sz w:val="28"/>
          <w:szCs w:val="28"/>
          <w:lang w:eastAsia="zh-CN"/>
        </w:rPr>
        <w:t xml:space="preserve"> believes these changes are consistent with the DOJ’s request</w:t>
      </w:r>
      <w:r w:rsidR="00C9448E">
        <w:rPr>
          <w:sz w:val="28"/>
          <w:szCs w:val="28"/>
          <w:lang w:eastAsia="zh-CN"/>
        </w:rPr>
        <w:t xml:space="preserve"> as well as </w:t>
      </w:r>
      <w:r w:rsidR="00880F5E">
        <w:rPr>
          <w:sz w:val="28"/>
          <w:szCs w:val="28"/>
          <w:lang w:eastAsia="zh-CN"/>
        </w:rPr>
        <w:t>with general restyling principles.</w:t>
      </w:r>
    </w:p>
    <w:p w14:paraId="098BF1B1" w14:textId="402C32ED" w:rsidR="006648FD" w:rsidRDefault="002A5908" w:rsidP="00A039A5">
      <w:pPr>
        <w:pStyle w:val="FootnoteText"/>
        <w:spacing w:after="240" w:line="480" w:lineRule="auto"/>
        <w:ind w:firstLine="720"/>
        <w:jc w:val="both"/>
        <w:rPr>
          <w:sz w:val="28"/>
          <w:szCs w:val="28"/>
        </w:rPr>
      </w:pPr>
      <w:r>
        <w:rPr>
          <w:b/>
          <w:sz w:val="28"/>
          <w:szCs w:val="28"/>
          <w:u w:val="single"/>
        </w:rPr>
        <w:t>2</w:t>
      </w:r>
      <w:r w:rsidR="005C7CEA" w:rsidRPr="00F76744">
        <w:rPr>
          <w:b/>
          <w:sz w:val="28"/>
          <w:szCs w:val="28"/>
          <w:u w:val="single"/>
        </w:rPr>
        <w:t>.</w:t>
      </w:r>
      <w:r w:rsidR="005F2ED9" w:rsidRPr="00F76744">
        <w:rPr>
          <w:b/>
          <w:sz w:val="28"/>
          <w:szCs w:val="28"/>
          <w:u w:val="single"/>
        </w:rPr>
        <w:t xml:space="preserve"> </w:t>
      </w:r>
      <w:r>
        <w:rPr>
          <w:b/>
          <w:sz w:val="28"/>
          <w:szCs w:val="28"/>
          <w:u w:val="single"/>
        </w:rPr>
        <w:t>A</w:t>
      </w:r>
      <w:r w:rsidR="008B1057">
        <w:rPr>
          <w:b/>
          <w:sz w:val="28"/>
          <w:szCs w:val="28"/>
          <w:u w:val="single"/>
        </w:rPr>
        <w:t>rizona Prosecuting Attorneys Advisory Council</w:t>
      </w:r>
      <w:r w:rsidR="00F75EF8">
        <w:rPr>
          <w:b/>
          <w:sz w:val="28"/>
          <w:szCs w:val="28"/>
          <w:u w:val="single"/>
        </w:rPr>
        <w:t xml:space="preserve"> </w:t>
      </w:r>
      <w:r w:rsidR="008F48B6">
        <w:rPr>
          <w:b/>
          <w:sz w:val="28"/>
          <w:szCs w:val="28"/>
          <w:u w:val="single"/>
        </w:rPr>
        <w:t xml:space="preserve">(“APAAC”) </w:t>
      </w:r>
      <w:r w:rsidR="00F75EF8">
        <w:rPr>
          <w:b/>
          <w:sz w:val="28"/>
          <w:szCs w:val="28"/>
          <w:u w:val="single"/>
        </w:rPr>
        <w:t>Comment</w:t>
      </w:r>
      <w:r w:rsidR="005F2ED9" w:rsidRPr="00F76744">
        <w:rPr>
          <w:b/>
          <w:sz w:val="28"/>
          <w:szCs w:val="28"/>
          <w:u w:val="single"/>
        </w:rPr>
        <w:t>.</w:t>
      </w:r>
      <w:r w:rsidR="005F2ED9" w:rsidRPr="00F76744">
        <w:rPr>
          <w:sz w:val="28"/>
          <w:szCs w:val="28"/>
        </w:rPr>
        <w:t xml:space="preserve"> </w:t>
      </w:r>
      <w:r w:rsidR="00B81805" w:rsidRPr="00F76744">
        <w:rPr>
          <w:sz w:val="28"/>
          <w:szCs w:val="28"/>
        </w:rPr>
        <w:t xml:space="preserve"> </w:t>
      </w:r>
      <w:r w:rsidR="008F48B6">
        <w:rPr>
          <w:sz w:val="28"/>
          <w:szCs w:val="28"/>
        </w:rPr>
        <w:t xml:space="preserve"> </w:t>
      </w:r>
      <w:r w:rsidR="004774A5">
        <w:rPr>
          <w:sz w:val="28"/>
          <w:szCs w:val="28"/>
        </w:rPr>
        <w:t xml:space="preserve">APAAC’s comment </w:t>
      </w:r>
      <w:r w:rsidR="00957A62">
        <w:rPr>
          <w:sz w:val="28"/>
          <w:szCs w:val="28"/>
        </w:rPr>
        <w:t>support</w:t>
      </w:r>
      <w:r w:rsidR="004774A5">
        <w:rPr>
          <w:sz w:val="28"/>
          <w:szCs w:val="28"/>
        </w:rPr>
        <w:t>s</w:t>
      </w:r>
      <w:r w:rsidR="00957A62">
        <w:rPr>
          <w:sz w:val="28"/>
          <w:szCs w:val="28"/>
        </w:rPr>
        <w:t xml:space="preserve"> the proposed rule amendments. </w:t>
      </w:r>
      <w:r w:rsidR="00A015CD">
        <w:rPr>
          <w:sz w:val="28"/>
          <w:szCs w:val="28"/>
        </w:rPr>
        <w:t xml:space="preserve"> </w:t>
      </w:r>
      <w:r w:rsidR="0052424D">
        <w:rPr>
          <w:sz w:val="28"/>
          <w:szCs w:val="28"/>
        </w:rPr>
        <w:t>APAAC</w:t>
      </w:r>
      <w:r w:rsidR="00A015CD">
        <w:rPr>
          <w:sz w:val="28"/>
          <w:szCs w:val="28"/>
        </w:rPr>
        <w:t xml:space="preserve"> does not propose </w:t>
      </w:r>
      <w:r w:rsidR="001565D5">
        <w:rPr>
          <w:sz w:val="28"/>
          <w:szCs w:val="28"/>
        </w:rPr>
        <w:t>modifications to any of the amend</w:t>
      </w:r>
      <w:r w:rsidR="003464A8">
        <w:rPr>
          <w:sz w:val="28"/>
          <w:szCs w:val="28"/>
        </w:rPr>
        <w:t>ments,</w:t>
      </w:r>
      <w:r w:rsidR="001565D5">
        <w:rPr>
          <w:sz w:val="28"/>
          <w:szCs w:val="28"/>
        </w:rPr>
        <w:t xml:space="preserve"> but instead, it makes three observations.</w:t>
      </w:r>
      <w:r w:rsidR="00101F8C">
        <w:rPr>
          <w:sz w:val="28"/>
          <w:szCs w:val="28"/>
        </w:rPr>
        <w:t xml:space="preserve"> The first observation</w:t>
      </w:r>
      <w:r w:rsidR="005868C7">
        <w:rPr>
          <w:sz w:val="28"/>
          <w:szCs w:val="28"/>
        </w:rPr>
        <w:t xml:space="preserve"> </w:t>
      </w:r>
      <w:r w:rsidR="00C47F20">
        <w:rPr>
          <w:sz w:val="28"/>
          <w:szCs w:val="28"/>
        </w:rPr>
        <w:t>commended</w:t>
      </w:r>
      <w:r w:rsidR="005868C7">
        <w:rPr>
          <w:sz w:val="28"/>
          <w:szCs w:val="28"/>
        </w:rPr>
        <w:t xml:space="preserve"> the work of the Task Force.</w:t>
      </w:r>
      <w:r w:rsidR="00742CFB">
        <w:rPr>
          <w:sz w:val="28"/>
          <w:szCs w:val="28"/>
        </w:rPr>
        <w:t xml:space="preserve"> The second observation noted that </w:t>
      </w:r>
      <w:r w:rsidR="00D17809">
        <w:rPr>
          <w:sz w:val="28"/>
          <w:szCs w:val="28"/>
        </w:rPr>
        <w:t>APAAC</w:t>
      </w:r>
      <w:r w:rsidR="00742CFB">
        <w:rPr>
          <w:sz w:val="28"/>
          <w:szCs w:val="28"/>
        </w:rPr>
        <w:t xml:space="preserve"> </w:t>
      </w:r>
      <w:r w:rsidR="00AF6D84">
        <w:rPr>
          <w:sz w:val="28"/>
          <w:szCs w:val="28"/>
        </w:rPr>
        <w:t>had no recommendation</w:t>
      </w:r>
      <w:r w:rsidR="00742CFB">
        <w:rPr>
          <w:sz w:val="28"/>
          <w:szCs w:val="28"/>
        </w:rPr>
        <w:t xml:space="preserve"> </w:t>
      </w:r>
      <w:r w:rsidR="00243937">
        <w:rPr>
          <w:sz w:val="28"/>
          <w:szCs w:val="28"/>
        </w:rPr>
        <w:t>regarding</w:t>
      </w:r>
      <w:r w:rsidR="00742CFB">
        <w:rPr>
          <w:sz w:val="28"/>
          <w:szCs w:val="28"/>
        </w:rPr>
        <w:t xml:space="preserve"> the two continuing education options </w:t>
      </w:r>
      <w:r w:rsidR="00AA76F9">
        <w:rPr>
          <w:sz w:val="28"/>
          <w:szCs w:val="28"/>
        </w:rPr>
        <w:t xml:space="preserve">that were set out </w:t>
      </w:r>
      <w:r w:rsidR="00742CFB">
        <w:rPr>
          <w:sz w:val="28"/>
          <w:szCs w:val="28"/>
        </w:rPr>
        <w:t xml:space="preserve">in </w:t>
      </w:r>
      <w:r w:rsidR="007D6EE7">
        <w:rPr>
          <w:sz w:val="28"/>
          <w:szCs w:val="28"/>
        </w:rPr>
        <w:t xml:space="preserve">the proposed </w:t>
      </w:r>
      <w:r w:rsidR="00430415">
        <w:rPr>
          <w:sz w:val="28"/>
          <w:szCs w:val="28"/>
        </w:rPr>
        <w:t xml:space="preserve">alternative </w:t>
      </w:r>
      <w:r w:rsidR="007D6EE7">
        <w:rPr>
          <w:sz w:val="28"/>
          <w:szCs w:val="28"/>
        </w:rPr>
        <w:t xml:space="preserve">amendments to </w:t>
      </w:r>
      <w:r w:rsidR="00A73F11">
        <w:rPr>
          <w:sz w:val="28"/>
          <w:szCs w:val="28"/>
        </w:rPr>
        <w:t xml:space="preserve">Supreme Court </w:t>
      </w:r>
      <w:r w:rsidR="007D6EE7">
        <w:rPr>
          <w:sz w:val="28"/>
          <w:szCs w:val="28"/>
        </w:rPr>
        <w:t xml:space="preserve">Rule </w:t>
      </w:r>
      <w:r w:rsidR="00AF6D84">
        <w:rPr>
          <w:sz w:val="28"/>
          <w:szCs w:val="28"/>
        </w:rPr>
        <w:t>45.</w:t>
      </w:r>
      <w:r w:rsidR="00DA75D7">
        <w:rPr>
          <w:sz w:val="28"/>
          <w:szCs w:val="28"/>
        </w:rPr>
        <w:t xml:space="preserve"> The third observation</w:t>
      </w:r>
      <w:r w:rsidR="00243937">
        <w:rPr>
          <w:sz w:val="28"/>
          <w:szCs w:val="28"/>
        </w:rPr>
        <w:t xml:space="preserve"> concerned</w:t>
      </w:r>
      <w:r w:rsidR="00767202">
        <w:rPr>
          <w:sz w:val="28"/>
          <w:szCs w:val="28"/>
        </w:rPr>
        <w:t xml:space="preserve"> </w:t>
      </w:r>
      <w:r w:rsidR="00AA76F9">
        <w:rPr>
          <w:sz w:val="28"/>
          <w:szCs w:val="28"/>
        </w:rPr>
        <w:t>APAAC’s</w:t>
      </w:r>
      <w:r w:rsidR="00767202">
        <w:rPr>
          <w:sz w:val="28"/>
          <w:szCs w:val="28"/>
        </w:rPr>
        <w:t xml:space="preserve"> work on an updated ethics manual for government lawyers</w:t>
      </w:r>
      <w:r w:rsidR="00301D1B">
        <w:rPr>
          <w:sz w:val="28"/>
          <w:szCs w:val="28"/>
        </w:rPr>
        <w:t>. This project</w:t>
      </w:r>
      <w:r w:rsidR="002C2ED9">
        <w:rPr>
          <w:sz w:val="28"/>
          <w:szCs w:val="28"/>
        </w:rPr>
        <w:t xml:space="preserve"> regarding an ethics manual</w:t>
      </w:r>
      <w:r w:rsidR="00E32A54">
        <w:rPr>
          <w:sz w:val="28"/>
          <w:szCs w:val="28"/>
        </w:rPr>
        <w:t xml:space="preserve"> was summarized in the </w:t>
      </w:r>
      <w:r w:rsidR="0056761C">
        <w:rPr>
          <w:sz w:val="28"/>
          <w:szCs w:val="28"/>
        </w:rPr>
        <w:t xml:space="preserve">December 14, 2023, </w:t>
      </w:r>
      <w:hyperlink r:id="rId11" w:history="1">
        <w:r w:rsidR="0056761C" w:rsidRPr="00ED3811">
          <w:rPr>
            <w:rStyle w:val="Hyperlink"/>
            <w:sz w:val="28"/>
            <w:szCs w:val="28"/>
          </w:rPr>
          <w:t>Task Force report to the Arizona Judicial Council</w:t>
        </w:r>
      </w:hyperlink>
      <w:r w:rsidR="0056761C">
        <w:rPr>
          <w:sz w:val="28"/>
          <w:szCs w:val="28"/>
        </w:rPr>
        <w:t>, at pages 16-17</w:t>
      </w:r>
      <w:r w:rsidR="005B57AC">
        <w:rPr>
          <w:sz w:val="28"/>
          <w:szCs w:val="28"/>
        </w:rPr>
        <w:t xml:space="preserve">. </w:t>
      </w:r>
      <w:r w:rsidR="00AF01DD">
        <w:rPr>
          <w:sz w:val="28"/>
          <w:szCs w:val="28"/>
        </w:rPr>
        <w:t>The Task Force</w:t>
      </w:r>
      <w:r w:rsidR="009835A6">
        <w:rPr>
          <w:sz w:val="28"/>
          <w:szCs w:val="28"/>
        </w:rPr>
        <w:t xml:space="preserve"> appreciates APAAC’s ongoing work on th</w:t>
      </w:r>
      <w:r w:rsidR="00007470">
        <w:rPr>
          <w:sz w:val="28"/>
          <w:szCs w:val="28"/>
        </w:rPr>
        <w:t>at</w:t>
      </w:r>
      <w:r w:rsidR="009835A6">
        <w:rPr>
          <w:sz w:val="28"/>
          <w:szCs w:val="28"/>
        </w:rPr>
        <w:t xml:space="preserve"> endeavor</w:t>
      </w:r>
      <w:r w:rsidR="0056761C">
        <w:rPr>
          <w:sz w:val="28"/>
          <w:szCs w:val="28"/>
        </w:rPr>
        <w:t xml:space="preserve">. </w:t>
      </w:r>
    </w:p>
    <w:p w14:paraId="293478B5" w14:textId="41C2A799" w:rsidR="006B1BAC" w:rsidRDefault="006B1BAC" w:rsidP="0045037E">
      <w:pPr>
        <w:pStyle w:val="FootnoteText"/>
        <w:spacing w:after="240" w:line="480" w:lineRule="auto"/>
        <w:ind w:firstLine="720"/>
        <w:jc w:val="both"/>
        <w:rPr>
          <w:sz w:val="28"/>
          <w:szCs w:val="28"/>
        </w:rPr>
      </w:pPr>
      <w:r w:rsidRPr="00243D4E">
        <w:rPr>
          <w:b/>
          <w:bCs/>
          <w:sz w:val="28"/>
          <w:szCs w:val="28"/>
          <w:u w:val="single"/>
        </w:rPr>
        <w:t xml:space="preserve">3. Arizona Attorneys for Criminal Justice </w:t>
      </w:r>
      <w:r w:rsidR="001B0249" w:rsidRPr="00243D4E">
        <w:rPr>
          <w:b/>
          <w:bCs/>
          <w:sz w:val="28"/>
          <w:szCs w:val="28"/>
          <w:u w:val="single"/>
        </w:rPr>
        <w:t>(“AA</w:t>
      </w:r>
      <w:r w:rsidR="005B57AC" w:rsidRPr="00243D4E">
        <w:rPr>
          <w:b/>
          <w:bCs/>
          <w:sz w:val="28"/>
          <w:szCs w:val="28"/>
          <w:u w:val="single"/>
        </w:rPr>
        <w:t xml:space="preserve">CJ”) </w:t>
      </w:r>
      <w:r w:rsidRPr="00243D4E">
        <w:rPr>
          <w:b/>
          <w:bCs/>
          <w:sz w:val="28"/>
          <w:szCs w:val="28"/>
          <w:u w:val="single"/>
        </w:rPr>
        <w:t>Comment.</w:t>
      </w:r>
      <w:r w:rsidR="009D17C9">
        <w:rPr>
          <w:sz w:val="28"/>
          <w:szCs w:val="28"/>
        </w:rPr>
        <w:t xml:space="preserve"> The AACJ comment concerns ER 1.7 (“</w:t>
      </w:r>
      <w:r w:rsidR="003429B5">
        <w:rPr>
          <w:sz w:val="28"/>
          <w:szCs w:val="28"/>
        </w:rPr>
        <w:t>Conflict of Interest: Current Clients</w:t>
      </w:r>
      <w:r w:rsidR="00633342">
        <w:rPr>
          <w:sz w:val="28"/>
          <w:szCs w:val="28"/>
        </w:rPr>
        <w:t xml:space="preserve">”), </w:t>
      </w:r>
      <w:r w:rsidR="00BA2445">
        <w:rPr>
          <w:sz w:val="28"/>
          <w:szCs w:val="28"/>
        </w:rPr>
        <w:t xml:space="preserve">comment </w:t>
      </w:r>
      <w:r w:rsidR="002F5B26">
        <w:rPr>
          <w:sz w:val="28"/>
          <w:szCs w:val="28"/>
        </w:rPr>
        <w:t>Paragraph</w:t>
      </w:r>
      <w:r w:rsidR="00633342">
        <w:rPr>
          <w:sz w:val="28"/>
          <w:szCs w:val="28"/>
        </w:rPr>
        <w:t xml:space="preserve"> 9.</w:t>
      </w:r>
      <w:r w:rsidR="0061394F">
        <w:rPr>
          <w:sz w:val="28"/>
          <w:szCs w:val="28"/>
        </w:rPr>
        <w:t xml:space="preserve"> </w:t>
      </w:r>
      <w:r w:rsidR="00B93013">
        <w:rPr>
          <w:sz w:val="28"/>
          <w:szCs w:val="28"/>
        </w:rPr>
        <w:t>The Task Force p</w:t>
      </w:r>
      <w:r w:rsidR="000C2D71">
        <w:rPr>
          <w:sz w:val="28"/>
          <w:szCs w:val="28"/>
        </w:rPr>
        <w:t xml:space="preserve">roposed </w:t>
      </w:r>
      <w:r w:rsidR="00151106">
        <w:rPr>
          <w:sz w:val="28"/>
          <w:szCs w:val="28"/>
        </w:rPr>
        <w:t xml:space="preserve">to add </w:t>
      </w:r>
      <w:r w:rsidR="000C2D71">
        <w:rPr>
          <w:sz w:val="28"/>
          <w:szCs w:val="28"/>
        </w:rPr>
        <w:t>new p</w:t>
      </w:r>
      <w:r w:rsidR="00AA305C">
        <w:rPr>
          <w:sz w:val="28"/>
          <w:szCs w:val="28"/>
        </w:rPr>
        <w:t>aragraph</w:t>
      </w:r>
      <w:r w:rsidR="00D22C2C">
        <w:rPr>
          <w:sz w:val="28"/>
          <w:szCs w:val="28"/>
        </w:rPr>
        <w:t>s</w:t>
      </w:r>
      <w:r w:rsidR="00AA305C">
        <w:rPr>
          <w:sz w:val="28"/>
          <w:szCs w:val="28"/>
        </w:rPr>
        <w:t xml:space="preserve"> 9 </w:t>
      </w:r>
      <w:r w:rsidR="00D22C2C">
        <w:rPr>
          <w:sz w:val="28"/>
          <w:szCs w:val="28"/>
        </w:rPr>
        <w:t xml:space="preserve">and 10 </w:t>
      </w:r>
      <w:r w:rsidR="009D041D">
        <w:rPr>
          <w:sz w:val="28"/>
          <w:szCs w:val="28"/>
        </w:rPr>
        <w:t>under the subheading “</w:t>
      </w:r>
      <w:r w:rsidR="003524B7">
        <w:rPr>
          <w:sz w:val="28"/>
          <w:szCs w:val="28"/>
        </w:rPr>
        <w:t>material limitations for a government lawyer.”</w:t>
      </w:r>
      <w:r w:rsidR="0061394F">
        <w:rPr>
          <w:sz w:val="28"/>
          <w:szCs w:val="28"/>
        </w:rPr>
        <w:t xml:space="preserve"> </w:t>
      </w:r>
      <w:r w:rsidR="000D5AF9">
        <w:rPr>
          <w:sz w:val="28"/>
          <w:szCs w:val="28"/>
        </w:rPr>
        <w:t xml:space="preserve">In its comment, </w:t>
      </w:r>
      <w:r w:rsidR="00BA2445">
        <w:rPr>
          <w:sz w:val="28"/>
          <w:szCs w:val="28"/>
        </w:rPr>
        <w:t xml:space="preserve">the </w:t>
      </w:r>
      <w:r w:rsidR="000D5AF9">
        <w:rPr>
          <w:sz w:val="28"/>
          <w:szCs w:val="28"/>
        </w:rPr>
        <w:t xml:space="preserve">AACJ quoted the last two sentences of </w:t>
      </w:r>
      <w:r w:rsidR="002F5B26">
        <w:rPr>
          <w:sz w:val="28"/>
          <w:szCs w:val="28"/>
        </w:rPr>
        <w:t>Paragraph</w:t>
      </w:r>
      <w:r w:rsidR="000D5AF9">
        <w:rPr>
          <w:sz w:val="28"/>
          <w:szCs w:val="28"/>
        </w:rPr>
        <w:t xml:space="preserve"> 9:</w:t>
      </w:r>
    </w:p>
    <w:p w14:paraId="06079E30" w14:textId="470870BC" w:rsidR="000D5AF9" w:rsidRPr="00A039A5" w:rsidRDefault="000D5AF9" w:rsidP="00B64663">
      <w:pPr>
        <w:pStyle w:val="FootnoteText"/>
        <w:spacing w:after="240"/>
        <w:ind w:left="720"/>
        <w:jc w:val="both"/>
        <w:rPr>
          <w:sz w:val="28"/>
          <w:szCs w:val="28"/>
        </w:rPr>
      </w:pPr>
      <w:r w:rsidRPr="00A039A5">
        <w:rPr>
          <w:sz w:val="28"/>
          <w:szCs w:val="28"/>
        </w:rPr>
        <w:t xml:space="preserve">Whether this creates a disqualifying conflict of interest under ER 1.7(a)(2) depends on whether the government law firm’s duties to the government organization in the civil matter will be materially limited by the law firm’s </w:t>
      </w:r>
      <w:r w:rsidRPr="00A039A5">
        <w:rPr>
          <w:sz w:val="28"/>
          <w:szCs w:val="28"/>
        </w:rPr>
        <w:lastRenderedPageBreak/>
        <w:t>duty as a prosecutor to act in the interest of justice. When determining whether a material limitation exists, a government lawyer must consider the likelihood that the lawyer’s decision</w:t>
      </w:r>
      <w:r w:rsidR="00F86F15" w:rsidRPr="00A039A5">
        <w:rPr>
          <w:sz w:val="28"/>
          <w:szCs w:val="28"/>
        </w:rPr>
        <w:t xml:space="preserve"> </w:t>
      </w:r>
      <w:r w:rsidRPr="00A039A5">
        <w:rPr>
          <w:sz w:val="28"/>
          <w:szCs w:val="28"/>
        </w:rPr>
        <w:t>making in one matter will be influenced by a desire to affect the outcome of the other matter.</w:t>
      </w:r>
    </w:p>
    <w:p w14:paraId="724C341F" w14:textId="77777777" w:rsidR="008E1A0D" w:rsidRPr="000D5AF9" w:rsidRDefault="008E1A0D" w:rsidP="00B64663">
      <w:pPr>
        <w:pStyle w:val="FootnoteText"/>
        <w:spacing w:after="240"/>
        <w:ind w:left="720"/>
        <w:jc w:val="both"/>
        <w:rPr>
          <w:sz w:val="26"/>
          <w:szCs w:val="26"/>
        </w:rPr>
      </w:pPr>
    </w:p>
    <w:p w14:paraId="600811B6" w14:textId="7AD3C603" w:rsidR="00C747D1" w:rsidRDefault="008E1A0D" w:rsidP="00C747D1">
      <w:pPr>
        <w:pStyle w:val="FootnoteText"/>
        <w:spacing w:after="240" w:line="480" w:lineRule="auto"/>
        <w:jc w:val="both"/>
        <w:rPr>
          <w:sz w:val="28"/>
          <w:szCs w:val="28"/>
        </w:rPr>
      </w:pPr>
      <w:r>
        <w:rPr>
          <w:sz w:val="28"/>
          <w:szCs w:val="28"/>
        </w:rPr>
        <w:t>The AACJ comment continues:</w:t>
      </w:r>
    </w:p>
    <w:p w14:paraId="6E902DE0" w14:textId="31CFB362" w:rsidR="008E1A0D" w:rsidRPr="00A039A5" w:rsidRDefault="008E1A0D" w:rsidP="008E1A0D">
      <w:pPr>
        <w:pStyle w:val="FootnoteText"/>
        <w:spacing w:after="240"/>
        <w:ind w:left="720"/>
        <w:jc w:val="both"/>
        <w:rPr>
          <w:sz w:val="28"/>
          <w:szCs w:val="28"/>
        </w:rPr>
      </w:pPr>
      <w:r w:rsidRPr="00A039A5">
        <w:rPr>
          <w:sz w:val="28"/>
          <w:szCs w:val="28"/>
        </w:rPr>
        <w:t xml:space="preserve">In AACJ’s view, this provision does not reflect and embrace the full considerations set forth in the Court’s very recent opinion in </w:t>
      </w:r>
      <w:r w:rsidRPr="00A039A5">
        <w:rPr>
          <w:i/>
          <w:iCs/>
          <w:sz w:val="28"/>
          <w:szCs w:val="28"/>
        </w:rPr>
        <w:t xml:space="preserve">State ex rel. Mitchell v. Palmer </w:t>
      </w:r>
      <w:r w:rsidRPr="00A039A5">
        <w:rPr>
          <w:sz w:val="28"/>
          <w:szCs w:val="28"/>
        </w:rPr>
        <w:t>and the long line of Arizona caselaw on which that case finds its foundation.</w:t>
      </w:r>
    </w:p>
    <w:p w14:paraId="5913AE82" w14:textId="77777777" w:rsidR="001E748C" w:rsidRDefault="001E748C" w:rsidP="001E748C">
      <w:pPr>
        <w:pStyle w:val="FootnoteText"/>
        <w:spacing w:after="240"/>
        <w:jc w:val="both"/>
        <w:rPr>
          <w:sz w:val="28"/>
          <w:szCs w:val="28"/>
        </w:rPr>
      </w:pPr>
    </w:p>
    <w:p w14:paraId="4912C8B4" w14:textId="2A5B16A2" w:rsidR="001E748C" w:rsidRPr="00551122" w:rsidRDefault="0018673D" w:rsidP="00874657">
      <w:pPr>
        <w:pStyle w:val="FootnoteText"/>
        <w:spacing w:after="240" w:line="480" w:lineRule="auto"/>
        <w:ind w:firstLine="720"/>
        <w:jc w:val="both"/>
        <w:rPr>
          <w:sz w:val="28"/>
          <w:szCs w:val="28"/>
        </w:rPr>
      </w:pPr>
      <w:r w:rsidRPr="00551122">
        <w:rPr>
          <w:sz w:val="28"/>
          <w:szCs w:val="28"/>
        </w:rPr>
        <w:t>In</w:t>
      </w:r>
      <w:r w:rsidR="00CE473C" w:rsidRPr="00551122">
        <w:rPr>
          <w:sz w:val="28"/>
          <w:szCs w:val="28"/>
        </w:rPr>
        <w:t xml:space="preserve"> </w:t>
      </w:r>
      <w:r w:rsidRPr="00551122">
        <w:rPr>
          <w:sz w:val="28"/>
          <w:szCs w:val="28"/>
        </w:rPr>
        <w:t>¶ 1</w:t>
      </w:r>
      <w:r w:rsidR="00DE60C5" w:rsidRPr="00551122">
        <w:rPr>
          <w:sz w:val="28"/>
          <w:szCs w:val="28"/>
        </w:rPr>
        <w:t xml:space="preserve"> of </w:t>
      </w:r>
      <w:r w:rsidR="00CE473C" w:rsidRPr="00551122">
        <w:rPr>
          <w:sz w:val="28"/>
          <w:szCs w:val="28"/>
        </w:rPr>
        <w:t xml:space="preserve">the </w:t>
      </w:r>
      <w:r w:rsidR="00CE473C" w:rsidRPr="00551122">
        <w:rPr>
          <w:i/>
          <w:iCs/>
          <w:sz w:val="28"/>
          <w:szCs w:val="28"/>
        </w:rPr>
        <w:t>Mitchell v. Palmer</w:t>
      </w:r>
      <w:r w:rsidR="00CE473C" w:rsidRPr="00551122">
        <w:rPr>
          <w:sz w:val="28"/>
          <w:szCs w:val="28"/>
        </w:rPr>
        <w:t xml:space="preserve"> opinion</w:t>
      </w:r>
      <w:r w:rsidR="00DE60C5" w:rsidRPr="00551122">
        <w:rPr>
          <w:sz w:val="28"/>
          <w:szCs w:val="28"/>
        </w:rPr>
        <w:t xml:space="preserve">, the Court characterized </w:t>
      </w:r>
      <w:r w:rsidR="00DA7BFB" w:rsidRPr="00551122">
        <w:rPr>
          <w:sz w:val="28"/>
          <w:szCs w:val="28"/>
        </w:rPr>
        <w:t xml:space="preserve">the </w:t>
      </w:r>
      <w:r w:rsidR="002C2ED9" w:rsidRPr="00551122">
        <w:rPr>
          <w:sz w:val="28"/>
          <w:szCs w:val="28"/>
        </w:rPr>
        <w:t>underlying fact scenario</w:t>
      </w:r>
      <w:r w:rsidR="00DE60C5" w:rsidRPr="00551122">
        <w:rPr>
          <w:sz w:val="28"/>
          <w:szCs w:val="28"/>
        </w:rPr>
        <w:t xml:space="preserve"> as </w:t>
      </w:r>
      <w:r w:rsidR="00DE60C5" w:rsidRPr="00CB55D8">
        <w:rPr>
          <w:sz w:val="28"/>
          <w:szCs w:val="28"/>
        </w:rPr>
        <w:t>“a unique prosecutorial situation</w:t>
      </w:r>
      <w:r w:rsidR="000C356B" w:rsidRPr="00CB55D8">
        <w:rPr>
          <w:sz w:val="28"/>
          <w:szCs w:val="28"/>
        </w:rPr>
        <w:t>.”</w:t>
      </w:r>
      <w:r w:rsidR="006F6435">
        <w:rPr>
          <w:sz w:val="28"/>
          <w:szCs w:val="28"/>
        </w:rPr>
        <w:t xml:space="preserve"> </w:t>
      </w:r>
      <w:r w:rsidR="00DA7BFB" w:rsidRPr="00CB55D8">
        <w:rPr>
          <w:sz w:val="28"/>
          <w:szCs w:val="28"/>
        </w:rPr>
        <w:t>The case</w:t>
      </w:r>
      <w:r w:rsidR="000C356B" w:rsidRPr="00CB55D8">
        <w:rPr>
          <w:sz w:val="28"/>
          <w:szCs w:val="28"/>
        </w:rPr>
        <w:t xml:space="preserve"> </w:t>
      </w:r>
      <w:r w:rsidR="00366670" w:rsidRPr="00CB55D8">
        <w:rPr>
          <w:sz w:val="28"/>
          <w:szCs w:val="28"/>
        </w:rPr>
        <w:t xml:space="preserve">did not </w:t>
      </w:r>
      <w:r w:rsidR="000C356B" w:rsidRPr="00CB55D8">
        <w:rPr>
          <w:sz w:val="28"/>
          <w:szCs w:val="28"/>
        </w:rPr>
        <w:t>involv</w:t>
      </w:r>
      <w:r w:rsidR="00366670" w:rsidRPr="00CB55D8">
        <w:rPr>
          <w:sz w:val="28"/>
          <w:szCs w:val="28"/>
        </w:rPr>
        <w:t xml:space="preserve">e </w:t>
      </w:r>
      <w:r w:rsidR="000C356B" w:rsidRPr="00CB55D8">
        <w:rPr>
          <w:sz w:val="28"/>
          <w:szCs w:val="28"/>
        </w:rPr>
        <w:t xml:space="preserve">potential conflicts between the county attorney’s </w:t>
      </w:r>
      <w:r w:rsidR="00C35D81" w:rsidRPr="00CB55D8">
        <w:rPr>
          <w:sz w:val="28"/>
          <w:szCs w:val="28"/>
        </w:rPr>
        <w:t xml:space="preserve">prosecutorial and civil functions, which </w:t>
      </w:r>
      <w:r w:rsidR="002F5B26" w:rsidRPr="00CB55D8">
        <w:rPr>
          <w:sz w:val="28"/>
          <w:szCs w:val="28"/>
        </w:rPr>
        <w:t>Paragraph</w:t>
      </w:r>
      <w:r w:rsidR="00C35D81" w:rsidRPr="00CB55D8">
        <w:rPr>
          <w:sz w:val="28"/>
          <w:szCs w:val="28"/>
        </w:rPr>
        <w:t xml:space="preserve"> 9 </w:t>
      </w:r>
      <w:r w:rsidR="001A6E40" w:rsidRPr="00CB55D8">
        <w:rPr>
          <w:sz w:val="28"/>
          <w:szCs w:val="28"/>
        </w:rPr>
        <w:t xml:space="preserve">addresses. </w:t>
      </w:r>
      <w:r w:rsidR="00EE6DA3" w:rsidRPr="00CB55D8">
        <w:rPr>
          <w:sz w:val="28"/>
          <w:szCs w:val="28"/>
        </w:rPr>
        <w:t>Moreover,</w:t>
      </w:r>
      <w:r w:rsidR="004C3075" w:rsidRPr="00CB55D8">
        <w:rPr>
          <w:sz w:val="28"/>
          <w:szCs w:val="28"/>
        </w:rPr>
        <w:t xml:space="preserve"> even in the </w:t>
      </w:r>
      <w:r w:rsidR="00220B78" w:rsidRPr="00CB55D8">
        <w:rPr>
          <w:sz w:val="28"/>
          <w:szCs w:val="28"/>
        </w:rPr>
        <w:t>unique</w:t>
      </w:r>
      <w:r w:rsidR="004C3075" w:rsidRPr="00CB55D8">
        <w:rPr>
          <w:sz w:val="28"/>
          <w:szCs w:val="28"/>
        </w:rPr>
        <w:t xml:space="preserve"> </w:t>
      </w:r>
      <w:r w:rsidR="00366670" w:rsidRPr="00CB55D8">
        <w:rPr>
          <w:sz w:val="28"/>
          <w:szCs w:val="28"/>
        </w:rPr>
        <w:t>circumstances</w:t>
      </w:r>
      <w:r w:rsidR="004C3075" w:rsidRPr="00CB55D8">
        <w:rPr>
          <w:sz w:val="28"/>
          <w:szCs w:val="28"/>
        </w:rPr>
        <w:t xml:space="preserve"> of that case, the Court </w:t>
      </w:r>
      <w:r w:rsidR="002304C7">
        <w:rPr>
          <w:sz w:val="28"/>
          <w:szCs w:val="28"/>
        </w:rPr>
        <w:t>—</w:t>
      </w:r>
      <w:r w:rsidR="004C3075" w:rsidRPr="00CB55D8">
        <w:rPr>
          <w:sz w:val="28"/>
          <w:szCs w:val="28"/>
        </w:rPr>
        <w:t xml:space="preserve"> in paragraphs </w:t>
      </w:r>
      <w:r w:rsidR="00492B04" w:rsidRPr="00CB55D8">
        <w:rPr>
          <w:sz w:val="28"/>
          <w:szCs w:val="28"/>
        </w:rPr>
        <w:t>25, 28, and 31</w:t>
      </w:r>
      <w:r w:rsidR="007301CE" w:rsidRPr="00CB55D8">
        <w:rPr>
          <w:sz w:val="28"/>
          <w:szCs w:val="28"/>
        </w:rPr>
        <w:t xml:space="preserve"> of its opinion</w:t>
      </w:r>
      <w:r w:rsidR="00492B04" w:rsidRPr="00CB55D8">
        <w:rPr>
          <w:sz w:val="28"/>
          <w:szCs w:val="28"/>
        </w:rPr>
        <w:t xml:space="preserve"> </w:t>
      </w:r>
      <w:r w:rsidR="002304C7">
        <w:rPr>
          <w:sz w:val="28"/>
          <w:szCs w:val="28"/>
        </w:rPr>
        <w:t xml:space="preserve">— </w:t>
      </w:r>
      <w:r w:rsidR="003560B7" w:rsidRPr="00CB55D8">
        <w:rPr>
          <w:sz w:val="28"/>
          <w:szCs w:val="28"/>
        </w:rPr>
        <w:t xml:space="preserve">noted the </w:t>
      </w:r>
      <w:r w:rsidR="00220B78" w:rsidRPr="00CB55D8">
        <w:rPr>
          <w:sz w:val="28"/>
          <w:szCs w:val="28"/>
        </w:rPr>
        <w:t xml:space="preserve">challenge </w:t>
      </w:r>
      <w:r w:rsidR="003560B7" w:rsidRPr="00CB55D8">
        <w:rPr>
          <w:sz w:val="28"/>
          <w:szCs w:val="28"/>
        </w:rPr>
        <w:t>of fashioning a bright-line rule, and it declined to do so.</w:t>
      </w:r>
      <w:r w:rsidR="00920E9D">
        <w:rPr>
          <w:sz w:val="28"/>
          <w:szCs w:val="28"/>
        </w:rPr>
        <w:t xml:space="preserve"> Similarly</w:t>
      </w:r>
      <w:r w:rsidR="00922E16" w:rsidRPr="00551122">
        <w:rPr>
          <w:sz w:val="28"/>
          <w:szCs w:val="28"/>
        </w:rPr>
        <w:t>, the AACJ comment does not propose any amendments to Paragraph 9 or to other portions of the comment</w:t>
      </w:r>
      <w:r w:rsidR="00922E16">
        <w:rPr>
          <w:sz w:val="28"/>
          <w:szCs w:val="28"/>
        </w:rPr>
        <w:t xml:space="preserve"> to ER 1.7</w:t>
      </w:r>
      <w:r w:rsidR="00E70F93">
        <w:rPr>
          <w:sz w:val="28"/>
          <w:szCs w:val="28"/>
        </w:rPr>
        <w:t xml:space="preserve">, </w:t>
      </w:r>
      <w:r w:rsidR="00D945EF">
        <w:rPr>
          <w:sz w:val="28"/>
          <w:szCs w:val="28"/>
        </w:rPr>
        <w:t xml:space="preserve">which is </w:t>
      </w:r>
      <w:r w:rsidR="00E70F93">
        <w:rPr>
          <w:sz w:val="28"/>
          <w:szCs w:val="28"/>
        </w:rPr>
        <w:t xml:space="preserve">possibly </w:t>
      </w:r>
      <w:r w:rsidR="001B47F5">
        <w:rPr>
          <w:sz w:val="28"/>
          <w:szCs w:val="28"/>
        </w:rPr>
        <w:t>an indication of</w:t>
      </w:r>
      <w:r w:rsidR="00922E16" w:rsidRPr="00551122">
        <w:rPr>
          <w:sz w:val="28"/>
          <w:szCs w:val="28"/>
        </w:rPr>
        <w:t xml:space="preserve"> the </w:t>
      </w:r>
      <w:r w:rsidR="00930021">
        <w:rPr>
          <w:sz w:val="28"/>
          <w:szCs w:val="28"/>
        </w:rPr>
        <w:t>challenges</w:t>
      </w:r>
      <w:r w:rsidR="00922E16" w:rsidRPr="00551122">
        <w:rPr>
          <w:sz w:val="28"/>
          <w:szCs w:val="28"/>
        </w:rPr>
        <w:t xml:space="preserve"> of drafting such a provision.  </w:t>
      </w:r>
    </w:p>
    <w:p w14:paraId="0F73D7A6" w14:textId="0A012E36" w:rsidR="008E1A0D" w:rsidRPr="00551122" w:rsidRDefault="00AF01DD" w:rsidP="002C2ED9">
      <w:pPr>
        <w:pStyle w:val="FootnoteText"/>
        <w:spacing w:line="480" w:lineRule="auto"/>
        <w:ind w:firstLine="720"/>
        <w:jc w:val="both"/>
        <w:rPr>
          <w:sz w:val="28"/>
          <w:szCs w:val="28"/>
        </w:rPr>
      </w:pPr>
      <w:r>
        <w:rPr>
          <w:sz w:val="28"/>
          <w:szCs w:val="28"/>
        </w:rPr>
        <w:t>The Task Force</w:t>
      </w:r>
      <w:r w:rsidR="003D37E2">
        <w:rPr>
          <w:sz w:val="28"/>
          <w:szCs w:val="28"/>
        </w:rPr>
        <w:t xml:space="preserve"> </w:t>
      </w:r>
      <w:r w:rsidR="00243D4E">
        <w:rPr>
          <w:sz w:val="28"/>
          <w:szCs w:val="28"/>
        </w:rPr>
        <w:t>does not take issue</w:t>
      </w:r>
      <w:r w:rsidR="003D37E2">
        <w:rPr>
          <w:sz w:val="28"/>
          <w:szCs w:val="28"/>
        </w:rPr>
        <w:t xml:space="preserve"> with the general principles of law enumerated in the AACJ </w:t>
      </w:r>
      <w:r w:rsidR="00CE16E9">
        <w:rPr>
          <w:sz w:val="28"/>
          <w:szCs w:val="28"/>
        </w:rPr>
        <w:t>comment</w:t>
      </w:r>
      <w:r w:rsidR="00D65D8A">
        <w:rPr>
          <w:sz w:val="28"/>
          <w:szCs w:val="28"/>
        </w:rPr>
        <w:t>.</w:t>
      </w:r>
      <w:r w:rsidR="00EE1864">
        <w:rPr>
          <w:sz w:val="28"/>
          <w:szCs w:val="28"/>
        </w:rPr>
        <w:t xml:space="preserve"> </w:t>
      </w:r>
      <w:r>
        <w:rPr>
          <w:sz w:val="28"/>
          <w:szCs w:val="28"/>
        </w:rPr>
        <w:t>The Task Force</w:t>
      </w:r>
      <w:r w:rsidR="00CE16E9">
        <w:rPr>
          <w:sz w:val="28"/>
          <w:szCs w:val="28"/>
        </w:rPr>
        <w:t xml:space="preserve"> also notes</w:t>
      </w:r>
      <w:r w:rsidR="00D65D8A">
        <w:rPr>
          <w:sz w:val="28"/>
          <w:szCs w:val="28"/>
        </w:rPr>
        <w:t>, however,</w:t>
      </w:r>
      <w:r w:rsidR="00CE16E9">
        <w:rPr>
          <w:sz w:val="28"/>
          <w:szCs w:val="28"/>
        </w:rPr>
        <w:t xml:space="preserve"> that </w:t>
      </w:r>
      <w:r w:rsidR="0058320A">
        <w:rPr>
          <w:sz w:val="28"/>
          <w:szCs w:val="28"/>
        </w:rPr>
        <w:t xml:space="preserve">it </w:t>
      </w:r>
      <w:r w:rsidR="00343860">
        <w:rPr>
          <w:sz w:val="28"/>
          <w:szCs w:val="28"/>
        </w:rPr>
        <w:t>engaged in a long discussion of ER 1.7</w:t>
      </w:r>
      <w:r w:rsidR="007B1928">
        <w:rPr>
          <w:sz w:val="28"/>
          <w:szCs w:val="28"/>
        </w:rPr>
        <w:t xml:space="preserve"> before finalizing its proposed </w:t>
      </w:r>
      <w:r w:rsidR="002F5B26">
        <w:rPr>
          <w:sz w:val="28"/>
          <w:szCs w:val="28"/>
        </w:rPr>
        <w:t>Paragraph</w:t>
      </w:r>
      <w:r w:rsidR="007B1928">
        <w:rPr>
          <w:sz w:val="28"/>
          <w:szCs w:val="28"/>
        </w:rPr>
        <w:t xml:space="preserve"> 9</w:t>
      </w:r>
      <w:r w:rsidR="00486F68">
        <w:rPr>
          <w:sz w:val="28"/>
          <w:szCs w:val="28"/>
        </w:rPr>
        <w:t>.</w:t>
      </w:r>
      <w:r w:rsidR="00166B0B">
        <w:rPr>
          <w:sz w:val="28"/>
          <w:szCs w:val="28"/>
        </w:rPr>
        <w:t xml:space="preserve"> </w:t>
      </w:r>
      <w:r w:rsidR="00C974A8">
        <w:rPr>
          <w:sz w:val="28"/>
          <w:szCs w:val="28"/>
        </w:rPr>
        <w:t xml:space="preserve">The Task Force accordingly </w:t>
      </w:r>
      <w:r w:rsidR="00166B0B">
        <w:rPr>
          <w:sz w:val="28"/>
          <w:szCs w:val="28"/>
        </w:rPr>
        <w:t>submits</w:t>
      </w:r>
      <w:r w:rsidR="0091574C">
        <w:rPr>
          <w:sz w:val="28"/>
          <w:szCs w:val="28"/>
        </w:rPr>
        <w:t xml:space="preserve"> that</w:t>
      </w:r>
      <w:r w:rsidR="00166B0B">
        <w:rPr>
          <w:sz w:val="28"/>
          <w:szCs w:val="28"/>
        </w:rPr>
        <w:t xml:space="preserve"> modifications to </w:t>
      </w:r>
      <w:r w:rsidR="00243D4E">
        <w:rPr>
          <w:sz w:val="28"/>
          <w:szCs w:val="28"/>
        </w:rPr>
        <w:t>this</w:t>
      </w:r>
      <w:r w:rsidR="00166B0B">
        <w:rPr>
          <w:sz w:val="28"/>
          <w:szCs w:val="28"/>
        </w:rPr>
        <w:t xml:space="preserve"> </w:t>
      </w:r>
      <w:r w:rsidR="00507A70">
        <w:rPr>
          <w:sz w:val="28"/>
          <w:szCs w:val="28"/>
        </w:rPr>
        <w:t xml:space="preserve">proposed </w:t>
      </w:r>
      <w:r w:rsidR="00507A70" w:rsidRPr="00551122">
        <w:rPr>
          <w:sz w:val="28"/>
          <w:szCs w:val="28"/>
        </w:rPr>
        <w:t>paragraph</w:t>
      </w:r>
      <w:r w:rsidR="0091574C" w:rsidRPr="00551122">
        <w:rPr>
          <w:sz w:val="28"/>
          <w:szCs w:val="28"/>
        </w:rPr>
        <w:t xml:space="preserve"> are</w:t>
      </w:r>
      <w:r w:rsidR="00C81496" w:rsidRPr="00551122">
        <w:rPr>
          <w:sz w:val="28"/>
          <w:szCs w:val="28"/>
        </w:rPr>
        <w:t xml:space="preserve"> unnecessary</w:t>
      </w:r>
      <w:r w:rsidR="00507A70" w:rsidRPr="00551122">
        <w:rPr>
          <w:sz w:val="28"/>
          <w:szCs w:val="28"/>
        </w:rPr>
        <w:t>.</w:t>
      </w:r>
    </w:p>
    <w:p w14:paraId="1DBB7C1E" w14:textId="2324A1C3" w:rsidR="002C2ED9" w:rsidRPr="00CB55D8" w:rsidRDefault="002C2ED9" w:rsidP="00F30AD9">
      <w:pPr>
        <w:pStyle w:val="BodyA"/>
        <w:spacing w:line="480" w:lineRule="auto"/>
        <w:ind w:firstLine="720"/>
        <w:jc w:val="both"/>
        <w:rPr>
          <w:rFonts w:ascii="Times New Roman" w:hAnsi="Times New Roman" w:cs="Times New Roman"/>
          <w:sz w:val="28"/>
          <w:szCs w:val="28"/>
        </w:rPr>
      </w:pPr>
      <w:r w:rsidRPr="00CB55D8">
        <w:rPr>
          <w:rFonts w:ascii="Times New Roman" w:hAnsi="Times New Roman" w:cs="Times New Roman"/>
          <w:sz w:val="28"/>
          <w:szCs w:val="28"/>
        </w:rPr>
        <w:lastRenderedPageBreak/>
        <w:t xml:space="preserve">If the Court favors a revision, however, the Task Force </w:t>
      </w:r>
      <w:r w:rsidR="002D0B87">
        <w:rPr>
          <w:rFonts w:ascii="Times New Roman" w:hAnsi="Times New Roman" w:cs="Times New Roman"/>
          <w:sz w:val="28"/>
          <w:szCs w:val="28"/>
        </w:rPr>
        <w:t>suggests</w:t>
      </w:r>
      <w:r w:rsidR="002D0B87" w:rsidRPr="00CB55D8">
        <w:rPr>
          <w:rFonts w:ascii="Times New Roman" w:hAnsi="Times New Roman" w:cs="Times New Roman"/>
          <w:sz w:val="28"/>
          <w:szCs w:val="28"/>
        </w:rPr>
        <w:t xml:space="preserve"> </w:t>
      </w:r>
      <w:r w:rsidR="00C974A8">
        <w:rPr>
          <w:rFonts w:ascii="Times New Roman" w:hAnsi="Times New Roman" w:cs="Times New Roman"/>
          <w:sz w:val="28"/>
          <w:szCs w:val="28"/>
        </w:rPr>
        <w:t xml:space="preserve">amending Paragraph 9 by adding </w:t>
      </w:r>
      <w:r w:rsidRPr="00CB55D8">
        <w:rPr>
          <w:rFonts w:ascii="Times New Roman" w:hAnsi="Times New Roman" w:cs="Times New Roman"/>
          <w:sz w:val="28"/>
          <w:szCs w:val="28"/>
        </w:rPr>
        <w:t xml:space="preserve">the following underlined language </w:t>
      </w:r>
      <w:r w:rsidR="002F5B26" w:rsidRPr="00CB55D8">
        <w:rPr>
          <w:rFonts w:ascii="Times New Roman" w:hAnsi="Times New Roman" w:cs="Times New Roman"/>
          <w:sz w:val="28"/>
          <w:szCs w:val="28"/>
        </w:rPr>
        <w:t>in</w:t>
      </w:r>
      <w:r w:rsidRPr="00CB55D8">
        <w:rPr>
          <w:rFonts w:ascii="Times New Roman" w:hAnsi="Times New Roman" w:cs="Times New Roman"/>
          <w:sz w:val="28"/>
          <w:szCs w:val="28"/>
        </w:rPr>
        <w:t xml:space="preserve"> the last sentence of the new paragraph: </w:t>
      </w:r>
    </w:p>
    <w:p w14:paraId="6E3243C6" w14:textId="08CF8F09" w:rsidR="002C2ED9" w:rsidRPr="00A039A5" w:rsidRDefault="002C2ED9" w:rsidP="002C2ED9">
      <w:pPr>
        <w:pStyle w:val="BodyA"/>
        <w:spacing w:after="240"/>
        <w:ind w:left="720"/>
        <w:jc w:val="both"/>
        <w:rPr>
          <w:rFonts w:ascii="Times New Roman" w:hAnsi="Times New Roman" w:cs="Times New Roman"/>
          <w:sz w:val="28"/>
          <w:szCs w:val="28"/>
        </w:rPr>
      </w:pPr>
      <w:r w:rsidRPr="00A039A5">
        <w:rPr>
          <w:rFonts w:ascii="Times New Roman" w:hAnsi="Times New Roman" w:cs="Times New Roman"/>
          <w:sz w:val="28"/>
          <w:szCs w:val="28"/>
        </w:rPr>
        <w:t>When determining whether a material limitation exists, a government lawyer must consider the likelihood that the lawyer’s decision-making in one matter will be</w:t>
      </w:r>
      <w:r w:rsidRPr="00A039A5">
        <w:rPr>
          <w:rFonts w:ascii="Times New Roman" w:hAnsi="Times New Roman" w:cs="Times New Roman"/>
          <w:sz w:val="28"/>
          <w:szCs w:val="28"/>
          <w:u w:val="single"/>
        </w:rPr>
        <w:t>, or will appear to a disinterested observer to be,</w:t>
      </w:r>
      <w:r w:rsidRPr="00A039A5">
        <w:rPr>
          <w:rFonts w:ascii="Times New Roman" w:hAnsi="Times New Roman" w:cs="Times New Roman"/>
          <w:sz w:val="28"/>
          <w:szCs w:val="28"/>
        </w:rPr>
        <w:t xml:space="preserve"> influenced</w:t>
      </w:r>
      <w:r w:rsidRPr="00A039A5">
        <w:rPr>
          <w:rFonts w:ascii="Times New Roman" w:hAnsi="Times New Roman" w:cs="Times New Roman"/>
          <w:sz w:val="28"/>
          <w:szCs w:val="28"/>
          <w:u w:val="single"/>
        </w:rPr>
        <w:t xml:space="preserve"> </w:t>
      </w:r>
      <w:r w:rsidRPr="00A039A5">
        <w:rPr>
          <w:rFonts w:ascii="Times New Roman" w:hAnsi="Times New Roman" w:cs="Times New Roman"/>
          <w:sz w:val="28"/>
          <w:szCs w:val="28"/>
        </w:rPr>
        <w:t>by a desire to affect the outcome of the other matter.</w:t>
      </w:r>
    </w:p>
    <w:p w14:paraId="0C9CD50C" w14:textId="568B1144" w:rsidR="00EE2B14" w:rsidRDefault="00D105CC" w:rsidP="00D105CC">
      <w:pPr>
        <w:pStyle w:val="FootnoteText"/>
        <w:spacing w:line="480" w:lineRule="auto"/>
        <w:ind w:firstLine="720"/>
        <w:jc w:val="both"/>
        <w:rPr>
          <w:sz w:val="28"/>
          <w:szCs w:val="28"/>
        </w:rPr>
      </w:pPr>
      <w:r>
        <w:rPr>
          <w:b/>
          <w:sz w:val="28"/>
          <w:szCs w:val="28"/>
          <w:u w:val="single"/>
        </w:rPr>
        <w:t>4</w:t>
      </w:r>
      <w:r w:rsidR="005C7CEA" w:rsidRPr="00F76744">
        <w:rPr>
          <w:b/>
          <w:sz w:val="28"/>
          <w:szCs w:val="28"/>
          <w:u w:val="single"/>
        </w:rPr>
        <w:t>.</w:t>
      </w:r>
      <w:r w:rsidR="00EE2B14" w:rsidRPr="00F76744">
        <w:rPr>
          <w:b/>
          <w:sz w:val="28"/>
          <w:szCs w:val="28"/>
          <w:u w:val="single"/>
        </w:rPr>
        <w:t xml:space="preserve"> </w:t>
      </w:r>
      <w:r>
        <w:rPr>
          <w:b/>
          <w:sz w:val="28"/>
          <w:szCs w:val="28"/>
          <w:u w:val="single"/>
        </w:rPr>
        <w:t>Arizona Attorney General (“AGO”) comment.</w:t>
      </w:r>
      <w:r w:rsidR="00EE2B14" w:rsidRPr="00F76744">
        <w:rPr>
          <w:sz w:val="28"/>
          <w:szCs w:val="28"/>
        </w:rPr>
        <w:t xml:space="preserve"> </w:t>
      </w:r>
      <w:r w:rsidR="002426E8">
        <w:rPr>
          <w:sz w:val="28"/>
          <w:szCs w:val="28"/>
        </w:rPr>
        <w:t xml:space="preserve"> </w:t>
      </w:r>
      <w:r w:rsidR="00393315">
        <w:rPr>
          <w:sz w:val="28"/>
          <w:szCs w:val="28"/>
        </w:rPr>
        <w:t>The AGO</w:t>
      </w:r>
      <w:r w:rsidR="00767DA5">
        <w:rPr>
          <w:sz w:val="28"/>
          <w:szCs w:val="28"/>
        </w:rPr>
        <w:t>’s</w:t>
      </w:r>
      <w:r w:rsidR="00393315">
        <w:rPr>
          <w:sz w:val="28"/>
          <w:szCs w:val="28"/>
        </w:rPr>
        <w:t xml:space="preserve"> comme</w:t>
      </w:r>
      <w:r w:rsidR="00401123">
        <w:rPr>
          <w:sz w:val="28"/>
          <w:szCs w:val="28"/>
        </w:rPr>
        <w:t xml:space="preserve">nt </w:t>
      </w:r>
      <w:r w:rsidR="0058415D">
        <w:rPr>
          <w:sz w:val="28"/>
          <w:szCs w:val="28"/>
        </w:rPr>
        <w:t>has</w:t>
      </w:r>
      <w:r w:rsidR="00FD3331">
        <w:rPr>
          <w:sz w:val="28"/>
          <w:szCs w:val="28"/>
        </w:rPr>
        <w:t xml:space="preserve"> </w:t>
      </w:r>
      <w:r w:rsidR="00401123">
        <w:rPr>
          <w:sz w:val="28"/>
          <w:szCs w:val="28"/>
        </w:rPr>
        <w:t xml:space="preserve">several </w:t>
      </w:r>
      <w:r w:rsidR="00867D19">
        <w:rPr>
          <w:sz w:val="28"/>
          <w:szCs w:val="28"/>
        </w:rPr>
        <w:t>sections</w:t>
      </w:r>
      <w:r w:rsidR="00401123">
        <w:rPr>
          <w:sz w:val="28"/>
          <w:szCs w:val="28"/>
        </w:rPr>
        <w:t>.</w:t>
      </w:r>
      <w:r w:rsidR="00232E94">
        <w:rPr>
          <w:sz w:val="28"/>
          <w:szCs w:val="28"/>
        </w:rPr>
        <w:t xml:space="preserve"> This</w:t>
      </w:r>
      <w:r w:rsidR="008E5A08">
        <w:rPr>
          <w:sz w:val="28"/>
          <w:szCs w:val="28"/>
        </w:rPr>
        <w:t xml:space="preserve"> Reply </w:t>
      </w:r>
      <w:r w:rsidR="006D3A4C">
        <w:rPr>
          <w:sz w:val="28"/>
          <w:szCs w:val="28"/>
        </w:rPr>
        <w:t xml:space="preserve">refers to </w:t>
      </w:r>
      <w:r w:rsidR="00767DA5">
        <w:rPr>
          <w:sz w:val="28"/>
          <w:szCs w:val="28"/>
        </w:rPr>
        <w:t xml:space="preserve">each </w:t>
      </w:r>
      <w:r w:rsidR="00867D19">
        <w:rPr>
          <w:sz w:val="28"/>
          <w:szCs w:val="28"/>
        </w:rPr>
        <w:t>section</w:t>
      </w:r>
      <w:r w:rsidR="008E5A08">
        <w:rPr>
          <w:sz w:val="28"/>
          <w:szCs w:val="28"/>
        </w:rPr>
        <w:t xml:space="preserve"> of the AGO’s comment by the </w:t>
      </w:r>
      <w:r w:rsidR="002F5B26">
        <w:rPr>
          <w:sz w:val="28"/>
          <w:szCs w:val="28"/>
        </w:rPr>
        <w:t xml:space="preserve">same </w:t>
      </w:r>
      <w:r w:rsidR="0027537F">
        <w:rPr>
          <w:sz w:val="28"/>
          <w:szCs w:val="28"/>
        </w:rPr>
        <w:t>lower-case</w:t>
      </w:r>
      <w:r w:rsidR="008E5A08">
        <w:rPr>
          <w:sz w:val="28"/>
          <w:szCs w:val="28"/>
        </w:rPr>
        <w:t xml:space="preserve"> roman numeral</w:t>
      </w:r>
      <w:r w:rsidR="002F5B26">
        <w:rPr>
          <w:sz w:val="28"/>
          <w:szCs w:val="28"/>
        </w:rPr>
        <w:t>s</w:t>
      </w:r>
      <w:r w:rsidR="008E5A08">
        <w:rPr>
          <w:sz w:val="28"/>
          <w:szCs w:val="28"/>
        </w:rPr>
        <w:t xml:space="preserve"> </w:t>
      </w:r>
      <w:r w:rsidR="00BE7936">
        <w:rPr>
          <w:sz w:val="28"/>
          <w:szCs w:val="28"/>
        </w:rPr>
        <w:t xml:space="preserve">used by </w:t>
      </w:r>
      <w:r w:rsidR="00E40813">
        <w:rPr>
          <w:sz w:val="28"/>
          <w:szCs w:val="28"/>
        </w:rPr>
        <w:t>the AGO</w:t>
      </w:r>
      <w:r w:rsidR="008E5A08">
        <w:rPr>
          <w:sz w:val="28"/>
          <w:szCs w:val="28"/>
        </w:rPr>
        <w:t>.</w:t>
      </w:r>
    </w:p>
    <w:p w14:paraId="5A789CF1" w14:textId="7E2A23E4" w:rsidR="00401123" w:rsidRDefault="008E5A08" w:rsidP="00D105CC">
      <w:pPr>
        <w:pStyle w:val="FootnoteText"/>
        <w:spacing w:line="480" w:lineRule="auto"/>
        <w:ind w:firstLine="720"/>
        <w:jc w:val="both"/>
        <w:rPr>
          <w:sz w:val="28"/>
          <w:szCs w:val="28"/>
        </w:rPr>
      </w:pPr>
      <w:r w:rsidRPr="00FF2D45">
        <w:rPr>
          <w:b/>
          <w:bCs/>
          <w:i/>
          <w:iCs/>
          <w:sz w:val="28"/>
          <w:szCs w:val="28"/>
        </w:rPr>
        <w:t xml:space="preserve">(i) </w:t>
      </w:r>
      <w:r w:rsidR="00E11952" w:rsidRPr="00FF2D45">
        <w:rPr>
          <w:b/>
          <w:bCs/>
          <w:i/>
          <w:iCs/>
          <w:sz w:val="28"/>
          <w:szCs w:val="28"/>
        </w:rPr>
        <w:t>Amendments to the Preamble.</w:t>
      </w:r>
      <w:r w:rsidR="00E11952">
        <w:rPr>
          <w:sz w:val="28"/>
          <w:szCs w:val="28"/>
        </w:rPr>
        <w:t xml:space="preserve"> </w:t>
      </w:r>
      <w:r w:rsidR="00265CD8">
        <w:rPr>
          <w:sz w:val="28"/>
          <w:szCs w:val="28"/>
        </w:rPr>
        <w:t>The Task Force propose</w:t>
      </w:r>
      <w:r w:rsidR="00AF01DD">
        <w:rPr>
          <w:sz w:val="28"/>
          <w:szCs w:val="28"/>
        </w:rPr>
        <w:t xml:space="preserve">d in Appendix A </w:t>
      </w:r>
      <w:r w:rsidR="00446039">
        <w:rPr>
          <w:sz w:val="28"/>
          <w:szCs w:val="28"/>
        </w:rPr>
        <w:t xml:space="preserve">of </w:t>
      </w:r>
      <w:r w:rsidR="00AF01DD">
        <w:rPr>
          <w:sz w:val="28"/>
          <w:szCs w:val="28"/>
        </w:rPr>
        <w:t>its petition</w:t>
      </w:r>
      <w:r w:rsidR="00265CD8">
        <w:rPr>
          <w:sz w:val="28"/>
          <w:szCs w:val="28"/>
        </w:rPr>
        <w:t xml:space="preserve"> to delete </w:t>
      </w:r>
      <w:r w:rsidR="002F5B26">
        <w:rPr>
          <w:sz w:val="28"/>
          <w:szCs w:val="28"/>
        </w:rPr>
        <w:t>current Paragraph</w:t>
      </w:r>
      <w:r w:rsidR="00265CD8">
        <w:rPr>
          <w:sz w:val="28"/>
          <w:szCs w:val="28"/>
        </w:rPr>
        <w:t xml:space="preserve"> </w:t>
      </w:r>
      <w:r w:rsidR="00F85424">
        <w:rPr>
          <w:sz w:val="28"/>
          <w:szCs w:val="28"/>
        </w:rPr>
        <w:t>18 of the Preamble in its entirely</w:t>
      </w:r>
      <w:r w:rsidR="002F5B26">
        <w:rPr>
          <w:sz w:val="28"/>
          <w:szCs w:val="28"/>
        </w:rPr>
        <w:t>,</w:t>
      </w:r>
      <w:r w:rsidR="00F85424">
        <w:rPr>
          <w:sz w:val="28"/>
          <w:szCs w:val="28"/>
        </w:rPr>
        <w:t xml:space="preserve"> </w:t>
      </w:r>
      <w:r w:rsidR="00265CD8">
        <w:rPr>
          <w:sz w:val="28"/>
          <w:szCs w:val="28"/>
        </w:rPr>
        <w:t xml:space="preserve">and to replace it with </w:t>
      </w:r>
      <w:r w:rsidR="00AF01DD">
        <w:rPr>
          <w:sz w:val="28"/>
          <w:szCs w:val="28"/>
        </w:rPr>
        <w:t xml:space="preserve">an </w:t>
      </w:r>
      <w:r w:rsidR="00265CD8">
        <w:rPr>
          <w:sz w:val="28"/>
          <w:szCs w:val="28"/>
        </w:rPr>
        <w:t xml:space="preserve">alternative </w:t>
      </w:r>
      <w:r w:rsidR="002F5B26">
        <w:rPr>
          <w:sz w:val="28"/>
          <w:szCs w:val="28"/>
        </w:rPr>
        <w:t>Paragraph 18</w:t>
      </w:r>
      <w:r w:rsidR="00265CD8">
        <w:rPr>
          <w:sz w:val="28"/>
          <w:szCs w:val="28"/>
        </w:rPr>
        <w:t xml:space="preserve">. </w:t>
      </w:r>
      <w:r w:rsidR="00283E3A">
        <w:rPr>
          <w:sz w:val="28"/>
          <w:szCs w:val="28"/>
        </w:rPr>
        <w:t>The</w:t>
      </w:r>
      <w:r w:rsidR="00446039">
        <w:rPr>
          <w:sz w:val="28"/>
          <w:szCs w:val="28"/>
        </w:rPr>
        <w:t xml:space="preserve"> AGO’s</w:t>
      </w:r>
      <w:r w:rsidR="00283E3A">
        <w:rPr>
          <w:sz w:val="28"/>
          <w:szCs w:val="28"/>
        </w:rPr>
        <w:t xml:space="preserve"> comment</w:t>
      </w:r>
      <w:r w:rsidR="008147DA">
        <w:rPr>
          <w:sz w:val="28"/>
          <w:szCs w:val="28"/>
        </w:rPr>
        <w:t xml:space="preserve"> says</w:t>
      </w:r>
      <w:r w:rsidR="003C6342">
        <w:rPr>
          <w:sz w:val="28"/>
          <w:szCs w:val="28"/>
        </w:rPr>
        <w:t>,</w:t>
      </w:r>
    </w:p>
    <w:p w14:paraId="25322486" w14:textId="6A4FC8AC" w:rsidR="003C6342" w:rsidRDefault="003C6342" w:rsidP="003C6342">
      <w:pPr>
        <w:pStyle w:val="FootnoteText"/>
        <w:ind w:left="720"/>
        <w:jc w:val="both"/>
        <w:rPr>
          <w:sz w:val="28"/>
          <w:szCs w:val="28"/>
        </w:rPr>
      </w:pPr>
      <w:r>
        <w:rPr>
          <w:sz w:val="28"/>
          <w:szCs w:val="28"/>
        </w:rPr>
        <w:t xml:space="preserve">By removing Paragraph 18 to the Preamble, the AGO does not believe the Task Force intended to limit government lawyers’ ability to pursue their statutory responsibilities or alter their duty to the public interest. The AGO requests this Court consider including a comment clarifying this point and affirming that the ERs do not limit government lawyers’ statutory powers and </w:t>
      </w:r>
      <w:r w:rsidRPr="00B17DCC">
        <w:rPr>
          <w:sz w:val="28"/>
          <w:szCs w:val="28"/>
        </w:rPr>
        <w:t>duties, as those are defined by the Arizona Legislature and outside the scope of the ERs.</w:t>
      </w:r>
    </w:p>
    <w:p w14:paraId="52514105" w14:textId="77777777" w:rsidR="00AA520B" w:rsidRDefault="00AA520B" w:rsidP="000F628E">
      <w:pPr>
        <w:pStyle w:val="FootnoteText"/>
        <w:jc w:val="both"/>
        <w:rPr>
          <w:sz w:val="28"/>
          <w:szCs w:val="28"/>
        </w:rPr>
      </w:pPr>
    </w:p>
    <w:p w14:paraId="1CE99A37" w14:textId="391FAA0F" w:rsidR="000F628E" w:rsidRDefault="000F628E" w:rsidP="00B17DCC">
      <w:pPr>
        <w:pStyle w:val="FootnoteText"/>
        <w:spacing w:line="480" w:lineRule="auto"/>
        <w:ind w:firstLine="720"/>
        <w:jc w:val="both"/>
        <w:rPr>
          <w:sz w:val="28"/>
          <w:szCs w:val="28"/>
        </w:rPr>
      </w:pPr>
      <w:r>
        <w:rPr>
          <w:sz w:val="28"/>
          <w:szCs w:val="28"/>
        </w:rPr>
        <w:t>The Task Force disagrees</w:t>
      </w:r>
      <w:r w:rsidR="00551122">
        <w:rPr>
          <w:sz w:val="28"/>
          <w:szCs w:val="28"/>
        </w:rPr>
        <w:t xml:space="preserve"> that a clarifying comment is necessary</w:t>
      </w:r>
      <w:r>
        <w:rPr>
          <w:sz w:val="28"/>
          <w:szCs w:val="28"/>
        </w:rPr>
        <w:t xml:space="preserve">. The removal of </w:t>
      </w:r>
      <w:r w:rsidR="00AF01DD">
        <w:rPr>
          <w:sz w:val="28"/>
          <w:szCs w:val="28"/>
        </w:rPr>
        <w:t xml:space="preserve">current </w:t>
      </w:r>
      <w:r w:rsidR="002F5B26">
        <w:rPr>
          <w:sz w:val="28"/>
          <w:szCs w:val="28"/>
        </w:rPr>
        <w:t>Paragraph</w:t>
      </w:r>
      <w:r>
        <w:rPr>
          <w:sz w:val="28"/>
          <w:szCs w:val="28"/>
        </w:rPr>
        <w:t xml:space="preserve"> 18 does not limit, expand, or alter the powers of the Arizona Attorney General</w:t>
      </w:r>
      <w:r w:rsidR="00DE6A98">
        <w:rPr>
          <w:sz w:val="28"/>
          <w:szCs w:val="28"/>
        </w:rPr>
        <w:t xml:space="preserve">, which </w:t>
      </w:r>
      <w:r w:rsidR="000D10CE">
        <w:rPr>
          <w:sz w:val="28"/>
          <w:szCs w:val="28"/>
        </w:rPr>
        <w:t xml:space="preserve">the AGO notes </w:t>
      </w:r>
      <w:r>
        <w:rPr>
          <w:sz w:val="28"/>
          <w:szCs w:val="28"/>
        </w:rPr>
        <w:t xml:space="preserve">are </w:t>
      </w:r>
      <w:r w:rsidR="00916512">
        <w:rPr>
          <w:sz w:val="28"/>
          <w:szCs w:val="28"/>
        </w:rPr>
        <w:t xml:space="preserve">established </w:t>
      </w:r>
      <w:r w:rsidR="00603CF4">
        <w:rPr>
          <w:sz w:val="28"/>
          <w:szCs w:val="28"/>
        </w:rPr>
        <w:t xml:space="preserve">by </w:t>
      </w:r>
      <w:r w:rsidR="00916512">
        <w:rPr>
          <w:sz w:val="28"/>
          <w:szCs w:val="28"/>
        </w:rPr>
        <w:t xml:space="preserve">the Arizona Revised Statutes. </w:t>
      </w:r>
      <w:r w:rsidR="00FC5FA1">
        <w:rPr>
          <w:sz w:val="28"/>
          <w:szCs w:val="28"/>
        </w:rPr>
        <w:t>Regarding the Attorney General’s power to act in the public interest, p</w:t>
      </w:r>
      <w:r w:rsidR="00DE6A98">
        <w:rPr>
          <w:sz w:val="28"/>
          <w:szCs w:val="28"/>
        </w:rPr>
        <w:t>lease see further</w:t>
      </w:r>
      <w:r w:rsidR="00C4279A">
        <w:rPr>
          <w:sz w:val="28"/>
          <w:szCs w:val="28"/>
        </w:rPr>
        <w:t xml:space="preserve"> the Task Force </w:t>
      </w:r>
      <w:r w:rsidR="002F5B26">
        <w:rPr>
          <w:sz w:val="28"/>
          <w:szCs w:val="28"/>
        </w:rPr>
        <w:t>R</w:t>
      </w:r>
      <w:r w:rsidR="00C4279A">
        <w:rPr>
          <w:sz w:val="28"/>
          <w:szCs w:val="28"/>
        </w:rPr>
        <w:t>eply concerning proposed ER 1.0, which follows.</w:t>
      </w:r>
    </w:p>
    <w:p w14:paraId="5F51D9D3" w14:textId="05D9AB7F" w:rsidR="00FF2D45" w:rsidRPr="00CB55D8" w:rsidRDefault="00570516" w:rsidP="00D91FAB">
      <w:pPr>
        <w:pStyle w:val="FootnoteText"/>
        <w:spacing w:line="480" w:lineRule="auto"/>
        <w:jc w:val="both"/>
        <w:rPr>
          <w:sz w:val="28"/>
          <w:szCs w:val="28"/>
        </w:rPr>
      </w:pPr>
      <w:r w:rsidRPr="00D91FAB">
        <w:rPr>
          <w:sz w:val="26"/>
          <w:szCs w:val="26"/>
        </w:rPr>
        <w:lastRenderedPageBreak/>
        <w:tab/>
      </w:r>
      <w:r w:rsidR="00F06638" w:rsidRPr="00CB55D8">
        <w:rPr>
          <w:b/>
          <w:bCs/>
          <w:i/>
          <w:iCs/>
          <w:sz w:val="28"/>
          <w:szCs w:val="28"/>
        </w:rPr>
        <w:t xml:space="preserve">(ii) </w:t>
      </w:r>
      <w:r w:rsidR="00E11952" w:rsidRPr="00CB55D8">
        <w:rPr>
          <w:b/>
          <w:bCs/>
          <w:i/>
          <w:iCs/>
          <w:sz w:val="28"/>
          <w:szCs w:val="28"/>
        </w:rPr>
        <w:t>Proposed ER 1.0.</w:t>
      </w:r>
      <w:r w:rsidR="00E11952" w:rsidRPr="00CB55D8">
        <w:rPr>
          <w:sz w:val="28"/>
          <w:szCs w:val="28"/>
        </w:rPr>
        <w:t xml:space="preserve"> </w:t>
      </w:r>
      <w:r w:rsidR="00FF2D45" w:rsidRPr="00CB55D8">
        <w:rPr>
          <w:sz w:val="28"/>
          <w:szCs w:val="28"/>
        </w:rPr>
        <w:t>T</w:t>
      </w:r>
      <w:r w:rsidR="003D63E9" w:rsidRPr="00CB55D8">
        <w:rPr>
          <w:sz w:val="28"/>
          <w:szCs w:val="28"/>
        </w:rPr>
        <w:t xml:space="preserve">he AGO’s comment </w:t>
      </w:r>
      <w:r w:rsidR="00FF2D45" w:rsidRPr="00CB55D8">
        <w:rPr>
          <w:sz w:val="28"/>
          <w:szCs w:val="28"/>
        </w:rPr>
        <w:t>requests</w:t>
      </w:r>
      <w:r w:rsidR="003D63E9" w:rsidRPr="00CB55D8">
        <w:rPr>
          <w:sz w:val="28"/>
          <w:szCs w:val="28"/>
        </w:rPr>
        <w:t xml:space="preserve"> an amendment to the definition of “government lawyer” in ER 1.0</w:t>
      </w:r>
      <w:r w:rsidR="003429B5" w:rsidRPr="00CB55D8">
        <w:rPr>
          <w:sz w:val="28"/>
          <w:szCs w:val="28"/>
        </w:rPr>
        <w:t xml:space="preserve"> (</w:t>
      </w:r>
      <w:r w:rsidR="00AD2F10">
        <w:rPr>
          <w:sz w:val="28"/>
          <w:szCs w:val="28"/>
        </w:rPr>
        <w:t>“</w:t>
      </w:r>
      <w:r w:rsidR="003429B5" w:rsidRPr="00CB55D8">
        <w:rPr>
          <w:sz w:val="28"/>
          <w:szCs w:val="28"/>
        </w:rPr>
        <w:t>Terminology”)</w:t>
      </w:r>
      <w:r w:rsidR="003D63E9" w:rsidRPr="00CB55D8">
        <w:rPr>
          <w:sz w:val="28"/>
          <w:szCs w:val="28"/>
        </w:rPr>
        <w:t xml:space="preserve"> “to reflect that Government lawyers represent the public and prosecute criminal offenses.</w:t>
      </w:r>
      <w:r w:rsidR="00CA3BF1" w:rsidRPr="00CB55D8">
        <w:rPr>
          <w:sz w:val="28"/>
          <w:szCs w:val="28"/>
        </w:rPr>
        <w:t xml:space="preserve">” </w:t>
      </w:r>
      <w:r w:rsidR="00B56D0F" w:rsidRPr="00CB55D8">
        <w:rPr>
          <w:sz w:val="28"/>
          <w:szCs w:val="28"/>
        </w:rPr>
        <w:t xml:space="preserve"> </w:t>
      </w:r>
      <w:r w:rsidR="00A41857" w:rsidRPr="00CB55D8">
        <w:rPr>
          <w:sz w:val="28"/>
          <w:szCs w:val="28"/>
        </w:rPr>
        <w:t xml:space="preserve"> </w:t>
      </w:r>
    </w:p>
    <w:p w14:paraId="17DA3D3B" w14:textId="03A397F3" w:rsidR="003C6342" w:rsidRDefault="00AF01DD" w:rsidP="00FF2D45">
      <w:pPr>
        <w:pStyle w:val="FootnoteText"/>
        <w:spacing w:line="480" w:lineRule="auto"/>
        <w:ind w:firstLine="720"/>
        <w:jc w:val="both"/>
        <w:rPr>
          <w:sz w:val="26"/>
          <w:szCs w:val="26"/>
        </w:rPr>
      </w:pPr>
      <w:r w:rsidRPr="00CB55D8">
        <w:rPr>
          <w:sz w:val="28"/>
          <w:szCs w:val="28"/>
        </w:rPr>
        <w:t>The Task Force</w:t>
      </w:r>
      <w:r w:rsidR="00992ACC" w:rsidRPr="00CB55D8">
        <w:rPr>
          <w:sz w:val="28"/>
          <w:szCs w:val="28"/>
        </w:rPr>
        <w:t xml:space="preserve"> hesitates to add a provision</w:t>
      </w:r>
      <w:r w:rsidR="00852BE1" w:rsidRPr="00CB55D8">
        <w:rPr>
          <w:sz w:val="28"/>
          <w:szCs w:val="28"/>
        </w:rPr>
        <w:t xml:space="preserve"> to this definition about representing the public because such a provision might be incomplete or misleading. </w:t>
      </w:r>
      <w:r w:rsidR="00BA67A1" w:rsidRPr="00CB55D8">
        <w:rPr>
          <w:sz w:val="28"/>
          <w:szCs w:val="28"/>
        </w:rPr>
        <w:t xml:space="preserve"> For exa</w:t>
      </w:r>
      <w:r w:rsidR="00E62845" w:rsidRPr="00CB55D8">
        <w:rPr>
          <w:sz w:val="28"/>
          <w:szCs w:val="28"/>
        </w:rPr>
        <w:t xml:space="preserve">mple, in </w:t>
      </w:r>
      <w:r w:rsidR="00E62845" w:rsidRPr="00CB55D8">
        <w:rPr>
          <w:i/>
          <w:iCs/>
          <w:sz w:val="28"/>
          <w:szCs w:val="28"/>
        </w:rPr>
        <w:t>State ex. rel.</w:t>
      </w:r>
      <w:r w:rsidR="00E62845" w:rsidRPr="00CB55D8">
        <w:rPr>
          <w:sz w:val="28"/>
          <w:szCs w:val="28"/>
        </w:rPr>
        <w:t xml:space="preserve"> </w:t>
      </w:r>
      <w:r w:rsidR="003879B0" w:rsidRPr="00CB55D8">
        <w:rPr>
          <w:i/>
          <w:iCs/>
          <w:sz w:val="28"/>
          <w:szCs w:val="28"/>
        </w:rPr>
        <w:t>Brnovich</w:t>
      </w:r>
      <w:r w:rsidR="00E62845" w:rsidRPr="00CB55D8">
        <w:rPr>
          <w:i/>
          <w:iCs/>
          <w:sz w:val="28"/>
          <w:szCs w:val="28"/>
        </w:rPr>
        <w:t xml:space="preserve"> v Arizona Board of Regents</w:t>
      </w:r>
      <w:r w:rsidR="00E62845" w:rsidRPr="00CB55D8">
        <w:rPr>
          <w:sz w:val="28"/>
          <w:szCs w:val="28"/>
        </w:rPr>
        <w:t xml:space="preserve">, </w:t>
      </w:r>
      <w:r w:rsidR="0054747C" w:rsidRPr="00CB55D8">
        <w:rPr>
          <w:sz w:val="28"/>
          <w:szCs w:val="28"/>
        </w:rPr>
        <w:t xml:space="preserve">250 Ariz. 127 (2020) </w:t>
      </w:r>
      <w:r w:rsidR="00F15720" w:rsidRPr="00CB55D8">
        <w:rPr>
          <w:sz w:val="28"/>
          <w:szCs w:val="28"/>
        </w:rPr>
        <w:t>¶ 8, the Court said:</w:t>
      </w:r>
    </w:p>
    <w:p w14:paraId="44C2CB78" w14:textId="3731D387" w:rsidR="002C02FF" w:rsidRPr="00FB149C" w:rsidRDefault="00F15720" w:rsidP="002C02FF">
      <w:pPr>
        <w:pStyle w:val="FootnoteText"/>
        <w:ind w:left="720"/>
        <w:jc w:val="both"/>
        <w:rPr>
          <w:sz w:val="28"/>
          <w:szCs w:val="28"/>
          <w:shd w:val="clear" w:color="auto" w:fill="FFFFFF"/>
        </w:rPr>
      </w:pPr>
      <w:r w:rsidRPr="00FB149C">
        <w:rPr>
          <w:sz w:val="28"/>
          <w:szCs w:val="28"/>
          <w:shd w:val="clear" w:color="auto" w:fill="FFFFFF"/>
        </w:rPr>
        <w:t xml:space="preserve">In </w:t>
      </w:r>
      <w:r w:rsidR="007C3C40" w:rsidRPr="00FB149C">
        <w:rPr>
          <w:sz w:val="28"/>
          <w:szCs w:val="28"/>
          <w:shd w:val="clear" w:color="auto" w:fill="FFFFFF"/>
        </w:rPr>
        <w:t xml:space="preserve">Arizona, </w:t>
      </w:r>
      <w:r w:rsidR="003C61E6" w:rsidRPr="00FB149C">
        <w:rPr>
          <w:sz w:val="28"/>
          <w:szCs w:val="28"/>
          <w:shd w:val="clear" w:color="auto" w:fill="FFFFFF"/>
        </w:rPr>
        <w:t xml:space="preserve">unlike </w:t>
      </w:r>
      <w:r w:rsidR="002C02FF" w:rsidRPr="00FB149C">
        <w:rPr>
          <w:sz w:val="28"/>
          <w:szCs w:val="28"/>
          <w:shd w:val="clear" w:color="auto" w:fill="FFFFFF"/>
        </w:rPr>
        <w:t xml:space="preserve">some </w:t>
      </w:r>
      <w:r w:rsidR="0054747C" w:rsidRPr="00FB149C">
        <w:rPr>
          <w:sz w:val="28"/>
          <w:szCs w:val="28"/>
          <w:shd w:val="clear" w:color="auto" w:fill="FFFFFF"/>
        </w:rPr>
        <w:t xml:space="preserve">other </w:t>
      </w:r>
      <w:r w:rsidR="00507ABD" w:rsidRPr="00FB149C">
        <w:rPr>
          <w:sz w:val="28"/>
          <w:szCs w:val="28"/>
          <w:shd w:val="clear" w:color="auto" w:fill="FFFFFF"/>
        </w:rPr>
        <w:t>states, the Attorney General</w:t>
      </w:r>
      <w:r w:rsidRPr="00FB149C">
        <w:rPr>
          <w:sz w:val="28"/>
          <w:szCs w:val="28"/>
          <w:shd w:val="clear" w:color="auto" w:fill="FFFFFF"/>
        </w:rPr>
        <w:t xml:space="preserve"> has no inherent</w:t>
      </w:r>
      <w:r w:rsidR="000E4373" w:rsidRPr="00FB149C">
        <w:rPr>
          <w:sz w:val="28"/>
          <w:szCs w:val="28"/>
          <w:shd w:val="clear" w:color="auto" w:fill="FFFFFF"/>
        </w:rPr>
        <w:t xml:space="preserve"> </w:t>
      </w:r>
      <w:r w:rsidRPr="00FB149C">
        <w:rPr>
          <w:sz w:val="28"/>
          <w:szCs w:val="28"/>
          <w:shd w:val="clear" w:color="auto" w:fill="FFFFFF"/>
        </w:rPr>
        <w:t xml:space="preserve">or common law authority.  Instead, our constitution provides that </w:t>
      </w:r>
      <w:r w:rsidR="005545B7">
        <w:rPr>
          <w:sz w:val="28"/>
          <w:szCs w:val="28"/>
          <w:shd w:val="clear" w:color="auto" w:fill="FFFFFF"/>
        </w:rPr>
        <w:t>‘</w:t>
      </w:r>
      <w:r w:rsidRPr="00FB149C">
        <w:rPr>
          <w:sz w:val="28"/>
          <w:szCs w:val="28"/>
          <w:shd w:val="clear" w:color="auto" w:fill="FFFFFF"/>
        </w:rPr>
        <w:t xml:space="preserve">[t]he powers and duties of . . . [the] </w:t>
      </w:r>
      <w:r w:rsidR="007C3C40" w:rsidRPr="00FB149C">
        <w:rPr>
          <w:sz w:val="28"/>
          <w:szCs w:val="28"/>
          <w:shd w:val="clear" w:color="auto" w:fill="FFFFFF"/>
        </w:rPr>
        <w:t xml:space="preserve">attorney </w:t>
      </w:r>
      <w:r w:rsidR="003C61E6" w:rsidRPr="00FB149C">
        <w:rPr>
          <w:sz w:val="28"/>
          <w:szCs w:val="28"/>
          <w:shd w:val="clear" w:color="auto" w:fill="FFFFFF"/>
        </w:rPr>
        <w:t>general. .</w:t>
      </w:r>
      <w:r w:rsidRPr="00FB149C">
        <w:rPr>
          <w:sz w:val="28"/>
          <w:szCs w:val="28"/>
          <w:shd w:val="clear" w:color="auto" w:fill="FFFFFF"/>
        </w:rPr>
        <w:t xml:space="preserve"> .  shall be as prescribed by law.</w:t>
      </w:r>
      <w:r w:rsidR="005545B7">
        <w:rPr>
          <w:sz w:val="28"/>
          <w:szCs w:val="28"/>
          <w:shd w:val="clear" w:color="auto" w:fill="FFFFFF"/>
        </w:rPr>
        <w:t>’</w:t>
      </w:r>
      <w:r w:rsidRPr="00FB149C">
        <w:rPr>
          <w:sz w:val="28"/>
          <w:szCs w:val="28"/>
          <w:shd w:val="clear" w:color="auto" w:fill="FFFFFF"/>
        </w:rPr>
        <w:t xml:space="preserve">  Ariz. Const. art. 5, § 9.  Therefore, the authority of the Attorney </w:t>
      </w:r>
      <w:r w:rsidR="007C3C40" w:rsidRPr="00FB149C">
        <w:rPr>
          <w:sz w:val="28"/>
          <w:szCs w:val="28"/>
          <w:shd w:val="clear" w:color="auto" w:fill="FFFFFF"/>
        </w:rPr>
        <w:t xml:space="preserve">General </w:t>
      </w:r>
      <w:r w:rsidR="003C61E6" w:rsidRPr="00FB149C">
        <w:rPr>
          <w:sz w:val="28"/>
          <w:szCs w:val="28"/>
          <w:shd w:val="clear" w:color="auto" w:fill="FFFFFF"/>
        </w:rPr>
        <w:t>must be found in</w:t>
      </w:r>
      <w:r w:rsidRPr="00FB149C">
        <w:rPr>
          <w:sz w:val="28"/>
          <w:szCs w:val="28"/>
          <w:shd w:val="clear" w:color="auto" w:fill="FFFFFF"/>
        </w:rPr>
        <w:t xml:space="preserve"> statute. </w:t>
      </w:r>
    </w:p>
    <w:p w14:paraId="311910AE" w14:textId="4F09C476" w:rsidR="00F15720" w:rsidRDefault="00F15720" w:rsidP="002C02FF">
      <w:pPr>
        <w:pStyle w:val="FootnoteText"/>
        <w:ind w:left="720"/>
        <w:jc w:val="both"/>
        <w:rPr>
          <w:sz w:val="26"/>
          <w:szCs w:val="26"/>
          <w:shd w:val="clear" w:color="auto" w:fill="FFFFFF"/>
        </w:rPr>
      </w:pPr>
      <w:r w:rsidRPr="00F15720">
        <w:rPr>
          <w:sz w:val="26"/>
          <w:szCs w:val="26"/>
          <w:shd w:val="clear" w:color="auto" w:fill="FFFFFF"/>
        </w:rPr>
        <w:t xml:space="preserve"> </w:t>
      </w:r>
    </w:p>
    <w:p w14:paraId="10D0CE5C" w14:textId="2E63040A" w:rsidR="00734A59" w:rsidRPr="00155D6D" w:rsidRDefault="00B62ECB" w:rsidP="007A6909">
      <w:pPr>
        <w:pStyle w:val="FootnoteText"/>
        <w:spacing w:line="480" w:lineRule="auto"/>
        <w:jc w:val="both"/>
        <w:rPr>
          <w:sz w:val="28"/>
          <w:szCs w:val="28"/>
        </w:rPr>
      </w:pPr>
      <w:r w:rsidRPr="00CB55D8">
        <w:rPr>
          <w:sz w:val="28"/>
          <w:szCs w:val="28"/>
          <w:shd w:val="clear" w:color="auto" w:fill="FFFFFF"/>
        </w:rPr>
        <w:t>Although government lawyers admittedly serve the public interest, t</w:t>
      </w:r>
      <w:r w:rsidR="003C61E6" w:rsidRPr="00CB55D8">
        <w:rPr>
          <w:sz w:val="28"/>
          <w:szCs w:val="28"/>
          <w:shd w:val="clear" w:color="auto" w:fill="FFFFFF"/>
        </w:rPr>
        <w:t xml:space="preserve">he </w:t>
      </w:r>
      <w:r w:rsidR="006905D8" w:rsidRPr="00CB55D8">
        <w:rPr>
          <w:sz w:val="28"/>
          <w:szCs w:val="28"/>
          <w:shd w:val="clear" w:color="auto" w:fill="FFFFFF"/>
        </w:rPr>
        <w:t xml:space="preserve">AGO </w:t>
      </w:r>
      <w:r w:rsidR="003C61E6" w:rsidRPr="00CB55D8">
        <w:rPr>
          <w:sz w:val="28"/>
          <w:szCs w:val="28"/>
          <w:shd w:val="clear" w:color="auto" w:fill="FFFFFF"/>
        </w:rPr>
        <w:t>comment does not cite Arizona statute</w:t>
      </w:r>
      <w:r w:rsidR="002F5B26" w:rsidRPr="00CB55D8">
        <w:rPr>
          <w:sz w:val="28"/>
          <w:szCs w:val="28"/>
          <w:shd w:val="clear" w:color="auto" w:fill="FFFFFF"/>
        </w:rPr>
        <w:t>s</w:t>
      </w:r>
      <w:r w:rsidR="003C61E6" w:rsidRPr="00CB55D8">
        <w:rPr>
          <w:sz w:val="28"/>
          <w:szCs w:val="28"/>
          <w:shd w:val="clear" w:color="auto" w:fill="FFFFFF"/>
        </w:rPr>
        <w:t xml:space="preserve"> </w:t>
      </w:r>
      <w:r w:rsidR="002F5B26" w:rsidRPr="00CB55D8">
        <w:rPr>
          <w:sz w:val="28"/>
          <w:szCs w:val="28"/>
          <w:shd w:val="clear" w:color="auto" w:fill="FFFFFF"/>
        </w:rPr>
        <w:t xml:space="preserve">that specifically </w:t>
      </w:r>
      <w:r w:rsidR="003C61E6" w:rsidRPr="00CB55D8">
        <w:rPr>
          <w:sz w:val="28"/>
          <w:szCs w:val="28"/>
          <w:shd w:val="clear" w:color="auto" w:fill="FFFFFF"/>
        </w:rPr>
        <w:t>empower the Attorney General</w:t>
      </w:r>
      <w:r w:rsidR="00E129E0" w:rsidRPr="00CB55D8">
        <w:rPr>
          <w:sz w:val="28"/>
          <w:szCs w:val="28"/>
          <w:shd w:val="clear" w:color="auto" w:fill="FFFFFF"/>
        </w:rPr>
        <w:t>,</w:t>
      </w:r>
      <w:r w:rsidR="003C61E6" w:rsidRPr="00CB55D8">
        <w:rPr>
          <w:sz w:val="28"/>
          <w:szCs w:val="28"/>
          <w:shd w:val="clear" w:color="auto" w:fill="FFFFFF"/>
        </w:rPr>
        <w:t xml:space="preserve"> or any other government lawyer</w:t>
      </w:r>
      <w:r w:rsidR="00E129E0" w:rsidRPr="00CB55D8">
        <w:rPr>
          <w:sz w:val="28"/>
          <w:szCs w:val="28"/>
          <w:shd w:val="clear" w:color="auto" w:fill="FFFFFF"/>
        </w:rPr>
        <w:t xml:space="preserve">, </w:t>
      </w:r>
      <w:r w:rsidR="0054747C" w:rsidRPr="00CB55D8">
        <w:rPr>
          <w:sz w:val="28"/>
          <w:szCs w:val="28"/>
          <w:shd w:val="clear" w:color="auto" w:fill="FFFFFF"/>
        </w:rPr>
        <w:t xml:space="preserve">to represent “the </w:t>
      </w:r>
      <w:r w:rsidR="005A6103" w:rsidRPr="00CB55D8">
        <w:rPr>
          <w:sz w:val="28"/>
          <w:szCs w:val="28"/>
          <w:shd w:val="clear" w:color="auto" w:fill="FFFFFF"/>
        </w:rPr>
        <w:t>public</w:t>
      </w:r>
      <w:r w:rsidR="00A25352" w:rsidRPr="00CB55D8">
        <w:rPr>
          <w:sz w:val="28"/>
          <w:szCs w:val="28"/>
          <w:shd w:val="clear" w:color="auto" w:fill="FFFFFF"/>
        </w:rPr>
        <w:t>.” Furthermore</w:t>
      </w:r>
      <w:r w:rsidR="0087534E" w:rsidRPr="00CB55D8">
        <w:rPr>
          <w:sz w:val="28"/>
          <w:szCs w:val="28"/>
          <w:shd w:val="clear" w:color="auto" w:fill="FFFFFF"/>
        </w:rPr>
        <w:t xml:space="preserve">, </w:t>
      </w:r>
      <w:r w:rsidR="00FD523B" w:rsidRPr="00CB55D8">
        <w:rPr>
          <w:sz w:val="28"/>
          <w:szCs w:val="28"/>
          <w:shd w:val="clear" w:color="auto" w:fill="FFFFFF"/>
        </w:rPr>
        <w:t>some</w:t>
      </w:r>
      <w:r w:rsidR="0087534E" w:rsidRPr="00CB55D8">
        <w:rPr>
          <w:sz w:val="28"/>
          <w:szCs w:val="28"/>
          <w:shd w:val="clear" w:color="auto" w:fill="FFFFFF"/>
        </w:rPr>
        <w:t xml:space="preserve"> government lawyers </w:t>
      </w:r>
      <w:r w:rsidR="002304C7">
        <w:rPr>
          <w:sz w:val="28"/>
          <w:szCs w:val="28"/>
        </w:rPr>
        <w:t xml:space="preserve">— </w:t>
      </w:r>
      <w:r w:rsidR="0087534E" w:rsidRPr="00CB55D8">
        <w:rPr>
          <w:sz w:val="28"/>
          <w:szCs w:val="28"/>
          <w:shd w:val="clear" w:color="auto" w:fill="FFFFFF"/>
        </w:rPr>
        <w:t>for example, attorney</w:t>
      </w:r>
      <w:r w:rsidR="00F10C65" w:rsidRPr="00CB55D8">
        <w:rPr>
          <w:sz w:val="28"/>
          <w:szCs w:val="28"/>
          <w:shd w:val="clear" w:color="auto" w:fill="FFFFFF"/>
        </w:rPr>
        <w:t>s</w:t>
      </w:r>
      <w:r w:rsidR="0087534E" w:rsidRPr="00CB55D8">
        <w:rPr>
          <w:sz w:val="28"/>
          <w:szCs w:val="28"/>
          <w:shd w:val="clear" w:color="auto" w:fill="FFFFFF"/>
        </w:rPr>
        <w:t xml:space="preserve"> for a school board or an improvement district </w:t>
      </w:r>
      <w:r w:rsidR="002304C7">
        <w:rPr>
          <w:sz w:val="28"/>
          <w:szCs w:val="28"/>
        </w:rPr>
        <w:t xml:space="preserve">— </w:t>
      </w:r>
      <w:r w:rsidR="00026665">
        <w:rPr>
          <w:sz w:val="28"/>
          <w:szCs w:val="28"/>
          <w:shd w:val="clear" w:color="auto" w:fill="FFFFFF"/>
        </w:rPr>
        <w:t xml:space="preserve">may </w:t>
      </w:r>
      <w:r w:rsidR="00CB70D4" w:rsidRPr="00CB55D8">
        <w:rPr>
          <w:sz w:val="28"/>
          <w:szCs w:val="28"/>
          <w:shd w:val="clear" w:color="auto" w:fill="FFFFFF"/>
        </w:rPr>
        <w:t xml:space="preserve">have no codified responsibilities as </w:t>
      </w:r>
      <w:r w:rsidR="005A6103" w:rsidRPr="00CB55D8">
        <w:rPr>
          <w:sz w:val="28"/>
          <w:szCs w:val="28"/>
          <w:shd w:val="clear" w:color="auto" w:fill="FFFFFF"/>
        </w:rPr>
        <w:t>prosecutors.</w:t>
      </w:r>
      <w:r w:rsidR="006C2F9C">
        <w:rPr>
          <w:sz w:val="28"/>
          <w:szCs w:val="28"/>
          <w:shd w:val="clear" w:color="auto" w:fill="FFFFFF"/>
        </w:rPr>
        <w:t xml:space="preserve"> </w:t>
      </w:r>
      <w:r w:rsidR="007A6909" w:rsidRPr="00CB55D8">
        <w:rPr>
          <w:sz w:val="28"/>
          <w:szCs w:val="28"/>
          <w:shd w:val="clear" w:color="auto" w:fill="FFFFFF"/>
        </w:rPr>
        <w:t xml:space="preserve">A sentence in proposed Preamble, </w:t>
      </w:r>
      <w:r w:rsidR="002F5B26" w:rsidRPr="00CB55D8">
        <w:rPr>
          <w:sz w:val="28"/>
          <w:szCs w:val="28"/>
          <w:shd w:val="clear" w:color="auto" w:fill="FFFFFF"/>
        </w:rPr>
        <w:t>Paragraph</w:t>
      </w:r>
      <w:r w:rsidR="007A6909" w:rsidRPr="00CB55D8">
        <w:rPr>
          <w:sz w:val="28"/>
          <w:szCs w:val="28"/>
          <w:shd w:val="clear" w:color="auto" w:fill="FFFFFF"/>
        </w:rPr>
        <w:t xml:space="preserve"> 18</w:t>
      </w:r>
      <w:r w:rsidR="00E41598" w:rsidRPr="00CB55D8">
        <w:rPr>
          <w:sz w:val="28"/>
          <w:szCs w:val="28"/>
          <w:shd w:val="clear" w:color="auto" w:fill="FFFFFF"/>
        </w:rPr>
        <w:t>, expressly says, “</w:t>
      </w:r>
      <w:r w:rsidR="00E41598" w:rsidRPr="00CB55D8">
        <w:rPr>
          <w:sz w:val="28"/>
          <w:szCs w:val="28"/>
        </w:rPr>
        <w:t>Government lawyers have additional responsibilities when acting as prosecutors, as set forth in Ethics Rule 3.8</w:t>
      </w:r>
      <w:r w:rsidR="00551122" w:rsidRPr="00CB55D8">
        <w:rPr>
          <w:sz w:val="28"/>
          <w:szCs w:val="28"/>
        </w:rPr>
        <w:t>.</w:t>
      </w:r>
      <w:r w:rsidR="00734A59" w:rsidRPr="00CB55D8">
        <w:rPr>
          <w:sz w:val="28"/>
          <w:szCs w:val="28"/>
        </w:rPr>
        <w:t>”</w:t>
      </w:r>
      <w:r w:rsidR="00551122" w:rsidRPr="00CB55D8">
        <w:rPr>
          <w:sz w:val="28"/>
          <w:szCs w:val="28"/>
        </w:rPr>
        <w:t xml:space="preserve"> T</w:t>
      </w:r>
      <w:r w:rsidR="006E0A7C" w:rsidRPr="00CB55D8">
        <w:rPr>
          <w:sz w:val="28"/>
          <w:szCs w:val="28"/>
        </w:rPr>
        <w:t>his should be adequate clarification of that point</w:t>
      </w:r>
      <w:r w:rsidR="00551122">
        <w:rPr>
          <w:sz w:val="28"/>
          <w:szCs w:val="28"/>
        </w:rPr>
        <w:t>.</w:t>
      </w:r>
    </w:p>
    <w:p w14:paraId="09EB7713" w14:textId="3BD44511" w:rsidR="00CA3BF1" w:rsidRDefault="00A25352" w:rsidP="00734A59">
      <w:pPr>
        <w:pStyle w:val="FootnoteText"/>
        <w:spacing w:line="480" w:lineRule="auto"/>
        <w:ind w:firstLine="720"/>
        <w:jc w:val="both"/>
        <w:rPr>
          <w:sz w:val="28"/>
          <w:szCs w:val="28"/>
        </w:rPr>
      </w:pPr>
      <w:r w:rsidRPr="00155D6D">
        <w:rPr>
          <w:sz w:val="28"/>
          <w:szCs w:val="28"/>
        </w:rPr>
        <w:t>With the qualifications noted above, the Task Force generally</w:t>
      </w:r>
      <w:r w:rsidR="006E0A7C" w:rsidRPr="00155D6D">
        <w:rPr>
          <w:sz w:val="28"/>
          <w:szCs w:val="28"/>
        </w:rPr>
        <w:t xml:space="preserve"> agrees with the</w:t>
      </w:r>
      <w:r w:rsidR="00C34D0B" w:rsidRPr="00155D6D">
        <w:rPr>
          <w:sz w:val="28"/>
          <w:szCs w:val="28"/>
        </w:rPr>
        <w:t xml:space="preserve"> </w:t>
      </w:r>
      <w:r w:rsidR="006E0A7C" w:rsidRPr="00155D6D">
        <w:rPr>
          <w:sz w:val="28"/>
          <w:szCs w:val="28"/>
        </w:rPr>
        <w:t xml:space="preserve">AGO’s </w:t>
      </w:r>
      <w:r w:rsidR="00EF0857" w:rsidRPr="00155D6D">
        <w:rPr>
          <w:sz w:val="28"/>
          <w:szCs w:val="28"/>
        </w:rPr>
        <w:t xml:space="preserve">conclusion that by removing current </w:t>
      </w:r>
      <w:r w:rsidR="002F5B26" w:rsidRPr="00155D6D">
        <w:rPr>
          <w:sz w:val="28"/>
          <w:szCs w:val="28"/>
        </w:rPr>
        <w:t>Paragraph</w:t>
      </w:r>
      <w:r w:rsidR="00EF0857" w:rsidRPr="00155D6D">
        <w:rPr>
          <w:sz w:val="28"/>
          <w:szCs w:val="28"/>
        </w:rPr>
        <w:t xml:space="preserve"> 18, </w:t>
      </w:r>
      <w:r w:rsidR="006E0A7C" w:rsidRPr="00155D6D">
        <w:rPr>
          <w:sz w:val="28"/>
          <w:szCs w:val="28"/>
        </w:rPr>
        <w:t>“</w:t>
      </w:r>
      <w:r w:rsidR="00734A59" w:rsidRPr="00551122">
        <w:rPr>
          <w:sz w:val="28"/>
          <w:szCs w:val="28"/>
        </w:rPr>
        <w:t xml:space="preserve">the AGO does not </w:t>
      </w:r>
      <w:r w:rsidR="00734A59" w:rsidRPr="00551122">
        <w:rPr>
          <w:sz w:val="28"/>
          <w:szCs w:val="28"/>
        </w:rPr>
        <w:lastRenderedPageBreak/>
        <w:t xml:space="preserve">believe the </w:t>
      </w:r>
      <w:r w:rsidR="003429B5" w:rsidRPr="00551122">
        <w:rPr>
          <w:sz w:val="28"/>
          <w:szCs w:val="28"/>
        </w:rPr>
        <w:t xml:space="preserve">Task Force </w:t>
      </w:r>
      <w:r w:rsidR="006E0A7C" w:rsidRPr="00551122">
        <w:rPr>
          <w:sz w:val="28"/>
          <w:szCs w:val="28"/>
        </w:rPr>
        <w:t>intended to limit government lawyers’ ability</w:t>
      </w:r>
      <w:r w:rsidR="006E0A7C">
        <w:rPr>
          <w:sz w:val="28"/>
          <w:szCs w:val="28"/>
        </w:rPr>
        <w:t xml:space="preserve"> to pursue their statutory responsibilities or alter their duty to the public interest</w:t>
      </w:r>
      <w:r w:rsidR="00AB404F">
        <w:rPr>
          <w:sz w:val="28"/>
          <w:szCs w:val="28"/>
        </w:rPr>
        <w:t>.</w:t>
      </w:r>
      <w:r w:rsidR="00734A59">
        <w:rPr>
          <w:sz w:val="28"/>
          <w:szCs w:val="28"/>
        </w:rPr>
        <w:t>”</w:t>
      </w:r>
      <w:r w:rsidR="001F001F">
        <w:rPr>
          <w:sz w:val="28"/>
          <w:szCs w:val="28"/>
        </w:rPr>
        <w:t xml:space="preserve"> </w:t>
      </w:r>
      <w:r w:rsidR="00AF01DD">
        <w:rPr>
          <w:sz w:val="28"/>
          <w:szCs w:val="28"/>
        </w:rPr>
        <w:t>The Task Force</w:t>
      </w:r>
      <w:r w:rsidR="001F001F">
        <w:rPr>
          <w:sz w:val="28"/>
          <w:szCs w:val="28"/>
        </w:rPr>
        <w:t xml:space="preserve"> does not </w:t>
      </w:r>
      <w:r w:rsidR="003429B5">
        <w:rPr>
          <w:sz w:val="28"/>
          <w:szCs w:val="28"/>
        </w:rPr>
        <w:t>agree</w:t>
      </w:r>
      <w:r w:rsidR="001F001F">
        <w:rPr>
          <w:sz w:val="28"/>
          <w:szCs w:val="28"/>
        </w:rPr>
        <w:t xml:space="preserve">, however, that a </w:t>
      </w:r>
      <w:r w:rsidR="00551122">
        <w:rPr>
          <w:sz w:val="28"/>
          <w:szCs w:val="28"/>
        </w:rPr>
        <w:t xml:space="preserve">further </w:t>
      </w:r>
      <w:r w:rsidR="001F001F">
        <w:rPr>
          <w:sz w:val="28"/>
          <w:szCs w:val="28"/>
        </w:rPr>
        <w:t>revision is needed to confirm that</w:t>
      </w:r>
      <w:r w:rsidR="00AB404F">
        <w:rPr>
          <w:sz w:val="28"/>
          <w:szCs w:val="28"/>
        </w:rPr>
        <w:t xml:space="preserve"> belief</w:t>
      </w:r>
      <w:r w:rsidR="000F660C">
        <w:rPr>
          <w:sz w:val="28"/>
          <w:szCs w:val="28"/>
        </w:rPr>
        <w:t>.</w:t>
      </w:r>
    </w:p>
    <w:p w14:paraId="12D46CC2" w14:textId="271FE131" w:rsidR="00801721" w:rsidRDefault="00796FD1" w:rsidP="00A039A5">
      <w:pPr>
        <w:pStyle w:val="FootnoteText"/>
        <w:spacing w:line="480" w:lineRule="auto"/>
        <w:ind w:firstLine="720"/>
        <w:jc w:val="both"/>
        <w:rPr>
          <w:strike/>
          <w:sz w:val="26"/>
          <w:szCs w:val="26"/>
        </w:rPr>
      </w:pPr>
      <w:r>
        <w:rPr>
          <w:b/>
          <w:bCs/>
          <w:i/>
          <w:iCs/>
          <w:sz w:val="28"/>
          <w:szCs w:val="28"/>
        </w:rPr>
        <w:t xml:space="preserve">(iii) </w:t>
      </w:r>
      <w:r w:rsidR="00D94242" w:rsidRPr="00D94242">
        <w:rPr>
          <w:b/>
          <w:bCs/>
          <w:i/>
          <w:iCs/>
          <w:sz w:val="28"/>
          <w:szCs w:val="28"/>
        </w:rPr>
        <w:t>Proposed ER 1.2(b).</w:t>
      </w:r>
      <w:r w:rsidR="00D94242">
        <w:rPr>
          <w:sz w:val="28"/>
          <w:szCs w:val="28"/>
        </w:rPr>
        <w:t xml:space="preserve">  T</w:t>
      </w:r>
      <w:r w:rsidR="00673FB5">
        <w:rPr>
          <w:sz w:val="28"/>
          <w:szCs w:val="28"/>
        </w:rPr>
        <w:t>he AGO suggests</w:t>
      </w:r>
      <w:r w:rsidR="007433A5">
        <w:rPr>
          <w:sz w:val="28"/>
          <w:szCs w:val="28"/>
        </w:rPr>
        <w:t xml:space="preserve"> that </w:t>
      </w:r>
      <w:r w:rsidR="002F5B26">
        <w:rPr>
          <w:sz w:val="28"/>
          <w:szCs w:val="28"/>
        </w:rPr>
        <w:t>Paragraph</w:t>
      </w:r>
      <w:r w:rsidR="007433A5">
        <w:rPr>
          <w:sz w:val="28"/>
          <w:szCs w:val="28"/>
        </w:rPr>
        <w:t xml:space="preserve"> 1 of the comment </w:t>
      </w:r>
      <w:r w:rsidR="00C97557">
        <w:rPr>
          <w:sz w:val="28"/>
          <w:szCs w:val="28"/>
        </w:rPr>
        <w:t>to</w:t>
      </w:r>
      <w:r w:rsidR="007433A5">
        <w:rPr>
          <w:sz w:val="28"/>
          <w:szCs w:val="28"/>
        </w:rPr>
        <w:t xml:space="preserve"> ER 1.2 </w:t>
      </w:r>
      <w:r w:rsidR="00B55AB1" w:rsidRPr="006C2F9C">
        <w:rPr>
          <w:sz w:val="28"/>
          <w:szCs w:val="28"/>
        </w:rPr>
        <w:t>(“Scope of Representation and Allocation of Authority between Client and Lawyer”)</w:t>
      </w:r>
      <w:r w:rsidR="00B55AB1" w:rsidRPr="00C448E1">
        <w:rPr>
          <w:b/>
          <w:bCs/>
          <w:sz w:val="26"/>
          <w:szCs w:val="26"/>
        </w:rPr>
        <w:t xml:space="preserve"> </w:t>
      </w:r>
      <w:r w:rsidR="00C97557">
        <w:rPr>
          <w:sz w:val="28"/>
          <w:szCs w:val="28"/>
        </w:rPr>
        <w:t>requires further clarification</w:t>
      </w:r>
      <w:r w:rsidR="00DA3950">
        <w:rPr>
          <w:sz w:val="28"/>
          <w:szCs w:val="28"/>
        </w:rPr>
        <w:t>.</w:t>
      </w:r>
      <w:r w:rsidR="006C2F9C">
        <w:rPr>
          <w:sz w:val="28"/>
          <w:szCs w:val="28"/>
        </w:rPr>
        <w:t xml:space="preserve"> </w:t>
      </w:r>
      <w:r w:rsidR="003429B5">
        <w:rPr>
          <w:sz w:val="28"/>
          <w:szCs w:val="28"/>
        </w:rPr>
        <w:t>This paragraph</w:t>
      </w:r>
      <w:r w:rsidR="00DD444E">
        <w:rPr>
          <w:sz w:val="28"/>
          <w:szCs w:val="28"/>
        </w:rPr>
        <w:t xml:space="preserve"> concerns decision-making authority vested in a government lawyer.</w:t>
      </w:r>
      <w:r w:rsidR="006C2F9C">
        <w:rPr>
          <w:sz w:val="28"/>
          <w:szCs w:val="28"/>
        </w:rPr>
        <w:t xml:space="preserve"> </w:t>
      </w:r>
      <w:r w:rsidR="0071380D">
        <w:rPr>
          <w:sz w:val="28"/>
          <w:szCs w:val="28"/>
        </w:rPr>
        <w:t>The AGO notes that there might be circumstances where decision</w:t>
      </w:r>
      <w:r w:rsidR="00907AAD">
        <w:rPr>
          <w:sz w:val="28"/>
          <w:szCs w:val="28"/>
        </w:rPr>
        <w:t>-</w:t>
      </w:r>
      <w:r w:rsidR="0071380D">
        <w:rPr>
          <w:sz w:val="28"/>
          <w:szCs w:val="28"/>
        </w:rPr>
        <w:t>making authority is concurrently vested in a government lawyer and in another</w:t>
      </w:r>
      <w:r w:rsidR="00D0722E">
        <w:rPr>
          <w:sz w:val="28"/>
          <w:szCs w:val="28"/>
        </w:rPr>
        <w:t xml:space="preserve"> government official. </w:t>
      </w:r>
      <w:r w:rsidR="00632233">
        <w:rPr>
          <w:sz w:val="28"/>
          <w:szCs w:val="28"/>
        </w:rPr>
        <w:t>After discussion, however, the Task Force concluded</w:t>
      </w:r>
      <w:r w:rsidR="0071135C">
        <w:rPr>
          <w:sz w:val="28"/>
          <w:szCs w:val="28"/>
        </w:rPr>
        <w:t xml:space="preserve"> that</w:t>
      </w:r>
      <w:r w:rsidR="006C2F9C">
        <w:rPr>
          <w:sz w:val="28"/>
          <w:szCs w:val="28"/>
        </w:rPr>
        <w:t xml:space="preserve"> the</w:t>
      </w:r>
      <w:r w:rsidR="0071135C">
        <w:rPr>
          <w:sz w:val="28"/>
          <w:szCs w:val="28"/>
        </w:rPr>
        <w:t xml:space="preserve"> AGO’s suggested provision could conflict with </w:t>
      </w:r>
      <w:r w:rsidR="000A3930">
        <w:rPr>
          <w:sz w:val="28"/>
          <w:szCs w:val="28"/>
        </w:rPr>
        <w:t xml:space="preserve">mechanisms proposed in other ER amendments for resolving disputes </w:t>
      </w:r>
      <w:r w:rsidR="001C7C73">
        <w:rPr>
          <w:sz w:val="28"/>
          <w:szCs w:val="28"/>
        </w:rPr>
        <w:t>between client representatives. The Task Force believe</w:t>
      </w:r>
      <w:r w:rsidR="00847A80">
        <w:rPr>
          <w:sz w:val="28"/>
          <w:szCs w:val="28"/>
        </w:rPr>
        <w:t>s</w:t>
      </w:r>
      <w:r w:rsidR="001C7C73">
        <w:rPr>
          <w:sz w:val="28"/>
          <w:szCs w:val="28"/>
        </w:rPr>
        <w:t xml:space="preserve"> that the course of action prescribed by those other </w:t>
      </w:r>
      <w:r w:rsidR="009D72EB">
        <w:rPr>
          <w:sz w:val="28"/>
          <w:szCs w:val="28"/>
        </w:rPr>
        <w:t xml:space="preserve">proposed </w:t>
      </w:r>
      <w:r w:rsidR="001C7C73">
        <w:rPr>
          <w:sz w:val="28"/>
          <w:szCs w:val="28"/>
        </w:rPr>
        <w:t xml:space="preserve">amendments should </w:t>
      </w:r>
      <w:r w:rsidR="00720A8C">
        <w:rPr>
          <w:sz w:val="28"/>
          <w:szCs w:val="28"/>
        </w:rPr>
        <w:t>be followed</w:t>
      </w:r>
      <w:r w:rsidR="001C7C73">
        <w:rPr>
          <w:sz w:val="28"/>
          <w:szCs w:val="28"/>
        </w:rPr>
        <w:t xml:space="preserve"> regardless of whether one of the client representatives is a government lawyer. </w:t>
      </w:r>
      <w:r w:rsidR="00455CAA">
        <w:rPr>
          <w:sz w:val="28"/>
          <w:szCs w:val="28"/>
        </w:rPr>
        <w:t>Because the AGO’s proposed text is unnecessary and might create confusion, the Task Fo</w:t>
      </w:r>
      <w:r w:rsidR="00BB0364">
        <w:rPr>
          <w:sz w:val="28"/>
          <w:szCs w:val="28"/>
        </w:rPr>
        <w:t xml:space="preserve">rce opposes its inclusion. </w:t>
      </w:r>
    </w:p>
    <w:p w14:paraId="4E0A830B" w14:textId="0106E70B" w:rsidR="00BB2AB1" w:rsidRDefault="009D72EB" w:rsidP="00A039A5">
      <w:pPr>
        <w:pStyle w:val="FootnoteText"/>
        <w:spacing w:line="480" w:lineRule="auto"/>
        <w:ind w:firstLine="720"/>
        <w:jc w:val="both"/>
        <w:rPr>
          <w:sz w:val="26"/>
          <w:szCs w:val="26"/>
        </w:rPr>
      </w:pPr>
      <w:r>
        <w:rPr>
          <w:sz w:val="28"/>
          <w:szCs w:val="28"/>
        </w:rPr>
        <w:t>Another</w:t>
      </w:r>
      <w:r w:rsidR="003429B5" w:rsidRPr="001565EB">
        <w:rPr>
          <w:sz w:val="28"/>
          <w:szCs w:val="28"/>
        </w:rPr>
        <w:t xml:space="preserve"> portion of </w:t>
      </w:r>
      <w:r w:rsidRPr="001565EB">
        <w:rPr>
          <w:sz w:val="28"/>
          <w:szCs w:val="28"/>
        </w:rPr>
        <w:t>th</w:t>
      </w:r>
      <w:r>
        <w:rPr>
          <w:sz w:val="28"/>
          <w:szCs w:val="28"/>
        </w:rPr>
        <w:t>is</w:t>
      </w:r>
      <w:r w:rsidR="008C789A">
        <w:rPr>
          <w:sz w:val="28"/>
          <w:szCs w:val="28"/>
        </w:rPr>
        <w:t xml:space="preserve"> </w:t>
      </w:r>
      <w:r w:rsidR="00CA6865" w:rsidRPr="001565EB">
        <w:rPr>
          <w:sz w:val="28"/>
          <w:szCs w:val="28"/>
        </w:rPr>
        <w:t>AGO comment raise</w:t>
      </w:r>
      <w:r w:rsidR="008C789A">
        <w:rPr>
          <w:sz w:val="28"/>
          <w:szCs w:val="28"/>
        </w:rPr>
        <w:t>d</w:t>
      </w:r>
      <w:r w:rsidR="00CA6865" w:rsidRPr="001565EB">
        <w:rPr>
          <w:sz w:val="28"/>
          <w:szCs w:val="28"/>
        </w:rPr>
        <w:t xml:space="preserve"> an issue concerning proposed </w:t>
      </w:r>
      <w:r w:rsidR="00DB3129" w:rsidRPr="001565EB">
        <w:rPr>
          <w:sz w:val="28"/>
          <w:szCs w:val="28"/>
        </w:rPr>
        <w:t>ER 1.2(b)</w:t>
      </w:r>
      <w:r w:rsidR="008C789A">
        <w:rPr>
          <w:sz w:val="28"/>
          <w:szCs w:val="28"/>
        </w:rPr>
        <w:t>. That provision</w:t>
      </w:r>
      <w:r w:rsidR="00BD7F36" w:rsidRPr="001565EB">
        <w:rPr>
          <w:sz w:val="28"/>
          <w:szCs w:val="28"/>
        </w:rPr>
        <w:t xml:space="preserve"> </w:t>
      </w:r>
      <w:r w:rsidR="00DB3129" w:rsidRPr="001565EB">
        <w:rPr>
          <w:sz w:val="28"/>
          <w:szCs w:val="28"/>
        </w:rPr>
        <w:t xml:space="preserve">provides </w:t>
      </w:r>
      <w:r w:rsidR="00CA6865" w:rsidRPr="001565EB">
        <w:rPr>
          <w:sz w:val="28"/>
          <w:szCs w:val="28"/>
        </w:rPr>
        <w:t xml:space="preserve">in part </w:t>
      </w:r>
      <w:r w:rsidR="00DB3129" w:rsidRPr="001565EB">
        <w:rPr>
          <w:sz w:val="28"/>
          <w:szCs w:val="28"/>
        </w:rPr>
        <w:t>that a government lawyer may depart from a client representative’s objectives when those objectives “are clearly inconsistent with the client representative’s legal authority under applicable law</w:t>
      </w:r>
      <w:r w:rsidR="00CA6865" w:rsidRPr="001565EB">
        <w:rPr>
          <w:sz w:val="28"/>
          <w:szCs w:val="28"/>
        </w:rPr>
        <w:t xml:space="preserve"> or properly delegated authority.” </w:t>
      </w:r>
      <w:r w:rsidR="00333B0B" w:rsidRPr="001565EB">
        <w:rPr>
          <w:sz w:val="28"/>
          <w:szCs w:val="28"/>
        </w:rPr>
        <w:t xml:space="preserve">The AGO comment </w:t>
      </w:r>
      <w:r w:rsidR="00DF1BE8" w:rsidRPr="001565EB">
        <w:rPr>
          <w:sz w:val="28"/>
          <w:szCs w:val="28"/>
        </w:rPr>
        <w:t>request</w:t>
      </w:r>
      <w:r w:rsidR="00DF1BE8">
        <w:rPr>
          <w:sz w:val="28"/>
          <w:szCs w:val="28"/>
        </w:rPr>
        <w:t>ed</w:t>
      </w:r>
      <w:r w:rsidR="00DF1BE8" w:rsidRPr="001565EB">
        <w:rPr>
          <w:sz w:val="28"/>
          <w:szCs w:val="28"/>
        </w:rPr>
        <w:t xml:space="preserve"> </w:t>
      </w:r>
      <w:r w:rsidR="009C41FA" w:rsidRPr="001565EB">
        <w:rPr>
          <w:sz w:val="28"/>
          <w:szCs w:val="28"/>
        </w:rPr>
        <w:t>clarification on</w:t>
      </w:r>
      <w:r w:rsidR="00333B0B" w:rsidRPr="001565EB">
        <w:rPr>
          <w:sz w:val="28"/>
          <w:szCs w:val="28"/>
        </w:rPr>
        <w:t xml:space="preserve"> </w:t>
      </w:r>
      <w:r w:rsidR="00E2594D" w:rsidRPr="001565EB">
        <w:rPr>
          <w:sz w:val="28"/>
          <w:szCs w:val="28"/>
        </w:rPr>
        <w:t>wh</w:t>
      </w:r>
      <w:r w:rsidR="00E2594D">
        <w:rPr>
          <w:sz w:val="28"/>
          <w:szCs w:val="28"/>
        </w:rPr>
        <w:t>o —</w:t>
      </w:r>
      <w:r w:rsidR="00E2594D" w:rsidRPr="001565EB">
        <w:rPr>
          <w:sz w:val="28"/>
          <w:szCs w:val="28"/>
        </w:rPr>
        <w:t xml:space="preserve"> </w:t>
      </w:r>
      <w:r w:rsidR="009C41FA" w:rsidRPr="001565EB">
        <w:rPr>
          <w:sz w:val="28"/>
          <w:szCs w:val="28"/>
        </w:rPr>
        <w:t xml:space="preserve">the </w:t>
      </w:r>
      <w:r w:rsidR="009C41FA" w:rsidRPr="001565EB">
        <w:rPr>
          <w:sz w:val="28"/>
          <w:szCs w:val="28"/>
        </w:rPr>
        <w:lastRenderedPageBreak/>
        <w:t xml:space="preserve">government lawyer or the client representative </w:t>
      </w:r>
      <w:r w:rsidR="00E2594D">
        <w:rPr>
          <w:sz w:val="28"/>
          <w:szCs w:val="28"/>
        </w:rPr>
        <w:t>—</w:t>
      </w:r>
      <w:r w:rsidR="00F476B8">
        <w:rPr>
          <w:sz w:val="28"/>
          <w:szCs w:val="28"/>
        </w:rPr>
        <w:t xml:space="preserve"> </w:t>
      </w:r>
      <w:r w:rsidR="009C41FA" w:rsidRPr="001565EB">
        <w:rPr>
          <w:sz w:val="28"/>
          <w:szCs w:val="28"/>
        </w:rPr>
        <w:t xml:space="preserve">makes </w:t>
      </w:r>
      <w:r w:rsidR="006A6B90">
        <w:rPr>
          <w:sz w:val="28"/>
          <w:szCs w:val="28"/>
        </w:rPr>
        <w:t xml:space="preserve">the </w:t>
      </w:r>
      <w:r w:rsidR="00C53E84" w:rsidRPr="001565EB">
        <w:rPr>
          <w:sz w:val="28"/>
          <w:szCs w:val="28"/>
        </w:rPr>
        <w:t xml:space="preserve">“clearly inconsistent” </w:t>
      </w:r>
      <w:r w:rsidR="009C41FA" w:rsidRPr="001565EB">
        <w:rPr>
          <w:sz w:val="28"/>
          <w:szCs w:val="28"/>
        </w:rPr>
        <w:t xml:space="preserve">determination. </w:t>
      </w:r>
      <w:r w:rsidR="00AF01DD" w:rsidRPr="001565EB">
        <w:rPr>
          <w:sz w:val="28"/>
          <w:szCs w:val="28"/>
        </w:rPr>
        <w:t>The Task Force</w:t>
      </w:r>
      <w:r w:rsidR="009C41FA" w:rsidRPr="001565EB">
        <w:rPr>
          <w:sz w:val="28"/>
          <w:szCs w:val="28"/>
        </w:rPr>
        <w:t xml:space="preserve"> believes clar</w:t>
      </w:r>
      <w:r w:rsidR="00455B66" w:rsidRPr="001565EB">
        <w:rPr>
          <w:sz w:val="28"/>
          <w:szCs w:val="28"/>
        </w:rPr>
        <w:t xml:space="preserve">ification is unnecessary. These ethical rules </w:t>
      </w:r>
      <w:r w:rsidR="00892DEC" w:rsidRPr="001565EB">
        <w:rPr>
          <w:sz w:val="28"/>
          <w:szCs w:val="28"/>
        </w:rPr>
        <w:t>govern</w:t>
      </w:r>
      <w:r w:rsidR="00455B66" w:rsidRPr="001565EB">
        <w:rPr>
          <w:sz w:val="28"/>
          <w:szCs w:val="28"/>
        </w:rPr>
        <w:t xml:space="preserve"> government lawyers</w:t>
      </w:r>
      <w:r w:rsidR="0042716F" w:rsidRPr="001565EB">
        <w:rPr>
          <w:sz w:val="28"/>
          <w:szCs w:val="28"/>
        </w:rPr>
        <w:t xml:space="preserve">, and that determination is inherently </w:t>
      </w:r>
      <w:r w:rsidR="007D0481" w:rsidRPr="001565EB">
        <w:rPr>
          <w:sz w:val="28"/>
          <w:szCs w:val="28"/>
        </w:rPr>
        <w:t>within the purview of a government lawyer.</w:t>
      </w:r>
    </w:p>
    <w:p w14:paraId="293827F3" w14:textId="51DE264D" w:rsidR="00290FB1" w:rsidRPr="001565EB" w:rsidRDefault="00924DFF" w:rsidP="00734A59">
      <w:pPr>
        <w:pStyle w:val="FootnoteText"/>
        <w:spacing w:line="480" w:lineRule="auto"/>
        <w:ind w:firstLine="720"/>
        <w:jc w:val="both"/>
        <w:rPr>
          <w:sz w:val="28"/>
          <w:szCs w:val="28"/>
        </w:rPr>
      </w:pPr>
      <w:r>
        <w:rPr>
          <w:b/>
          <w:bCs/>
          <w:i/>
          <w:iCs/>
          <w:sz w:val="28"/>
          <w:szCs w:val="28"/>
        </w:rPr>
        <w:t>(</w:t>
      </w:r>
      <w:r w:rsidR="00BB2AB1" w:rsidRPr="001565EB">
        <w:rPr>
          <w:b/>
          <w:bCs/>
          <w:i/>
          <w:iCs/>
          <w:sz w:val="28"/>
          <w:szCs w:val="28"/>
        </w:rPr>
        <w:t>iv</w:t>
      </w:r>
      <w:r>
        <w:rPr>
          <w:b/>
          <w:bCs/>
          <w:i/>
          <w:iCs/>
          <w:sz w:val="28"/>
          <w:szCs w:val="28"/>
        </w:rPr>
        <w:t>)</w:t>
      </w:r>
      <w:r w:rsidR="00BB2AB1" w:rsidRPr="001565EB">
        <w:rPr>
          <w:b/>
          <w:bCs/>
          <w:i/>
          <w:iCs/>
          <w:sz w:val="28"/>
          <w:szCs w:val="28"/>
        </w:rPr>
        <w:t xml:space="preserve"> Proposed </w:t>
      </w:r>
      <w:r w:rsidR="00BC1545" w:rsidRPr="001565EB">
        <w:rPr>
          <w:b/>
          <w:bCs/>
          <w:i/>
          <w:iCs/>
          <w:sz w:val="28"/>
          <w:szCs w:val="28"/>
        </w:rPr>
        <w:t>c</w:t>
      </w:r>
      <w:r w:rsidR="00BB2AB1" w:rsidRPr="001565EB">
        <w:rPr>
          <w:b/>
          <w:bCs/>
          <w:i/>
          <w:iCs/>
          <w:sz w:val="28"/>
          <w:szCs w:val="28"/>
        </w:rPr>
        <w:t xml:space="preserve">omment 10 to ER 1.7. </w:t>
      </w:r>
      <w:r w:rsidR="00BC1545" w:rsidRPr="001565EB">
        <w:rPr>
          <w:b/>
          <w:bCs/>
          <w:i/>
          <w:iCs/>
          <w:sz w:val="28"/>
          <w:szCs w:val="28"/>
        </w:rPr>
        <w:t xml:space="preserve"> </w:t>
      </w:r>
      <w:r w:rsidR="00180359" w:rsidRPr="001565EB">
        <w:rPr>
          <w:sz w:val="28"/>
          <w:szCs w:val="28"/>
        </w:rPr>
        <w:t xml:space="preserve">Proposed </w:t>
      </w:r>
      <w:r w:rsidR="002F5B26" w:rsidRPr="001509CC">
        <w:rPr>
          <w:sz w:val="28"/>
          <w:szCs w:val="28"/>
        </w:rPr>
        <w:t>Paragraph</w:t>
      </w:r>
      <w:r w:rsidR="003E2B30" w:rsidRPr="001565EB">
        <w:rPr>
          <w:sz w:val="28"/>
          <w:szCs w:val="28"/>
        </w:rPr>
        <w:t xml:space="preserve"> 10</w:t>
      </w:r>
      <w:r w:rsidR="00BB2AB1" w:rsidRPr="001565EB">
        <w:rPr>
          <w:b/>
          <w:bCs/>
          <w:i/>
          <w:iCs/>
          <w:sz w:val="28"/>
          <w:szCs w:val="28"/>
        </w:rPr>
        <w:t xml:space="preserve"> </w:t>
      </w:r>
      <w:r w:rsidR="003E2B30" w:rsidRPr="001565EB">
        <w:rPr>
          <w:sz w:val="28"/>
          <w:szCs w:val="28"/>
        </w:rPr>
        <w:t>of the comment to ER 1.7</w:t>
      </w:r>
      <w:r w:rsidR="0006495B" w:rsidRPr="001565EB">
        <w:rPr>
          <w:sz w:val="28"/>
          <w:szCs w:val="28"/>
        </w:rPr>
        <w:t xml:space="preserve"> (“</w:t>
      </w:r>
      <w:r w:rsidR="00B55AB1" w:rsidRPr="001565EB">
        <w:rPr>
          <w:sz w:val="28"/>
          <w:szCs w:val="28"/>
        </w:rPr>
        <w:t>Conflict of Interest: Current Clients</w:t>
      </w:r>
      <w:r w:rsidR="0006495B" w:rsidRPr="001565EB">
        <w:rPr>
          <w:sz w:val="28"/>
          <w:szCs w:val="28"/>
        </w:rPr>
        <w:t>”)</w:t>
      </w:r>
      <w:r w:rsidR="004363AF" w:rsidRPr="001565EB">
        <w:rPr>
          <w:sz w:val="28"/>
          <w:szCs w:val="28"/>
        </w:rPr>
        <w:t xml:space="preserve"> includes this sentence: </w:t>
      </w:r>
      <w:r w:rsidR="003F33D5" w:rsidRPr="001565EB">
        <w:rPr>
          <w:sz w:val="28"/>
          <w:szCs w:val="28"/>
        </w:rPr>
        <w:t>“</w:t>
      </w:r>
      <w:r w:rsidR="003F33D5" w:rsidRPr="001565EB">
        <w:rPr>
          <w:bCs/>
          <w:sz w:val="28"/>
          <w:szCs w:val="28"/>
        </w:rPr>
        <w:t xml:space="preserve">Therefore, a government lawyer cannot provide advice to, or represent, the client representative in one matter, and act as an advocate against the client representative in another matter.”  </w:t>
      </w:r>
      <w:r w:rsidR="00E216DB">
        <w:rPr>
          <w:bCs/>
          <w:sz w:val="28"/>
          <w:szCs w:val="28"/>
        </w:rPr>
        <w:t>T</w:t>
      </w:r>
      <w:r w:rsidR="00E216DB" w:rsidRPr="001565EB">
        <w:rPr>
          <w:bCs/>
          <w:sz w:val="28"/>
          <w:szCs w:val="28"/>
        </w:rPr>
        <w:t xml:space="preserve">he AGO requests adding the following text </w:t>
      </w:r>
      <w:r w:rsidR="00E216DB">
        <w:rPr>
          <w:bCs/>
          <w:sz w:val="28"/>
          <w:szCs w:val="28"/>
        </w:rPr>
        <w:t>t</w:t>
      </w:r>
      <w:r w:rsidR="00E216DB" w:rsidRPr="001565EB">
        <w:rPr>
          <w:bCs/>
          <w:sz w:val="28"/>
          <w:szCs w:val="28"/>
        </w:rPr>
        <w:t xml:space="preserve">o </w:t>
      </w:r>
      <w:r w:rsidR="00A75C6C" w:rsidRPr="001565EB">
        <w:rPr>
          <w:bCs/>
          <w:sz w:val="28"/>
          <w:szCs w:val="28"/>
        </w:rPr>
        <w:t xml:space="preserve">dispel an interpretation that the provision </w:t>
      </w:r>
      <w:r w:rsidR="00CF3B4A" w:rsidRPr="001565EB">
        <w:rPr>
          <w:bCs/>
          <w:sz w:val="28"/>
          <w:szCs w:val="28"/>
        </w:rPr>
        <w:t>would “preclude the use of screens, waivers, or referrals when appropriate</w:t>
      </w:r>
      <w:r w:rsidR="00E216DB">
        <w:rPr>
          <w:bCs/>
          <w:sz w:val="28"/>
          <w:szCs w:val="28"/>
        </w:rPr>
        <w:t>:</w:t>
      </w:r>
      <w:r w:rsidR="00E216DB" w:rsidRPr="001565EB">
        <w:rPr>
          <w:bCs/>
          <w:sz w:val="28"/>
          <w:szCs w:val="28"/>
        </w:rPr>
        <w:t>”</w:t>
      </w:r>
    </w:p>
    <w:p w14:paraId="7FC0CA56" w14:textId="4E36757E" w:rsidR="00385ADA" w:rsidRPr="00A039A5" w:rsidRDefault="00905F05" w:rsidP="00905F05">
      <w:pPr>
        <w:pStyle w:val="FootnoteText"/>
        <w:ind w:left="720"/>
        <w:jc w:val="both"/>
        <w:rPr>
          <w:bCs/>
          <w:sz w:val="28"/>
          <w:szCs w:val="28"/>
        </w:rPr>
      </w:pPr>
      <w:r w:rsidRPr="00A039A5">
        <w:rPr>
          <w:bCs/>
          <w:sz w:val="28"/>
          <w:szCs w:val="28"/>
        </w:rPr>
        <w:t>This does not prevent the government lawyer or a government law firm from participating in both matters pursuant to a screen or conflict waiver, consistent with ER 1.7(b) or other applicable rules.  It also does not prevent the government lawyer or government law firm from participating in one matter and referring the other matter to another government law firm or other outside counsel, consistent with other applicable rules.</w:t>
      </w:r>
    </w:p>
    <w:p w14:paraId="020D93C5" w14:textId="77777777" w:rsidR="00571B44" w:rsidRDefault="00571B44" w:rsidP="00905F05">
      <w:pPr>
        <w:pStyle w:val="FootnoteText"/>
        <w:ind w:left="720"/>
        <w:jc w:val="both"/>
        <w:rPr>
          <w:bCs/>
          <w:sz w:val="26"/>
          <w:szCs w:val="26"/>
        </w:rPr>
      </w:pPr>
    </w:p>
    <w:p w14:paraId="0EF0B8A5" w14:textId="77777777" w:rsidR="00440392" w:rsidRDefault="00B94DE7" w:rsidP="00440392">
      <w:pPr>
        <w:spacing w:line="480" w:lineRule="auto"/>
        <w:jc w:val="both"/>
        <w:rPr>
          <w:sz w:val="28"/>
          <w:szCs w:val="28"/>
        </w:rPr>
      </w:pPr>
      <w:r w:rsidRPr="001565EB">
        <w:rPr>
          <w:sz w:val="28"/>
          <w:szCs w:val="28"/>
        </w:rPr>
        <w:t xml:space="preserve">The AGO’s comment </w:t>
      </w:r>
      <w:r w:rsidR="00071145">
        <w:rPr>
          <w:sz w:val="28"/>
          <w:szCs w:val="28"/>
        </w:rPr>
        <w:t>says</w:t>
      </w:r>
      <w:r w:rsidR="00071145" w:rsidRPr="001565EB">
        <w:rPr>
          <w:sz w:val="28"/>
          <w:szCs w:val="28"/>
        </w:rPr>
        <w:t xml:space="preserve"> </w:t>
      </w:r>
      <w:r w:rsidRPr="001565EB">
        <w:rPr>
          <w:sz w:val="28"/>
          <w:szCs w:val="28"/>
        </w:rPr>
        <w:t xml:space="preserve">that </w:t>
      </w:r>
      <w:r w:rsidR="001D50EF" w:rsidRPr="001565EB">
        <w:rPr>
          <w:sz w:val="28"/>
          <w:szCs w:val="28"/>
        </w:rPr>
        <w:t xml:space="preserve">“These options may be appropriate for large government law offices, and the AGO does not understand the Task Force’s recommendations as prohibiting these options when allowed by the ERs.” </w:t>
      </w:r>
      <w:r w:rsidR="00EC13DA" w:rsidRPr="001565EB">
        <w:rPr>
          <w:sz w:val="28"/>
          <w:szCs w:val="28"/>
        </w:rPr>
        <w:t xml:space="preserve"> </w:t>
      </w:r>
    </w:p>
    <w:p w14:paraId="22EFCB7F" w14:textId="77D1ACB5" w:rsidR="001D50EF" w:rsidRPr="001565EB" w:rsidRDefault="00EC13DA" w:rsidP="00261673">
      <w:pPr>
        <w:spacing w:line="480" w:lineRule="auto"/>
        <w:ind w:firstLine="720"/>
        <w:jc w:val="both"/>
        <w:rPr>
          <w:sz w:val="28"/>
          <w:szCs w:val="28"/>
        </w:rPr>
      </w:pPr>
      <w:r w:rsidRPr="001565EB">
        <w:rPr>
          <w:sz w:val="28"/>
          <w:szCs w:val="28"/>
        </w:rPr>
        <w:t>But th</w:t>
      </w:r>
      <w:r w:rsidR="00C60308" w:rsidRPr="001565EB">
        <w:rPr>
          <w:sz w:val="28"/>
          <w:szCs w:val="28"/>
        </w:rPr>
        <w:t>e</w:t>
      </w:r>
      <w:r w:rsidR="00D93488" w:rsidRPr="001565EB">
        <w:rPr>
          <w:sz w:val="28"/>
          <w:szCs w:val="28"/>
        </w:rPr>
        <w:t xml:space="preserve"> </w:t>
      </w:r>
      <w:r w:rsidR="002928E5">
        <w:rPr>
          <w:sz w:val="28"/>
          <w:szCs w:val="28"/>
        </w:rPr>
        <w:t>entire</w:t>
      </w:r>
      <w:r w:rsidR="002928E5" w:rsidRPr="001565EB">
        <w:rPr>
          <w:sz w:val="28"/>
          <w:szCs w:val="28"/>
        </w:rPr>
        <w:t xml:space="preserve"> </w:t>
      </w:r>
      <w:r w:rsidR="00D93488" w:rsidRPr="001565EB">
        <w:rPr>
          <w:sz w:val="28"/>
          <w:szCs w:val="28"/>
        </w:rPr>
        <w:t xml:space="preserve">Task Force </w:t>
      </w:r>
      <w:r w:rsidR="007A1E28" w:rsidRPr="001565EB">
        <w:rPr>
          <w:sz w:val="28"/>
          <w:szCs w:val="28"/>
        </w:rPr>
        <w:t>d</w:t>
      </w:r>
      <w:r w:rsidR="007A1E28">
        <w:rPr>
          <w:sz w:val="28"/>
          <w:szCs w:val="28"/>
        </w:rPr>
        <w:t>id</w:t>
      </w:r>
      <w:r w:rsidR="007A1E28" w:rsidRPr="001565EB">
        <w:rPr>
          <w:sz w:val="28"/>
          <w:szCs w:val="28"/>
        </w:rPr>
        <w:t xml:space="preserve"> </w:t>
      </w:r>
      <w:r w:rsidR="00D93488" w:rsidRPr="001565EB">
        <w:rPr>
          <w:sz w:val="28"/>
          <w:szCs w:val="28"/>
        </w:rPr>
        <w:t>not</w:t>
      </w:r>
      <w:r w:rsidR="001D35CF">
        <w:rPr>
          <w:sz w:val="28"/>
          <w:szCs w:val="28"/>
        </w:rPr>
        <w:t xml:space="preserve"> </w:t>
      </w:r>
      <w:r w:rsidR="00BD79BF">
        <w:rPr>
          <w:sz w:val="28"/>
          <w:szCs w:val="28"/>
        </w:rPr>
        <w:t xml:space="preserve">agree </w:t>
      </w:r>
      <w:r w:rsidR="00D93488" w:rsidRPr="001565EB">
        <w:rPr>
          <w:sz w:val="28"/>
          <w:szCs w:val="28"/>
        </w:rPr>
        <w:t>with the</w:t>
      </w:r>
      <w:r w:rsidR="00C60308" w:rsidRPr="001565EB">
        <w:rPr>
          <w:sz w:val="28"/>
          <w:szCs w:val="28"/>
        </w:rPr>
        <w:t xml:space="preserve"> AGO’s understanding</w:t>
      </w:r>
      <w:r w:rsidR="005A0785">
        <w:rPr>
          <w:sz w:val="28"/>
          <w:szCs w:val="28"/>
        </w:rPr>
        <w:t>.</w:t>
      </w:r>
      <w:r w:rsidR="00233DEE">
        <w:rPr>
          <w:sz w:val="28"/>
          <w:szCs w:val="28"/>
        </w:rPr>
        <w:t xml:space="preserve"> </w:t>
      </w:r>
      <w:r w:rsidR="003D1485">
        <w:rPr>
          <w:sz w:val="28"/>
          <w:szCs w:val="28"/>
        </w:rPr>
        <w:t xml:space="preserve"> </w:t>
      </w:r>
      <w:r w:rsidR="005A0C04">
        <w:rPr>
          <w:sz w:val="28"/>
          <w:szCs w:val="28"/>
        </w:rPr>
        <w:t xml:space="preserve">Several members believed that screening should be </w:t>
      </w:r>
      <w:r w:rsidR="0096371B">
        <w:rPr>
          <w:sz w:val="28"/>
          <w:szCs w:val="28"/>
        </w:rPr>
        <w:t xml:space="preserve">allowed if the logistics of </w:t>
      </w:r>
      <w:r w:rsidR="00A5208E">
        <w:rPr>
          <w:sz w:val="28"/>
          <w:szCs w:val="28"/>
        </w:rPr>
        <w:t>a government law firm</w:t>
      </w:r>
      <w:r w:rsidR="0096371B">
        <w:rPr>
          <w:sz w:val="28"/>
          <w:szCs w:val="28"/>
        </w:rPr>
        <w:t xml:space="preserve"> </w:t>
      </w:r>
      <w:r w:rsidR="00610A63">
        <w:rPr>
          <w:sz w:val="28"/>
          <w:szCs w:val="28"/>
        </w:rPr>
        <w:t>facilitate</w:t>
      </w:r>
      <w:r w:rsidR="00A5208E">
        <w:rPr>
          <w:sz w:val="28"/>
          <w:szCs w:val="28"/>
        </w:rPr>
        <w:t>d</w:t>
      </w:r>
      <w:r w:rsidR="00610A63">
        <w:rPr>
          <w:sz w:val="28"/>
          <w:szCs w:val="28"/>
        </w:rPr>
        <w:t xml:space="preserve"> doing so. </w:t>
      </w:r>
      <w:r w:rsidR="00A938A9">
        <w:rPr>
          <w:sz w:val="28"/>
          <w:szCs w:val="28"/>
        </w:rPr>
        <w:t>Other members</w:t>
      </w:r>
      <w:r w:rsidR="00233DEE">
        <w:rPr>
          <w:sz w:val="28"/>
          <w:szCs w:val="28"/>
        </w:rPr>
        <w:t xml:space="preserve"> </w:t>
      </w:r>
      <w:r w:rsidR="00A938A9">
        <w:rPr>
          <w:sz w:val="28"/>
          <w:szCs w:val="28"/>
        </w:rPr>
        <w:t>believed that</w:t>
      </w:r>
      <w:r w:rsidR="000A1333">
        <w:rPr>
          <w:sz w:val="28"/>
          <w:szCs w:val="28"/>
        </w:rPr>
        <w:t xml:space="preserve"> except as </w:t>
      </w:r>
      <w:r w:rsidR="000A1333">
        <w:rPr>
          <w:sz w:val="28"/>
          <w:szCs w:val="28"/>
        </w:rPr>
        <w:lastRenderedPageBreak/>
        <w:t xml:space="preserve">allowed under the narrow exceptions in the current ERs, screening </w:t>
      </w:r>
      <w:r w:rsidR="005F577A">
        <w:rPr>
          <w:sz w:val="28"/>
          <w:szCs w:val="28"/>
        </w:rPr>
        <w:t>is contrary</w:t>
      </w:r>
      <w:r w:rsidR="0082586F">
        <w:rPr>
          <w:sz w:val="28"/>
          <w:szCs w:val="28"/>
        </w:rPr>
        <w:t xml:space="preserve"> to the </w:t>
      </w:r>
      <w:r w:rsidR="00C202BE">
        <w:rPr>
          <w:sz w:val="28"/>
          <w:szCs w:val="28"/>
        </w:rPr>
        <w:t xml:space="preserve">established </w:t>
      </w:r>
      <w:r w:rsidR="0082586F">
        <w:rPr>
          <w:sz w:val="28"/>
          <w:szCs w:val="28"/>
        </w:rPr>
        <w:t>principle against concurrent</w:t>
      </w:r>
      <w:r w:rsidR="00C202BE">
        <w:rPr>
          <w:sz w:val="28"/>
          <w:szCs w:val="28"/>
        </w:rPr>
        <w:t xml:space="preserve"> yet</w:t>
      </w:r>
      <w:r w:rsidR="0082586F">
        <w:rPr>
          <w:sz w:val="28"/>
          <w:szCs w:val="28"/>
        </w:rPr>
        <w:t xml:space="preserve"> conflicting representation.</w:t>
      </w:r>
      <w:r w:rsidR="000A1333">
        <w:rPr>
          <w:sz w:val="28"/>
          <w:szCs w:val="28"/>
        </w:rPr>
        <w:t xml:space="preserve"> </w:t>
      </w:r>
    </w:p>
    <w:p w14:paraId="4CF42C70" w14:textId="2F977CC0" w:rsidR="000C1471" w:rsidRPr="001565EB" w:rsidRDefault="00B55AB1" w:rsidP="004246BC">
      <w:pPr>
        <w:pStyle w:val="Body"/>
        <w:tabs>
          <w:tab w:val="left" w:pos="2160"/>
        </w:tabs>
        <w:spacing w:line="480" w:lineRule="auto"/>
        <w:ind w:firstLine="720"/>
        <w:jc w:val="both"/>
        <w:rPr>
          <w:rFonts w:cs="Times New Roman"/>
          <w:sz w:val="28"/>
          <w:szCs w:val="28"/>
          <w14:textOutline w14:w="12700" w14:cap="flat" w14:cmpd="sng" w14:algn="ctr">
            <w14:noFill/>
            <w14:prstDash w14:val="solid"/>
            <w14:miter w14:lim="400000"/>
          </w14:textOutline>
        </w:rPr>
      </w:pPr>
      <w:r w:rsidRPr="001565EB">
        <w:rPr>
          <w:rFonts w:cs="Times New Roman"/>
          <w:sz w:val="28"/>
          <w:szCs w:val="28"/>
          <w14:textOutline w14:w="12700" w14:cap="flat" w14:cmpd="sng" w14:algn="ctr">
            <w14:noFill/>
            <w14:prstDash w14:val="solid"/>
            <w14:miter w14:lim="400000"/>
          </w14:textOutline>
        </w:rPr>
        <w:t>C</w:t>
      </w:r>
      <w:r w:rsidR="0034304C" w:rsidRPr="001565EB">
        <w:rPr>
          <w:rFonts w:cs="Times New Roman"/>
          <w:sz w:val="28"/>
          <w:szCs w:val="28"/>
          <w14:textOutline w14:w="12700" w14:cap="flat" w14:cmpd="sng" w14:algn="ctr">
            <w14:noFill/>
            <w14:prstDash w14:val="solid"/>
            <w14:miter w14:lim="400000"/>
          </w14:textOutline>
        </w:rPr>
        <w:t>urrent ER</w:t>
      </w:r>
      <w:r w:rsidR="00C817E6" w:rsidRPr="001565EB">
        <w:rPr>
          <w:rFonts w:cs="Times New Roman"/>
          <w:sz w:val="28"/>
          <w:szCs w:val="28"/>
          <w14:textOutline w14:w="12700" w14:cap="flat" w14:cmpd="sng" w14:algn="ctr">
            <w14:noFill/>
            <w14:prstDash w14:val="solid"/>
            <w14:miter w14:lim="400000"/>
          </w14:textOutline>
        </w:rPr>
        <w:t>s</w:t>
      </w:r>
      <w:r w:rsidR="0034304C" w:rsidRPr="001565EB">
        <w:rPr>
          <w:rFonts w:cs="Times New Roman"/>
          <w:sz w:val="28"/>
          <w:szCs w:val="28"/>
          <w14:textOutline w14:w="12700" w14:cap="flat" w14:cmpd="sng" w14:algn="ctr">
            <w14:noFill/>
            <w14:prstDash w14:val="solid"/>
            <w14:miter w14:lim="400000"/>
          </w14:textOutline>
        </w:rPr>
        <w:t xml:space="preserve"> 1.10</w:t>
      </w:r>
      <w:r w:rsidR="00C817E6" w:rsidRPr="001565EB">
        <w:rPr>
          <w:rFonts w:cs="Times New Roman"/>
          <w:sz w:val="28"/>
          <w:szCs w:val="28"/>
          <w14:textOutline w14:w="12700" w14:cap="flat" w14:cmpd="sng" w14:algn="ctr">
            <w14:noFill/>
            <w14:prstDash w14:val="solid"/>
            <w14:miter w14:lim="400000"/>
          </w14:textOutline>
        </w:rPr>
        <w:t xml:space="preserve"> and</w:t>
      </w:r>
      <w:r w:rsidR="0034304C" w:rsidRPr="001565EB">
        <w:rPr>
          <w:rFonts w:cs="Times New Roman"/>
          <w:sz w:val="28"/>
          <w:szCs w:val="28"/>
          <w14:textOutline w14:w="12700" w14:cap="flat" w14:cmpd="sng" w14:algn="ctr">
            <w14:noFill/>
            <w14:prstDash w14:val="solid"/>
            <w14:miter w14:lim="400000"/>
          </w14:textOutline>
        </w:rPr>
        <w:t xml:space="preserve"> 1.11</w:t>
      </w:r>
      <w:r w:rsidR="00E11814" w:rsidRPr="001565EB">
        <w:rPr>
          <w:rFonts w:cs="Times New Roman"/>
          <w:sz w:val="28"/>
          <w:szCs w:val="28"/>
          <w14:textOutline w14:w="12700" w14:cap="flat" w14:cmpd="sng" w14:algn="ctr">
            <w14:noFill/>
            <w14:prstDash w14:val="solid"/>
            <w14:miter w14:lim="400000"/>
          </w14:textOutline>
        </w:rPr>
        <w:t>,</w:t>
      </w:r>
      <w:r w:rsidR="00AF01DD" w:rsidRPr="001565EB">
        <w:rPr>
          <w:rFonts w:cs="Times New Roman"/>
          <w:sz w:val="28"/>
          <w:szCs w:val="28"/>
          <w14:textOutline w14:w="12700" w14:cap="flat" w14:cmpd="sng" w14:algn="ctr">
            <w14:noFill/>
            <w14:prstDash w14:val="solid"/>
            <w14:miter w14:lim="400000"/>
          </w14:textOutline>
        </w:rPr>
        <w:t xml:space="preserve"> </w:t>
      </w:r>
      <w:r w:rsidR="00E11814" w:rsidRPr="001565EB">
        <w:rPr>
          <w:rFonts w:cs="Times New Roman"/>
          <w:sz w:val="28"/>
          <w:szCs w:val="28"/>
          <w14:textOutline w14:w="12700" w14:cap="flat" w14:cmpd="sng" w14:algn="ctr">
            <w14:noFill/>
            <w14:prstDash w14:val="solid"/>
            <w14:miter w14:lim="400000"/>
          </w14:textOutline>
        </w:rPr>
        <w:t xml:space="preserve">which concern conflicts of interest, </w:t>
      </w:r>
      <w:r w:rsidR="0034304C" w:rsidRPr="001565EB">
        <w:rPr>
          <w:rFonts w:cs="Times New Roman"/>
          <w:sz w:val="28"/>
          <w:szCs w:val="28"/>
          <w14:textOutline w14:w="12700" w14:cap="flat" w14:cmpd="sng" w14:algn="ctr">
            <w14:noFill/>
            <w14:prstDash w14:val="solid"/>
            <w14:miter w14:lim="400000"/>
          </w14:textOutline>
        </w:rPr>
        <w:t>allow screening to prevent one lawyer</w:t>
      </w:r>
      <w:r w:rsidR="0034304C" w:rsidRPr="001565EB">
        <w:rPr>
          <w:rFonts w:cs="Times New Roman"/>
          <w:sz w:val="28"/>
          <w:szCs w:val="28"/>
          <w:rtl/>
          <w:lang w:val="ar-SA"/>
          <w14:textOutline w14:w="12700" w14:cap="flat" w14:cmpd="sng" w14:algn="ctr">
            <w14:noFill/>
            <w14:prstDash w14:val="solid"/>
            <w14:miter w14:lim="400000"/>
          </w14:textOutline>
        </w:rPr>
        <w:t>’</w:t>
      </w:r>
      <w:r w:rsidR="0034304C" w:rsidRPr="001565EB">
        <w:rPr>
          <w:rFonts w:cs="Times New Roman"/>
          <w:sz w:val="28"/>
          <w:szCs w:val="28"/>
          <w14:textOutline w14:w="12700" w14:cap="flat" w14:cmpd="sng" w14:algn="ctr">
            <w14:noFill/>
            <w14:prstDash w14:val="solid"/>
            <w14:miter w14:lim="400000"/>
          </w14:textOutline>
        </w:rPr>
        <w:t xml:space="preserve">s conflict from infecting and disqualifying the entire office </w:t>
      </w:r>
      <w:r w:rsidR="00ED1657" w:rsidRPr="001565EB">
        <w:rPr>
          <w:rFonts w:cs="Times New Roman"/>
          <w:sz w:val="28"/>
          <w:szCs w:val="28"/>
          <w14:textOutline w14:w="12700" w14:cap="flat" w14:cmpd="sng" w14:algn="ctr">
            <w14:noFill/>
            <w14:prstDash w14:val="solid"/>
            <w14:miter w14:lim="400000"/>
          </w14:textOutline>
        </w:rPr>
        <w:t xml:space="preserve">only </w:t>
      </w:r>
      <w:r w:rsidR="0034304C" w:rsidRPr="001565EB">
        <w:rPr>
          <w:rFonts w:cs="Times New Roman"/>
          <w:sz w:val="28"/>
          <w:szCs w:val="28"/>
          <w14:textOutline w14:w="12700" w14:cap="flat" w14:cmpd="sng" w14:algn="ctr">
            <w14:noFill/>
            <w14:prstDash w14:val="solid"/>
            <w14:miter w14:lim="400000"/>
          </w14:textOutline>
        </w:rPr>
        <w:t xml:space="preserve">under certain circumstances. </w:t>
      </w:r>
      <w:r w:rsidR="00227619">
        <w:rPr>
          <w:rFonts w:cs="Times New Roman"/>
          <w:sz w:val="28"/>
          <w:szCs w:val="28"/>
          <w14:textOutline w14:w="12700" w14:cap="flat" w14:cmpd="sng" w14:algn="ctr">
            <w14:noFill/>
            <w14:prstDash w14:val="solid"/>
            <w14:miter w14:lim="400000"/>
          </w14:textOutline>
        </w:rPr>
        <w:t>For example, s</w:t>
      </w:r>
      <w:r w:rsidR="00227619" w:rsidRPr="001565EB">
        <w:rPr>
          <w:rFonts w:cs="Times New Roman"/>
          <w:sz w:val="28"/>
          <w:szCs w:val="28"/>
          <w14:textOutline w14:w="12700" w14:cap="flat" w14:cmpd="sng" w14:algn="ctr">
            <w14:noFill/>
            <w14:prstDash w14:val="solid"/>
            <w14:miter w14:lim="400000"/>
          </w14:textOutline>
        </w:rPr>
        <w:t xml:space="preserve">creening </w:t>
      </w:r>
      <w:r w:rsidR="00ED1657" w:rsidRPr="001565EB">
        <w:rPr>
          <w:rFonts w:cs="Times New Roman"/>
          <w:sz w:val="28"/>
          <w:szCs w:val="28"/>
          <w14:textOutline w14:w="12700" w14:cap="flat" w14:cmpd="sng" w14:algn="ctr">
            <w14:noFill/>
            <w14:prstDash w14:val="solid"/>
            <w14:miter w14:lim="400000"/>
          </w14:textOutline>
        </w:rPr>
        <w:t>is permitted</w:t>
      </w:r>
      <w:r w:rsidR="0034304C" w:rsidRPr="001565EB">
        <w:rPr>
          <w:rFonts w:cs="Times New Roman"/>
          <w:sz w:val="28"/>
          <w:szCs w:val="28"/>
          <w14:textOutline w14:w="12700" w14:cap="flat" w14:cmpd="sng" w14:algn="ctr">
            <w14:noFill/>
            <w14:prstDash w14:val="solid"/>
            <w14:miter w14:lim="400000"/>
          </w14:textOutline>
        </w:rPr>
        <w:t xml:space="preserve"> when the conflict is a personal conflict </w:t>
      </w:r>
      <w:r w:rsidR="00B759E6" w:rsidRPr="001565EB">
        <w:rPr>
          <w:rFonts w:cs="Times New Roman"/>
          <w:sz w:val="28"/>
          <w:szCs w:val="28"/>
          <w14:textOutline w14:w="12700" w14:cap="flat" w14:cmpd="sng" w14:algn="ctr">
            <w14:noFill/>
            <w14:prstDash w14:val="solid"/>
            <w14:miter w14:lim="400000"/>
          </w14:textOutline>
        </w:rPr>
        <w:t>of</w:t>
      </w:r>
      <w:r w:rsidR="0034304C" w:rsidRPr="001565EB">
        <w:rPr>
          <w:rFonts w:cs="Times New Roman"/>
          <w:sz w:val="28"/>
          <w:szCs w:val="28"/>
          <w14:textOutline w14:w="12700" w14:cap="flat" w14:cmpd="sng" w14:algn="ctr">
            <w14:noFill/>
            <w14:prstDash w14:val="solid"/>
            <w14:miter w14:lim="400000"/>
          </w14:textOutline>
        </w:rPr>
        <w:t xml:space="preserve"> one lawyer, </w:t>
      </w:r>
      <w:r w:rsidR="00360643" w:rsidRPr="001565EB">
        <w:rPr>
          <w:rFonts w:cs="Times New Roman"/>
          <w:sz w:val="28"/>
          <w:szCs w:val="28"/>
          <w14:textOutline w14:w="12700" w14:cap="flat" w14:cmpd="sng" w14:algn="ctr">
            <w14:noFill/>
            <w14:prstDash w14:val="solid"/>
            <w14:miter w14:lim="400000"/>
          </w14:textOutline>
        </w:rPr>
        <w:t xml:space="preserve">a </w:t>
      </w:r>
      <w:r w:rsidR="002E3663" w:rsidRPr="001565EB">
        <w:rPr>
          <w:rFonts w:cs="Times New Roman"/>
          <w:sz w:val="28"/>
          <w:szCs w:val="28"/>
          <w14:textOutline w14:w="12700" w14:cap="flat" w14:cmpd="sng" w14:algn="ctr">
            <w14:noFill/>
            <w14:prstDash w14:val="solid"/>
            <w14:miter w14:lim="400000"/>
          </w14:textOutline>
        </w:rPr>
        <w:t>conflict</w:t>
      </w:r>
      <w:r w:rsidR="00360643" w:rsidRPr="001565EB">
        <w:rPr>
          <w:rFonts w:cs="Times New Roman"/>
          <w:sz w:val="28"/>
          <w:szCs w:val="28"/>
          <w14:textOutline w14:w="12700" w14:cap="flat" w14:cmpd="sng" w14:algn="ctr">
            <w14:noFill/>
            <w14:prstDash w14:val="solid"/>
            <w14:miter w14:lim="400000"/>
          </w14:textOutline>
        </w:rPr>
        <w:t xml:space="preserve"> that occasionally happens when</w:t>
      </w:r>
      <w:r w:rsidR="0034304C" w:rsidRPr="001565EB">
        <w:rPr>
          <w:rFonts w:cs="Times New Roman"/>
          <w:sz w:val="28"/>
          <w:szCs w:val="28"/>
          <w14:textOutline w14:w="12700" w14:cap="flat" w14:cmpd="sng" w14:algn="ctr">
            <w14:noFill/>
            <w14:prstDash w14:val="solid"/>
            <w14:miter w14:lim="400000"/>
          </w14:textOutline>
        </w:rPr>
        <w:t xml:space="preserve"> that lawyer mov</w:t>
      </w:r>
      <w:r w:rsidR="002E3663" w:rsidRPr="001565EB">
        <w:rPr>
          <w:rFonts w:cs="Times New Roman"/>
          <w:sz w:val="28"/>
          <w:szCs w:val="28"/>
          <w14:textOutline w14:w="12700" w14:cap="flat" w14:cmpd="sng" w14:algn="ctr">
            <w14:noFill/>
            <w14:prstDash w14:val="solid"/>
            <w14:miter w14:lim="400000"/>
          </w14:textOutline>
        </w:rPr>
        <w:t>es</w:t>
      </w:r>
      <w:r w:rsidR="0034304C" w:rsidRPr="001565EB">
        <w:rPr>
          <w:rFonts w:cs="Times New Roman"/>
          <w:sz w:val="28"/>
          <w:szCs w:val="28"/>
          <w14:textOutline w14:w="12700" w14:cap="flat" w14:cmpd="sng" w14:algn="ctr">
            <w14:noFill/>
            <w14:prstDash w14:val="solid"/>
            <w14:miter w14:lim="400000"/>
          </w14:textOutline>
        </w:rPr>
        <w:t xml:space="preserve"> from one office to another. </w:t>
      </w:r>
      <w:r w:rsidR="00286ED3">
        <w:rPr>
          <w:rFonts w:cs="Times New Roman"/>
          <w:sz w:val="28"/>
          <w:szCs w:val="28"/>
          <w14:textOutline w14:w="12700" w14:cap="flat" w14:cmpd="sng" w14:algn="ctr">
            <w14:noFill/>
            <w14:prstDash w14:val="solid"/>
            <w14:miter w14:lim="400000"/>
          </w14:textOutline>
        </w:rPr>
        <w:t xml:space="preserve"> After considerable discussion</w:t>
      </w:r>
      <w:r w:rsidR="00BB7BD0">
        <w:rPr>
          <w:rFonts w:cs="Times New Roman"/>
          <w:sz w:val="28"/>
          <w:szCs w:val="28"/>
          <w14:textOutline w14:w="12700" w14:cap="flat" w14:cmpd="sng" w14:algn="ctr">
            <w14:noFill/>
            <w14:prstDash w14:val="solid"/>
            <w14:miter w14:lim="400000"/>
          </w14:textOutline>
        </w:rPr>
        <w:t xml:space="preserve">, </w:t>
      </w:r>
      <w:r w:rsidR="00286ED3">
        <w:rPr>
          <w:rFonts w:cs="Times New Roman"/>
          <w:sz w:val="28"/>
          <w:szCs w:val="28"/>
          <w14:textOutline w14:w="12700" w14:cap="flat" w14:cmpd="sng" w14:algn="ctr">
            <w14:noFill/>
            <w14:prstDash w14:val="solid"/>
            <w14:miter w14:lim="400000"/>
          </w14:textOutline>
        </w:rPr>
        <w:t>a majority of members agr</w:t>
      </w:r>
      <w:r w:rsidR="00723A9C">
        <w:rPr>
          <w:rFonts w:cs="Times New Roman"/>
          <w:sz w:val="28"/>
          <w:szCs w:val="28"/>
          <w14:textOutline w14:w="12700" w14:cap="flat" w14:cmpd="sng" w14:algn="ctr">
            <w14:noFill/>
            <w14:prstDash w14:val="solid"/>
            <w14:miter w14:lim="400000"/>
          </w14:textOutline>
        </w:rPr>
        <w:t>eed that</w:t>
      </w:r>
      <w:r w:rsidR="00B46F77">
        <w:rPr>
          <w:rFonts w:cs="Times New Roman"/>
          <w:sz w:val="28"/>
          <w:szCs w:val="28"/>
          <w14:textOutline w14:w="12700" w14:cap="flat" w14:cmpd="sng" w14:algn="ctr">
            <w14:noFill/>
            <w14:prstDash w14:val="solid"/>
            <w14:miter w14:lim="400000"/>
          </w14:textOutline>
        </w:rPr>
        <w:t xml:space="preserve"> issues involving conflicts are to be resolved under the current ERs as amended by these proposed rules.</w:t>
      </w:r>
      <w:r w:rsidR="0003412E">
        <w:rPr>
          <w:rFonts w:cs="Times New Roman"/>
          <w:sz w:val="28"/>
          <w:szCs w:val="28"/>
          <w14:textOutline w14:w="12700" w14:cap="flat" w14:cmpd="sng" w14:algn="ctr">
            <w14:noFill/>
            <w14:prstDash w14:val="solid"/>
            <w14:miter w14:lim="400000"/>
          </w14:textOutline>
        </w:rPr>
        <w:t xml:space="preserve"> </w:t>
      </w:r>
      <w:r w:rsidR="008A27AA" w:rsidRPr="001565EB">
        <w:rPr>
          <w:rFonts w:cs="Times New Roman"/>
          <w:sz w:val="28"/>
          <w:szCs w:val="28"/>
          <w14:textOutline w14:w="12700" w14:cap="flat" w14:cmpd="sng" w14:algn="ctr">
            <w14:noFill/>
            <w14:prstDash w14:val="solid"/>
            <w14:miter w14:lim="400000"/>
          </w14:textOutline>
        </w:rPr>
        <w:t>Accordingly, the Task Force does not agree that</w:t>
      </w:r>
      <w:r w:rsidR="00C74F54" w:rsidRPr="001565EB">
        <w:rPr>
          <w:rFonts w:cs="Times New Roman"/>
          <w:sz w:val="28"/>
          <w:szCs w:val="28"/>
          <w14:textOutline w14:w="12700" w14:cap="flat" w14:cmpd="sng" w14:algn="ctr">
            <w14:noFill/>
            <w14:prstDash w14:val="solid"/>
            <w14:miter w14:lim="400000"/>
          </w14:textOutline>
        </w:rPr>
        <w:t xml:space="preserve"> the Court should add the AGO’s </w:t>
      </w:r>
      <w:r w:rsidR="00B36296">
        <w:rPr>
          <w:rFonts w:cs="Times New Roman"/>
          <w:sz w:val="28"/>
          <w:szCs w:val="28"/>
          <w14:textOutline w14:w="12700" w14:cap="flat" w14:cmpd="sng" w14:algn="ctr">
            <w14:noFill/>
            <w14:prstDash w14:val="solid"/>
            <w14:miter w14:lim="400000"/>
          </w14:textOutline>
        </w:rPr>
        <w:t>suggested</w:t>
      </w:r>
      <w:r w:rsidR="00C74F54" w:rsidRPr="001565EB">
        <w:rPr>
          <w:rFonts w:cs="Times New Roman"/>
          <w:sz w:val="28"/>
          <w:szCs w:val="28"/>
          <w14:textOutline w14:w="12700" w14:cap="flat" w14:cmpd="sng" w14:algn="ctr">
            <w14:noFill/>
            <w14:prstDash w14:val="solid"/>
            <w14:miter w14:lim="400000"/>
          </w14:textOutline>
        </w:rPr>
        <w:t xml:space="preserve"> text.</w:t>
      </w:r>
    </w:p>
    <w:p w14:paraId="4217DC3A" w14:textId="7D42CDFB" w:rsidR="004613E2" w:rsidRPr="001565EB" w:rsidRDefault="000E2B8C" w:rsidP="00B55AB1">
      <w:pPr>
        <w:pStyle w:val="Body"/>
        <w:tabs>
          <w:tab w:val="left" w:pos="2160"/>
        </w:tabs>
        <w:spacing w:line="480" w:lineRule="auto"/>
        <w:ind w:firstLine="720"/>
        <w:jc w:val="both"/>
        <w:rPr>
          <w:sz w:val="28"/>
          <w:szCs w:val="28"/>
        </w:rPr>
      </w:pPr>
      <w:r>
        <w:rPr>
          <w:b/>
          <w:bCs/>
          <w:i/>
          <w:iCs/>
          <w:sz w:val="28"/>
          <w:szCs w:val="28"/>
        </w:rPr>
        <w:t>(</w:t>
      </w:r>
      <w:r w:rsidR="0046449C" w:rsidRPr="001565EB">
        <w:rPr>
          <w:b/>
          <w:bCs/>
          <w:i/>
          <w:iCs/>
          <w:sz w:val="28"/>
          <w:szCs w:val="28"/>
        </w:rPr>
        <w:t>v</w:t>
      </w:r>
      <w:r>
        <w:rPr>
          <w:b/>
          <w:bCs/>
          <w:i/>
          <w:iCs/>
          <w:sz w:val="28"/>
          <w:szCs w:val="28"/>
        </w:rPr>
        <w:t>)</w:t>
      </w:r>
      <w:r w:rsidR="0046449C" w:rsidRPr="001565EB">
        <w:rPr>
          <w:b/>
          <w:bCs/>
          <w:i/>
          <w:iCs/>
          <w:sz w:val="28"/>
          <w:szCs w:val="28"/>
        </w:rPr>
        <w:t xml:space="preserve"> Proposed ER 1.8.</w:t>
      </w:r>
      <w:r w:rsidR="005D4453" w:rsidRPr="001565EB">
        <w:rPr>
          <w:b/>
          <w:bCs/>
          <w:i/>
          <w:iCs/>
          <w:sz w:val="28"/>
          <w:szCs w:val="28"/>
        </w:rPr>
        <w:t xml:space="preserve"> </w:t>
      </w:r>
      <w:r w:rsidR="00A31058" w:rsidRPr="001565EB">
        <w:rPr>
          <w:sz w:val="28"/>
          <w:szCs w:val="28"/>
        </w:rPr>
        <w:t xml:space="preserve">The only change the Task </w:t>
      </w:r>
      <w:r w:rsidR="00215974">
        <w:rPr>
          <w:sz w:val="28"/>
          <w:szCs w:val="28"/>
        </w:rPr>
        <w:t xml:space="preserve">Force </w:t>
      </w:r>
      <w:r w:rsidR="00A31058" w:rsidRPr="001565EB">
        <w:rPr>
          <w:sz w:val="28"/>
          <w:szCs w:val="28"/>
        </w:rPr>
        <w:t xml:space="preserve">made to </w:t>
      </w:r>
      <w:r w:rsidR="00A22923" w:rsidRPr="001565EB">
        <w:rPr>
          <w:sz w:val="28"/>
          <w:szCs w:val="28"/>
        </w:rPr>
        <w:t>ER 1</w:t>
      </w:r>
      <w:r w:rsidR="00A31058" w:rsidRPr="001565EB">
        <w:rPr>
          <w:sz w:val="28"/>
          <w:szCs w:val="28"/>
        </w:rPr>
        <w:t>.8 (“Conflict of Interest: Current Clients: Specific Rules”)</w:t>
      </w:r>
      <w:r w:rsidR="00A31058" w:rsidRPr="001565EB">
        <w:rPr>
          <w:b/>
          <w:bCs/>
          <w:sz w:val="28"/>
          <w:szCs w:val="28"/>
        </w:rPr>
        <w:t xml:space="preserve"> </w:t>
      </w:r>
      <w:r w:rsidR="005F2F1D" w:rsidRPr="001565EB">
        <w:rPr>
          <w:sz w:val="28"/>
          <w:szCs w:val="28"/>
        </w:rPr>
        <w:t xml:space="preserve">was </w:t>
      </w:r>
      <w:r w:rsidR="00215974" w:rsidRPr="001565EB">
        <w:rPr>
          <w:sz w:val="28"/>
          <w:szCs w:val="28"/>
        </w:rPr>
        <w:t>relocat</w:t>
      </w:r>
      <w:r w:rsidR="00215974">
        <w:rPr>
          <w:sz w:val="28"/>
          <w:szCs w:val="28"/>
        </w:rPr>
        <w:t xml:space="preserve">ing </w:t>
      </w:r>
      <w:r w:rsidR="005F2F1D" w:rsidRPr="001565EB">
        <w:rPr>
          <w:sz w:val="28"/>
          <w:szCs w:val="28"/>
        </w:rPr>
        <w:t xml:space="preserve">a provision in </w:t>
      </w:r>
      <w:r w:rsidR="002F5B26" w:rsidRPr="001565EB">
        <w:rPr>
          <w:sz w:val="28"/>
          <w:szCs w:val="28"/>
        </w:rPr>
        <w:t>Paragraph</w:t>
      </w:r>
      <w:r w:rsidR="005F2F1D" w:rsidRPr="001565EB">
        <w:rPr>
          <w:sz w:val="28"/>
          <w:szCs w:val="28"/>
        </w:rPr>
        <w:t xml:space="preserve"> 11 of the current comment to </w:t>
      </w:r>
      <w:r w:rsidR="00D02B1A" w:rsidRPr="001565EB">
        <w:rPr>
          <w:sz w:val="28"/>
          <w:szCs w:val="28"/>
        </w:rPr>
        <w:t>section (g) of the rule. The provision was relocated verbatim</w:t>
      </w:r>
      <w:r w:rsidR="009E7E3F" w:rsidRPr="001565EB">
        <w:rPr>
          <w:sz w:val="28"/>
          <w:szCs w:val="28"/>
        </w:rPr>
        <w:t xml:space="preserve">, and </w:t>
      </w:r>
      <w:r w:rsidR="003F5E2E" w:rsidRPr="001565EB">
        <w:rPr>
          <w:sz w:val="28"/>
          <w:szCs w:val="28"/>
        </w:rPr>
        <w:t xml:space="preserve">the AGO </w:t>
      </w:r>
      <w:r w:rsidR="00714353" w:rsidRPr="001565EB">
        <w:rPr>
          <w:sz w:val="28"/>
          <w:szCs w:val="28"/>
        </w:rPr>
        <w:t xml:space="preserve">comment </w:t>
      </w:r>
      <w:r w:rsidR="003F5E2E" w:rsidRPr="001565EB">
        <w:rPr>
          <w:sz w:val="28"/>
          <w:szCs w:val="28"/>
        </w:rPr>
        <w:t>acknowledge</w:t>
      </w:r>
      <w:r w:rsidR="00714353" w:rsidRPr="001565EB">
        <w:rPr>
          <w:sz w:val="28"/>
          <w:szCs w:val="28"/>
        </w:rPr>
        <w:t>s</w:t>
      </w:r>
      <w:r w:rsidR="009E7E3F" w:rsidRPr="001565EB">
        <w:rPr>
          <w:sz w:val="28"/>
          <w:szCs w:val="28"/>
        </w:rPr>
        <w:t xml:space="preserve"> that the wording is unchanged</w:t>
      </w:r>
      <w:r w:rsidR="00714353" w:rsidRPr="001565EB">
        <w:rPr>
          <w:sz w:val="28"/>
          <w:szCs w:val="28"/>
        </w:rPr>
        <w:t>.</w:t>
      </w:r>
      <w:r w:rsidR="00E51E3E">
        <w:rPr>
          <w:sz w:val="28"/>
          <w:szCs w:val="28"/>
        </w:rPr>
        <w:t xml:space="preserve"> </w:t>
      </w:r>
      <w:r w:rsidR="003F607A">
        <w:rPr>
          <w:sz w:val="28"/>
          <w:szCs w:val="28"/>
        </w:rPr>
        <w:t>The AGO</w:t>
      </w:r>
      <w:r w:rsidR="003F607A" w:rsidRPr="001565EB">
        <w:rPr>
          <w:sz w:val="28"/>
          <w:szCs w:val="28"/>
        </w:rPr>
        <w:t xml:space="preserve"> </w:t>
      </w:r>
      <w:r w:rsidR="008F20C2" w:rsidRPr="001565EB">
        <w:rPr>
          <w:sz w:val="28"/>
          <w:szCs w:val="28"/>
        </w:rPr>
        <w:t>is concerned</w:t>
      </w:r>
      <w:r w:rsidR="00714353" w:rsidRPr="001565EB">
        <w:rPr>
          <w:sz w:val="28"/>
          <w:szCs w:val="28"/>
        </w:rPr>
        <w:t>, however,</w:t>
      </w:r>
      <w:r w:rsidR="0083325F" w:rsidRPr="001565EB">
        <w:rPr>
          <w:sz w:val="28"/>
          <w:szCs w:val="28"/>
        </w:rPr>
        <w:t xml:space="preserve"> </w:t>
      </w:r>
      <w:r w:rsidR="00572F4E" w:rsidRPr="001565EB">
        <w:rPr>
          <w:sz w:val="28"/>
          <w:szCs w:val="28"/>
        </w:rPr>
        <w:t xml:space="preserve">with </w:t>
      </w:r>
      <w:r w:rsidR="00C553F1" w:rsidRPr="001565EB">
        <w:rPr>
          <w:sz w:val="28"/>
          <w:szCs w:val="28"/>
        </w:rPr>
        <w:t xml:space="preserve">the phrase </w:t>
      </w:r>
      <w:r w:rsidR="00922501" w:rsidRPr="001565EB">
        <w:rPr>
          <w:sz w:val="28"/>
          <w:szCs w:val="28"/>
        </w:rPr>
        <w:t>“potential for a conflict of interest</w:t>
      </w:r>
      <w:r w:rsidR="008F20C2" w:rsidRPr="001565EB">
        <w:rPr>
          <w:sz w:val="28"/>
          <w:szCs w:val="28"/>
        </w:rPr>
        <w:t>.</w:t>
      </w:r>
      <w:r w:rsidR="00922501" w:rsidRPr="001565EB">
        <w:rPr>
          <w:sz w:val="28"/>
          <w:szCs w:val="28"/>
        </w:rPr>
        <w:t>”</w:t>
      </w:r>
      <w:r w:rsidR="008F20C2" w:rsidRPr="001565EB">
        <w:rPr>
          <w:sz w:val="28"/>
          <w:szCs w:val="28"/>
        </w:rPr>
        <w:t xml:space="preserve">  It contends that </w:t>
      </w:r>
      <w:r w:rsidR="00A25B28" w:rsidRPr="001565EB">
        <w:rPr>
          <w:sz w:val="28"/>
          <w:szCs w:val="28"/>
        </w:rPr>
        <w:t>th</w:t>
      </w:r>
      <w:r w:rsidR="00A25B28">
        <w:rPr>
          <w:sz w:val="28"/>
          <w:szCs w:val="28"/>
        </w:rPr>
        <w:t>is</w:t>
      </w:r>
      <w:r w:rsidR="00A25B28" w:rsidRPr="001565EB">
        <w:rPr>
          <w:sz w:val="28"/>
          <w:szCs w:val="28"/>
        </w:rPr>
        <w:t xml:space="preserve"> </w:t>
      </w:r>
      <w:r w:rsidR="008F20C2" w:rsidRPr="001565EB">
        <w:rPr>
          <w:sz w:val="28"/>
          <w:szCs w:val="28"/>
        </w:rPr>
        <w:t>phrase “</w:t>
      </w:r>
      <w:r w:rsidR="00C553F1" w:rsidRPr="001565EB">
        <w:rPr>
          <w:sz w:val="28"/>
          <w:szCs w:val="28"/>
        </w:rPr>
        <w:t>introduces some ambiguities when added to the text of the Rule without clarifying amendments</w:t>
      </w:r>
      <w:r w:rsidR="00101D13">
        <w:rPr>
          <w:sz w:val="28"/>
          <w:szCs w:val="28"/>
        </w:rPr>
        <w:t>.</w:t>
      </w:r>
      <w:r w:rsidR="00101D13" w:rsidRPr="001565EB">
        <w:rPr>
          <w:sz w:val="28"/>
          <w:szCs w:val="28"/>
        </w:rPr>
        <w:t xml:space="preserve">” </w:t>
      </w:r>
      <w:r w:rsidR="00101D13">
        <w:rPr>
          <w:sz w:val="28"/>
          <w:szCs w:val="28"/>
        </w:rPr>
        <w:t>The AGO</w:t>
      </w:r>
      <w:r w:rsidR="00A67734" w:rsidRPr="001565EB">
        <w:rPr>
          <w:sz w:val="28"/>
          <w:szCs w:val="28"/>
        </w:rPr>
        <w:t xml:space="preserve"> </w:t>
      </w:r>
      <w:r w:rsidR="00B67AE7" w:rsidRPr="001565EB">
        <w:rPr>
          <w:sz w:val="28"/>
          <w:szCs w:val="28"/>
        </w:rPr>
        <w:t xml:space="preserve">accordingly </w:t>
      </w:r>
      <w:r w:rsidR="00A67734" w:rsidRPr="001565EB">
        <w:rPr>
          <w:sz w:val="28"/>
          <w:szCs w:val="28"/>
        </w:rPr>
        <w:t xml:space="preserve">proposes to substitute the phrase </w:t>
      </w:r>
      <w:r w:rsidR="00461F92" w:rsidRPr="001565EB">
        <w:rPr>
          <w:sz w:val="28"/>
          <w:szCs w:val="28"/>
        </w:rPr>
        <w:t xml:space="preserve">“a substantial likelihood of a conflict of interest.” </w:t>
      </w:r>
      <w:r w:rsidR="00C566C7" w:rsidRPr="001565EB">
        <w:rPr>
          <w:sz w:val="28"/>
          <w:szCs w:val="28"/>
        </w:rPr>
        <w:t xml:space="preserve"> The AGO </w:t>
      </w:r>
      <w:r w:rsidR="00CF1357" w:rsidRPr="001565EB">
        <w:rPr>
          <w:sz w:val="28"/>
          <w:szCs w:val="28"/>
        </w:rPr>
        <w:t>comm</w:t>
      </w:r>
      <w:r w:rsidR="001063B2" w:rsidRPr="001565EB">
        <w:rPr>
          <w:sz w:val="28"/>
          <w:szCs w:val="28"/>
        </w:rPr>
        <w:t>ent concludes</w:t>
      </w:r>
      <w:r w:rsidR="00D74998" w:rsidRPr="001565EB">
        <w:rPr>
          <w:sz w:val="28"/>
          <w:szCs w:val="28"/>
        </w:rPr>
        <w:t xml:space="preserve"> that doing so “would resolve vagueness concerns and </w:t>
      </w:r>
      <w:r w:rsidR="00D74998" w:rsidRPr="001565EB">
        <w:rPr>
          <w:sz w:val="28"/>
          <w:szCs w:val="28"/>
        </w:rPr>
        <w:lastRenderedPageBreak/>
        <w:t>ensure a government lawyer is not penalized for not identifying a potential conflict of interest.”</w:t>
      </w:r>
      <w:r w:rsidR="008C4AFA" w:rsidRPr="001565EB">
        <w:rPr>
          <w:sz w:val="28"/>
          <w:szCs w:val="28"/>
        </w:rPr>
        <w:t xml:space="preserve">  </w:t>
      </w:r>
    </w:p>
    <w:p w14:paraId="3C220BC2" w14:textId="5B468DB7" w:rsidR="00A31058" w:rsidRPr="001565EB" w:rsidRDefault="0091040A" w:rsidP="00A31058">
      <w:pPr>
        <w:spacing w:line="480" w:lineRule="auto"/>
        <w:ind w:firstLine="720"/>
        <w:jc w:val="both"/>
        <w:rPr>
          <w:sz w:val="28"/>
          <w:szCs w:val="28"/>
        </w:rPr>
      </w:pPr>
      <w:r w:rsidRPr="001565EB">
        <w:rPr>
          <w:sz w:val="28"/>
          <w:szCs w:val="28"/>
        </w:rPr>
        <w:t xml:space="preserve">In determining the existence of a conflict, </w:t>
      </w:r>
      <w:r w:rsidR="004A3447" w:rsidRPr="001565EB">
        <w:rPr>
          <w:sz w:val="28"/>
          <w:szCs w:val="28"/>
        </w:rPr>
        <w:t xml:space="preserve">“substantial likelihood” </w:t>
      </w:r>
      <w:r w:rsidR="00767A57">
        <w:rPr>
          <w:sz w:val="28"/>
          <w:szCs w:val="28"/>
        </w:rPr>
        <w:t xml:space="preserve">— </w:t>
      </w:r>
      <w:r w:rsidR="00113288" w:rsidRPr="001565EB">
        <w:rPr>
          <w:sz w:val="28"/>
          <w:szCs w:val="28"/>
        </w:rPr>
        <w:t xml:space="preserve">that is, “probable” </w:t>
      </w:r>
      <w:r w:rsidR="00767A57">
        <w:rPr>
          <w:sz w:val="28"/>
          <w:szCs w:val="28"/>
        </w:rPr>
        <w:t xml:space="preserve">— </w:t>
      </w:r>
      <w:r w:rsidR="004A3447" w:rsidRPr="001565EB">
        <w:rPr>
          <w:sz w:val="28"/>
          <w:szCs w:val="28"/>
        </w:rPr>
        <w:t>is a higher standard</w:t>
      </w:r>
      <w:r w:rsidRPr="001565EB">
        <w:rPr>
          <w:sz w:val="28"/>
          <w:szCs w:val="28"/>
        </w:rPr>
        <w:t xml:space="preserve"> tha</w:t>
      </w:r>
      <w:r w:rsidR="00113288" w:rsidRPr="001565EB">
        <w:rPr>
          <w:sz w:val="28"/>
          <w:szCs w:val="28"/>
        </w:rPr>
        <w:t>n</w:t>
      </w:r>
      <w:r w:rsidRPr="001565EB">
        <w:rPr>
          <w:sz w:val="28"/>
          <w:szCs w:val="28"/>
        </w:rPr>
        <w:t xml:space="preserve"> “potential</w:t>
      </w:r>
      <w:r w:rsidR="003429B5" w:rsidRPr="001565EB">
        <w:rPr>
          <w:sz w:val="28"/>
          <w:szCs w:val="28"/>
        </w:rPr>
        <w:t>,</w:t>
      </w:r>
      <w:r w:rsidRPr="001565EB">
        <w:rPr>
          <w:sz w:val="28"/>
          <w:szCs w:val="28"/>
        </w:rPr>
        <w:t>”</w:t>
      </w:r>
      <w:r w:rsidR="008C4AFA" w:rsidRPr="001565EB">
        <w:rPr>
          <w:sz w:val="28"/>
          <w:szCs w:val="28"/>
        </w:rPr>
        <w:t xml:space="preserve"> </w:t>
      </w:r>
      <w:r w:rsidR="003429B5" w:rsidRPr="001565EB">
        <w:rPr>
          <w:sz w:val="28"/>
          <w:szCs w:val="28"/>
        </w:rPr>
        <w:t xml:space="preserve">i.e., possible but discernable. </w:t>
      </w:r>
      <w:r w:rsidR="008C4AFA" w:rsidRPr="001565EB">
        <w:rPr>
          <w:sz w:val="28"/>
          <w:szCs w:val="28"/>
        </w:rPr>
        <w:t xml:space="preserve"> </w:t>
      </w:r>
      <w:r w:rsidR="00113288" w:rsidRPr="001565EB">
        <w:rPr>
          <w:sz w:val="28"/>
          <w:szCs w:val="28"/>
        </w:rPr>
        <w:t>The Task Force</w:t>
      </w:r>
      <w:r w:rsidR="00C33F96" w:rsidRPr="001565EB">
        <w:rPr>
          <w:sz w:val="28"/>
          <w:szCs w:val="28"/>
        </w:rPr>
        <w:t xml:space="preserve"> does not believe the current wording is problematic or that a higher standard is necessary</w:t>
      </w:r>
      <w:r w:rsidR="00D01FD3" w:rsidRPr="001565EB">
        <w:rPr>
          <w:sz w:val="28"/>
          <w:szCs w:val="28"/>
        </w:rPr>
        <w:t>. I</w:t>
      </w:r>
      <w:r w:rsidR="00C33F96" w:rsidRPr="001565EB">
        <w:rPr>
          <w:sz w:val="28"/>
          <w:szCs w:val="28"/>
        </w:rPr>
        <w:t xml:space="preserve">t </w:t>
      </w:r>
      <w:r w:rsidR="00760BCD" w:rsidRPr="001565EB">
        <w:rPr>
          <w:sz w:val="28"/>
          <w:szCs w:val="28"/>
        </w:rPr>
        <w:t>disagrees with the need for this proposed change.</w:t>
      </w:r>
    </w:p>
    <w:p w14:paraId="340782AA" w14:textId="3CB77DE5" w:rsidR="00E679E1" w:rsidRPr="001565EB" w:rsidRDefault="000E2B8C" w:rsidP="00A31058">
      <w:pPr>
        <w:spacing w:line="480" w:lineRule="auto"/>
        <w:ind w:firstLine="720"/>
        <w:jc w:val="both"/>
        <w:rPr>
          <w:sz w:val="28"/>
          <w:szCs w:val="28"/>
        </w:rPr>
      </w:pPr>
      <w:r>
        <w:rPr>
          <w:b/>
          <w:bCs/>
          <w:i/>
          <w:iCs/>
          <w:sz w:val="28"/>
          <w:szCs w:val="28"/>
        </w:rPr>
        <w:t>(</w:t>
      </w:r>
      <w:r w:rsidR="00760BCD" w:rsidRPr="001565EB">
        <w:rPr>
          <w:b/>
          <w:bCs/>
          <w:i/>
          <w:iCs/>
          <w:sz w:val="28"/>
          <w:szCs w:val="28"/>
        </w:rPr>
        <w:t>vi</w:t>
      </w:r>
      <w:r>
        <w:rPr>
          <w:b/>
          <w:bCs/>
          <w:i/>
          <w:iCs/>
          <w:sz w:val="28"/>
          <w:szCs w:val="28"/>
        </w:rPr>
        <w:t>)</w:t>
      </w:r>
      <w:r w:rsidR="00760BCD" w:rsidRPr="001565EB">
        <w:rPr>
          <w:b/>
          <w:bCs/>
          <w:i/>
          <w:iCs/>
          <w:sz w:val="28"/>
          <w:szCs w:val="28"/>
        </w:rPr>
        <w:t xml:space="preserve"> </w:t>
      </w:r>
      <w:r w:rsidR="00453A30" w:rsidRPr="001565EB">
        <w:rPr>
          <w:b/>
          <w:bCs/>
          <w:i/>
          <w:iCs/>
          <w:sz w:val="28"/>
          <w:szCs w:val="28"/>
        </w:rPr>
        <w:t>Proposed ER 1.16.</w:t>
      </w:r>
      <w:r w:rsidR="00453A30" w:rsidRPr="001565EB">
        <w:rPr>
          <w:sz w:val="28"/>
          <w:szCs w:val="28"/>
        </w:rPr>
        <w:t xml:space="preserve"> </w:t>
      </w:r>
      <w:r w:rsidR="008D0846" w:rsidRPr="001565EB">
        <w:rPr>
          <w:sz w:val="28"/>
          <w:szCs w:val="28"/>
        </w:rPr>
        <w:t>Proposed</w:t>
      </w:r>
      <w:r w:rsidR="00E47257" w:rsidRPr="001565EB">
        <w:rPr>
          <w:sz w:val="28"/>
          <w:szCs w:val="28"/>
        </w:rPr>
        <w:t xml:space="preserve"> </w:t>
      </w:r>
      <w:r w:rsidR="002F5B26" w:rsidRPr="001565EB">
        <w:rPr>
          <w:sz w:val="28"/>
          <w:szCs w:val="28"/>
        </w:rPr>
        <w:t>Paragraph</w:t>
      </w:r>
      <w:r w:rsidR="00E47257" w:rsidRPr="001565EB">
        <w:rPr>
          <w:sz w:val="28"/>
          <w:szCs w:val="28"/>
        </w:rPr>
        <w:t xml:space="preserve"> 6 of the comment to ER 1.16</w:t>
      </w:r>
      <w:r w:rsidR="007873C9" w:rsidRPr="001565EB">
        <w:rPr>
          <w:sz w:val="28"/>
          <w:szCs w:val="28"/>
        </w:rPr>
        <w:t xml:space="preserve"> </w:t>
      </w:r>
      <w:r w:rsidR="000645A7" w:rsidRPr="001565EB">
        <w:rPr>
          <w:sz w:val="28"/>
          <w:szCs w:val="28"/>
        </w:rPr>
        <w:t>(“</w:t>
      </w:r>
      <w:r w:rsidR="003429B5" w:rsidRPr="001565EB">
        <w:rPr>
          <w:sz w:val="28"/>
          <w:szCs w:val="28"/>
        </w:rPr>
        <w:t>Declining or Terminating Representation</w:t>
      </w:r>
      <w:r w:rsidR="000645A7" w:rsidRPr="001565EB">
        <w:rPr>
          <w:sz w:val="28"/>
          <w:szCs w:val="28"/>
        </w:rPr>
        <w:t>”)</w:t>
      </w:r>
      <w:r w:rsidR="00E679E1" w:rsidRPr="001565EB">
        <w:rPr>
          <w:sz w:val="28"/>
          <w:szCs w:val="28"/>
        </w:rPr>
        <w:t xml:space="preserve"> provides:</w:t>
      </w:r>
    </w:p>
    <w:p w14:paraId="07B1C141" w14:textId="0C473751" w:rsidR="00E679E1" w:rsidRPr="00A039A5" w:rsidRDefault="00E679E1" w:rsidP="00E679E1">
      <w:pPr>
        <w:ind w:left="720"/>
        <w:jc w:val="both"/>
        <w:rPr>
          <w:sz w:val="28"/>
          <w:szCs w:val="28"/>
        </w:rPr>
      </w:pPr>
      <w:r w:rsidRPr="00A039A5">
        <w:rPr>
          <w:sz w:val="28"/>
          <w:szCs w:val="28"/>
        </w:rPr>
        <w:t>Because a government lawyer cannot terminate representation of the government organization, if the government lawyer cannot feasibly cease advising and representing the government organization through the client representative against whom an action must be initiated, then referral of that action to another government law firm or outside counsel is required to address conflict of interest issues.</w:t>
      </w:r>
    </w:p>
    <w:p w14:paraId="50F2493C" w14:textId="77777777" w:rsidR="00E679E1" w:rsidRPr="00E679E1" w:rsidRDefault="00E679E1" w:rsidP="00E679E1">
      <w:pPr>
        <w:ind w:left="720"/>
        <w:jc w:val="both"/>
        <w:rPr>
          <w:sz w:val="26"/>
          <w:szCs w:val="26"/>
        </w:rPr>
      </w:pPr>
    </w:p>
    <w:p w14:paraId="5C6318C7" w14:textId="494F8FAA" w:rsidR="00305DC4" w:rsidRPr="001565EB" w:rsidRDefault="00A9631C" w:rsidP="00A31058">
      <w:pPr>
        <w:spacing w:line="480" w:lineRule="auto"/>
        <w:ind w:firstLine="720"/>
        <w:jc w:val="both"/>
        <w:rPr>
          <w:sz w:val="28"/>
          <w:szCs w:val="28"/>
        </w:rPr>
      </w:pPr>
      <w:r w:rsidRPr="001565EB">
        <w:rPr>
          <w:sz w:val="28"/>
          <w:szCs w:val="28"/>
        </w:rPr>
        <w:t>The AGO’s comment</w:t>
      </w:r>
      <w:r w:rsidR="00305DC4" w:rsidRPr="001565EB">
        <w:rPr>
          <w:sz w:val="28"/>
          <w:szCs w:val="28"/>
        </w:rPr>
        <w:t>, citing to A.R.S. § 41-192(E)</w:t>
      </w:r>
      <w:r w:rsidR="00DB3898" w:rsidRPr="001565EB">
        <w:rPr>
          <w:sz w:val="28"/>
          <w:szCs w:val="28"/>
        </w:rPr>
        <w:t>,</w:t>
      </w:r>
      <w:r w:rsidRPr="001565EB">
        <w:rPr>
          <w:sz w:val="28"/>
          <w:szCs w:val="28"/>
        </w:rPr>
        <w:t xml:space="preserve"> say</w:t>
      </w:r>
      <w:r w:rsidR="00305DC4" w:rsidRPr="001565EB">
        <w:rPr>
          <w:sz w:val="28"/>
          <w:szCs w:val="28"/>
        </w:rPr>
        <w:t>s:</w:t>
      </w:r>
    </w:p>
    <w:p w14:paraId="6B4C8AC0" w14:textId="0007592E" w:rsidR="00305DC4" w:rsidRPr="00A039A5" w:rsidRDefault="00D40677" w:rsidP="00D40677">
      <w:pPr>
        <w:ind w:left="720"/>
        <w:jc w:val="both"/>
        <w:rPr>
          <w:sz w:val="28"/>
          <w:szCs w:val="28"/>
        </w:rPr>
      </w:pPr>
      <w:r w:rsidRPr="00A039A5">
        <w:rPr>
          <w:sz w:val="28"/>
          <w:szCs w:val="28"/>
        </w:rPr>
        <w:t xml:space="preserve">The Attorney General understands this to mean that a government lawyer cannot withdraw from representing an entire </w:t>
      </w:r>
      <w:r w:rsidR="000F20AD" w:rsidRPr="00A039A5">
        <w:rPr>
          <w:sz w:val="28"/>
          <w:szCs w:val="28"/>
        </w:rPr>
        <w:t>‘</w:t>
      </w:r>
      <w:r w:rsidRPr="00A039A5">
        <w:rPr>
          <w:sz w:val="28"/>
          <w:szCs w:val="28"/>
        </w:rPr>
        <w:t>government organization,</w:t>
      </w:r>
      <w:r w:rsidR="000F20AD" w:rsidRPr="00A039A5">
        <w:rPr>
          <w:sz w:val="28"/>
          <w:szCs w:val="28"/>
        </w:rPr>
        <w:t xml:space="preserve">’ </w:t>
      </w:r>
      <w:r w:rsidRPr="00A039A5">
        <w:rPr>
          <w:sz w:val="28"/>
          <w:szCs w:val="28"/>
        </w:rPr>
        <w:t>such as the State of Arizona or a specific county. However, this statement could perhaps be read to mean that a government lawyer cannot withdraw from representing a particular governmental agency. That reading would be problematic, both because A.R.S. § 41–192(E) provides for such withdrawals and because other ethical rules could require or permit such a withdrawal if, for example, that agency sued the government lawyer.</w:t>
      </w:r>
    </w:p>
    <w:p w14:paraId="70EBAFE1" w14:textId="77777777" w:rsidR="00D40677" w:rsidRPr="00D40677" w:rsidRDefault="00D40677" w:rsidP="00D40677">
      <w:pPr>
        <w:ind w:left="720"/>
        <w:jc w:val="both"/>
        <w:rPr>
          <w:sz w:val="26"/>
          <w:szCs w:val="26"/>
        </w:rPr>
      </w:pPr>
    </w:p>
    <w:p w14:paraId="2FC4EB40" w14:textId="37ACD641" w:rsidR="00760BCD" w:rsidRPr="00050B4A" w:rsidRDefault="004D40EA" w:rsidP="00A31058">
      <w:pPr>
        <w:spacing w:line="480" w:lineRule="auto"/>
        <w:ind w:firstLine="720"/>
        <w:jc w:val="both"/>
        <w:rPr>
          <w:sz w:val="28"/>
          <w:szCs w:val="28"/>
        </w:rPr>
      </w:pPr>
      <w:r w:rsidRPr="00050B4A">
        <w:rPr>
          <w:sz w:val="28"/>
          <w:szCs w:val="28"/>
        </w:rPr>
        <w:t>A.R.S. § 41-192(E) provides:</w:t>
      </w:r>
    </w:p>
    <w:p w14:paraId="59214385" w14:textId="71E9DC83" w:rsidR="004D40EA" w:rsidRPr="00A039A5" w:rsidRDefault="004D40EA" w:rsidP="009C55D8">
      <w:pPr>
        <w:ind w:left="720"/>
        <w:jc w:val="both"/>
        <w:rPr>
          <w:color w:val="333333"/>
          <w:sz w:val="28"/>
          <w:szCs w:val="28"/>
          <w:shd w:val="clear" w:color="auto" w:fill="FFFFFF"/>
        </w:rPr>
      </w:pPr>
      <w:r w:rsidRPr="00A039A5">
        <w:rPr>
          <w:color w:val="333333"/>
          <w:sz w:val="28"/>
          <w:szCs w:val="28"/>
          <w:shd w:val="clear" w:color="auto" w:fill="FFFFFF"/>
        </w:rPr>
        <w:t xml:space="preserve">E. If the attorney general determines that he is disqualified from providing judicial or quasi-judicial legal representation or legal services on behalf of any state agency in relation to any matter, the attorney general shall give written notification to the state agency affected.  If the agency has received written </w:t>
      </w:r>
      <w:r w:rsidRPr="00A039A5">
        <w:rPr>
          <w:color w:val="333333"/>
          <w:sz w:val="28"/>
          <w:szCs w:val="28"/>
          <w:shd w:val="clear" w:color="auto" w:fill="FFFFFF"/>
        </w:rPr>
        <w:lastRenderedPageBreak/>
        <w:t>notification from the attorney general that the attorney general is disqualified from providing judicial or quasi-judicial legal representation or legal services in relation to any particular matter, the state agency is authorized to make expenditures and incur indebtedness to employ attorneys to provide the representation or services.</w:t>
      </w:r>
    </w:p>
    <w:p w14:paraId="4F6CD271" w14:textId="77777777" w:rsidR="00D01FD3" w:rsidRPr="009C55D8" w:rsidRDefault="00D01FD3" w:rsidP="009C55D8">
      <w:pPr>
        <w:ind w:left="720"/>
        <w:jc w:val="both"/>
        <w:rPr>
          <w:sz w:val="26"/>
          <w:szCs w:val="26"/>
        </w:rPr>
      </w:pPr>
    </w:p>
    <w:p w14:paraId="0ADD9EFB" w14:textId="376A5243" w:rsidR="00222D38" w:rsidRPr="00050B4A" w:rsidRDefault="00DF0770" w:rsidP="00FC32E0">
      <w:pPr>
        <w:spacing w:line="480" w:lineRule="auto"/>
        <w:jc w:val="both"/>
        <w:rPr>
          <w:sz w:val="28"/>
          <w:szCs w:val="28"/>
        </w:rPr>
      </w:pPr>
      <w:r w:rsidRPr="00A039A5">
        <w:rPr>
          <w:sz w:val="28"/>
          <w:szCs w:val="28"/>
        </w:rPr>
        <w:tab/>
      </w:r>
      <w:r w:rsidR="000F3B83" w:rsidRPr="00CA5B61">
        <w:rPr>
          <w:sz w:val="28"/>
          <w:szCs w:val="28"/>
        </w:rPr>
        <w:t>At the Ma</w:t>
      </w:r>
      <w:r w:rsidR="00383C65" w:rsidRPr="00CA5B61">
        <w:rPr>
          <w:sz w:val="28"/>
          <w:szCs w:val="28"/>
        </w:rPr>
        <w:t xml:space="preserve">y 10, 2024, Task Force meeting, a representative from the AGO further explained that </w:t>
      </w:r>
      <w:r w:rsidR="00720719" w:rsidRPr="00CA5B61">
        <w:rPr>
          <w:sz w:val="28"/>
          <w:szCs w:val="28"/>
        </w:rPr>
        <w:t>its</w:t>
      </w:r>
      <w:r w:rsidR="00383C65" w:rsidRPr="00CA5B61">
        <w:rPr>
          <w:sz w:val="28"/>
          <w:szCs w:val="28"/>
        </w:rPr>
        <w:t xml:space="preserve"> comment</w:t>
      </w:r>
      <w:r w:rsidR="00720719" w:rsidRPr="00CA5B61">
        <w:rPr>
          <w:sz w:val="28"/>
          <w:szCs w:val="28"/>
        </w:rPr>
        <w:t xml:space="preserve"> </w:t>
      </w:r>
      <w:r w:rsidR="00A557E7" w:rsidRPr="00CA5B61">
        <w:rPr>
          <w:sz w:val="28"/>
          <w:szCs w:val="28"/>
        </w:rPr>
        <w:t>intended to</w:t>
      </w:r>
      <w:r w:rsidR="0094412A" w:rsidRPr="00CA5B61">
        <w:rPr>
          <w:sz w:val="28"/>
          <w:szCs w:val="28"/>
        </w:rPr>
        <w:t xml:space="preserve"> </w:t>
      </w:r>
      <w:r w:rsidR="00F16CDE" w:rsidRPr="00CA5B61">
        <w:rPr>
          <w:sz w:val="28"/>
          <w:szCs w:val="28"/>
        </w:rPr>
        <w:t xml:space="preserve">distinguish </w:t>
      </w:r>
      <w:r w:rsidR="00F16CDE" w:rsidRPr="00A039A5">
        <w:rPr>
          <w:bCs/>
          <w:sz w:val="28"/>
          <w:szCs w:val="28"/>
        </w:rPr>
        <w:t>between withdraw</w:t>
      </w:r>
      <w:r w:rsidR="00A557E7" w:rsidRPr="00A039A5">
        <w:rPr>
          <w:bCs/>
          <w:sz w:val="28"/>
          <w:szCs w:val="28"/>
        </w:rPr>
        <w:t>al</w:t>
      </w:r>
      <w:r w:rsidR="00F16CDE" w:rsidRPr="00A039A5">
        <w:rPr>
          <w:bCs/>
          <w:sz w:val="28"/>
          <w:szCs w:val="28"/>
        </w:rPr>
        <w:t xml:space="preserve"> from representation of a global government organization</w:t>
      </w:r>
      <w:r w:rsidR="00C02ACB" w:rsidRPr="00A039A5">
        <w:rPr>
          <w:bCs/>
          <w:sz w:val="28"/>
          <w:szCs w:val="28"/>
        </w:rPr>
        <w:t xml:space="preserve">, which is not permitted, </w:t>
      </w:r>
      <w:r w:rsidR="009B392D">
        <w:rPr>
          <w:bCs/>
          <w:sz w:val="28"/>
          <w:szCs w:val="28"/>
        </w:rPr>
        <w:t xml:space="preserve">and </w:t>
      </w:r>
      <w:r w:rsidR="00F16CDE" w:rsidRPr="00A039A5">
        <w:rPr>
          <w:bCs/>
          <w:sz w:val="28"/>
          <w:szCs w:val="28"/>
        </w:rPr>
        <w:t xml:space="preserve">withdrawing from a component agency of the organization. The Task Force </w:t>
      </w:r>
      <w:r w:rsidR="0023015A" w:rsidRPr="0023015A">
        <w:rPr>
          <w:bCs/>
          <w:sz w:val="28"/>
          <w:szCs w:val="28"/>
        </w:rPr>
        <w:t xml:space="preserve">agreed </w:t>
      </w:r>
      <w:r w:rsidR="00EC0995">
        <w:rPr>
          <w:bCs/>
          <w:sz w:val="28"/>
          <w:szCs w:val="28"/>
        </w:rPr>
        <w:t xml:space="preserve">that </w:t>
      </w:r>
      <w:r w:rsidR="00F16CDE" w:rsidRPr="00A039A5">
        <w:rPr>
          <w:bCs/>
          <w:sz w:val="28"/>
          <w:szCs w:val="28"/>
        </w:rPr>
        <w:t>the latter may occasionally be necessary and</w:t>
      </w:r>
      <w:r w:rsidR="0023015A">
        <w:rPr>
          <w:bCs/>
          <w:sz w:val="28"/>
          <w:szCs w:val="28"/>
        </w:rPr>
        <w:t xml:space="preserve"> </w:t>
      </w:r>
      <w:r w:rsidR="00CA5B61" w:rsidRPr="00A039A5">
        <w:rPr>
          <w:bCs/>
          <w:sz w:val="28"/>
          <w:szCs w:val="28"/>
        </w:rPr>
        <w:t>the AGO</w:t>
      </w:r>
      <w:r w:rsidR="00F16CDE" w:rsidRPr="00A039A5">
        <w:rPr>
          <w:bCs/>
          <w:sz w:val="28"/>
          <w:szCs w:val="28"/>
        </w:rPr>
        <w:t xml:space="preserve"> is authorized </w:t>
      </w:r>
      <w:r w:rsidR="00CA5B61" w:rsidRPr="00A039A5">
        <w:rPr>
          <w:bCs/>
          <w:sz w:val="28"/>
          <w:szCs w:val="28"/>
        </w:rPr>
        <w:t xml:space="preserve">to do so </w:t>
      </w:r>
      <w:r w:rsidR="00F16CDE" w:rsidRPr="00A039A5">
        <w:rPr>
          <w:bCs/>
          <w:sz w:val="28"/>
          <w:szCs w:val="28"/>
        </w:rPr>
        <w:t>under A.R.S. § 41-192(E).</w:t>
      </w:r>
      <w:r w:rsidR="00F16CDE">
        <w:rPr>
          <w:rFonts w:ascii="Book Antiqua" w:hAnsi="Book Antiqua"/>
          <w:bCs/>
          <w:szCs w:val="24"/>
        </w:rPr>
        <w:t xml:space="preserve"> </w:t>
      </w:r>
      <w:r w:rsidR="005761DF">
        <w:rPr>
          <w:sz w:val="28"/>
          <w:szCs w:val="28"/>
        </w:rPr>
        <w:t>Accordingly, the Task Force</w:t>
      </w:r>
      <w:r w:rsidR="0090565B">
        <w:rPr>
          <w:sz w:val="28"/>
          <w:szCs w:val="28"/>
        </w:rPr>
        <w:t xml:space="preserve"> in this Reply</w:t>
      </w:r>
      <w:r w:rsidR="005761DF">
        <w:rPr>
          <w:sz w:val="28"/>
          <w:szCs w:val="28"/>
        </w:rPr>
        <w:t xml:space="preserve"> clarifies that Paragraph 6 of the comment to ER 1.16</w:t>
      </w:r>
      <w:r w:rsidR="00950BAD">
        <w:rPr>
          <w:sz w:val="28"/>
          <w:szCs w:val="28"/>
        </w:rPr>
        <w:t xml:space="preserve"> does not preclude a government lawyer’s withdrawal from representing a constituent agency of the government organization when withdrawal is otherwise required</w:t>
      </w:r>
      <w:r w:rsidR="00643498">
        <w:rPr>
          <w:sz w:val="28"/>
          <w:szCs w:val="28"/>
        </w:rPr>
        <w:t xml:space="preserve"> by law</w:t>
      </w:r>
      <w:r w:rsidR="00950BAD">
        <w:rPr>
          <w:sz w:val="28"/>
          <w:szCs w:val="28"/>
        </w:rPr>
        <w:t>.</w:t>
      </w:r>
    </w:p>
    <w:p w14:paraId="092ECD1E" w14:textId="039B6484" w:rsidR="006E08AE" w:rsidRPr="00F76744" w:rsidRDefault="00231ABE" w:rsidP="001F05D7">
      <w:pPr>
        <w:pStyle w:val="Default"/>
        <w:spacing w:line="480" w:lineRule="auto"/>
        <w:ind w:firstLine="720"/>
        <w:jc w:val="both"/>
        <w:rPr>
          <w:sz w:val="28"/>
          <w:szCs w:val="28"/>
        </w:rPr>
      </w:pPr>
      <w:r>
        <w:rPr>
          <w:b/>
          <w:bCs/>
          <w:sz w:val="28"/>
          <w:szCs w:val="28"/>
          <w:u w:val="single"/>
        </w:rPr>
        <w:t>5</w:t>
      </w:r>
      <w:r w:rsidR="005C7CEA" w:rsidRPr="00F76744">
        <w:rPr>
          <w:b/>
          <w:bCs/>
          <w:sz w:val="28"/>
          <w:szCs w:val="28"/>
          <w:u w:val="single"/>
        </w:rPr>
        <w:t>.</w:t>
      </w:r>
      <w:r w:rsidR="003F3F2E" w:rsidRPr="00F76744">
        <w:rPr>
          <w:b/>
          <w:bCs/>
          <w:sz w:val="28"/>
          <w:szCs w:val="28"/>
          <w:u w:val="single"/>
        </w:rPr>
        <w:t xml:space="preserve"> Conclusion.</w:t>
      </w:r>
      <w:r w:rsidR="003F3F2E" w:rsidRPr="00F76744">
        <w:rPr>
          <w:sz w:val="28"/>
          <w:szCs w:val="28"/>
        </w:rPr>
        <w:t xml:space="preserve">  </w:t>
      </w:r>
      <w:r w:rsidR="00717A31" w:rsidRPr="00F76744">
        <w:rPr>
          <w:sz w:val="28"/>
          <w:szCs w:val="28"/>
        </w:rPr>
        <w:t xml:space="preserve">The Task Force requests the Court </w:t>
      </w:r>
      <w:r w:rsidR="006062D3">
        <w:rPr>
          <w:sz w:val="28"/>
          <w:szCs w:val="28"/>
        </w:rPr>
        <w:t xml:space="preserve">to </w:t>
      </w:r>
      <w:r w:rsidR="00717A31" w:rsidRPr="00F76744">
        <w:rPr>
          <w:sz w:val="28"/>
          <w:szCs w:val="28"/>
        </w:rPr>
        <w:t xml:space="preserve">consider </w:t>
      </w:r>
      <w:r w:rsidR="00095E5A">
        <w:rPr>
          <w:sz w:val="28"/>
          <w:szCs w:val="28"/>
        </w:rPr>
        <w:t xml:space="preserve">the </w:t>
      </w:r>
      <w:r w:rsidR="0065726D" w:rsidRPr="00F76744">
        <w:rPr>
          <w:sz w:val="28"/>
          <w:szCs w:val="28"/>
        </w:rPr>
        <w:t xml:space="preserve">proposed amendments at </w:t>
      </w:r>
      <w:r w:rsidR="000A7DE7">
        <w:rPr>
          <w:sz w:val="28"/>
          <w:szCs w:val="28"/>
        </w:rPr>
        <w:t>the</w:t>
      </w:r>
      <w:r w:rsidR="000A7DE7" w:rsidRPr="00F76744">
        <w:rPr>
          <w:sz w:val="28"/>
          <w:szCs w:val="28"/>
        </w:rPr>
        <w:t xml:space="preserve"> </w:t>
      </w:r>
      <w:r w:rsidR="0065726D" w:rsidRPr="00F76744">
        <w:rPr>
          <w:sz w:val="28"/>
          <w:szCs w:val="28"/>
        </w:rPr>
        <w:t>August 202</w:t>
      </w:r>
      <w:r w:rsidR="00A635BF">
        <w:rPr>
          <w:sz w:val="28"/>
          <w:szCs w:val="28"/>
        </w:rPr>
        <w:t>4</w:t>
      </w:r>
      <w:r w:rsidR="0065726D" w:rsidRPr="00F76744">
        <w:rPr>
          <w:sz w:val="28"/>
          <w:szCs w:val="28"/>
        </w:rPr>
        <w:t xml:space="preserve"> Rules Agenda</w:t>
      </w:r>
      <w:r w:rsidR="00FE22A0">
        <w:rPr>
          <w:sz w:val="28"/>
          <w:szCs w:val="28"/>
        </w:rPr>
        <w:t xml:space="preserve">, </w:t>
      </w:r>
      <w:r w:rsidR="00C54B57">
        <w:rPr>
          <w:sz w:val="28"/>
          <w:szCs w:val="28"/>
        </w:rPr>
        <w:t>with the</w:t>
      </w:r>
      <w:r w:rsidR="00B26333">
        <w:rPr>
          <w:sz w:val="28"/>
          <w:szCs w:val="28"/>
        </w:rPr>
        <w:t xml:space="preserve"> two</w:t>
      </w:r>
      <w:r w:rsidR="00C54B57">
        <w:rPr>
          <w:sz w:val="28"/>
          <w:szCs w:val="28"/>
        </w:rPr>
        <w:t xml:space="preserve"> modifications</w:t>
      </w:r>
      <w:r w:rsidR="00E73483">
        <w:rPr>
          <w:sz w:val="28"/>
          <w:szCs w:val="28"/>
        </w:rPr>
        <w:t xml:space="preserve"> suggested by this Reply and as shown in Revised Appendix A</w:t>
      </w:r>
      <w:r w:rsidR="00587812">
        <w:rPr>
          <w:sz w:val="28"/>
          <w:szCs w:val="28"/>
        </w:rPr>
        <w:t>.</w:t>
      </w:r>
      <w:r w:rsidR="00D82F3C">
        <w:rPr>
          <w:sz w:val="28"/>
          <w:szCs w:val="28"/>
        </w:rPr>
        <w:t xml:space="preserve"> </w:t>
      </w:r>
      <w:r w:rsidR="00B26333">
        <w:rPr>
          <w:sz w:val="28"/>
          <w:szCs w:val="28"/>
        </w:rPr>
        <w:t>T</w:t>
      </w:r>
      <w:r w:rsidR="00E5365A">
        <w:rPr>
          <w:sz w:val="28"/>
          <w:szCs w:val="28"/>
        </w:rPr>
        <w:t xml:space="preserve">hose </w:t>
      </w:r>
      <w:r w:rsidR="00B26333">
        <w:rPr>
          <w:sz w:val="28"/>
          <w:szCs w:val="28"/>
        </w:rPr>
        <w:t xml:space="preserve">two </w:t>
      </w:r>
      <w:r w:rsidR="00E5365A">
        <w:rPr>
          <w:sz w:val="28"/>
          <w:szCs w:val="28"/>
        </w:rPr>
        <w:t xml:space="preserve">amendments are </w:t>
      </w:r>
      <w:r w:rsidR="004054AC">
        <w:rPr>
          <w:sz w:val="28"/>
          <w:szCs w:val="28"/>
        </w:rPr>
        <w:t xml:space="preserve">briefly </w:t>
      </w:r>
      <w:r w:rsidR="00E5365A">
        <w:rPr>
          <w:sz w:val="28"/>
          <w:szCs w:val="28"/>
        </w:rPr>
        <w:t xml:space="preserve">explained in Revised Appendix B. </w:t>
      </w:r>
      <w:r w:rsidR="000B6749">
        <w:rPr>
          <w:sz w:val="28"/>
          <w:szCs w:val="28"/>
        </w:rPr>
        <w:t xml:space="preserve">Finally, the Task Force is attaching </w:t>
      </w:r>
      <w:r w:rsidR="00263FE6">
        <w:rPr>
          <w:sz w:val="28"/>
          <w:szCs w:val="28"/>
        </w:rPr>
        <w:t>Revised</w:t>
      </w:r>
      <w:r w:rsidR="00615382">
        <w:rPr>
          <w:sz w:val="28"/>
          <w:szCs w:val="28"/>
        </w:rPr>
        <w:t xml:space="preserve"> </w:t>
      </w:r>
      <w:r w:rsidR="000B6749">
        <w:rPr>
          <w:sz w:val="28"/>
          <w:szCs w:val="28"/>
        </w:rPr>
        <w:t>Appendix C</w:t>
      </w:r>
      <w:r w:rsidR="00B26333">
        <w:rPr>
          <w:sz w:val="28"/>
          <w:szCs w:val="28"/>
        </w:rPr>
        <w:t xml:space="preserve">. That appendix </w:t>
      </w:r>
      <w:r w:rsidR="00A61E0D">
        <w:rPr>
          <w:sz w:val="28"/>
          <w:szCs w:val="28"/>
        </w:rPr>
        <w:t xml:space="preserve">contains one change </w:t>
      </w:r>
      <w:r w:rsidR="00CE17DC">
        <w:rPr>
          <w:sz w:val="28"/>
          <w:szCs w:val="28"/>
        </w:rPr>
        <w:t xml:space="preserve">from the January 4, 2024, version: </w:t>
      </w:r>
      <w:r w:rsidR="00A61E0D">
        <w:rPr>
          <w:sz w:val="28"/>
          <w:szCs w:val="28"/>
        </w:rPr>
        <w:t>adding</w:t>
      </w:r>
      <w:r w:rsidR="00C40E5D">
        <w:rPr>
          <w:sz w:val="28"/>
          <w:szCs w:val="28"/>
        </w:rPr>
        <w:t xml:space="preserve"> the inadvertently omitted word</w:t>
      </w:r>
      <w:r w:rsidR="00A61E0D">
        <w:rPr>
          <w:sz w:val="28"/>
          <w:szCs w:val="28"/>
        </w:rPr>
        <w:t xml:space="preserve"> “elected” </w:t>
      </w:r>
      <w:r w:rsidR="004D5852">
        <w:rPr>
          <w:sz w:val="28"/>
          <w:szCs w:val="28"/>
        </w:rPr>
        <w:t>to</w:t>
      </w:r>
      <w:r w:rsidR="00A61E0D">
        <w:rPr>
          <w:sz w:val="28"/>
          <w:szCs w:val="28"/>
        </w:rPr>
        <w:t xml:space="preserve"> the phrase “elected, appointed</w:t>
      </w:r>
      <w:r w:rsidR="0039076C">
        <w:rPr>
          <w:sz w:val="28"/>
          <w:szCs w:val="28"/>
        </w:rPr>
        <w:t>, or employed</w:t>
      </w:r>
      <w:r w:rsidR="004D5852">
        <w:rPr>
          <w:sz w:val="28"/>
          <w:szCs w:val="28"/>
        </w:rPr>
        <w:t>.</w:t>
      </w:r>
      <w:r w:rsidR="0039076C">
        <w:rPr>
          <w:sz w:val="28"/>
          <w:szCs w:val="28"/>
        </w:rPr>
        <w:t>”</w:t>
      </w:r>
      <w:r w:rsidR="00276C69">
        <w:rPr>
          <w:sz w:val="28"/>
          <w:szCs w:val="28"/>
        </w:rPr>
        <w:t xml:space="preserve"> T</w:t>
      </w:r>
      <w:r w:rsidR="00B26333">
        <w:rPr>
          <w:sz w:val="28"/>
          <w:szCs w:val="28"/>
        </w:rPr>
        <w:t>he Task Force reiterate</w:t>
      </w:r>
      <w:r w:rsidR="004D5852">
        <w:rPr>
          <w:sz w:val="28"/>
          <w:szCs w:val="28"/>
        </w:rPr>
        <w:t>s</w:t>
      </w:r>
      <w:r w:rsidR="00B26333">
        <w:rPr>
          <w:sz w:val="28"/>
          <w:szCs w:val="28"/>
        </w:rPr>
        <w:t xml:space="preserve"> its </w:t>
      </w:r>
      <w:r w:rsidR="009B637B">
        <w:rPr>
          <w:sz w:val="28"/>
          <w:szCs w:val="28"/>
        </w:rPr>
        <w:t>request that the Court determine its preference</w:t>
      </w:r>
      <w:r w:rsidR="003C18CA">
        <w:rPr>
          <w:sz w:val="28"/>
          <w:szCs w:val="28"/>
        </w:rPr>
        <w:t>, if any,</w:t>
      </w:r>
      <w:r w:rsidR="009B637B">
        <w:rPr>
          <w:sz w:val="28"/>
          <w:szCs w:val="28"/>
        </w:rPr>
        <w:t xml:space="preserve"> for the </w:t>
      </w:r>
      <w:r w:rsidR="0092277A">
        <w:rPr>
          <w:sz w:val="28"/>
          <w:szCs w:val="28"/>
        </w:rPr>
        <w:t xml:space="preserve">alternative </w:t>
      </w:r>
      <w:r w:rsidR="009B637B">
        <w:rPr>
          <w:sz w:val="28"/>
          <w:szCs w:val="28"/>
        </w:rPr>
        <w:t xml:space="preserve">continuing education </w:t>
      </w:r>
      <w:r w:rsidR="009B637B">
        <w:rPr>
          <w:sz w:val="28"/>
          <w:szCs w:val="28"/>
        </w:rPr>
        <w:lastRenderedPageBreak/>
        <w:t>requirement</w:t>
      </w:r>
      <w:r w:rsidR="006A5577">
        <w:rPr>
          <w:sz w:val="28"/>
          <w:szCs w:val="28"/>
        </w:rPr>
        <w:t>s</w:t>
      </w:r>
      <w:r w:rsidR="006E505D">
        <w:rPr>
          <w:sz w:val="28"/>
          <w:szCs w:val="28"/>
        </w:rPr>
        <w:t xml:space="preserve"> </w:t>
      </w:r>
      <w:r w:rsidR="002A6767">
        <w:rPr>
          <w:sz w:val="28"/>
          <w:szCs w:val="28"/>
        </w:rPr>
        <w:t xml:space="preserve">proposed in Appendix C </w:t>
      </w:r>
      <w:r w:rsidR="00632F5C">
        <w:rPr>
          <w:sz w:val="28"/>
          <w:szCs w:val="28"/>
        </w:rPr>
        <w:t xml:space="preserve">that would specifically apply to </w:t>
      </w:r>
      <w:r w:rsidR="006E505D">
        <w:rPr>
          <w:sz w:val="28"/>
          <w:szCs w:val="28"/>
        </w:rPr>
        <w:t>government lawyers</w:t>
      </w:r>
      <w:r w:rsidR="009B637B">
        <w:rPr>
          <w:sz w:val="28"/>
          <w:szCs w:val="28"/>
        </w:rPr>
        <w:t>.</w:t>
      </w:r>
      <w:r w:rsidR="00587812">
        <w:rPr>
          <w:sz w:val="28"/>
          <w:szCs w:val="28"/>
        </w:rPr>
        <w:t xml:space="preserve"> </w:t>
      </w:r>
      <w:r w:rsidR="00C8216E">
        <w:rPr>
          <w:sz w:val="28"/>
          <w:szCs w:val="28"/>
        </w:rPr>
        <w:t xml:space="preserve">  </w:t>
      </w:r>
    </w:p>
    <w:p w14:paraId="5A2B1670" w14:textId="28288A82" w:rsidR="00EE7D42" w:rsidRPr="00F76744" w:rsidRDefault="00EE7D42" w:rsidP="00A039A5">
      <w:pPr>
        <w:spacing w:line="480" w:lineRule="auto"/>
        <w:ind w:firstLine="720"/>
        <w:jc w:val="both"/>
        <w:rPr>
          <w:sz w:val="28"/>
          <w:szCs w:val="28"/>
        </w:rPr>
      </w:pPr>
      <w:r w:rsidRPr="00F76744">
        <w:rPr>
          <w:sz w:val="28"/>
          <w:szCs w:val="28"/>
        </w:rPr>
        <w:t>RESPECTFULLY SUBMITTED this</w:t>
      </w:r>
      <w:r w:rsidR="00E3723C">
        <w:rPr>
          <w:sz w:val="28"/>
          <w:szCs w:val="28"/>
        </w:rPr>
        <w:t xml:space="preserve"> </w:t>
      </w:r>
      <w:r w:rsidR="00297C48">
        <w:rPr>
          <w:sz w:val="28"/>
          <w:szCs w:val="28"/>
        </w:rPr>
        <w:t>3</w:t>
      </w:r>
      <w:r w:rsidR="000651FC">
        <w:rPr>
          <w:sz w:val="28"/>
          <w:szCs w:val="28"/>
        </w:rPr>
        <w:t>0th</w:t>
      </w:r>
      <w:r w:rsidR="00297C48">
        <w:rPr>
          <w:sz w:val="28"/>
          <w:szCs w:val="28"/>
        </w:rPr>
        <w:t xml:space="preserve"> </w:t>
      </w:r>
      <w:r w:rsidRPr="00F76744">
        <w:rPr>
          <w:sz w:val="28"/>
          <w:szCs w:val="28"/>
        </w:rPr>
        <w:t xml:space="preserve">day of </w:t>
      </w:r>
      <w:r w:rsidR="00E3723C">
        <w:rPr>
          <w:sz w:val="28"/>
          <w:szCs w:val="28"/>
        </w:rPr>
        <w:t>May</w:t>
      </w:r>
      <w:r w:rsidR="00F46D67" w:rsidRPr="00F76744">
        <w:rPr>
          <w:sz w:val="28"/>
          <w:szCs w:val="28"/>
        </w:rPr>
        <w:t xml:space="preserve"> 2024</w:t>
      </w:r>
      <w:r w:rsidR="00792F37" w:rsidRPr="00F76744">
        <w:rPr>
          <w:sz w:val="28"/>
          <w:szCs w:val="28"/>
        </w:rPr>
        <w:t>.</w:t>
      </w:r>
    </w:p>
    <w:p w14:paraId="42089DAE" w14:textId="77777777" w:rsidR="00EE7D42" w:rsidRPr="00F76744" w:rsidRDefault="00EE7D42" w:rsidP="008E48D5">
      <w:pPr>
        <w:jc w:val="both"/>
        <w:rPr>
          <w:sz w:val="28"/>
          <w:szCs w:val="28"/>
        </w:rPr>
      </w:pPr>
    </w:p>
    <w:p w14:paraId="25FC23CC" w14:textId="5DAC0DFF" w:rsidR="00446368" w:rsidRDefault="00EE7D42" w:rsidP="00446368">
      <w:pPr>
        <w:ind w:left="2880" w:firstLine="720"/>
        <w:jc w:val="both"/>
        <w:rPr>
          <w:sz w:val="28"/>
          <w:szCs w:val="28"/>
        </w:rPr>
      </w:pPr>
      <w:r w:rsidRPr="00D82F3C">
        <w:rPr>
          <w:sz w:val="28"/>
          <w:szCs w:val="28"/>
        </w:rPr>
        <w:t xml:space="preserve">By </w:t>
      </w:r>
      <w:r w:rsidR="000609BC" w:rsidRPr="00D82F3C">
        <w:rPr>
          <w:sz w:val="28"/>
          <w:szCs w:val="28"/>
        </w:rPr>
        <w:t>/s</w:t>
      </w:r>
      <w:r w:rsidR="00446368" w:rsidRPr="00D82F3C">
        <w:rPr>
          <w:sz w:val="28"/>
          <w:szCs w:val="28"/>
        </w:rPr>
        <w:t>/</w:t>
      </w:r>
      <w:r w:rsidR="00446368">
        <w:rPr>
          <w:sz w:val="28"/>
          <w:szCs w:val="28"/>
        </w:rPr>
        <w:t xml:space="preserve"> ______________________</w:t>
      </w:r>
    </w:p>
    <w:p w14:paraId="2830C402" w14:textId="2900FD24" w:rsidR="002D7101" w:rsidRPr="00F76744" w:rsidRDefault="00451BAC" w:rsidP="008E48D5">
      <w:pPr>
        <w:ind w:left="3945"/>
        <w:jc w:val="both"/>
        <w:rPr>
          <w:sz w:val="28"/>
          <w:szCs w:val="28"/>
        </w:rPr>
      </w:pPr>
      <w:r w:rsidRPr="00F76744">
        <w:rPr>
          <w:sz w:val="28"/>
          <w:szCs w:val="28"/>
        </w:rPr>
        <w:t xml:space="preserve">Hon. William </w:t>
      </w:r>
      <w:r w:rsidR="008D009E" w:rsidRPr="00F76744">
        <w:rPr>
          <w:sz w:val="28"/>
          <w:szCs w:val="28"/>
        </w:rPr>
        <w:t xml:space="preserve">G. </w:t>
      </w:r>
      <w:r w:rsidRPr="00F76744">
        <w:rPr>
          <w:sz w:val="28"/>
          <w:szCs w:val="28"/>
        </w:rPr>
        <w:t>Montgomery</w:t>
      </w:r>
    </w:p>
    <w:p w14:paraId="79EA6ED3" w14:textId="6592ACB6" w:rsidR="00CC2EB9" w:rsidRPr="00F76744" w:rsidRDefault="00451BAC" w:rsidP="002F69A4">
      <w:pPr>
        <w:ind w:left="3945"/>
        <w:jc w:val="both"/>
        <w:rPr>
          <w:sz w:val="28"/>
          <w:szCs w:val="28"/>
        </w:rPr>
      </w:pPr>
      <w:r w:rsidRPr="00F76744">
        <w:rPr>
          <w:sz w:val="28"/>
          <w:szCs w:val="28"/>
        </w:rPr>
        <w:t>Task Force Chair</w:t>
      </w:r>
    </w:p>
    <w:sectPr w:rsidR="00CC2EB9" w:rsidRPr="00F76744">
      <w:head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7E01" w14:textId="77777777" w:rsidR="00D853A7" w:rsidRDefault="00D853A7" w:rsidP="00EE7D42">
      <w:r>
        <w:separator/>
      </w:r>
    </w:p>
  </w:endnote>
  <w:endnote w:type="continuationSeparator" w:id="0">
    <w:p w14:paraId="0C5BC3A4" w14:textId="77777777" w:rsidR="00D853A7" w:rsidRDefault="00D853A7" w:rsidP="00EE7D42">
      <w:r>
        <w:continuationSeparator/>
      </w:r>
    </w:p>
  </w:endnote>
  <w:endnote w:type="continuationNotice" w:id="1">
    <w:p w14:paraId="6E2A07A5" w14:textId="77777777" w:rsidR="00D853A7" w:rsidRDefault="00D8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E105" w14:textId="77777777" w:rsidR="00D853A7" w:rsidRDefault="00D853A7" w:rsidP="00EE7D42">
      <w:r>
        <w:separator/>
      </w:r>
    </w:p>
  </w:footnote>
  <w:footnote w:type="continuationSeparator" w:id="0">
    <w:p w14:paraId="7B06F10F" w14:textId="77777777" w:rsidR="00D853A7" w:rsidRDefault="00D853A7" w:rsidP="00EE7D42">
      <w:r>
        <w:continuationSeparator/>
      </w:r>
    </w:p>
  </w:footnote>
  <w:footnote w:type="continuationNotice" w:id="1">
    <w:p w14:paraId="3C415F35" w14:textId="77777777" w:rsidR="00D853A7" w:rsidRDefault="00D85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905A" w14:textId="23429B8B" w:rsidR="00050B4A" w:rsidRDefault="00000000">
    <w:pPr>
      <w:pStyle w:val="Header"/>
    </w:pPr>
    <w:r>
      <w:rPr>
        <w:noProof/>
      </w:rPr>
      <w:pict w14:anchorId="43ED5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8752;mso-position-horizontal:center;mso-position-horizontal-relative:margin;mso-position-vertical:center;mso-position-vertical-relative:margin" o:allowincell="f" fillcolor="#d8d8d8 [273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3D60"/>
    <w:multiLevelType w:val="hybridMultilevel"/>
    <w:tmpl w:val="B9A6C1A8"/>
    <w:lvl w:ilvl="0" w:tplc="906272C6">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D2426"/>
    <w:multiLevelType w:val="hybridMultilevel"/>
    <w:tmpl w:val="0C2E8B4C"/>
    <w:lvl w:ilvl="0" w:tplc="81307A74">
      <w:start w:val="1"/>
      <w:numFmt w:val="lowerRoman"/>
      <w:lvlText w:val="%1."/>
      <w:lvlJc w:val="left"/>
      <w:pPr>
        <w:ind w:left="1080" w:hanging="720"/>
      </w:pPr>
      <w:rPr>
        <w:rFonts w:eastAsiaTheme="minorHAnsi" w:cstheme="minorBidi"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C75FF"/>
    <w:multiLevelType w:val="hybridMultilevel"/>
    <w:tmpl w:val="F7ECACC0"/>
    <w:lvl w:ilvl="0" w:tplc="EA460868">
      <w:start w:val="1"/>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6512EA"/>
    <w:multiLevelType w:val="hybridMultilevel"/>
    <w:tmpl w:val="E7400E26"/>
    <w:lvl w:ilvl="0" w:tplc="D912297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0FA6CB7"/>
    <w:multiLevelType w:val="hybridMultilevel"/>
    <w:tmpl w:val="12661FEE"/>
    <w:lvl w:ilvl="0" w:tplc="F6A6C61E">
      <w:start w:val="1"/>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4191643">
    <w:abstractNumId w:val="8"/>
  </w:num>
  <w:num w:numId="2" w16cid:durableId="2045057819">
    <w:abstractNumId w:val="2"/>
  </w:num>
  <w:num w:numId="3" w16cid:durableId="1458139562">
    <w:abstractNumId w:val="3"/>
  </w:num>
  <w:num w:numId="4" w16cid:durableId="2101490588">
    <w:abstractNumId w:val="9"/>
  </w:num>
  <w:num w:numId="5" w16cid:durableId="1182621097">
    <w:abstractNumId w:val="10"/>
  </w:num>
  <w:num w:numId="6" w16cid:durableId="834490951">
    <w:abstractNumId w:val="7"/>
  </w:num>
  <w:num w:numId="7" w16cid:durableId="1292131800">
    <w:abstractNumId w:val="6"/>
  </w:num>
  <w:num w:numId="8" w16cid:durableId="483089278">
    <w:abstractNumId w:val="1"/>
  </w:num>
  <w:num w:numId="9" w16cid:durableId="747265190">
    <w:abstractNumId w:val="11"/>
  </w:num>
  <w:num w:numId="10" w16cid:durableId="614403691">
    <w:abstractNumId w:val="5"/>
  </w:num>
  <w:num w:numId="11" w16cid:durableId="1091394675">
    <w:abstractNumId w:val="0"/>
  </w:num>
  <w:num w:numId="12" w16cid:durableId="179686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20B9"/>
    <w:rsid w:val="00003001"/>
    <w:rsid w:val="00005F81"/>
    <w:rsid w:val="0000653E"/>
    <w:rsid w:val="00006C5B"/>
    <w:rsid w:val="00006F90"/>
    <w:rsid w:val="00007470"/>
    <w:rsid w:val="000119F7"/>
    <w:rsid w:val="00011A77"/>
    <w:rsid w:val="000129A7"/>
    <w:rsid w:val="000132CF"/>
    <w:rsid w:val="00013582"/>
    <w:rsid w:val="00014159"/>
    <w:rsid w:val="00014252"/>
    <w:rsid w:val="00021DB6"/>
    <w:rsid w:val="000230AA"/>
    <w:rsid w:val="00026665"/>
    <w:rsid w:val="00030DE8"/>
    <w:rsid w:val="00031A45"/>
    <w:rsid w:val="00031ED8"/>
    <w:rsid w:val="0003209C"/>
    <w:rsid w:val="00032898"/>
    <w:rsid w:val="00033A12"/>
    <w:rsid w:val="00033B8A"/>
    <w:rsid w:val="0003412E"/>
    <w:rsid w:val="00034E1F"/>
    <w:rsid w:val="00035522"/>
    <w:rsid w:val="00035E90"/>
    <w:rsid w:val="00035F8E"/>
    <w:rsid w:val="0003688A"/>
    <w:rsid w:val="000372C5"/>
    <w:rsid w:val="00037D3B"/>
    <w:rsid w:val="00040161"/>
    <w:rsid w:val="0004114B"/>
    <w:rsid w:val="00042DE6"/>
    <w:rsid w:val="0004415C"/>
    <w:rsid w:val="0004466A"/>
    <w:rsid w:val="00045481"/>
    <w:rsid w:val="00050B4A"/>
    <w:rsid w:val="00053E07"/>
    <w:rsid w:val="000541A3"/>
    <w:rsid w:val="000577F4"/>
    <w:rsid w:val="00057B6F"/>
    <w:rsid w:val="000600AB"/>
    <w:rsid w:val="000609BC"/>
    <w:rsid w:val="000645A7"/>
    <w:rsid w:val="0006495B"/>
    <w:rsid w:val="000651FC"/>
    <w:rsid w:val="00066504"/>
    <w:rsid w:val="000671C3"/>
    <w:rsid w:val="00071145"/>
    <w:rsid w:val="000760DF"/>
    <w:rsid w:val="000761DD"/>
    <w:rsid w:val="000763A3"/>
    <w:rsid w:val="00077C53"/>
    <w:rsid w:val="00082338"/>
    <w:rsid w:val="00090D52"/>
    <w:rsid w:val="00091C4E"/>
    <w:rsid w:val="00092E3C"/>
    <w:rsid w:val="000946F1"/>
    <w:rsid w:val="00095369"/>
    <w:rsid w:val="00095E5A"/>
    <w:rsid w:val="00096B5A"/>
    <w:rsid w:val="00097573"/>
    <w:rsid w:val="000A1333"/>
    <w:rsid w:val="000A1B4D"/>
    <w:rsid w:val="000A2A3F"/>
    <w:rsid w:val="000A31F9"/>
    <w:rsid w:val="000A3930"/>
    <w:rsid w:val="000A3B77"/>
    <w:rsid w:val="000A3B83"/>
    <w:rsid w:val="000A6708"/>
    <w:rsid w:val="000A7322"/>
    <w:rsid w:val="000A7DE7"/>
    <w:rsid w:val="000B2B10"/>
    <w:rsid w:val="000B2B85"/>
    <w:rsid w:val="000B34AF"/>
    <w:rsid w:val="000B493C"/>
    <w:rsid w:val="000B6749"/>
    <w:rsid w:val="000B6896"/>
    <w:rsid w:val="000B6F3E"/>
    <w:rsid w:val="000C09DF"/>
    <w:rsid w:val="000C1471"/>
    <w:rsid w:val="000C1483"/>
    <w:rsid w:val="000C1A69"/>
    <w:rsid w:val="000C2D71"/>
    <w:rsid w:val="000C2FFC"/>
    <w:rsid w:val="000C356B"/>
    <w:rsid w:val="000C3DBA"/>
    <w:rsid w:val="000C3E71"/>
    <w:rsid w:val="000D10CE"/>
    <w:rsid w:val="000D1C8F"/>
    <w:rsid w:val="000D37F1"/>
    <w:rsid w:val="000D5138"/>
    <w:rsid w:val="000D5AF9"/>
    <w:rsid w:val="000D6781"/>
    <w:rsid w:val="000E1EC9"/>
    <w:rsid w:val="000E2165"/>
    <w:rsid w:val="000E2656"/>
    <w:rsid w:val="000E2B8C"/>
    <w:rsid w:val="000E3712"/>
    <w:rsid w:val="000E3CFF"/>
    <w:rsid w:val="000E4373"/>
    <w:rsid w:val="000E4931"/>
    <w:rsid w:val="000F20AD"/>
    <w:rsid w:val="000F2A43"/>
    <w:rsid w:val="000F2FDE"/>
    <w:rsid w:val="000F3B83"/>
    <w:rsid w:val="000F4FA6"/>
    <w:rsid w:val="000F628E"/>
    <w:rsid w:val="000F660C"/>
    <w:rsid w:val="00100527"/>
    <w:rsid w:val="001015C3"/>
    <w:rsid w:val="001017EA"/>
    <w:rsid w:val="00101D13"/>
    <w:rsid w:val="00101F8C"/>
    <w:rsid w:val="00102CFB"/>
    <w:rsid w:val="00103D9F"/>
    <w:rsid w:val="001056C5"/>
    <w:rsid w:val="00105F57"/>
    <w:rsid w:val="001063B2"/>
    <w:rsid w:val="0010650B"/>
    <w:rsid w:val="00106E3A"/>
    <w:rsid w:val="001073EC"/>
    <w:rsid w:val="00111E24"/>
    <w:rsid w:val="00113288"/>
    <w:rsid w:val="00117C9A"/>
    <w:rsid w:val="001214DF"/>
    <w:rsid w:val="00121A9B"/>
    <w:rsid w:val="00122B9B"/>
    <w:rsid w:val="001256A2"/>
    <w:rsid w:val="00127156"/>
    <w:rsid w:val="001278FF"/>
    <w:rsid w:val="001301E4"/>
    <w:rsid w:val="00131C4A"/>
    <w:rsid w:val="001322FB"/>
    <w:rsid w:val="00132BCE"/>
    <w:rsid w:val="00132EE1"/>
    <w:rsid w:val="0013355E"/>
    <w:rsid w:val="00134CE5"/>
    <w:rsid w:val="0013690E"/>
    <w:rsid w:val="001372A1"/>
    <w:rsid w:val="0014006F"/>
    <w:rsid w:val="00140A5A"/>
    <w:rsid w:val="00140DBD"/>
    <w:rsid w:val="00142128"/>
    <w:rsid w:val="001423BB"/>
    <w:rsid w:val="00142509"/>
    <w:rsid w:val="00146D74"/>
    <w:rsid w:val="00147AF5"/>
    <w:rsid w:val="001509CC"/>
    <w:rsid w:val="00151106"/>
    <w:rsid w:val="00151E31"/>
    <w:rsid w:val="001545B5"/>
    <w:rsid w:val="00154AE5"/>
    <w:rsid w:val="00155D6D"/>
    <w:rsid w:val="001565D5"/>
    <w:rsid w:val="001565EB"/>
    <w:rsid w:val="00156B7C"/>
    <w:rsid w:val="00161148"/>
    <w:rsid w:val="00162427"/>
    <w:rsid w:val="00162617"/>
    <w:rsid w:val="00164011"/>
    <w:rsid w:val="00164B56"/>
    <w:rsid w:val="00166B0B"/>
    <w:rsid w:val="00166E3B"/>
    <w:rsid w:val="001670C1"/>
    <w:rsid w:val="001679DD"/>
    <w:rsid w:val="00167EFE"/>
    <w:rsid w:val="001736C5"/>
    <w:rsid w:val="00173E49"/>
    <w:rsid w:val="00174DA7"/>
    <w:rsid w:val="00174DE8"/>
    <w:rsid w:val="0017568F"/>
    <w:rsid w:val="0017634F"/>
    <w:rsid w:val="001802ED"/>
    <w:rsid w:val="00180359"/>
    <w:rsid w:val="00180920"/>
    <w:rsid w:val="00180EDC"/>
    <w:rsid w:val="001826E3"/>
    <w:rsid w:val="00182B87"/>
    <w:rsid w:val="0018673D"/>
    <w:rsid w:val="001925A3"/>
    <w:rsid w:val="00192830"/>
    <w:rsid w:val="00192E8A"/>
    <w:rsid w:val="001930DF"/>
    <w:rsid w:val="00194B5C"/>
    <w:rsid w:val="00195370"/>
    <w:rsid w:val="001976FA"/>
    <w:rsid w:val="001A3515"/>
    <w:rsid w:val="001A3A79"/>
    <w:rsid w:val="001A5645"/>
    <w:rsid w:val="001A5DB3"/>
    <w:rsid w:val="001A5E43"/>
    <w:rsid w:val="001A6E40"/>
    <w:rsid w:val="001B0249"/>
    <w:rsid w:val="001B394D"/>
    <w:rsid w:val="001B47F5"/>
    <w:rsid w:val="001C0A2A"/>
    <w:rsid w:val="001C0DC1"/>
    <w:rsid w:val="001C23A2"/>
    <w:rsid w:val="001C4482"/>
    <w:rsid w:val="001C5939"/>
    <w:rsid w:val="001C6C7D"/>
    <w:rsid w:val="001C753E"/>
    <w:rsid w:val="001C78C3"/>
    <w:rsid w:val="001C7C73"/>
    <w:rsid w:val="001D2582"/>
    <w:rsid w:val="001D2A33"/>
    <w:rsid w:val="001D2C46"/>
    <w:rsid w:val="001D3221"/>
    <w:rsid w:val="001D35CF"/>
    <w:rsid w:val="001D3D09"/>
    <w:rsid w:val="001D50EF"/>
    <w:rsid w:val="001D53CC"/>
    <w:rsid w:val="001D590B"/>
    <w:rsid w:val="001D5997"/>
    <w:rsid w:val="001D6B67"/>
    <w:rsid w:val="001D7A7D"/>
    <w:rsid w:val="001E17A8"/>
    <w:rsid w:val="001E1F12"/>
    <w:rsid w:val="001E1FB6"/>
    <w:rsid w:val="001E20C9"/>
    <w:rsid w:val="001E3B6A"/>
    <w:rsid w:val="001E603D"/>
    <w:rsid w:val="001E748C"/>
    <w:rsid w:val="001F001F"/>
    <w:rsid w:val="001F05D7"/>
    <w:rsid w:val="001F070C"/>
    <w:rsid w:val="001F22CF"/>
    <w:rsid w:val="001F390A"/>
    <w:rsid w:val="001F6AA5"/>
    <w:rsid w:val="001F75FD"/>
    <w:rsid w:val="001F7F25"/>
    <w:rsid w:val="002006F4"/>
    <w:rsid w:val="00201141"/>
    <w:rsid w:val="0020235B"/>
    <w:rsid w:val="00202540"/>
    <w:rsid w:val="00204DA3"/>
    <w:rsid w:val="002060F4"/>
    <w:rsid w:val="002061E4"/>
    <w:rsid w:val="00206A03"/>
    <w:rsid w:val="00207A87"/>
    <w:rsid w:val="0021182B"/>
    <w:rsid w:val="0021240B"/>
    <w:rsid w:val="00213E2F"/>
    <w:rsid w:val="00215974"/>
    <w:rsid w:val="00215EF1"/>
    <w:rsid w:val="00220B78"/>
    <w:rsid w:val="002221AF"/>
    <w:rsid w:val="00222216"/>
    <w:rsid w:val="002223CA"/>
    <w:rsid w:val="0022268D"/>
    <w:rsid w:val="00222D38"/>
    <w:rsid w:val="00223498"/>
    <w:rsid w:val="00224F0E"/>
    <w:rsid w:val="002258DC"/>
    <w:rsid w:val="00227619"/>
    <w:rsid w:val="0023015A"/>
    <w:rsid w:val="002304C7"/>
    <w:rsid w:val="00230BE8"/>
    <w:rsid w:val="002313A8"/>
    <w:rsid w:val="00231ABE"/>
    <w:rsid w:val="00232AFC"/>
    <w:rsid w:val="00232E94"/>
    <w:rsid w:val="0023361A"/>
    <w:rsid w:val="00233DEE"/>
    <w:rsid w:val="00234025"/>
    <w:rsid w:val="002346B0"/>
    <w:rsid w:val="00237A96"/>
    <w:rsid w:val="00241A57"/>
    <w:rsid w:val="00241C5E"/>
    <w:rsid w:val="002426E8"/>
    <w:rsid w:val="00243570"/>
    <w:rsid w:val="00243937"/>
    <w:rsid w:val="002439A8"/>
    <w:rsid w:val="00243D4E"/>
    <w:rsid w:val="00244096"/>
    <w:rsid w:val="002450E5"/>
    <w:rsid w:val="00245681"/>
    <w:rsid w:val="002464A2"/>
    <w:rsid w:val="00250714"/>
    <w:rsid w:val="002508A6"/>
    <w:rsid w:val="0025251A"/>
    <w:rsid w:val="00252F96"/>
    <w:rsid w:val="00256EED"/>
    <w:rsid w:val="00257D93"/>
    <w:rsid w:val="00261673"/>
    <w:rsid w:val="00263FE6"/>
    <w:rsid w:val="00265A85"/>
    <w:rsid w:val="00265CD8"/>
    <w:rsid w:val="002661FB"/>
    <w:rsid w:val="00270CE8"/>
    <w:rsid w:val="00270F5F"/>
    <w:rsid w:val="00272D68"/>
    <w:rsid w:val="002736EB"/>
    <w:rsid w:val="002739C0"/>
    <w:rsid w:val="00273B85"/>
    <w:rsid w:val="002749F3"/>
    <w:rsid w:val="0027521B"/>
    <w:rsid w:val="0027537F"/>
    <w:rsid w:val="00276824"/>
    <w:rsid w:val="00276C69"/>
    <w:rsid w:val="00277098"/>
    <w:rsid w:val="002825F4"/>
    <w:rsid w:val="00282972"/>
    <w:rsid w:val="00283E3A"/>
    <w:rsid w:val="00285150"/>
    <w:rsid w:val="002861CD"/>
    <w:rsid w:val="00286ED3"/>
    <w:rsid w:val="00290CA3"/>
    <w:rsid w:val="00290FB1"/>
    <w:rsid w:val="002928E5"/>
    <w:rsid w:val="00292D30"/>
    <w:rsid w:val="00294071"/>
    <w:rsid w:val="002952A4"/>
    <w:rsid w:val="002971C7"/>
    <w:rsid w:val="00297B05"/>
    <w:rsid w:val="00297C48"/>
    <w:rsid w:val="002A3A5F"/>
    <w:rsid w:val="002A4EBA"/>
    <w:rsid w:val="002A5372"/>
    <w:rsid w:val="002A582E"/>
    <w:rsid w:val="002A5908"/>
    <w:rsid w:val="002A61FB"/>
    <w:rsid w:val="002A6767"/>
    <w:rsid w:val="002B0123"/>
    <w:rsid w:val="002B0BF3"/>
    <w:rsid w:val="002B3AF9"/>
    <w:rsid w:val="002B4E43"/>
    <w:rsid w:val="002B52DA"/>
    <w:rsid w:val="002B6309"/>
    <w:rsid w:val="002B6A3C"/>
    <w:rsid w:val="002C02FF"/>
    <w:rsid w:val="002C1EDC"/>
    <w:rsid w:val="002C2C3E"/>
    <w:rsid w:val="002C2ED9"/>
    <w:rsid w:val="002C3915"/>
    <w:rsid w:val="002C60A2"/>
    <w:rsid w:val="002C6542"/>
    <w:rsid w:val="002C6DE4"/>
    <w:rsid w:val="002D0B87"/>
    <w:rsid w:val="002D241E"/>
    <w:rsid w:val="002D24B9"/>
    <w:rsid w:val="002D7101"/>
    <w:rsid w:val="002D7DBA"/>
    <w:rsid w:val="002D7F6B"/>
    <w:rsid w:val="002E3663"/>
    <w:rsid w:val="002E47C0"/>
    <w:rsid w:val="002E4AE2"/>
    <w:rsid w:val="002E4DFE"/>
    <w:rsid w:val="002E5611"/>
    <w:rsid w:val="002F0139"/>
    <w:rsid w:val="002F1EB6"/>
    <w:rsid w:val="002F25B6"/>
    <w:rsid w:val="002F4A08"/>
    <w:rsid w:val="002F4A74"/>
    <w:rsid w:val="002F5307"/>
    <w:rsid w:val="002F53A3"/>
    <w:rsid w:val="002F5B26"/>
    <w:rsid w:val="002F69A4"/>
    <w:rsid w:val="002F7D0F"/>
    <w:rsid w:val="00300924"/>
    <w:rsid w:val="00300B8C"/>
    <w:rsid w:val="00300E1E"/>
    <w:rsid w:val="00301D1B"/>
    <w:rsid w:val="00303184"/>
    <w:rsid w:val="00303781"/>
    <w:rsid w:val="00305DC4"/>
    <w:rsid w:val="00306188"/>
    <w:rsid w:val="0030748C"/>
    <w:rsid w:val="003077C7"/>
    <w:rsid w:val="00310FED"/>
    <w:rsid w:val="00312F77"/>
    <w:rsid w:val="003148B0"/>
    <w:rsid w:val="0031533A"/>
    <w:rsid w:val="003156F5"/>
    <w:rsid w:val="0031774A"/>
    <w:rsid w:val="00322112"/>
    <w:rsid w:val="003233F4"/>
    <w:rsid w:val="0032516E"/>
    <w:rsid w:val="00325757"/>
    <w:rsid w:val="0032637B"/>
    <w:rsid w:val="003302BF"/>
    <w:rsid w:val="00332DF6"/>
    <w:rsid w:val="00332F20"/>
    <w:rsid w:val="00333B0B"/>
    <w:rsid w:val="003344D0"/>
    <w:rsid w:val="00334D99"/>
    <w:rsid w:val="00334F91"/>
    <w:rsid w:val="00335675"/>
    <w:rsid w:val="00335DC0"/>
    <w:rsid w:val="00336221"/>
    <w:rsid w:val="00336412"/>
    <w:rsid w:val="00340376"/>
    <w:rsid w:val="0034293D"/>
    <w:rsid w:val="003429B5"/>
    <w:rsid w:val="00342FA5"/>
    <w:rsid w:val="0034304C"/>
    <w:rsid w:val="00343860"/>
    <w:rsid w:val="00344A71"/>
    <w:rsid w:val="003464A8"/>
    <w:rsid w:val="00347CF5"/>
    <w:rsid w:val="0035038C"/>
    <w:rsid w:val="003519EF"/>
    <w:rsid w:val="003524B7"/>
    <w:rsid w:val="00355057"/>
    <w:rsid w:val="003560B7"/>
    <w:rsid w:val="00356C28"/>
    <w:rsid w:val="00356F37"/>
    <w:rsid w:val="003575F1"/>
    <w:rsid w:val="00360643"/>
    <w:rsid w:val="003612EF"/>
    <w:rsid w:val="00361754"/>
    <w:rsid w:val="00361A5F"/>
    <w:rsid w:val="00365C27"/>
    <w:rsid w:val="00365D02"/>
    <w:rsid w:val="00366670"/>
    <w:rsid w:val="00367F7C"/>
    <w:rsid w:val="00370774"/>
    <w:rsid w:val="003716E7"/>
    <w:rsid w:val="00372BC2"/>
    <w:rsid w:val="003733FB"/>
    <w:rsid w:val="00373D35"/>
    <w:rsid w:val="003752A4"/>
    <w:rsid w:val="003759A5"/>
    <w:rsid w:val="00376292"/>
    <w:rsid w:val="0037782C"/>
    <w:rsid w:val="003804E9"/>
    <w:rsid w:val="00383C65"/>
    <w:rsid w:val="0038462D"/>
    <w:rsid w:val="00384758"/>
    <w:rsid w:val="00385ADA"/>
    <w:rsid w:val="003863C4"/>
    <w:rsid w:val="003879B0"/>
    <w:rsid w:val="0039076C"/>
    <w:rsid w:val="00391DAD"/>
    <w:rsid w:val="00392D1A"/>
    <w:rsid w:val="003931EC"/>
    <w:rsid w:val="00393315"/>
    <w:rsid w:val="003A029B"/>
    <w:rsid w:val="003A29CA"/>
    <w:rsid w:val="003A3344"/>
    <w:rsid w:val="003A54F6"/>
    <w:rsid w:val="003A753E"/>
    <w:rsid w:val="003A7CF5"/>
    <w:rsid w:val="003B1909"/>
    <w:rsid w:val="003B26E9"/>
    <w:rsid w:val="003B2DD1"/>
    <w:rsid w:val="003B3AFD"/>
    <w:rsid w:val="003B4BB5"/>
    <w:rsid w:val="003B5354"/>
    <w:rsid w:val="003B6003"/>
    <w:rsid w:val="003B6689"/>
    <w:rsid w:val="003B76B3"/>
    <w:rsid w:val="003C07C0"/>
    <w:rsid w:val="003C18CA"/>
    <w:rsid w:val="003C23AC"/>
    <w:rsid w:val="003C3801"/>
    <w:rsid w:val="003C61E6"/>
    <w:rsid w:val="003C6342"/>
    <w:rsid w:val="003D0F4C"/>
    <w:rsid w:val="003D1485"/>
    <w:rsid w:val="003D1C00"/>
    <w:rsid w:val="003D1CF7"/>
    <w:rsid w:val="003D37E2"/>
    <w:rsid w:val="003D394D"/>
    <w:rsid w:val="003D4559"/>
    <w:rsid w:val="003D4BA3"/>
    <w:rsid w:val="003D51A6"/>
    <w:rsid w:val="003D5C12"/>
    <w:rsid w:val="003D5E21"/>
    <w:rsid w:val="003D616D"/>
    <w:rsid w:val="003D62BB"/>
    <w:rsid w:val="003D63E9"/>
    <w:rsid w:val="003D673F"/>
    <w:rsid w:val="003E0EEC"/>
    <w:rsid w:val="003E178B"/>
    <w:rsid w:val="003E26C3"/>
    <w:rsid w:val="003E2B30"/>
    <w:rsid w:val="003E3F19"/>
    <w:rsid w:val="003E475A"/>
    <w:rsid w:val="003E76E8"/>
    <w:rsid w:val="003F2618"/>
    <w:rsid w:val="003F33D5"/>
    <w:rsid w:val="003F3618"/>
    <w:rsid w:val="003F3F2E"/>
    <w:rsid w:val="003F49A5"/>
    <w:rsid w:val="003F5E2E"/>
    <w:rsid w:val="003F607A"/>
    <w:rsid w:val="003F6109"/>
    <w:rsid w:val="0040070F"/>
    <w:rsid w:val="00401123"/>
    <w:rsid w:val="00401AD6"/>
    <w:rsid w:val="00401BCA"/>
    <w:rsid w:val="004054AC"/>
    <w:rsid w:val="0040667E"/>
    <w:rsid w:val="004071E6"/>
    <w:rsid w:val="00410797"/>
    <w:rsid w:val="004125C6"/>
    <w:rsid w:val="00412741"/>
    <w:rsid w:val="00412E48"/>
    <w:rsid w:val="00413639"/>
    <w:rsid w:val="0041388A"/>
    <w:rsid w:val="0041571D"/>
    <w:rsid w:val="00415AE3"/>
    <w:rsid w:val="00416176"/>
    <w:rsid w:val="00416D63"/>
    <w:rsid w:val="004215EF"/>
    <w:rsid w:val="0042211F"/>
    <w:rsid w:val="00423353"/>
    <w:rsid w:val="0042361D"/>
    <w:rsid w:val="004236E3"/>
    <w:rsid w:val="00423BD2"/>
    <w:rsid w:val="004246BC"/>
    <w:rsid w:val="00425B11"/>
    <w:rsid w:val="00426F92"/>
    <w:rsid w:val="0042716F"/>
    <w:rsid w:val="004272BD"/>
    <w:rsid w:val="004278AB"/>
    <w:rsid w:val="00430415"/>
    <w:rsid w:val="004308CE"/>
    <w:rsid w:val="0043119A"/>
    <w:rsid w:val="0043487C"/>
    <w:rsid w:val="004363AF"/>
    <w:rsid w:val="00440392"/>
    <w:rsid w:val="00440FF5"/>
    <w:rsid w:val="00441C09"/>
    <w:rsid w:val="0044225D"/>
    <w:rsid w:val="00445B7E"/>
    <w:rsid w:val="00446039"/>
    <w:rsid w:val="00446368"/>
    <w:rsid w:val="00446568"/>
    <w:rsid w:val="0045037E"/>
    <w:rsid w:val="00451BAC"/>
    <w:rsid w:val="00452789"/>
    <w:rsid w:val="00453A30"/>
    <w:rsid w:val="0045501B"/>
    <w:rsid w:val="00455B66"/>
    <w:rsid w:val="00455CAA"/>
    <w:rsid w:val="00457075"/>
    <w:rsid w:val="004578AF"/>
    <w:rsid w:val="00457C5B"/>
    <w:rsid w:val="004613E2"/>
    <w:rsid w:val="00461870"/>
    <w:rsid w:val="00461F92"/>
    <w:rsid w:val="00462C5C"/>
    <w:rsid w:val="004638F8"/>
    <w:rsid w:val="0046449C"/>
    <w:rsid w:val="00464D22"/>
    <w:rsid w:val="00471CAD"/>
    <w:rsid w:val="00475174"/>
    <w:rsid w:val="004767F3"/>
    <w:rsid w:val="00477366"/>
    <w:rsid w:val="004774A5"/>
    <w:rsid w:val="00477DFE"/>
    <w:rsid w:val="004803C2"/>
    <w:rsid w:val="00480544"/>
    <w:rsid w:val="00480EFD"/>
    <w:rsid w:val="00482E55"/>
    <w:rsid w:val="00483C30"/>
    <w:rsid w:val="00483D83"/>
    <w:rsid w:val="00484199"/>
    <w:rsid w:val="00485C48"/>
    <w:rsid w:val="00485C8C"/>
    <w:rsid w:val="00486DF1"/>
    <w:rsid w:val="00486F68"/>
    <w:rsid w:val="0048728E"/>
    <w:rsid w:val="004905D1"/>
    <w:rsid w:val="00492B04"/>
    <w:rsid w:val="00493DB3"/>
    <w:rsid w:val="0049505D"/>
    <w:rsid w:val="004A0A43"/>
    <w:rsid w:val="004A2767"/>
    <w:rsid w:val="004A3447"/>
    <w:rsid w:val="004A3D74"/>
    <w:rsid w:val="004A3EEA"/>
    <w:rsid w:val="004A45C8"/>
    <w:rsid w:val="004A6BB8"/>
    <w:rsid w:val="004A7BE9"/>
    <w:rsid w:val="004A7D1C"/>
    <w:rsid w:val="004B1769"/>
    <w:rsid w:val="004B1E38"/>
    <w:rsid w:val="004B2E0A"/>
    <w:rsid w:val="004B2FFB"/>
    <w:rsid w:val="004B48C8"/>
    <w:rsid w:val="004B5942"/>
    <w:rsid w:val="004B656E"/>
    <w:rsid w:val="004B7ABE"/>
    <w:rsid w:val="004C24F9"/>
    <w:rsid w:val="004C2A0D"/>
    <w:rsid w:val="004C3075"/>
    <w:rsid w:val="004C3365"/>
    <w:rsid w:val="004C6B56"/>
    <w:rsid w:val="004C76AD"/>
    <w:rsid w:val="004D2530"/>
    <w:rsid w:val="004D40EA"/>
    <w:rsid w:val="004D45B8"/>
    <w:rsid w:val="004D4DC4"/>
    <w:rsid w:val="004D5213"/>
    <w:rsid w:val="004D5468"/>
    <w:rsid w:val="004D5852"/>
    <w:rsid w:val="004D7B82"/>
    <w:rsid w:val="004E2743"/>
    <w:rsid w:val="004E3737"/>
    <w:rsid w:val="004E3D61"/>
    <w:rsid w:val="004E4B1E"/>
    <w:rsid w:val="004E5B22"/>
    <w:rsid w:val="004E62F2"/>
    <w:rsid w:val="004E69F3"/>
    <w:rsid w:val="004E6A49"/>
    <w:rsid w:val="004E7E3F"/>
    <w:rsid w:val="004F0014"/>
    <w:rsid w:val="004F4488"/>
    <w:rsid w:val="004F4B8A"/>
    <w:rsid w:val="004F6387"/>
    <w:rsid w:val="00502CD8"/>
    <w:rsid w:val="005030D7"/>
    <w:rsid w:val="00503B6A"/>
    <w:rsid w:val="00504225"/>
    <w:rsid w:val="005059A0"/>
    <w:rsid w:val="005071F6"/>
    <w:rsid w:val="00507547"/>
    <w:rsid w:val="00507A70"/>
    <w:rsid w:val="00507ABD"/>
    <w:rsid w:val="00507D79"/>
    <w:rsid w:val="005100CB"/>
    <w:rsid w:val="005105AE"/>
    <w:rsid w:val="0051117D"/>
    <w:rsid w:val="00511CA7"/>
    <w:rsid w:val="00511EC9"/>
    <w:rsid w:val="00512523"/>
    <w:rsid w:val="00513623"/>
    <w:rsid w:val="005138EC"/>
    <w:rsid w:val="00516760"/>
    <w:rsid w:val="00520D4A"/>
    <w:rsid w:val="0052424D"/>
    <w:rsid w:val="00525A9E"/>
    <w:rsid w:val="005278EE"/>
    <w:rsid w:val="00532AD5"/>
    <w:rsid w:val="00533586"/>
    <w:rsid w:val="005400AA"/>
    <w:rsid w:val="00540660"/>
    <w:rsid w:val="005418D6"/>
    <w:rsid w:val="00542969"/>
    <w:rsid w:val="0054519F"/>
    <w:rsid w:val="0054616D"/>
    <w:rsid w:val="0054747C"/>
    <w:rsid w:val="005477DE"/>
    <w:rsid w:val="00547CEA"/>
    <w:rsid w:val="00547D3A"/>
    <w:rsid w:val="00551122"/>
    <w:rsid w:val="0055203F"/>
    <w:rsid w:val="00552DCE"/>
    <w:rsid w:val="00553C4C"/>
    <w:rsid w:val="005545B7"/>
    <w:rsid w:val="00555F89"/>
    <w:rsid w:val="00556D00"/>
    <w:rsid w:val="00557BAF"/>
    <w:rsid w:val="00562931"/>
    <w:rsid w:val="00563AD0"/>
    <w:rsid w:val="00564FAE"/>
    <w:rsid w:val="0056614E"/>
    <w:rsid w:val="00567611"/>
    <w:rsid w:val="0056761C"/>
    <w:rsid w:val="00570516"/>
    <w:rsid w:val="00570702"/>
    <w:rsid w:val="00571A0B"/>
    <w:rsid w:val="00571B44"/>
    <w:rsid w:val="00571D5B"/>
    <w:rsid w:val="0057200C"/>
    <w:rsid w:val="00572F4E"/>
    <w:rsid w:val="00574D09"/>
    <w:rsid w:val="00574D81"/>
    <w:rsid w:val="005759AF"/>
    <w:rsid w:val="00575FA0"/>
    <w:rsid w:val="005761DF"/>
    <w:rsid w:val="0058320A"/>
    <w:rsid w:val="00583443"/>
    <w:rsid w:val="00583DBE"/>
    <w:rsid w:val="0058415D"/>
    <w:rsid w:val="005859CE"/>
    <w:rsid w:val="005868C7"/>
    <w:rsid w:val="005873E7"/>
    <w:rsid w:val="00587812"/>
    <w:rsid w:val="005879DA"/>
    <w:rsid w:val="0059247D"/>
    <w:rsid w:val="00592C99"/>
    <w:rsid w:val="0059337C"/>
    <w:rsid w:val="00593467"/>
    <w:rsid w:val="00594030"/>
    <w:rsid w:val="0059463D"/>
    <w:rsid w:val="00594C09"/>
    <w:rsid w:val="005955FC"/>
    <w:rsid w:val="005956C7"/>
    <w:rsid w:val="00595FC0"/>
    <w:rsid w:val="005969FA"/>
    <w:rsid w:val="005A0785"/>
    <w:rsid w:val="005A0C04"/>
    <w:rsid w:val="005A1889"/>
    <w:rsid w:val="005A2971"/>
    <w:rsid w:val="005A3B5D"/>
    <w:rsid w:val="005A6064"/>
    <w:rsid w:val="005A6103"/>
    <w:rsid w:val="005B1AA9"/>
    <w:rsid w:val="005B1E87"/>
    <w:rsid w:val="005B3327"/>
    <w:rsid w:val="005B4F8E"/>
    <w:rsid w:val="005B57AC"/>
    <w:rsid w:val="005C0101"/>
    <w:rsid w:val="005C3DD0"/>
    <w:rsid w:val="005C7CEA"/>
    <w:rsid w:val="005D282A"/>
    <w:rsid w:val="005D3263"/>
    <w:rsid w:val="005D4453"/>
    <w:rsid w:val="005D4C7E"/>
    <w:rsid w:val="005D73A6"/>
    <w:rsid w:val="005D7FD0"/>
    <w:rsid w:val="005E0C66"/>
    <w:rsid w:val="005E1EC7"/>
    <w:rsid w:val="005E4CAC"/>
    <w:rsid w:val="005E772E"/>
    <w:rsid w:val="005F019A"/>
    <w:rsid w:val="005F159C"/>
    <w:rsid w:val="005F16AE"/>
    <w:rsid w:val="005F2ED9"/>
    <w:rsid w:val="005F2F1D"/>
    <w:rsid w:val="005F539D"/>
    <w:rsid w:val="005F577A"/>
    <w:rsid w:val="005F5FFE"/>
    <w:rsid w:val="00603CF4"/>
    <w:rsid w:val="006042E7"/>
    <w:rsid w:val="00604BD4"/>
    <w:rsid w:val="006062D3"/>
    <w:rsid w:val="0060791C"/>
    <w:rsid w:val="00607FCD"/>
    <w:rsid w:val="006106D4"/>
    <w:rsid w:val="00610A63"/>
    <w:rsid w:val="00611A2F"/>
    <w:rsid w:val="0061394F"/>
    <w:rsid w:val="00615382"/>
    <w:rsid w:val="0061553A"/>
    <w:rsid w:val="006174C7"/>
    <w:rsid w:val="00624DE1"/>
    <w:rsid w:val="006259F3"/>
    <w:rsid w:val="00625C12"/>
    <w:rsid w:val="00626554"/>
    <w:rsid w:val="00630EF8"/>
    <w:rsid w:val="00632233"/>
    <w:rsid w:val="006322DB"/>
    <w:rsid w:val="00632F5C"/>
    <w:rsid w:val="006332DC"/>
    <w:rsid w:val="00633342"/>
    <w:rsid w:val="00634A4B"/>
    <w:rsid w:val="006359F2"/>
    <w:rsid w:val="00636699"/>
    <w:rsid w:val="00637CC1"/>
    <w:rsid w:val="00637E12"/>
    <w:rsid w:val="0064056A"/>
    <w:rsid w:val="00641792"/>
    <w:rsid w:val="00642760"/>
    <w:rsid w:val="00643498"/>
    <w:rsid w:val="0064562B"/>
    <w:rsid w:val="00645F7F"/>
    <w:rsid w:val="00646A0F"/>
    <w:rsid w:val="00647AD7"/>
    <w:rsid w:val="00647BFE"/>
    <w:rsid w:val="006508FA"/>
    <w:rsid w:val="00650E6F"/>
    <w:rsid w:val="006516F1"/>
    <w:rsid w:val="00651BC1"/>
    <w:rsid w:val="00653342"/>
    <w:rsid w:val="0065726D"/>
    <w:rsid w:val="0065798B"/>
    <w:rsid w:val="00657A31"/>
    <w:rsid w:val="00657B70"/>
    <w:rsid w:val="0066349A"/>
    <w:rsid w:val="00663C42"/>
    <w:rsid w:val="006648FD"/>
    <w:rsid w:val="00664E42"/>
    <w:rsid w:val="00665128"/>
    <w:rsid w:val="00665E3F"/>
    <w:rsid w:val="006667BA"/>
    <w:rsid w:val="00666819"/>
    <w:rsid w:val="006668BD"/>
    <w:rsid w:val="00671493"/>
    <w:rsid w:val="0067241A"/>
    <w:rsid w:val="00673FB5"/>
    <w:rsid w:val="00675F30"/>
    <w:rsid w:val="00676009"/>
    <w:rsid w:val="00677611"/>
    <w:rsid w:val="00680768"/>
    <w:rsid w:val="006810C7"/>
    <w:rsid w:val="00683753"/>
    <w:rsid w:val="00683FA6"/>
    <w:rsid w:val="006850D0"/>
    <w:rsid w:val="006852B7"/>
    <w:rsid w:val="00686D03"/>
    <w:rsid w:val="00686D04"/>
    <w:rsid w:val="0068724F"/>
    <w:rsid w:val="006905D8"/>
    <w:rsid w:val="00692FBC"/>
    <w:rsid w:val="00693298"/>
    <w:rsid w:val="0069377D"/>
    <w:rsid w:val="00693C69"/>
    <w:rsid w:val="0069423E"/>
    <w:rsid w:val="00695442"/>
    <w:rsid w:val="006A165A"/>
    <w:rsid w:val="006A2816"/>
    <w:rsid w:val="006A4EBC"/>
    <w:rsid w:val="006A5395"/>
    <w:rsid w:val="006A5577"/>
    <w:rsid w:val="006A5885"/>
    <w:rsid w:val="006A6B90"/>
    <w:rsid w:val="006A7694"/>
    <w:rsid w:val="006A7A8B"/>
    <w:rsid w:val="006B0E68"/>
    <w:rsid w:val="006B1679"/>
    <w:rsid w:val="006B1BAC"/>
    <w:rsid w:val="006B256D"/>
    <w:rsid w:val="006C2F9C"/>
    <w:rsid w:val="006C3A89"/>
    <w:rsid w:val="006C5284"/>
    <w:rsid w:val="006C7AAC"/>
    <w:rsid w:val="006D3A4C"/>
    <w:rsid w:val="006D5098"/>
    <w:rsid w:val="006D6774"/>
    <w:rsid w:val="006E08AE"/>
    <w:rsid w:val="006E0A7C"/>
    <w:rsid w:val="006E0FC9"/>
    <w:rsid w:val="006E1C71"/>
    <w:rsid w:val="006E31D8"/>
    <w:rsid w:val="006E505D"/>
    <w:rsid w:val="006E7B34"/>
    <w:rsid w:val="006F00DB"/>
    <w:rsid w:val="006F1A51"/>
    <w:rsid w:val="006F4BC2"/>
    <w:rsid w:val="006F58CC"/>
    <w:rsid w:val="006F63E6"/>
    <w:rsid w:val="006F6435"/>
    <w:rsid w:val="006F75D0"/>
    <w:rsid w:val="007032BF"/>
    <w:rsid w:val="007065B8"/>
    <w:rsid w:val="0070763B"/>
    <w:rsid w:val="00707E20"/>
    <w:rsid w:val="00710B83"/>
    <w:rsid w:val="0071135C"/>
    <w:rsid w:val="00712E64"/>
    <w:rsid w:val="00713343"/>
    <w:rsid w:val="0071380D"/>
    <w:rsid w:val="00713971"/>
    <w:rsid w:val="00714353"/>
    <w:rsid w:val="007167A4"/>
    <w:rsid w:val="00717A31"/>
    <w:rsid w:val="00720719"/>
    <w:rsid w:val="00720A8C"/>
    <w:rsid w:val="0072267B"/>
    <w:rsid w:val="00722E6F"/>
    <w:rsid w:val="00723A9C"/>
    <w:rsid w:val="00726012"/>
    <w:rsid w:val="007269B7"/>
    <w:rsid w:val="007301CE"/>
    <w:rsid w:val="00730987"/>
    <w:rsid w:val="00733D7D"/>
    <w:rsid w:val="00734A59"/>
    <w:rsid w:val="00735D9B"/>
    <w:rsid w:val="00736BB7"/>
    <w:rsid w:val="00737C21"/>
    <w:rsid w:val="00737E7B"/>
    <w:rsid w:val="00742CFB"/>
    <w:rsid w:val="00742F8E"/>
    <w:rsid w:val="007433A5"/>
    <w:rsid w:val="00744560"/>
    <w:rsid w:val="007458C2"/>
    <w:rsid w:val="00746740"/>
    <w:rsid w:val="007468C3"/>
    <w:rsid w:val="00751A23"/>
    <w:rsid w:val="007521B7"/>
    <w:rsid w:val="0075248B"/>
    <w:rsid w:val="00756057"/>
    <w:rsid w:val="00760BCD"/>
    <w:rsid w:val="00761C9A"/>
    <w:rsid w:val="0076271F"/>
    <w:rsid w:val="0076364C"/>
    <w:rsid w:val="0076442A"/>
    <w:rsid w:val="007646C1"/>
    <w:rsid w:val="00765E56"/>
    <w:rsid w:val="007670A1"/>
    <w:rsid w:val="00767202"/>
    <w:rsid w:val="00767A57"/>
    <w:rsid w:val="00767DA5"/>
    <w:rsid w:val="00771F32"/>
    <w:rsid w:val="007727DF"/>
    <w:rsid w:val="0077338B"/>
    <w:rsid w:val="00776638"/>
    <w:rsid w:val="00780AC4"/>
    <w:rsid w:val="00784247"/>
    <w:rsid w:val="00784B89"/>
    <w:rsid w:val="00785B39"/>
    <w:rsid w:val="007873C9"/>
    <w:rsid w:val="00792F37"/>
    <w:rsid w:val="0079368F"/>
    <w:rsid w:val="00796FD1"/>
    <w:rsid w:val="007A07F3"/>
    <w:rsid w:val="007A0C03"/>
    <w:rsid w:val="007A1E1D"/>
    <w:rsid w:val="007A1E28"/>
    <w:rsid w:val="007A2161"/>
    <w:rsid w:val="007A21CF"/>
    <w:rsid w:val="007A2B0B"/>
    <w:rsid w:val="007A3F92"/>
    <w:rsid w:val="007A6909"/>
    <w:rsid w:val="007A73CA"/>
    <w:rsid w:val="007B120A"/>
    <w:rsid w:val="007B1928"/>
    <w:rsid w:val="007B3B16"/>
    <w:rsid w:val="007B3CEB"/>
    <w:rsid w:val="007B49DD"/>
    <w:rsid w:val="007B6160"/>
    <w:rsid w:val="007C039D"/>
    <w:rsid w:val="007C1A1B"/>
    <w:rsid w:val="007C27A5"/>
    <w:rsid w:val="007C28B5"/>
    <w:rsid w:val="007C3C40"/>
    <w:rsid w:val="007C4740"/>
    <w:rsid w:val="007C4F84"/>
    <w:rsid w:val="007C5A4E"/>
    <w:rsid w:val="007C5DA8"/>
    <w:rsid w:val="007C798F"/>
    <w:rsid w:val="007D0481"/>
    <w:rsid w:val="007D10E7"/>
    <w:rsid w:val="007D14EB"/>
    <w:rsid w:val="007D4BC1"/>
    <w:rsid w:val="007D5D80"/>
    <w:rsid w:val="007D6EE7"/>
    <w:rsid w:val="007E0494"/>
    <w:rsid w:val="007E1121"/>
    <w:rsid w:val="007E2E0E"/>
    <w:rsid w:val="007E364B"/>
    <w:rsid w:val="007E5A2C"/>
    <w:rsid w:val="007E6D67"/>
    <w:rsid w:val="007F1611"/>
    <w:rsid w:val="007F1C2C"/>
    <w:rsid w:val="007F2BB8"/>
    <w:rsid w:val="007F3D54"/>
    <w:rsid w:val="007F4CCA"/>
    <w:rsid w:val="007F5CBF"/>
    <w:rsid w:val="007F6FF3"/>
    <w:rsid w:val="007F71E5"/>
    <w:rsid w:val="00800A68"/>
    <w:rsid w:val="00801721"/>
    <w:rsid w:val="008036A2"/>
    <w:rsid w:val="00803FDE"/>
    <w:rsid w:val="00804B04"/>
    <w:rsid w:val="008120B0"/>
    <w:rsid w:val="00812F39"/>
    <w:rsid w:val="00813EAF"/>
    <w:rsid w:val="00814741"/>
    <w:rsid w:val="008147DA"/>
    <w:rsid w:val="00815071"/>
    <w:rsid w:val="0081600D"/>
    <w:rsid w:val="008160EC"/>
    <w:rsid w:val="0081616C"/>
    <w:rsid w:val="008173AA"/>
    <w:rsid w:val="00820A6E"/>
    <w:rsid w:val="00823A22"/>
    <w:rsid w:val="008255DB"/>
    <w:rsid w:val="0082586F"/>
    <w:rsid w:val="00825DBF"/>
    <w:rsid w:val="008274DC"/>
    <w:rsid w:val="00827BC9"/>
    <w:rsid w:val="0083325F"/>
    <w:rsid w:val="00833E60"/>
    <w:rsid w:val="00833E95"/>
    <w:rsid w:val="00834E50"/>
    <w:rsid w:val="00836316"/>
    <w:rsid w:val="00840190"/>
    <w:rsid w:val="008408FD"/>
    <w:rsid w:val="00841395"/>
    <w:rsid w:val="008423DD"/>
    <w:rsid w:val="00842F09"/>
    <w:rsid w:val="00842F31"/>
    <w:rsid w:val="0084350F"/>
    <w:rsid w:val="0084416F"/>
    <w:rsid w:val="00844414"/>
    <w:rsid w:val="00845304"/>
    <w:rsid w:val="008456C4"/>
    <w:rsid w:val="0084721F"/>
    <w:rsid w:val="00847A80"/>
    <w:rsid w:val="00852BE1"/>
    <w:rsid w:val="00853873"/>
    <w:rsid w:val="008546A7"/>
    <w:rsid w:val="00855E16"/>
    <w:rsid w:val="00856C94"/>
    <w:rsid w:val="00860010"/>
    <w:rsid w:val="00863AEC"/>
    <w:rsid w:val="00864A18"/>
    <w:rsid w:val="00867D19"/>
    <w:rsid w:val="00870B3C"/>
    <w:rsid w:val="00872609"/>
    <w:rsid w:val="00874657"/>
    <w:rsid w:val="0087534E"/>
    <w:rsid w:val="00876A5C"/>
    <w:rsid w:val="0087749A"/>
    <w:rsid w:val="00877D89"/>
    <w:rsid w:val="0088083E"/>
    <w:rsid w:val="00880F5E"/>
    <w:rsid w:val="00882326"/>
    <w:rsid w:val="00883E1A"/>
    <w:rsid w:val="008849EB"/>
    <w:rsid w:val="00884D0A"/>
    <w:rsid w:val="0088658B"/>
    <w:rsid w:val="00892DEC"/>
    <w:rsid w:val="00895559"/>
    <w:rsid w:val="008956AE"/>
    <w:rsid w:val="00897BA7"/>
    <w:rsid w:val="008A1916"/>
    <w:rsid w:val="008A27AA"/>
    <w:rsid w:val="008A2856"/>
    <w:rsid w:val="008A4C15"/>
    <w:rsid w:val="008A7FBB"/>
    <w:rsid w:val="008B02AB"/>
    <w:rsid w:val="008B1057"/>
    <w:rsid w:val="008B3B93"/>
    <w:rsid w:val="008B48DC"/>
    <w:rsid w:val="008B58FA"/>
    <w:rsid w:val="008B700C"/>
    <w:rsid w:val="008B76A6"/>
    <w:rsid w:val="008C290E"/>
    <w:rsid w:val="008C4AFA"/>
    <w:rsid w:val="008C71A3"/>
    <w:rsid w:val="008C789A"/>
    <w:rsid w:val="008D009E"/>
    <w:rsid w:val="008D05AE"/>
    <w:rsid w:val="008D0846"/>
    <w:rsid w:val="008D1692"/>
    <w:rsid w:val="008D1C7F"/>
    <w:rsid w:val="008D2BB8"/>
    <w:rsid w:val="008D34D4"/>
    <w:rsid w:val="008D36EB"/>
    <w:rsid w:val="008D3B23"/>
    <w:rsid w:val="008D4C7E"/>
    <w:rsid w:val="008D511C"/>
    <w:rsid w:val="008D6187"/>
    <w:rsid w:val="008D63BE"/>
    <w:rsid w:val="008E0EC4"/>
    <w:rsid w:val="008E1A0D"/>
    <w:rsid w:val="008E3E5F"/>
    <w:rsid w:val="008E48D5"/>
    <w:rsid w:val="008E5A08"/>
    <w:rsid w:val="008F0BA4"/>
    <w:rsid w:val="008F0EB6"/>
    <w:rsid w:val="008F138F"/>
    <w:rsid w:val="008F1F66"/>
    <w:rsid w:val="008F20C2"/>
    <w:rsid w:val="008F48B6"/>
    <w:rsid w:val="008F5A35"/>
    <w:rsid w:val="008F6ADD"/>
    <w:rsid w:val="008F72FE"/>
    <w:rsid w:val="00901950"/>
    <w:rsid w:val="009019BC"/>
    <w:rsid w:val="00903FFD"/>
    <w:rsid w:val="00904CF8"/>
    <w:rsid w:val="0090565B"/>
    <w:rsid w:val="009056BB"/>
    <w:rsid w:val="00905F05"/>
    <w:rsid w:val="00906E92"/>
    <w:rsid w:val="00906FB0"/>
    <w:rsid w:val="009079A9"/>
    <w:rsid w:val="00907AAD"/>
    <w:rsid w:val="0091040A"/>
    <w:rsid w:val="009104B8"/>
    <w:rsid w:val="0091574C"/>
    <w:rsid w:val="00916512"/>
    <w:rsid w:val="00920C1C"/>
    <w:rsid w:val="00920E9D"/>
    <w:rsid w:val="00922348"/>
    <w:rsid w:val="00922501"/>
    <w:rsid w:val="0092277A"/>
    <w:rsid w:val="009228E5"/>
    <w:rsid w:val="00922E16"/>
    <w:rsid w:val="00923429"/>
    <w:rsid w:val="00923539"/>
    <w:rsid w:val="0092418F"/>
    <w:rsid w:val="00924DFF"/>
    <w:rsid w:val="00925AEA"/>
    <w:rsid w:val="009261AE"/>
    <w:rsid w:val="00926335"/>
    <w:rsid w:val="00927898"/>
    <w:rsid w:val="0092799B"/>
    <w:rsid w:val="00930021"/>
    <w:rsid w:val="009307B1"/>
    <w:rsid w:val="009313BF"/>
    <w:rsid w:val="00931750"/>
    <w:rsid w:val="00932343"/>
    <w:rsid w:val="0093324C"/>
    <w:rsid w:val="0093620B"/>
    <w:rsid w:val="009363F3"/>
    <w:rsid w:val="00937974"/>
    <w:rsid w:val="0094174D"/>
    <w:rsid w:val="00941897"/>
    <w:rsid w:val="00941AAD"/>
    <w:rsid w:val="00941C42"/>
    <w:rsid w:val="00942E0C"/>
    <w:rsid w:val="0094412A"/>
    <w:rsid w:val="00944888"/>
    <w:rsid w:val="0094791A"/>
    <w:rsid w:val="0094799C"/>
    <w:rsid w:val="00950BAD"/>
    <w:rsid w:val="00951689"/>
    <w:rsid w:val="00953A78"/>
    <w:rsid w:val="009546D3"/>
    <w:rsid w:val="00955246"/>
    <w:rsid w:val="00955CE0"/>
    <w:rsid w:val="0095660B"/>
    <w:rsid w:val="00957A62"/>
    <w:rsid w:val="00960466"/>
    <w:rsid w:val="00962DBD"/>
    <w:rsid w:val="0096371B"/>
    <w:rsid w:val="00964831"/>
    <w:rsid w:val="009649AD"/>
    <w:rsid w:val="00966B8B"/>
    <w:rsid w:val="00966EB3"/>
    <w:rsid w:val="009672DD"/>
    <w:rsid w:val="00972289"/>
    <w:rsid w:val="0097493D"/>
    <w:rsid w:val="00976D28"/>
    <w:rsid w:val="0097783A"/>
    <w:rsid w:val="00980BD1"/>
    <w:rsid w:val="00980DE6"/>
    <w:rsid w:val="00980E42"/>
    <w:rsid w:val="009810B5"/>
    <w:rsid w:val="00982705"/>
    <w:rsid w:val="00982E0A"/>
    <w:rsid w:val="009835A6"/>
    <w:rsid w:val="00986002"/>
    <w:rsid w:val="00986B07"/>
    <w:rsid w:val="00986FB3"/>
    <w:rsid w:val="00987316"/>
    <w:rsid w:val="009902E7"/>
    <w:rsid w:val="009905A2"/>
    <w:rsid w:val="00991038"/>
    <w:rsid w:val="00991116"/>
    <w:rsid w:val="00992ACC"/>
    <w:rsid w:val="009A0121"/>
    <w:rsid w:val="009A06C0"/>
    <w:rsid w:val="009A1017"/>
    <w:rsid w:val="009A2D88"/>
    <w:rsid w:val="009A317D"/>
    <w:rsid w:val="009A5436"/>
    <w:rsid w:val="009A5C38"/>
    <w:rsid w:val="009A67CF"/>
    <w:rsid w:val="009B1F7A"/>
    <w:rsid w:val="009B2D96"/>
    <w:rsid w:val="009B392D"/>
    <w:rsid w:val="009B637B"/>
    <w:rsid w:val="009B7464"/>
    <w:rsid w:val="009C0B0B"/>
    <w:rsid w:val="009C15DD"/>
    <w:rsid w:val="009C3408"/>
    <w:rsid w:val="009C3DF5"/>
    <w:rsid w:val="009C3FF0"/>
    <w:rsid w:val="009C41FA"/>
    <w:rsid w:val="009C55D8"/>
    <w:rsid w:val="009C644D"/>
    <w:rsid w:val="009C7082"/>
    <w:rsid w:val="009C7755"/>
    <w:rsid w:val="009D041D"/>
    <w:rsid w:val="009D1689"/>
    <w:rsid w:val="009D17C9"/>
    <w:rsid w:val="009D259C"/>
    <w:rsid w:val="009D4328"/>
    <w:rsid w:val="009D4B56"/>
    <w:rsid w:val="009D5D74"/>
    <w:rsid w:val="009D72EB"/>
    <w:rsid w:val="009D7A3F"/>
    <w:rsid w:val="009E07A4"/>
    <w:rsid w:val="009E1425"/>
    <w:rsid w:val="009E1759"/>
    <w:rsid w:val="009E2255"/>
    <w:rsid w:val="009E4FC9"/>
    <w:rsid w:val="009E5203"/>
    <w:rsid w:val="009E5579"/>
    <w:rsid w:val="009E671F"/>
    <w:rsid w:val="009E6AD4"/>
    <w:rsid w:val="009E7E3F"/>
    <w:rsid w:val="009F0070"/>
    <w:rsid w:val="009F03C1"/>
    <w:rsid w:val="009F1A24"/>
    <w:rsid w:val="009F1E2D"/>
    <w:rsid w:val="009F26B6"/>
    <w:rsid w:val="009F5498"/>
    <w:rsid w:val="009F594E"/>
    <w:rsid w:val="00A00444"/>
    <w:rsid w:val="00A01365"/>
    <w:rsid w:val="00A015CD"/>
    <w:rsid w:val="00A027AA"/>
    <w:rsid w:val="00A039A5"/>
    <w:rsid w:val="00A03A54"/>
    <w:rsid w:val="00A03A70"/>
    <w:rsid w:val="00A067D1"/>
    <w:rsid w:val="00A06FCD"/>
    <w:rsid w:val="00A07ACF"/>
    <w:rsid w:val="00A13A02"/>
    <w:rsid w:val="00A144D3"/>
    <w:rsid w:val="00A14D9E"/>
    <w:rsid w:val="00A21C1D"/>
    <w:rsid w:val="00A22923"/>
    <w:rsid w:val="00A2443F"/>
    <w:rsid w:val="00A24913"/>
    <w:rsid w:val="00A24933"/>
    <w:rsid w:val="00A25352"/>
    <w:rsid w:val="00A25846"/>
    <w:rsid w:val="00A25B28"/>
    <w:rsid w:val="00A2654F"/>
    <w:rsid w:val="00A31058"/>
    <w:rsid w:val="00A316F3"/>
    <w:rsid w:val="00A3656B"/>
    <w:rsid w:val="00A37C61"/>
    <w:rsid w:val="00A41857"/>
    <w:rsid w:val="00A449D2"/>
    <w:rsid w:val="00A450BB"/>
    <w:rsid w:val="00A45664"/>
    <w:rsid w:val="00A460C0"/>
    <w:rsid w:val="00A469DC"/>
    <w:rsid w:val="00A47ADF"/>
    <w:rsid w:val="00A50612"/>
    <w:rsid w:val="00A514A7"/>
    <w:rsid w:val="00A518D2"/>
    <w:rsid w:val="00A5197B"/>
    <w:rsid w:val="00A51B6B"/>
    <w:rsid w:val="00A5208E"/>
    <w:rsid w:val="00A53AF4"/>
    <w:rsid w:val="00A557E7"/>
    <w:rsid w:val="00A55ABC"/>
    <w:rsid w:val="00A560D0"/>
    <w:rsid w:val="00A56468"/>
    <w:rsid w:val="00A572E3"/>
    <w:rsid w:val="00A60AC5"/>
    <w:rsid w:val="00A61561"/>
    <w:rsid w:val="00A61E0D"/>
    <w:rsid w:val="00A6201C"/>
    <w:rsid w:val="00A6313A"/>
    <w:rsid w:val="00A635BF"/>
    <w:rsid w:val="00A651FA"/>
    <w:rsid w:val="00A66908"/>
    <w:rsid w:val="00A67429"/>
    <w:rsid w:val="00A67734"/>
    <w:rsid w:val="00A70085"/>
    <w:rsid w:val="00A70AED"/>
    <w:rsid w:val="00A70F1D"/>
    <w:rsid w:val="00A71372"/>
    <w:rsid w:val="00A731E7"/>
    <w:rsid w:val="00A73352"/>
    <w:rsid w:val="00A73F11"/>
    <w:rsid w:val="00A744BB"/>
    <w:rsid w:val="00A75002"/>
    <w:rsid w:val="00A75C6C"/>
    <w:rsid w:val="00A816E1"/>
    <w:rsid w:val="00A83434"/>
    <w:rsid w:val="00A83489"/>
    <w:rsid w:val="00A83979"/>
    <w:rsid w:val="00A8457F"/>
    <w:rsid w:val="00A84F22"/>
    <w:rsid w:val="00A84FEB"/>
    <w:rsid w:val="00A86D20"/>
    <w:rsid w:val="00A871BB"/>
    <w:rsid w:val="00A87BEB"/>
    <w:rsid w:val="00A91136"/>
    <w:rsid w:val="00A9113B"/>
    <w:rsid w:val="00A91467"/>
    <w:rsid w:val="00A91580"/>
    <w:rsid w:val="00A91862"/>
    <w:rsid w:val="00A91C81"/>
    <w:rsid w:val="00A938A9"/>
    <w:rsid w:val="00A95C13"/>
    <w:rsid w:val="00A95E8E"/>
    <w:rsid w:val="00A96045"/>
    <w:rsid w:val="00A9631C"/>
    <w:rsid w:val="00AA02E4"/>
    <w:rsid w:val="00AA0B75"/>
    <w:rsid w:val="00AA1071"/>
    <w:rsid w:val="00AA17EC"/>
    <w:rsid w:val="00AA305C"/>
    <w:rsid w:val="00AA4865"/>
    <w:rsid w:val="00AA520B"/>
    <w:rsid w:val="00AA76F9"/>
    <w:rsid w:val="00AB0249"/>
    <w:rsid w:val="00AB145A"/>
    <w:rsid w:val="00AB297D"/>
    <w:rsid w:val="00AB404F"/>
    <w:rsid w:val="00AB448C"/>
    <w:rsid w:val="00AB6315"/>
    <w:rsid w:val="00AB7E81"/>
    <w:rsid w:val="00AC06F6"/>
    <w:rsid w:val="00AC0A86"/>
    <w:rsid w:val="00AC0FFD"/>
    <w:rsid w:val="00AC3080"/>
    <w:rsid w:val="00AC4AA5"/>
    <w:rsid w:val="00AC555F"/>
    <w:rsid w:val="00AC56F3"/>
    <w:rsid w:val="00AC5B5D"/>
    <w:rsid w:val="00AC6420"/>
    <w:rsid w:val="00AC734D"/>
    <w:rsid w:val="00AD0AD0"/>
    <w:rsid w:val="00AD178E"/>
    <w:rsid w:val="00AD2F10"/>
    <w:rsid w:val="00AD3588"/>
    <w:rsid w:val="00AD4625"/>
    <w:rsid w:val="00AD4DB1"/>
    <w:rsid w:val="00AD4FB7"/>
    <w:rsid w:val="00AD593C"/>
    <w:rsid w:val="00AD6D07"/>
    <w:rsid w:val="00AD70D1"/>
    <w:rsid w:val="00AE2271"/>
    <w:rsid w:val="00AE437C"/>
    <w:rsid w:val="00AE7742"/>
    <w:rsid w:val="00AF01DD"/>
    <w:rsid w:val="00AF0F87"/>
    <w:rsid w:val="00AF128B"/>
    <w:rsid w:val="00AF15A6"/>
    <w:rsid w:val="00AF28C6"/>
    <w:rsid w:val="00AF493D"/>
    <w:rsid w:val="00AF625B"/>
    <w:rsid w:val="00AF6D84"/>
    <w:rsid w:val="00AF76E2"/>
    <w:rsid w:val="00B017D0"/>
    <w:rsid w:val="00B02736"/>
    <w:rsid w:val="00B039AD"/>
    <w:rsid w:val="00B04554"/>
    <w:rsid w:val="00B05C92"/>
    <w:rsid w:val="00B05D08"/>
    <w:rsid w:val="00B06B34"/>
    <w:rsid w:val="00B06F92"/>
    <w:rsid w:val="00B103A7"/>
    <w:rsid w:val="00B10FD0"/>
    <w:rsid w:val="00B117DE"/>
    <w:rsid w:val="00B12BD1"/>
    <w:rsid w:val="00B13C1B"/>
    <w:rsid w:val="00B13E7C"/>
    <w:rsid w:val="00B14100"/>
    <w:rsid w:val="00B17DA8"/>
    <w:rsid w:val="00B17DCC"/>
    <w:rsid w:val="00B20237"/>
    <w:rsid w:val="00B24C1E"/>
    <w:rsid w:val="00B251C2"/>
    <w:rsid w:val="00B26333"/>
    <w:rsid w:val="00B26843"/>
    <w:rsid w:val="00B268DA"/>
    <w:rsid w:val="00B26FA0"/>
    <w:rsid w:val="00B276D1"/>
    <w:rsid w:val="00B300F0"/>
    <w:rsid w:val="00B31108"/>
    <w:rsid w:val="00B31F70"/>
    <w:rsid w:val="00B32CD3"/>
    <w:rsid w:val="00B33593"/>
    <w:rsid w:val="00B33A70"/>
    <w:rsid w:val="00B34CB8"/>
    <w:rsid w:val="00B34EF1"/>
    <w:rsid w:val="00B356AB"/>
    <w:rsid w:val="00B36296"/>
    <w:rsid w:val="00B3678D"/>
    <w:rsid w:val="00B36D6D"/>
    <w:rsid w:val="00B37D2C"/>
    <w:rsid w:val="00B37FCF"/>
    <w:rsid w:val="00B4008B"/>
    <w:rsid w:val="00B440A5"/>
    <w:rsid w:val="00B44B6D"/>
    <w:rsid w:val="00B46960"/>
    <w:rsid w:val="00B46F77"/>
    <w:rsid w:val="00B4733C"/>
    <w:rsid w:val="00B50F42"/>
    <w:rsid w:val="00B51502"/>
    <w:rsid w:val="00B52F34"/>
    <w:rsid w:val="00B53203"/>
    <w:rsid w:val="00B55451"/>
    <w:rsid w:val="00B55AB1"/>
    <w:rsid w:val="00B56D0F"/>
    <w:rsid w:val="00B60814"/>
    <w:rsid w:val="00B60A62"/>
    <w:rsid w:val="00B62ECB"/>
    <w:rsid w:val="00B64663"/>
    <w:rsid w:val="00B67141"/>
    <w:rsid w:val="00B671E5"/>
    <w:rsid w:val="00B67AE7"/>
    <w:rsid w:val="00B704B9"/>
    <w:rsid w:val="00B71FD3"/>
    <w:rsid w:val="00B72367"/>
    <w:rsid w:val="00B72895"/>
    <w:rsid w:val="00B74D37"/>
    <w:rsid w:val="00B7507C"/>
    <w:rsid w:val="00B75767"/>
    <w:rsid w:val="00B759E6"/>
    <w:rsid w:val="00B7672E"/>
    <w:rsid w:val="00B77680"/>
    <w:rsid w:val="00B80838"/>
    <w:rsid w:val="00B80A02"/>
    <w:rsid w:val="00B81805"/>
    <w:rsid w:val="00B843AE"/>
    <w:rsid w:val="00B863D7"/>
    <w:rsid w:val="00B9088C"/>
    <w:rsid w:val="00B926D5"/>
    <w:rsid w:val="00B92CF8"/>
    <w:rsid w:val="00B93013"/>
    <w:rsid w:val="00B935FA"/>
    <w:rsid w:val="00B937D5"/>
    <w:rsid w:val="00B94DE7"/>
    <w:rsid w:val="00B95CDD"/>
    <w:rsid w:val="00BA06C4"/>
    <w:rsid w:val="00BA2445"/>
    <w:rsid w:val="00BA32ED"/>
    <w:rsid w:val="00BA43AE"/>
    <w:rsid w:val="00BA67A1"/>
    <w:rsid w:val="00BA7862"/>
    <w:rsid w:val="00BB0364"/>
    <w:rsid w:val="00BB0543"/>
    <w:rsid w:val="00BB169C"/>
    <w:rsid w:val="00BB1BBB"/>
    <w:rsid w:val="00BB1DFA"/>
    <w:rsid w:val="00BB2AB1"/>
    <w:rsid w:val="00BB444F"/>
    <w:rsid w:val="00BB45B6"/>
    <w:rsid w:val="00BB567A"/>
    <w:rsid w:val="00BB7AC3"/>
    <w:rsid w:val="00BB7BD0"/>
    <w:rsid w:val="00BC1545"/>
    <w:rsid w:val="00BC4126"/>
    <w:rsid w:val="00BC56FD"/>
    <w:rsid w:val="00BD386C"/>
    <w:rsid w:val="00BD3B93"/>
    <w:rsid w:val="00BD3DEF"/>
    <w:rsid w:val="00BD475D"/>
    <w:rsid w:val="00BD4C0D"/>
    <w:rsid w:val="00BD6A5D"/>
    <w:rsid w:val="00BD79BF"/>
    <w:rsid w:val="00BD7F36"/>
    <w:rsid w:val="00BE0BB8"/>
    <w:rsid w:val="00BE3206"/>
    <w:rsid w:val="00BE3BD5"/>
    <w:rsid w:val="00BE45DD"/>
    <w:rsid w:val="00BE4A01"/>
    <w:rsid w:val="00BE539A"/>
    <w:rsid w:val="00BE7199"/>
    <w:rsid w:val="00BE7936"/>
    <w:rsid w:val="00BF14E9"/>
    <w:rsid w:val="00BF163C"/>
    <w:rsid w:val="00BF19DB"/>
    <w:rsid w:val="00BF4ED1"/>
    <w:rsid w:val="00BF789D"/>
    <w:rsid w:val="00BF7CB1"/>
    <w:rsid w:val="00BF7F0D"/>
    <w:rsid w:val="00BF7F9D"/>
    <w:rsid w:val="00C00A98"/>
    <w:rsid w:val="00C02ACB"/>
    <w:rsid w:val="00C06C36"/>
    <w:rsid w:val="00C07309"/>
    <w:rsid w:val="00C07BCB"/>
    <w:rsid w:val="00C100DB"/>
    <w:rsid w:val="00C12405"/>
    <w:rsid w:val="00C150BD"/>
    <w:rsid w:val="00C15D78"/>
    <w:rsid w:val="00C15E13"/>
    <w:rsid w:val="00C161A3"/>
    <w:rsid w:val="00C202BE"/>
    <w:rsid w:val="00C221F2"/>
    <w:rsid w:val="00C22B03"/>
    <w:rsid w:val="00C2381F"/>
    <w:rsid w:val="00C24741"/>
    <w:rsid w:val="00C24A37"/>
    <w:rsid w:val="00C2578E"/>
    <w:rsid w:val="00C26672"/>
    <w:rsid w:val="00C33F96"/>
    <w:rsid w:val="00C344B7"/>
    <w:rsid w:val="00C34D0B"/>
    <w:rsid w:val="00C357AA"/>
    <w:rsid w:val="00C35D81"/>
    <w:rsid w:val="00C362A3"/>
    <w:rsid w:val="00C376BF"/>
    <w:rsid w:val="00C404EC"/>
    <w:rsid w:val="00C40E5D"/>
    <w:rsid w:val="00C4146A"/>
    <w:rsid w:val="00C4279A"/>
    <w:rsid w:val="00C43B55"/>
    <w:rsid w:val="00C43EE6"/>
    <w:rsid w:val="00C4402E"/>
    <w:rsid w:val="00C44405"/>
    <w:rsid w:val="00C44ABE"/>
    <w:rsid w:val="00C45157"/>
    <w:rsid w:val="00C471C7"/>
    <w:rsid w:val="00C47320"/>
    <w:rsid w:val="00C47F20"/>
    <w:rsid w:val="00C52483"/>
    <w:rsid w:val="00C524BD"/>
    <w:rsid w:val="00C5276D"/>
    <w:rsid w:val="00C53414"/>
    <w:rsid w:val="00C53692"/>
    <w:rsid w:val="00C53E84"/>
    <w:rsid w:val="00C54873"/>
    <w:rsid w:val="00C54B57"/>
    <w:rsid w:val="00C553F1"/>
    <w:rsid w:val="00C55B61"/>
    <w:rsid w:val="00C566C7"/>
    <w:rsid w:val="00C60308"/>
    <w:rsid w:val="00C603B9"/>
    <w:rsid w:val="00C60A0A"/>
    <w:rsid w:val="00C61591"/>
    <w:rsid w:val="00C633E0"/>
    <w:rsid w:val="00C65BB1"/>
    <w:rsid w:val="00C679E3"/>
    <w:rsid w:val="00C741C6"/>
    <w:rsid w:val="00C747D1"/>
    <w:rsid w:val="00C74F54"/>
    <w:rsid w:val="00C751CD"/>
    <w:rsid w:val="00C75E8C"/>
    <w:rsid w:val="00C809C4"/>
    <w:rsid w:val="00C80F12"/>
    <w:rsid w:val="00C81496"/>
    <w:rsid w:val="00C817E6"/>
    <w:rsid w:val="00C8196F"/>
    <w:rsid w:val="00C81A64"/>
    <w:rsid w:val="00C81C26"/>
    <w:rsid w:val="00C8216E"/>
    <w:rsid w:val="00C83564"/>
    <w:rsid w:val="00C83793"/>
    <w:rsid w:val="00C908CC"/>
    <w:rsid w:val="00C91D65"/>
    <w:rsid w:val="00C92A34"/>
    <w:rsid w:val="00C933CA"/>
    <w:rsid w:val="00C938CB"/>
    <w:rsid w:val="00C939AC"/>
    <w:rsid w:val="00C93C51"/>
    <w:rsid w:val="00C9448E"/>
    <w:rsid w:val="00C94946"/>
    <w:rsid w:val="00C95D78"/>
    <w:rsid w:val="00C9655C"/>
    <w:rsid w:val="00C974A8"/>
    <w:rsid w:val="00C97557"/>
    <w:rsid w:val="00CA189C"/>
    <w:rsid w:val="00CA2F7C"/>
    <w:rsid w:val="00CA34E3"/>
    <w:rsid w:val="00CA3BF1"/>
    <w:rsid w:val="00CA52C1"/>
    <w:rsid w:val="00CA57B5"/>
    <w:rsid w:val="00CA5AD7"/>
    <w:rsid w:val="00CA5B61"/>
    <w:rsid w:val="00CA6865"/>
    <w:rsid w:val="00CA750A"/>
    <w:rsid w:val="00CB55D8"/>
    <w:rsid w:val="00CB57F3"/>
    <w:rsid w:val="00CB5F4B"/>
    <w:rsid w:val="00CB70D4"/>
    <w:rsid w:val="00CB7638"/>
    <w:rsid w:val="00CB7BBF"/>
    <w:rsid w:val="00CB7D06"/>
    <w:rsid w:val="00CC2196"/>
    <w:rsid w:val="00CC24B3"/>
    <w:rsid w:val="00CC2EB9"/>
    <w:rsid w:val="00CC3A5A"/>
    <w:rsid w:val="00CC4A07"/>
    <w:rsid w:val="00CC5901"/>
    <w:rsid w:val="00CC5E53"/>
    <w:rsid w:val="00CD0EFD"/>
    <w:rsid w:val="00CD19A8"/>
    <w:rsid w:val="00CD6E41"/>
    <w:rsid w:val="00CE066E"/>
    <w:rsid w:val="00CE089E"/>
    <w:rsid w:val="00CE093A"/>
    <w:rsid w:val="00CE1429"/>
    <w:rsid w:val="00CE16E9"/>
    <w:rsid w:val="00CE17DC"/>
    <w:rsid w:val="00CE319D"/>
    <w:rsid w:val="00CE473C"/>
    <w:rsid w:val="00CE6E44"/>
    <w:rsid w:val="00CE7CB7"/>
    <w:rsid w:val="00CF02D9"/>
    <w:rsid w:val="00CF073E"/>
    <w:rsid w:val="00CF1357"/>
    <w:rsid w:val="00CF2CF1"/>
    <w:rsid w:val="00CF3B4A"/>
    <w:rsid w:val="00CF3ECF"/>
    <w:rsid w:val="00CF40F4"/>
    <w:rsid w:val="00CF4191"/>
    <w:rsid w:val="00CF55C1"/>
    <w:rsid w:val="00CF6CB0"/>
    <w:rsid w:val="00CF6F84"/>
    <w:rsid w:val="00D00114"/>
    <w:rsid w:val="00D00BCA"/>
    <w:rsid w:val="00D01FD3"/>
    <w:rsid w:val="00D02B1A"/>
    <w:rsid w:val="00D05803"/>
    <w:rsid w:val="00D06007"/>
    <w:rsid w:val="00D06F49"/>
    <w:rsid w:val="00D07069"/>
    <w:rsid w:val="00D0722E"/>
    <w:rsid w:val="00D105CC"/>
    <w:rsid w:val="00D11729"/>
    <w:rsid w:val="00D11E5B"/>
    <w:rsid w:val="00D11E5E"/>
    <w:rsid w:val="00D15097"/>
    <w:rsid w:val="00D17809"/>
    <w:rsid w:val="00D2078A"/>
    <w:rsid w:val="00D214A4"/>
    <w:rsid w:val="00D22220"/>
    <w:rsid w:val="00D22C2C"/>
    <w:rsid w:val="00D23172"/>
    <w:rsid w:val="00D24CD2"/>
    <w:rsid w:val="00D25AF8"/>
    <w:rsid w:val="00D25C4C"/>
    <w:rsid w:val="00D26FAD"/>
    <w:rsid w:val="00D277E6"/>
    <w:rsid w:val="00D277F0"/>
    <w:rsid w:val="00D301D9"/>
    <w:rsid w:val="00D314EF"/>
    <w:rsid w:val="00D323AB"/>
    <w:rsid w:val="00D33FE3"/>
    <w:rsid w:val="00D36DC3"/>
    <w:rsid w:val="00D36E06"/>
    <w:rsid w:val="00D373FD"/>
    <w:rsid w:val="00D37ACE"/>
    <w:rsid w:val="00D37D5C"/>
    <w:rsid w:val="00D403D3"/>
    <w:rsid w:val="00D40677"/>
    <w:rsid w:val="00D433C6"/>
    <w:rsid w:val="00D45DA3"/>
    <w:rsid w:val="00D45E70"/>
    <w:rsid w:val="00D45FEC"/>
    <w:rsid w:val="00D46B61"/>
    <w:rsid w:val="00D51173"/>
    <w:rsid w:val="00D5282C"/>
    <w:rsid w:val="00D5288F"/>
    <w:rsid w:val="00D53A3E"/>
    <w:rsid w:val="00D53B68"/>
    <w:rsid w:val="00D55CB7"/>
    <w:rsid w:val="00D57877"/>
    <w:rsid w:val="00D602EF"/>
    <w:rsid w:val="00D60BA5"/>
    <w:rsid w:val="00D615B9"/>
    <w:rsid w:val="00D628A6"/>
    <w:rsid w:val="00D62DAC"/>
    <w:rsid w:val="00D641F6"/>
    <w:rsid w:val="00D65B9D"/>
    <w:rsid w:val="00D65D8A"/>
    <w:rsid w:val="00D66FD5"/>
    <w:rsid w:val="00D700F1"/>
    <w:rsid w:val="00D71A65"/>
    <w:rsid w:val="00D72898"/>
    <w:rsid w:val="00D7302F"/>
    <w:rsid w:val="00D73253"/>
    <w:rsid w:val="00D73468"/>
    <w:rsid w:val="00D74998"/>
    <w:rsid w:val="00D7553C"/>
    <w:rsid w:val="00D76ADE"/>
    <w:rsid w:val="00D81384"/>
    <w:rsid w:val="00D81816"/>
    <w:rsid w:val="00D819D9"/>
    <w:rsid w:val="00D82263"/>
    <w:rsid w:val="00D82CEE"/>
    <w:rsid w:val="00D82F3C"/>
    <w:rsid w:val="00D8346E"/>
    <w:rsid w:val="00D8397F"/>
    <w:rsid w:val="00D83B38"/>
    <w:rsid w:val="00D83D3A"/>
    <w:rsid w:val="00D84113"/>
    <w:rsid w:val="00D846A6"/>
    <w:rsid w:val="00D84ECD"/>
    <w:rsid w:val="00D853A7"/>
    <w:rsid w:val="00D85666"/>
    <w:rsid w:val="00D8619E"/>
    <w:rsid w:val="00D903D8"/>
    <w:rsid w:val="00D91510"/>
    <w:rsid w:val="00D91883"/>
    <w:rsid w:val="00D91FAB"/>
    <w:rsid w:val="00D9292D"/>
    <w:rsid w:val="00D93488"/>
    <w:rsid w:val="00D935D4"/>
    <w:rsid w:val="00D93A13"/>
    <w:rsid w:val="00D94242"/>
    <w:rsid w:val="00D94546"/>
    <w:rsid w:val="00D945EF"/>
    <w:rsid w:val="00D9474F"/>
    <w:rsid w:val="00D9609E"/>
    <w:rsid w:val="00D97C43"/>
    <w:rsid w:val="00DA098E"/>
    <w:rsid w:val="00DA1899"/>
    <w:rsid w:val="00DA1952"/>
    <w:rsid w:val="00DA2C6D"/>
    <w:rsid w:val="00DA3950"/>
    <w:rsid w:val="00DA59D9"/>
    <w:rsid w:val="00DA75D7"/>
    <w:rsid w:val="00DA7BFB"/>
    <w:rsid w:val="00DB00F2"/>
    <w:rsid w:val="00DB1155"/>
    <w:rsid w:val="00DB16E9"/>
    <w:rsid w:val="00DB1B80"/>
    <w:rsid w:val="00DB2556"/>
    <w:rsid w:val="00DB3129"/>
    <w:rsid w:val="00DB3898"/>
    <w:rsid w:val="00DB3CDF"/>
    <w:rsid w:val="00DB65CC"/>
    <w:rsid w:val="00DC2526"/>
    <w:rsid w:val="00DC37F1"/>
    <w:rsid w:val="00DC4D5E"/>
    <w:rsid w:val="00DC6BC6"/>
    <w:rsid w:val="00DD0F52"/>
    <w:rsid w:val="00DD444E"/>
    <w:rsid w:val="00DD7767"/>
    <w:rsid w:val="00DE126A"/>
    <w:rsid w:val="00DE3A8D"/>
    <w:rsid w:val="00DE5705"/>
    <w:rsid w:val="00DE60C5"/>
    <w:rsid w:val="00DE6A98"/>
    <w:rsid w:val="00DF0770"/>
    <w:rsid w:val="00DF1BE8"/>
    <w:rsid w:val="00DF2272"/>
    <w:rsid w:val="00DF44D0"/>
    <w:rsid w:val="00DF66B9"/>
    <w:rsid w:val="00DF6AAF"/>
    <w:rsid w:val="00DF7B9C"/>
    <w:rsid w:val="00DF7C6D"/>
    <w:rsid w:val="00E00096"/>
    <w:rsid w:val="00E01D03"/>
    <w:rsid w:val="00E02066"/>
    <w:rsid w:val="00E03611"/>
    <w:rsid w:val="00E05ADE"/>
    <w:rsid w:val="00E068CF"/>
    <w:rsid w:val="00E10C93"/>
    <w:rsid w:val="00E11814"/>
    <w:rsid w:val="00E11952"/>
    <w:rsid w:val="00E129E0"/>
    <w:rsid w:val="00E13CA9"/>
    <w:rsid w:val="00E165B5"/>
    <w:rsid w:val="00E20698"/>
    <w:rsid w:val="00E20949"/>
    <w:rsid w:val="00E216DB"/>
    <w:rsid w:val="00E2594D"/>
    <w:rsid w:val="00E26195"/>
    <w:rsid w:val="00E261CC"/>
    <w:rsid w:val="00E26F36"/>
    <w:rsid w:val="00E27261"/>
    <w:rsid w:val="00E3056F"/>
    <w:rsid w:val="00E32A54"/>
    <w:rsid w:val="00E3723C"/>
    <w:rsid w:val="00E4028C"/>
    <w:rsid w:val="00E40486"/>
    <w:rsid w:val="00E40813"/>
    <w:rsid w:val="00E40D92"/>
    <w:rsid w:val="00E41598"/>
    <w:rsid w:val="00E44627"/>
    <w:rsid w:val="00E44B45"/>
    <w:rsid w:val="00E47257"/>
    <w:rsid w:val="00E476B3"/>
    <w:rsid w:val="00E47F4B"/>
    <w:rsid w:val="00E5043B"/>
    <w:rsid w:val="00E51E3E"/>
    <w:rsid w:val="00E5292C"/>
    <w:rsid w:val="00E5365A"/>
    <w:rsid w:val="00E540D5"/>
    <w:rsid w:val="00E5626C"/>
    <w:rsid w:val="00E57E6B"/>
    <w:rsid w:val="00E604E2"/>
    <w:rsid w:val="00E60895"/>
    <w:rsid w:val="00E6119E"/>
    <w:rsid w:val="00E62845"/>
    <w:rsid w:val="00E630B0"/>
    <w:rsid w:val="00E65565"/>
    <w:rsid w:val="00E67933"/>
    <w:rsid w:val="00E67942"/>
    <w:rsid w:val="00E679E1"/>
    <w:rsid w:val="00E67BAB"/>
    <w:rsid w:val="00E70F93"/>
    <w:rsid w:val="00E71072"/>
    <w:rsid w:val="00E71241"/>
    <w:rsid w:val="00E719BE"/>
    <w:rsid w:val="00E71C13"/>
    <w:rsid w:val="00E73483"/>
    <w:rsid w:val="00E755BA"/>
    <w:rsid w:val="00E76E77"/>
    <w:rsid w:val="00E772E2"/>
    <w:rsid w:val="00E8105C"/>
    <w:rsid w:val="00E81BB1"/>
    <w:rsid w:val="00E822BA"/>
    <w:rsid w:val="00E82997"/>
    <w:rsid w:val="00E82FA0"/>
    <w:rsid w:val="00E84728"/>
    <w:rsid w:val="00E8546F"/>
    <w:rsid w:val="00E855B6"/>
    <w:rsid w:val="00E85620"/>
    <w:rsid w:val="00E916D0"/>
    <w:rsid w:val="00E92B01"/>
    <w:rsid w:val="00E9510C"/>
    <w:rsid w:val="00E95197"/>
    <w:rsid w:val="00E960EF"/>
    <w:rsid w:val="00E974D0"/>
    <w:rsid w:val="00E97992"/>
    <w:rsid w:val="00EA116F"/>
    <w:rsid w:val="00EA1F76"/>
    <w:rsid w:val="00EA408A"/>
    <w:rsid w:val="00EA4BC8"/>
    <w:rsid w:val="00EA537E"/>
    <w:rsid w:val="00EA5572"/>
    <w:rsid w:val="00EB137C"/>
    <w:rsid w:val="00EC013E"/>
    <w:rsid w:val="00EC0995"/>
    <w:rsid w:val="00EC13DA"/>
    <w:rsid w:val="00EC194A"/>
    <w:rsid w:val="00EC4984"/>
    <w:rsid w:val="00EC511F"/>
    <w:rsid w:val="00EC5942"/>
    <w:rsid w:val="00EC5E32"/>
    <w:rsid w:val="00EC68CE"/>
    <w:rsid w:val="00EC710D"/>
    <w:rsid w:val="00ED02C5"/>
    <w:rsid w:val="00ED1657"/>
    <w:rsid w:val="00ED1F17"/>
    <w:rsid w:val="00ED35A9"/>
    <w:rsid w:val="00ED3811"/>
    <w:rsid w:val="00ED4BB6"/>
    <w:rsid w:val="00ED6ED7"/>
    <w:rsid w:val="00EE1864"/>
    <w:rsid w:val="00EE2B14"/>
    <w:rsid w:val="00EE4066"/>
    <w:rsid w:val="00EE44C5"/>
    <w:rsid w:val="00EE5BE5"/>
    <w:rsid w:val="00EE6DA3"/>
    <w:rsid w:val="00EE7D42"/>
    <w:rsid w:val="00EF0857"/>
    <w:rsid w:val="00EF1600"/>
    <w:rsid w:val="00EF1AA5"/>
    <w:rsid w:val="00EF29A2"/>
    <w:rsid w:val="00EF5174"/>
    <w:rsid w:val="00EF5716"/>
    <w:rsid w:val="00EF5AA4"/>
    <w:rsid w:val="00EF6CD1"/>
    <w:rsid w:val="00F02889"/>
    <w:rsid w:val="00F0638D"/>
    <w:rsid w:val="00F06638"/>
    <w:rsid w:val="00F076A7"/>
    <w:rsid w:val="00F1015D"/>
    <w:rsid w:val="00F10C65"/>
    <w:rsid w:val="00F130B4"/>
    <w:rsid w:val="00F154E4"/>
    <w:rsid w:val="00F15720"/>
    <w:rsid w:val="00F16CDE"/>
    <w:rsid w:val="00F17FA5"/>
    <w:rsid w:val="00F20497"/>
    <w:rsid w:val="00F217C5"/>
    <w:rsid w:val="00F21D9D"/>
    <w:rsid w:val="00F22BBB"/>
    <w:rsid w:val="00F2530F"/>
    <w:rsid w:val="00F2534C"/>
    <w:rsid w:val="00F271BE"/>
    <w:rsid w:val="00F30AD9"/>
    <w:rsid w:val="00F31D23"/>
    <w:rsid w:val="00F3203E"/>
    <w:rsid w:val="00F325A7"/>
    <w:rsid w:val="00F33897"/>
    <w:rsid w:val="00F3497C"/>
    <w:rsid w:val="00F358F6"/>
    <w:rsid w:val="00F35A48"/>
    <w:rsid w:val="00F36874"/>
    <w:rsid w:val="00F36A96"/>
    <w:rsid w:val="00F40E44"/>
    <w:rsid w:val="00F40F5A"/>
    <w:rsid w:val="00F4522F"/>
    <w:rsid w:val="00F46D67"/>
    <w:rsid w:val="00F47423"/>
    <w:rsid w:val="00F476B8"/>
    <w:rsid w:val="00F533F9"/>
    <w:rsid w:val="00F5395A"/>
    <w:rsid w:val="00F570AC"/>
    <w:rsid w:val="00F605F6"/>
    <w:rsid w:val="00F60DD9"/>
    <w:rsid w:val="00F6153A"/>
    <w:rsid w:val="00F63047"/>
    <w:rsid w:val="00F635CE"/>
    <w:rsid w:val="00F66637"/>
    <w:rsid w:val="00F720A1"/>
    <w:rsid w:val="00F7273E"/>
    <w:rsid w:val="00F75EF8"/>
    <w:rsid w:val="00F7655A"/>
    <w:rsid w:val="00F76744"/>
    <w:rsid w:val="00F8024D"/>
    <w:rsid w:val="00F815A7"/>
    <w:rsid w:val="00F838ED"/>
    <w:rsid w:val="00F83D88"/>
    <w:rsid w:val="00F85424"/>
    <w:rsid w:val="00F85FF6"/>
    <w:rsid w:val="00F86F15"/>
    <w:rsid w:val="00F87E31"/>
    <w:rsid w:val="00F90B7C"/>
    <w:rsid w:val="00F920F4"/>
    <w:rsid w:val="00F92322"/>
    <w:rsid w:val="00F938AF"/>
    <w:rsid w:val="00F94229"/>
    <w:rsid w:val="00F9508F"/>
    <w:rsid w:val="00FA5347"/>
    <w:rsid w:val="00FA6620"/>
    <w:rsid w:val="00FB0C0A"/>
    <w:rsid w:val="00FB1350"/>
    <w:rsid w:val="00FB149C"/>
    <w:rsid w:val="00FB26E8"/>
    <w:rsid w:val="00FB318D"/>
    <w:rsid w:val="00FB3AC9"/>
    <w:rsid w:val="00FB4B84"/>
    <w:rsid w:val="00FB560F"/>
    <w:rsid w:val="00FB7CE5"/>
    <w:rsid w:val="00FC1D6F"/>
    <w:rsid w:val="00FC31D6"/>
    <w:rsid w:val="00FC32E0"/>
    <w:rsid w:val="00FC5C90"/>
    <w:rsid w:val="00FC5FA1"/>
    <w:rsid w:val="00FC7AC1"/>
    <w:rsid w:val="00FD014A"/>
    <w:rsid w:val="00FD1061"/>
    <w:rsid w:val="00FD12F4"/>
    <w:rsid w:val="00FD23A9"/>
    <w:rsid w:val="00FD3331"/>
    <w:rsid w:val="00FD3C46"/>
    <w:rsid w:val="00FD523B"/>
    <w:rsid w:val="00FD71B3"/>
    <w:rsid w:val="00FD773C"/>
    <w:rsid w:val="00FE01A9"/>
    <w:rsid w:val="00FE1111"/>
    <w:rsid w:val="00FE11C1"/>
    <w:rsid w:val="00FE1E00"/>
    <w:rsid w:val="00FE22A0"/>
    <w:rsid w:val="00FE2AB1"/>
    <w:rsid w:val="00FE554D"/>
    <w:rsid w:val="00FE587C"/>
    <w:rsid w:val="00FE7B69"/>
    <w:rsid w:val="00FF063A"/>
    <w:rsid w:val="00FF1B3A"/>
    <w:rsid w:val="00FF2D45"/>
    <w:rsid w:val="00FF44C0"/>
    <w:rsid w:val="00FF490C"/>
    <w:rsid w:val="00FF5A0E"/>
    <w:rsid w:val="00FF7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9CFA0"/>
  <w15:chartTrackingRefBased/>
  <w15:docId w15:val="{9C0C5247-ABB2-4474-A8BC-2145F85E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46449C"/>
    <w:pPr>
      <w:keepNext/>
      <w:keepLines/>
      <w:widowControl w:val="0"/>
      <w:numPr>
        <w:numId w:val="11"/>
      </w:numPr>
      <w:spacing w:line="480" w:lineRule="auto"/>
      <w:contextualSpacing w:val="0"/>
      <w:jc w:val="both"/>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character" w:styleId="UnresolvedMention">
    <w:name w:val="Unresolved Mention"/>
    <w:basedOn w:val="DefaultParagraphFont"/>
    <w:uiPriority w:val="99"/>
    <w:semiHidden/>
    <w:unhideWhenUsed/>
    <w:rsid w:val="00BA7862"/>
    <w:rPr>
      <w:color w:val="605E5C"/>
      <w:shd w:val="clear" w:color="auto" w:fill="E1DFDD"/>
    </w:rPr>
  </w:style>
  <w:style w:type="paragraph" w:styleId="BodyText">
    <w:name w:val="Body Text"/>
    <w:basedOn w:val="Normal"/>
    <w:link w:val="BodyTextChar"/>
    <w:uiPriority w:val="1"/>
    <w:qFormat/>
    <w:rsid w:val="00D62DAC"/>
    <w:pPr>
      <w:widowControl w:val="0"/>
      <w:autoSpaceDE w:val="0"/>
      <w:autoSpaceDN w:val="0"/>
      <w:contextualSpacing w:val="0"/>
    </w:pPr>
    <w:rPr>
      <w:rFonts w:eastAsia="Times New Roman"/>
      <w:szCs w:val="24"/>
    </w:rPr>
  </w:style>
  <w:style w:type="character" w:customStyle="1" w:styleId="BodyTextChar">
    <w:name w:val="Body Text Char"/>
    <w:basedOn w:val="DefaultParagraphFont"/>
    <w:link w:val="BodyText"/>
    <w:uiPriority w:val="1"/>
    <w:rsid w:val="00D62DA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449C"/>
    <w:rPr>
      <w:rFonts w:ascii="Times New Roman" w:eastAsiaTheme="majorEastAsia" w:hAnsi="Times New Roman" w:cstheme="majorBidi"/>
      <w:b/>
      <w:bCs/>
      <w:sz w:val="28"/>
      <w:szCs w:val="28"/>
    </w:rPr>
  </w:style>
  <w:style w:type="paragraph" w:customStyle="1" w:styleId="Body">
    <w:name w:val="Body"/>
    <w:rsid w:val="0034304C"/>
    <w:pPr>
      <w:pBdr>
        <w:top w:val="nil"/>
        <w:left w:val="nil"/>
        <w:bottom w:val="nil"/>
        <w:right w:val="nil"/>
        <w:between w:val="nil"/>
        <w:bar w:val="nil"/>
      </w:pBdr>
      <w:spacing w:after="0" w:line="240" w:lineRule="auto"/>
      <w:ind w:firstLine="0"/>
      <w:jc w:val="left"/>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BodyA">
    <w:name w:val="Body A"/>
    <w:rsid w:val="002C2ED9"/>
    <w:pPr>
      <w:pBdr>
        <w:top w:val="nil"/>
        <w:left w:val="nil"/>
        <w:bottom w:val="nil"/>
        <w:right w:val="nil"/>
        <w:between w:val="nil"/>
        <w:bar w:val="nil"/>
      </w:pBdr>
      <w:spacing w:after="0" w:line="240" w:lineRule="auto"/>
      <w:ind w:firstLine="0"/>
      <w:jc w:val="left"/>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551122"/>
    <w:pPr>
      <w:spacing w:after="0" w:line="240" w:lineRule="auto"/>
      <w:ind w:firstLine="0"/>
      <w:jc w:val="left"/>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999">
      <w:bodyDiv w:val="1"/>
      <w:marLeft w:val="0"/>
      <w:marRight w:val="0"/>
      <w:marTop w:val="0"/>
      <w:marBottom w:val="0"/>
      <w:divBdr>
        <w:top w:val="none" w:sz="0" w:space="0" w:color="auto"/>
        <w:left w:val="none" w:sz="0" w:space="0" w:color="auto"/>
        <w:bottom w:val="none" w:sz="0" w:space="0" w:color="auto"/>
        <w:right w:val="none" w:sz="0" w:space="0" w:color="auto"/>
      </w:divBdr>
    </w:div>
    <w:div w:id="58293077">
      <w:bodyDiv w:val="1"/>
      <w:marLeft w:val="0"/>
      <w:marRight w:val="0"/>
      <w:marTop w:val="0"/>
      <w:marBottom w:val="0"/>
      <w:divBdr>
        <w:top w:val="none" w:sz="0" w:space="0" w:color="auto"/>
        <w:left w:val="none" w:sz="0" w:space="0" w:color="auto"/>
        <w:bottom w:val="none" w:sz="0" w:space="0" w:color="auto"/>
        <w:right w:val="none" w:sz="0" w:space="0" w:color="auto"/>
      </w:divBdr>
    </w:div>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323752196">
      <w:bodyDiv w:val="1"/>
      <w:marLeft w:val="0"/>
      <w:marRight w:val="0"/>
      <w:marTop w:val="0"/>
      <w:marBottom w:val="0"/>
      <w:divBdr>
        <w:top w:val="none" w:sz="0" w:space="0" w:color="auto"/>
        <w:left w:val="none" w:sz="0" w:space="0" w:color="auto"/>
        <w:bottom w:val="none" w:sz="0" w:space="0" w:color="auto"/>
        <w:right w:val="none" w:sz="0" w:space="0" w:color="auto"/>
      </w:divBdr>
    </w:div>
    <w:div w:id="332684974">
      <w:bodyDiv w:val="1"/>
      <w:marLeft w:val="0"/>
      <w:marRight w:val="0"/>
      <w:marTop w:val="0"/>
      <w:marBottom w:val="0"/>
      <w:divBdr>
        <w:top w:val="none" w:sz="0" w:space="0" w:color="auto"/>
        <w:left w:val="none" w:sz="0" w:space="0" w:color="auto"/>
        <w:bottom w:val="none" w:sz="0" w:space="0" w:color="auto"/>
        <w:right w:val="none" w:sz="0" w:space="0" w:color="auto"/>
      </w:divBdr>
    </w:div>
    <w:div w:id="1041707677">
      <w:bodyDiv w:val="1"/>
      <w:marLeft w:val="0"/>
      <w:marRight w:val="0"/>
      <w:marTop w:val="0"/>
      <w:marBottom w:val="0"/>
      <w:divBdr>
        <w:top w:val="none" w:sz="0" w:space="0" w:color="auto"/>
        <w:left w:val="none" w:sz="0" w:space="0" w:color="auto"/>
        <w:bottom w:val="none" w:sz="0" w:space="0" w:color="auto"/>
        <w:right w:val="none" w:sz="0" w:space="0" w:color="auto"/>
      </w:divBdr>
    </w:div>
    <w:div w:id="1148549859">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Meltzer/Downloads/ETF%20Report%20to%20AJC%2012142023%20(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39F18-93F9-491F-97F5-B20D3D3098E2}">
  <ds:schemaRefs>
    <ds:schemaRef ds:uri="http://schemas.microsoft.com/sharepoint/v3/contenttype/forms"/>
  </ds:schemaRefs>
</ds:datastoreItem>
</file>

<file path=customXml/itemProps2.xml><?xml version="1.0" encoding="utf-8"?>
<ds:datastoreItem xmlns:ds="http://schemas.openxmlformats.org/officeDocument/2006/customXml" ds:itemID="{395B8C85-7F9F-4145-B138-F060A2A95CD5}">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3.xml><?xml version="1.0" encoding="utf-8"?>
<ds:datastoreItem xmlns:ds="http://schemas.openxmlformats.org/officeDocument/2006/customXml" ds:itemID="{BC51BA00-CF14-4A50-92BE-227E7BC7B896}">
  <ds:schemaRefs>
    <ds:schemaRef ds:uri="http://schemas.openxmlformats.org/officeDocument/2006/bibliography"/>
  </ds:schemaRefs>
</ds:datastoreItem>
</file>

<file path=customXml/itemProps4.xml><?xml version="1.0" encoding="utf-8"?>
<ds:datastoreItem xmlns:ds="http://schemas.openxmlformats.org/officeDocument/2006/customXml" ds:itemID="{906D1E41-2ED7-4F25-988C-873DC26B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Fox, Yolanda</cp:lastModifiedBy>
  <cp:revision>2</cp:revision>
  <cp:lastPrinted>2019-01-31T01:05:00Z</cp:lastPrinted>
  <dcterms:created xsi:type="dcterms:W3CDTF">2024-05-30T16:58:00Z</dcterms:created>
  <dcterms:modified xsi:type="dcterms:W3CDTF">2024-05-30T16:58:00Z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