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F3748" w14:textId="77777777" w:rsidR="00012A5E" w:rsidRDefault="00012A5E" w:rsidP="00012A5E">
      <w:pPr>
        <w:pStyle w:val="Date"/>
        <w:jc w:val="center"/>
        <w:rPr>
          <w:szCs w:val="24"/>
        </w:rPr>
      </w:pPr>
    </w:p>
    <w:p w14:paraId="2693ED98" w14:textId="24E92CC6" w:rsidR="00096669" w:rsidRDefault="00723677" w:rsidP="008F3993">
      <w:pPr>
        <w:pStyle w:val="Date"/>
        <w:spacing w:after="240"/>
        <w:jc w:val="center"/>
        <w:rPr>
          <w:szCs w:val="24"/>
        </w:rPr>
      </w:pPr>
      <w:r>
        <w:rPr>
          <w:szCs w:val="24"/>
        </w:rPr>
        <w:t>May 17</w:t>
      </w:r>
      <w:r w:rsidR="005A2E61">
        <w:rPr>
          <w:szCs w:val="24"/>
        </w:rPr>
        <w:t>, 2024</w:t>
      </w:r>
    </w:p>
    <w:p w14:paraId="5042BC30" w14:textId="7E941177" w:rsidR="00FA1453" w:rsidRPr="00EB6DF2" w:rsidRDefault="00EB6DF2" w:rsidP="007A2928">
      <w:pPr>
        <w:ind w:left="-360" w:right="-324"/>
        <w:rPr>
          <w:b/>
          <w:bCs/>
          <w:i/>
          <w:iCs/>
        </w:rPr>
      </w:pPr>
      <w:r w:rsidRPr="00EB6DF2">
        <w:rPr>
          <w:b/>
          <w:bCs/>
          <w:i/>
          <w:iCs/>
        </w:rPr>
        <w:t xml:space="preserve">Submitted via the </w:t>
      </w:r>
      <w:r w:rsidR="00B76996">
        <w:rPr>
          <w:b/>
          <w:bCs/>
          <w:i/>
          <w:iCs/>
        </w:rPr>
        <w:t>R</w:t>
      </w:r>
      <w:r w:rsidRPr="00EB6DF2">
        <w:rPr>
          <w:b/>
          <w:bCs/>
          <w:i/>
          <w:iCs/>
        </w:rPr>
        <w:t xml:space="preserve">ules </w:t>
      </w:r>
      <w:r w:rsidR="00B76996">
        <w:rPr>
          <w:b/>
          <w:bCs/>
          <w:i/>
          <w:iCs/>
        </w:rPr>
        <w:t>Forum</w:t>
      </w:r>
    </w:p>
    <w:p w14:paraId="2D154355" w14:textId="77777777" w:rsidR="00EB6DF2" w:rsidRPr="00FA1453" w:rsidRDefault="00EB6DF2" w:rsidP="007A2928">
      <w:pPr>
        <w:ind w:left="-360" w:right="-324"/>
      </w:pPr>
    </w:p>
    <w:p w14:paraId="014D0A3A" w14:textId="43D3FEC6" w:rsidR="00F66496" w:rsidRDefault="00723677" w:rsidP="007A2928">
      <w:pPr>
        <w:pStyle w:val="Confidentiality"/>
        <w:ind w:left="-360" w:right="-324"/>
        <w:rPr>
          <w:b w:val="0"/>
          <w:caps w:val="0"/>
          <w:szCs w:val="24"/>
        </w:rPr>
      </w:pPr>
      <w:r>
        <w:rPr>
          <w:b w:val="0"/>
          <w:caps w:val="0"/>
          <w:szCs w:val="24"/>
        </w:rPr>
        <w:t>Arizona Supreme Court</w:t>
      </w:r>
    </w:p>
    <w:p w14:paraId="35909680" w14:textId="69928844" w:rsidR="00FA1453" w:rsidRDefault="00FA1453" w:rsidP="007A2928">
      <w:pPr>
        <w:pStyle w:val="Confidentiality"/>
        <w:ind w:left="-360" w:right="-324"/>
        <w:rPr>
          <w:b w:val="0"/>
          <w:caps w:val="0"/>
          <w:szCs w:val="24"/>
        </w:rPr>
      </w:pPr>
      <w:r>
        <w:rPr>
          <w:b w:val="0"/>
          <w:caps w:val="0"/>
          <w:szCs w:val="24"/>
        </w:rPr>
        <w:t>1501 West Washington</w:t>
      </w:r>
    </w:p>
    <w:p w14:paraId="07125638" w14:textId="0F647C29" w:rsidR="00FA1453" w:rsidRDefault="00FA1453" w:rsidP="007A2928">
      <w:pPr>
        <w:pStyle w:val="Confidentiality"/>
        <w:ind w:left="-360" w:right="-324"/>
        <w:rPr>
          <w:b w:val="0"/>
          <w:caps w:val="0"/>
          <w:szCs w:val="24"/>
        </w:rPr>
      </w:pPr>
      <w:r>
        <w:rPr>
          <w:b w:val="0"/>
          <w:caps w:val="0"/>
          <w:szCs w:val="24"/>
        </w:rPr>
        <w:t>Phoenix, AZ 85007</w:t>
      </w:r>
    </w:p>
    <w:p w14:paraId="7A079B62" w14:textId="77777777" w:rsidR="00FA1453" w:rsidRPr="00096669" w:rsidRDefault="00FA1453" w:rsidP="007A2928">
      <w:pPr>
        <w:pStyle w:val="Confidentiality"/>
        <w:ind w:left="-360" w:right="-324"/>
        <w:rPr>
          <w:b w:val="0"/>
          <w:caps w:val="0"/>
          <w:szCs w:val="24"/>
        </w:rPr>
      </w:pPr>
    </w:p>
    <w:p w14:paraId="648DE435" w14:textId="77777777" w:rsidR="00096669" w:rsidRPr="00C71875" w:rsidRDefault="00096669" w:rsidP="007A2928">
      <w:pPr>
        <w:pStyle w:val="ReLine"/>
        <w:ind w:left="-360" w:right="-324"/>
        <w:rPr>
          <w:sz w:val="2"/>
        </w:rPr>
      </w:pPr>
    </w:p>
    <w:p w14:paraId="73E03808" w14:textId="71459C8F" w:rsidR="003C3503" w:rsidRDefault="00096669" w:rsidP="007A2928">
      <w:pPr>
        <w:pStyle w:val="Salutation"/>
        <w:spacing w:after="240"/>
        <w:ind w:left="-360" w:right="-324" w:firstLine="720"/>
      </w:pPr>
      <w:r>
        <w:t>Re:</w:t>
      </w:r>
      <w:r>
        <w:tab/>
      </w:r>
      <w:r w:rsidR="00FA1453">
        <w:t xml:space="preserve">Comment </w:t>
      </w:r>
      <w:r w:rsidR="00723677">
        <w:t xml:space="preserve">on </w:t>
      </w:r>
      <w:r w:rsidR="00B80837">
        <w:t xml:space="preserve">Petition R-23-0055 </w:t>
      </w:r>
      <w:r w:rsidR="00723677">
        <w:t xml:space="preserve">Rules of Procedure for Special Actions </w:t>
      </w:r>
    </w:p>
    <w:p w14:paraId="37707677" w14:textId="3D3CBA1B" w:rsidR="003C3503" w:rsidRDefault="00723677" w:rsidP="007A2928">
      <w:pPr>
        <w:ind w:left="-360" w:right="-324"/>
      </w:pPr>
      <w:r>
        <w:t>Justices of the Court</w:t>
      </w:r>
      <w:r w:rsidR="00BE57F0">
        <w:t>:</w:t>
      </w:r>
    </w:p>
    <w:p w14:paraId="141CEBB8" w14:textId="77777777" w:rsidR="00B80837" w:rsidRDefault="00B80837" w:rsidP="007A2928">
      <w:pPr>
        <w:ind w:left="-360" w:right="-324"/>
      </w:pPr>
    </w:p>
    <w:p w14:paraId="6D54C0D2" w14:textId="3E414F98" w:rsidR="00B80837" w:rsidRDefault="00B80837" w:rsidP="007A2928">
      <w:pPr>
        <w:ind w:left="-360" w:right="-324" w:firstLine="720"/>
      </w:pPr>
      <w:r>
        <w:t xml:space="preserve">Thank you for this timely and necessary discussion about updating Arizona’s Rules of Procedure for Special Actions (“RPSA”). </w:t>
      </w:r>
    </w:p>
    <w:p w14:paraId="03CE1C54" w14:textId="77777777" w:rsidR="00723677" w:rsidRDefault="00723677" w:rsidP="007A2928">
      <w:pPr>
        <w:ind w:left="-360" w:right="-324"/>
      </w:pPr>
    </w:p>
    <w:p w14:paraId="748C1D36" w14:textId="340117F2" w:rsidR="00B80837" w:rsidRDefault="00723677" w:rsidP="007A2928">
      <w:pPr>
        <w:ind w:left="-360" w:right="-324" w:firstLine="720"/>
      </w:pPr>
      <w:r>
        <w:t xml:space="preserve">As </w:t>
      </w:r>
      <w:r w:rsidR="00BE57F0">
        <w:t>a</w:t>
      </w:r>
      <w:r>
        <w:t xml:space="preserve"> public interest litigation organization, the Goldwater Institute’s work regularly involves special action proceedings</w:t>
      </w:r>
      <w:r w:rsidR="00BE57F0">
        <w:t xml:space="preserve"> on a range of issues from </w:t>
      </w:r>
      <w:r>
        <w:t xml:space="preserve">government transparency </w:t>
      </w:r>
      <w:r w:rsidR="00BE57F0">
        <w:t xml:space="preserve">to </w:t>
      </w:r>
      <w:r>
        <w:t xml:space="preserve">state </w:t>
      </w:r>
      <w:r w:rsidR="00BE57F0">
        <w:t xml:space="preserve">and federal </w:t>
      </w:r>
      <w:r>
        <w:t xml:space="preserve">constitutional </w:t>
      </w:r>
      <w:r w:rsidR="00BE57F0">
        <w:t>claims</w:t>
      </w:r>
      <w:r>
        <w:t xml:space="preserve">. </w:t>
      </w:r>
      <w:r w:rsidR="00D54CB7">
        <w:t>Consequently</w:t>
      </w:r>
      <w:r>
        <w:t xml:space="preserve">, we engaged substantially with the </w:t>
      </w:r>
      <w:r w:rsidR="00B80837">
        <w:t xml:space="preserve">RPSA </w:t>
      </w:r>
      <w:r>
        <w:t>Task Force</w:t>
      </w:r>
      <w:r w:rsidR="00B80837">
        <w:t xml:space="preserve"> and </w:t>
      </w:r>
      <w:r w:rsidR="006E2712">
        <w:t>offer</w:t>
      </w:r>
      <w:r w:rsidR="00D54CB7">
        <w:t>ed</w:t>
      </w:r>
      <w:r w:rsidR="006E2712">
        <w:t xml:space="preserve"> </w:t>
      </w:r>
      <w:r w:rsidR="00B80837">
        <w:t xml:space="preserve">public </w:t>
      </w:r>
      <w:r w:rsidR="006E2712">
        <w:t>comment</w:t>
      </w:r>
      <w:r w:rsidR="00B80837">
        <w:t xml:space="preserve">. </w:t>
      </w:r>
    </w:p>
    <w:p w14:paraId="26D70AA1" w14:textId="77777777" w:rsidR="00B80837" w:rsidRDefault="00B80837" w:rsidP="007A2928">
      <w:pPr>
        <w:ind w:left="-360" w:right="-324"/>
      </w:pPr>
    </w:p>
    <w:p w14:paraId="413C717D" w14:textId="18B41EAE" w:rsidR="00723677" w:rsidRDefault="00B80837" w:rsidP="007A2928">
      <w:pPr>
        <w:ind w:left="-360" w:right="-324" w:firstLine="720"/>
      </w:pPr>
      <w:r>
        <w:t>Our comments covered</w:t>
      </w:r>
      <w:r w:rsidR="006E2712">
        <w:t xml:space="preserve"> the state of the current rules, challenges we have encountered in </w:t>
      </w:r>
      <w:r w:rsidR="00B752A6">
        <w:t>navigat</w:t>
      </w:r>
      <w:r w:rsidR="00BE57F0">
        <w:t>ing them</w:t>
      </w:r>
      <w:r w:rsidR="006E2712">
        <w:t xml:space="preserve">, and recommendations for amendments. </w:t>
      </w:r>
      <w:r>
        <w:t xml:space="preserve">These </w:t>
      </w:r>
      <w:r w:rsidR="006E2712">
        <w:t xml:space="preserve">resulted in </w:t>
      </w:r>
      <w:r>
        <w:t>several</w:t>
      </w:r>
      <w:r w:rsidR="00570B19">
        <w:t xml:space="preserve"> alterations</w:t>
      </w:r>
      <w:r w:rsidR="006E2712">
        <w:t xml:space="preserve"> to the </w:t>
      </w:r>
      <w:r>
        <w:t xml:space="preserve">draft </w:t>
      </w:r>
      <w:r w:rsidR="006E2712">
        <w:t xml:space="preserve">rules or comments, for which we </w:t>
      </w:r>
      <w:r w:rsidR="009A1BD4">
        <w:t xml:space="preserve">thank </w:t>
      </w:r>
      <w:r w:rsidR="006E2712">
        <w:t>the Task Force</w:t>
      </w:r>
      <w:r>
        <w:t xml:space="preserve">. </w:t>
      </w:r>
      <w:r w:rsidR="006E2712">
        <w:t>We now comment on the</w:t>
      </w:r>
      <w:r>
        <w:t xml:space="preserve"> rule</w:t>
      </w:r>
      <w:r w:rsidR="006E2712">
        <w:t xml:space="preserve"> petition and the version of the rules </w:t>
      </w:r>
      <w:r>
        <w:t>proposed</w:t>
      </w:r>
      <w:r w:rsidR="006E2712">
        <w:t xml:space="preserve"> in the petition’s Appendix A. </w:t>
      </w:r>
    </w:p>
    <w:p w14:paraId="73FA53DF" w14:textId="77777777" w:rsidR="00FA1453" w:rsidRDefault="00FA1453" w:rsidP="007A2928">
      <w:pPr>
        <w:ind w:left="-360" w:right="-324"/>
      </w:pPr>
    </w:p>
    <w:p w14:paraId="50B0AA6A" w14:textId="5E4C6038" w:rsidR="00BE57F0" w:rsidRDefault="00BE57F0" w:rsidP="007A2928">
      <w:pPr>
        <w:ind w:left="-360" w:right="-324" w:firstLine="720"/>
      </w:pPr>
      <w:r>
        <w:t>The</w:t>
      </w:r>
      <w:r w:rsidR="00B76996">
        <w:t xml:space="preserve"> </w:t>
      </w:r>
      <w:r w:rsidR="00841100">
        <w:t xml:space="preserve">Task Force’s </w:t>
      </w:r>
      <w:r w:rsidR="00B76996">
        <w:t>proposed</w:t>
      </w:r>
      <w:r w:rsidR="00841100">
        <w:t xml:space="preserve"> rules make </w:t>
      </w:r>
      <w:r>
        <w:t xml:space="preserve">important and </w:t>
      </w:r>
      <w:r w:rsidR="00841100">
        <w:t>significant improvements to the structure of the ruleset, clarify the distinction between original and appellate special actions, elaborate (mostly in a comment) about the nature of statutory special actions, and protect the ability to participate in special action proceedings as amicus curiae.</w:t>
      </w:r>
      <w:r w:rsidR="003827C0">
        <w:t xml:space="preserve"> </w:t>
      </w:r>
    </w:p>
    <w:p w14:paraId="06C0B7E7" w14:textId="77777777" w:rsidR="00BE57F0" w:rsidRDefault="00BE57F0" w:rsidP="007A2928">
      <w:pPr>
        <w:ind w:left="-360" w:right="-324"/>
      </w:pPr>
    </w:p>
    <w:p w14:paraId="5F6C5145" w14:textId="2EF58A82" w:rsidR="00C31C00" w:rsidRDefault="00841100" w:rsidP="007A2928">
      <w:pPr>
        <w:ind w:left="-360" w:right="-324" w:firstLine="720"/>
      </w:pPr>
      <w:r>
        <w:t xml:space="preserve">However, we have concerns about the discovery provision in draft rule 7(g), particularly in the context of statutory special actions. Additionally, we also believe that </w:t>
      </w:r>
      <w:r w:rsidR="009A1BD4">
        <w:t xml:space="preserve">the RPSA should state </w:t>
      </w:r>
      <w:r>
        <w:t>the extent to which the Arizona Rules of Civil Procedure apply in original special actions when the RPSA are silent on a topic.</w:t>
      </w:r>
    </w:p>
    <w:p w14:paraId="7921262B" w14:textId="77777777" w:rsidR="00ED4EF4" w:rsidRDefault="00ED4EF4" w:rsidP="007A2928">
      <w:pPr>
        <w:ind w:left="-360" w:right="-324"/>
      </w:pPr>
    </w:p>
    <w:p w14:paraId="3EDB78A5" w14:textId="2CADE3B5" w:rsidR="00ED4EF4" w:rsidRPr="00B752A6" w:rsidRDefault="00ED4EF4" w:rsidP="007A2928">
      <w:pPr>
        <w:ind w:left="-360" w:right="-324"/>
        <w:jc w:val="center"/>
        <w:rPr>
          <w:b/>
          <w:bCs/>
          <w:u w:val="single"/>
        </w:rPr>
      </w:pPr>
      <w:r w:rsidRPr="00B752A6">
        <w:rPr>
          <w:b/>
          <w:bCs/>
          <w:u w:val="single"/>
        </w:rPr>
        <w:t>T</w:t>
      </w:r>
      <w:r w:rsidR="00B752A6" w:rsidRPr="00B752A6">
        <w:rPr>
          <w:b/>
          <w:bCs/>
          <w:u w:val="single"/>
        </w:rPr>
        <w:t>he proposed rules clarify different t</w:t>
      </w:r>
      <w:r w:rsidRPr="00B752A6">
        <w:rPr>
          <w:b/>
          <w:bCs/>
          <w:u w:val="single"/>
        </w:rPr>
        <w:t xml:space="preserve">ypes of </w:t>
      </w:r>
      <w:r w:rsidR="00B752A6" w:rsidRPr="00B752A6">
        <w:rPr>
          <w:b/>
          <w:bCs/>
          <w:u w:val="single"/>
        </w:rPr>
        <w:t>s</w:t>
      </w:r>
      <w:r w:rsidRPr="00B752A6">
        <w:rPr>
          <w:b/>
          <w:bCs/>
          <w:u w:val="single"/>
        </w:rPr>
        <w:t xml:space="preserve">pecial </w:t>
      </w:r>
      <w:r w:rsidR="00B752A6" w:rsidRPr="00B752A6">
        <w:rPr>
          <w:b/>
          <w:bCs/>
          <w:u w:val="single"/>
        </w:rPr>
        <w:t>a</w:t>
      </w:r>
      <w:r w:rsidRPr="00B752A6">
        <w:rPr>
          <w:b/>
          <w:bCs/>
          <w:u w:val="single"/>
        </w:rPr>
        <w:t xml:space="preserve">ction </w:t>
      </w:r>
      <w:r w:rsidR="00B752A6" w:rsidRPr="00B752A6">
        <w:rPr>
          <w:b/>
          <w:bCs/>
          <w:u w:val="single"/>
        </w:rPr>
        <w:t>p</w:t>
      </w:r>
      <w:r w:rsidRPr="00B752A6">
        <w:rPr>
          <w:b/>
          <w:bCs/>
          <w:u w:val="single"/>
        </w:rPr>
        <w:t>roceedings</w:t>
      </w:r>
      <w:r w:rsidR="00B752A6" w:rsidRPr="00B752A6">
        <w:rPr>
          <w:b/>
          <w:bCs/>
          <w:u w:val="single"/>
        </w:rPr>
        <w:t>.</w:t>
      </w:r>
    </w:p>
    <w:p w14:paraId="074BF480" w14:textId="77777777" w:rsidR="003827C0" w:rsidRDefault="003827C0" w:rsidP="007A2928">
      <w:pPr>
        <w:ind w:left="-360" w:right="-324"/>
      </w:pPr>
    </w:p>
    <w:p w14:paraId="29685B1D" w14:textId="065868BC" w:rsidR="00107806" w:rsidRDefault="003827C0" w:rsidP="007A2928">
      <w:pPr>
        <w:ind w:left="-360" w:right="-324" w:firstLine="720"/>
      </w:pPr>
      <w:r>
        <w:t xml:space="preserve">The current rules </w:t>
      </w:r>
      <w:r w:rsidR="00107806">
        <w:t>broadly apply to</w:t>
      </w:r>
      <w:r>
        <w:t xml:space="preserve"> various types of special actions</w:t>
      </w:r>
      <w:r w:rsidR="00107806">
        <w:t>, despite important procedural differences</w:t>
      </w:r>
      <w:r>
        <w:t xml:space="preserve">. Understandably, the ruleset initially was meant to unify writ procedures, and it did so; but it became </w:t>
      </w:r>
      <w:r w:rsidR="00107806">
        <w:t xml:space="preserve">equally </w:t>
      </w:r>
      <w:r>
        <w:t xml:space="preserve">applicable both to special actions that functioned like interlocutory appeals as well as those that </w:t>
      </w:r>
      <w:r w:rsidR="00107806">
        <w:t>initiate entirely new</w:t>
      </w:r>
      <w:r w:rsidR="00DD2D5F">
        <w:t>,</w:t>
      </w:r>
      <w:r>
        <w:t xml:space="preserve"> standalone legal actions</w:t>
      </w:r>
      <w:r w:rsidR="00BE57F0">
        <w:t>, including those that are specifically authorized by statute</w:t>
      </w:r>
      <w:r>
        <w:t xml:space="preserve">. </w:t>
      </w:r>
    </w:p>
    <w:p w14:paraId="0D10012F" w14:textId="23191F3D" w:rsidR="003827C0" w:rsidRPr="00107806" w:rsidRDefault="00BE57F0" w:rsidP="007A2928">
      <w:pPr>
        <w:ind w:left="-360" w:right="-324" w:firstLine="720"/>
      </w:pPr>
      <w:r>
        <w:lastRenderedPageBreak/>
        <w:t>An important component of the</w:t>
      </w:r>
      <w:r w:rsidR="00107806">
        <w:t xml:space="preserve"> Task Force’s </w:t>
      </w:r>
      <w:r>
        <w:t xml:space="preserve">recommendations is </w:t>
      </w:r>
      <w:r w:rsidR="00107806">
        <w:t xml:space="preserve">to define “original” and “appellate” special actions and specify procedures for each. We believe this is critical because, as proposed Rule 2 clarifies, “[w]ith few exceptions, jurisdiction is mandatory in original special actions,” (particularly </w:t>
      </w:r>
      <w:r w:rsidR="00B76996">
        <w:t xml:space="preserve">original </w:t>
      </w:r>
      <w:r w:rsidR="00107806">
        <w:t>statutory special actions), while conversely, “[w]ith few exceptions, jurisdiction is discretionary in appellate special actions.” This clarification will</w:t>
      </w:r>
      <w:r w:rsidR="00570B19">
        <w:t xml:space="preserve"> help</w:t>
      </w:r>
      <w:r w:rsidR="00107806">
        <w:t xml:space="preserve"> prevent </w:t>
      </w:r>
      <w:r w:rsidR="00570B19">
        <w:t>the improper denial of jurisdiction in</w:t>
      </w:r>
      <w:r w:rsidR="00107806">
        <w:t xml:space="preserve"> </w:t>
      </w:r>
      <w:r w:rsidR="00DD2D5F">
        <w:t xml:space="preserve">many original special actions, especially </w:t>
      </w:r>
      <w:r w:rsidR="00107806">
        <w:t xml:space="preserve">statutory special actions—those which by definition are </w:t>
      </w:r>
      <w:r w:rsidR="00107806" w:rsidRPr="00107806">
        <w:rPr>
          <w:i/>
          <w:iCs/>
        </w:rPr>
        <w:t>the</w:t>
      </w:r>
      <w:r w:rsidR="00107806">
        <w:t xml:space="preserve"> statutorily prescribed form of action for certain claims.</w:t>
      </w:r>
      <w:r w:rsidR="00570B19">
        <w:t xml:space="preserve"> For the same reasons, the </w:t>
      </w:r>
      <w:r w:rsidR="00DD2D5F">
        <w:t xml:space="preserve">proposed </w:t>
      </w:r>
      <w:r w:rsidR="00570B19">
        <w:t xml:space="preserve">comment to Rule 2 is </w:t>
      </w:r>
      <w:r>
        <w:t>appropriate.</w:t>
      </w:r>
    </w:p>
    <w:p w14:paraId="59BE525C" w14:textId="77777777" w:rsidR="003827C0" w:rsidRDefault="003827C0" w:rsidP="007A2928">
      <w:pPr>
        <w:ind w:left="-360" w:right="-324"/>
      </w:pPr>
    </w:p>
    <w:p w14:paraId="6FEF9556" w14:textId="6144BCD3" w:rsidR="00C31C00" w:rsidRDefault="00BE57F0" w:rsidP="007A2928">
      <w:pPr>
        <w:ind w:left="-360" w:right="-324" w:firstLine="720"/>
        <w:rPr>
          <w:szCs w:val="24"/>
        </w:rPr>
      </w:pPr>
      <w:r>
        <w:t>T</w:t>
      </w:r>
      <w:r w:rsidR="00570B19">
        <w:t xml:space="preserve">he Task Force also </w:t>
      </w:r>
      <w:r>
        <w:t xml:space="preserve">made a commendable </w:t>
      </w:r>
      <w:r w:rsidR="00570B19">
        <w:t>distinction between statutory special actions and special actions falling</w:t>
      </w:r>
      <w:r w:rsidR="00A647EC">
        <w:t xml:space="preserve"> solely</w:t>
      </w:r>
      <w:r w:rsidR="00570B19">
        <w:t xml:space="preserve"> within the scope of the </w:t>
      </w:r>
      <w:r w:rsidR="00A647EC">
        <w:t>common law</w:t>
      </w:r>
      <w:r w:rsidR="00570B19">
        <w:t xml:space="preserve"> writs. Statutory special actions are created by the legislature to provide expedited proceedings in certain settings. Typically, t</w:t>
      </w:r>
      <w:r w:rsidR="00FA1453">
        <w:rPr>
          <w:szCs w:val="24"/>
        </w:rPr>
        <w:t xml:space="preserve">his means litigants have no other avenue to bring claims </w:t>
      </w:r>
      <w:r w:rsidR="00580637">
        <w:rPr>
          <w:szCs w:val="24"/>
        </w:rPr>
        <w:t xml:space="preserve">arising </w:t>
      </w:r>
      <w:r w:rsidR="00FA1453">
        <w:rPr>
          <w:szCs w:val="24"/>
        </w:rPr>
        <w:t xml:space="preserve">under </w:t>
      </w:r>
      <w:r w:rsidR="00570B19">
        <w:rPr>
          <w:szCs w:val="24"/>
        </w:rPr>
        <w:t xml:space="preserve">such </w:t>
      </w:r>
      <w:r w:rsidR="00580637">
        <w:rPr>
          <w:szCs w:val="24"/>
        </w:rPr>
        <w:t>statutes</w:t>
      </w:r>
      <w:r w:rsidR="00F406DF">
        <w:rPr>
          <w:szCs w:val="24"/>
        </w:rPr>
        <w:t xml:space="preserve"> </w:t>
      </w:r>
      <w:r w:rsidR="00FA1453">
        <w:rPr>
          <w:szCs w:val="24"/>
        </w:rPr>
        <w:t xml:space="preserve">as they might in the context of a </w:t>
      </w:r>
      <w:r w:rsidR="00570B19">
        <w:rPr>
          <w:szCs w:val="24"/>
        </w:rPr>
        <w:t>“</w:t>
      </w:r>
      <w:r w:rsidR="00FA1453">
        <w:rPr>
          <w:szCs w:val="24"/>
        </w:rPr>
        <w:t>regular</w:t>
      </w:r>
      <w:r w:rsidR="00570B19">
        <w:rPr>
          <w:szCs w:val="24"/>
        </w:rPr>
        <w:t>”</w:t>
      </w:r>
      <w:r w:rsidR="00FA1453">
        <w:rPr>
          <w:szCs w:val="24"/>
        </w:rPr>
        <w:t xml:space="preserve"> special action.</w:t>
      </w:r>
      <w:r w:rsidR="00570B19">
        <w:rPr>
          <w:szCs w:val="24"/>
        </w:rPr>
        <w:t xml:space="preserve"> </w:t>
      </w:r>
      <w:r w:rsidR="00DD2D5F">
        <w:rPr>
          <w:szCs w:val="24"/>
        </w:rPr>
        <w:t>Courts have no discretion to deny jurisdiction in s</w:t>
      </w:r>
      <w:r>
        <w:rPr>
          <w:szCs w:val="24"/>
        </w:rPr>
        <w:t xml:space="preserve">tatutory special actions </w:t>
      </w:r>
      <w:r w:rsidR="00DD2D5F">
        <w:rPr>
          <w:szCs w:val="24"/>
        </w:rPr>
        <w:t xml:space="preserve">unless the underlying statute </w:t>
      </w:r>
      <w:r>
        <w:rPr>
          <w:szCs w:val="24"/>
        </w:rPr>
        <w:t xml:space="preserve">specifically </w:t>
      </w:r>
      <w:r w:rsidR="00DD2D5F">
        <w:rPr>
          <w:szCs w:val="24"/>
        </w:rPr>
        <w:t>grants it. Therefor</w:t>
      </w:r>
      <w:r>
        <w:rPr>
          <w:szCs w:val="24"/>
        </w:rPr>
        <w:t>e</w:t>
      </w:r>
      <w:r w:rsidR="00DD2D5F">
        <w:rPr>
          <w:szCs w:val="24"/>
        </w:rPr>
        <w:t xml:space="preserve"> Rule</w:t>
      </w:r>
      <w:r>
        <w:rPr>
          <w:szCs w:val="24"/>
        </w:rPr>
        <w:t>s</w:t>
      </w:r>
      <w:r w:rsidR="00DD2D5F">
        <w:rPr>
          <w:szCs w:val="24"/>
        </w:rPr>
        <w:t xml:space="preserve"> 2 </w:t>
      </w:r>
      <w:r>
        <w:rPr>
          <w:szCs w:val="24"/>
        </w:rPr>
        <w:t>and 3 and their comments clarify these important distinctions.</w:t>
      </w:r>
      <w:r w:rsidR="00FF30FB">
        <w:rPr>
          <w:szCs w:val="24"/>
        </w:rPr>
        <w:t xml:space="preserve"> </w:t>
      </w:r>
      <w:r>
        <w:rPr>
          <w:szCs w:val="24"/>
        </w:rPr>
        <w:t>F</w:t>
      </w:r>
      <w:r w:rsidR="009A160A">
        <w:rPr>
          <w:szCs w:val="24"/>
        </w:rPr>
        <w:t>urther efforts to clarify the procedural distinctions between statutory special actions and other special actions would be helpful.</w:t>
      </w:r>
      <w:r w:rsidR="00DD2D5F">
        <w:rPr>
          <w:szCs w:val="24"/>
        </w:rPr>
        <w:t xml:space="preserve"> </w:t>
      </w:r>
    </w:p>
    <w:p w14:paraId="67C16C28" w14:textId="77777777" w:rsidR="00ED4EF4" w:rsidRDefault="00ED4EF4" w:rsidP="007A2928">
      <w:pPr>
        <w:ind w:left="-360" w:right="-324"/>
        <w:rPr>
          <w:szCs w:val="24"/>
        </w:rPr>
      </w:pPr>
    </w:p>
    <w:p w14:paraId="68935656" w14:textId="77777777" w:rsidR="007A2928" w:rsidRPr="00F95B80" w:rsidRDefault="00B752A6" w:rsidP="007A2928">
      <w:pPr>
        <w:ind w:left="-360" w:right="-324"/>
        <w:jc w:val="center"/>
        <w:rPr>
          <w:b/>
          <w:bCs/>
          <w:szCs w:val="24"/>
          <w:u w:val="single"/>
        </w:rPr>
      </w:pPr>
      <w:r w:rsidRPr="00F95B80">
        <w:rPr>
          <w:b/>
          <w:bCs/>
          <w:szCs w:val="24"/>
          <w:u w:val="single"/>
        </w:rPr>
        <w:t xml:space="preserve">The Task Force rightly retained language in proposed Rule 5(c) </w:t>
      </w:r>
    </w:p>
    <w:p w14:paraId="17C22DFA" w14:textId="283A8880" w:rsidR="00ED4EF4" w:rsidRPr="00B752A6" w:rsidRDefault="00B752A6" w:rsidP="007A2928">
      <w:pPr>
        <w:ind w:left="-360" w:right="-324"/>
        <w:jc w:val="center"/>
        <w:rPr>
          <w:b/>
          <w:bCs/>
          <w:szCs w:val="24"/>
          <w:u w:val="single"/>
        </w:rPr>
      </w:pPr>
      <w:r w:rsidRPr="007A2928">
        <w:rPr>
          <w:b/>
          <w:bCs/>
          <w:szCs w:val="24"/>
          <w:u w:val="single"/>
        </w:rPr>
        <w:t>allowing for a</w:t>
      </w:r>
      <w:r w:rsidR="00ED4EF4" w:rsidRPr="007A2928">
        <w:rPr>
          <w:b/>
          <w:bCs/>
          <w:szCs w:val="24"/>
          <w:u w:val="single"/>
        </w:rPr>
        <w:t>micus</w:t>
      </w:r>
      <w:r w:rsidR="00ED4EF4" w:rsidRPr="00B752A6">
        <w:rPr>
          <w:b/>
          <w:bCs/>
          <w:szCs w:val="24"/>
          <w:u w:val="single"/>
        </w:rPr>
        <w:t xml:space="preserve"> </w:t>
      </w:r>
      <w:r w:rsidRPr="00B752A6">
        <w:rPr>
          <w:b/>
          <w:bCs/>
          <w:szCs w:val="24"/>
          <w:u w:val="single"/>
        </w:rPr>
        <w:t>p</w:t>
      </w:r>
      <w:r w:rsidR="00ED4EF4" w:rsidRPr="00B752A6">
        <w:rPr>
          <w:b/>
          <w:bCs/>
          <w:szCs w:val="24"/>
          <w:u w:val="single"/>
        </w:rPr>
        <w:t>articipation</w:t>
      </w:r>
      <w:r w:rsidRPr="00B752A6">
        <w:rPr>
          <w:b/>
          <w:bCs/>
          <w:szCs w:val="24"/>
          <w:u w:val="single"/>
        </w:rPr>
        <w:t xml:space="preserve"> in special actions in Superior Court.</w:t>
      </w:r>
    </w:p>
    <w:p w14:paraId="14766594" w14:textId="77777777" w:rsidR="00570B19" w:rsidRDefault="00570B19" w:rsidP="007A2928">
      <w:pPr>
        <w:ind w:left="-360" w:right="-324"/>
        <w:rPr>
          <w:szCs w:val="24"/>
        </w:rPr>
      </w:pPr>
    </w:p>
    <w:p w14:paraId="3615647A" w14:textId="2A941619" w:rsidR="00A647EC" w:rsidRDefault="000734E7" w:rsidP="007A2928">
      <w:pPr>
        <w:ind w:left="-360" w:right="-324" w:firstLine="720"/>
        <w:rPr>
          <w:szCs w:val="24"/>
        </w:rPr>
      </w:pPr>
      <w:r>
        <w:rPr>
          <w:szCs w:val="24"/>
        </w:rPr>
        <w:t xml:space="preserve">During the revision process, the Task Force solicited comments from various committees of the </w:t>
      </w:r>
      <w:r w:rsidR="00254553">
        <w:rPr>
          <w:szCs w:val="24"/>
        </w:rPr>
        <w:t>S</w:t>
      </w:r>
      <w:r>
        <w:rPr>
          <w:szCs w:val="24"/>
        </w:rPr>
        <w:t xml:space="preserve">tate </w:t>
      </w:r>
      <w:r w:rsidR="00254553">
        <w:rPr>
          <w:szCs w:val="24"/>
        </w:rPr>
        <w:t>B</w:t>
      </w:r>
      <w:r>
        <w:rPr>
          <w:szCs w:val="24"/>
        </w:rPr>
        <w:t>ar. The Civil Practice and Procedure Committee Subcommittee on Rules of Procedure for Special Actions proposed eliminating the option to participate as amicus curiae in special actions in the Superior Court.</w:t>
      </w:r>
      <w:r w:rsidR="00B9343E">
        <w:rPr>
          <w:rStyle w:val="FootnoteReference"/>
          <w:szCs w:val="24"/>
        </w:rPr>
        <w:footnoteReference w:id="1"/>
      </w:r>
      <w:r>
        <w:rPr>
          <w:szCs w:val="24"/>
        </w:rPr>
        <w:t xml:space="preserve"> Fortunately, the Task Force r</w:t>
      </w:r>
      <w:r w:rsidR="00254553">
        <w:rPr>
          <w:szCs w:val="24"/>
        </w:rPr>
        <w:t>ightly r</w:t>
      </w:r>
      <w:r>
        <w:rPr>
          <w:szCs w:val="24"/>
        </w:rPr>
        <w:t>ejected this suggestion, preserving courts’ discretion to allow nonparties to participate as amicus curiae</w:t>
      </w:r>
      <w:r w:rsidR="00934A03">
        <w:rPr>
          <w:szCs w:val="24"/>
        </w:rPr>
        <w:t xml:space="preserve"> in proposed Rule 5(c). We strongly support the retention of this language for several reasons</w:t>
      </w:r>
      <w:r w:rsidR="00A54302">
        <w:rPr>
          <w:szCs w:val="24"/>
        </w:rPr>
        <w:t>.</w:t>
      </w:r>
    </w:p>
    <w:p w14:paraId="18A29738" w14:textId="77777777" w:rsidR="00F94BD4" w:rsidRDefault="00F94BD4" w:rsidP="007A2928">
      <w:pPr>
        <w:ind w:left="-360" w:right="-324"/>
        <w:rPr>
          <w:szCs w:val="24"/>
        </w:rPr>
      </w:pPr>
    </w:p>
    <w:p w14:paraId="1D9CB160" w14:textId="4A4FF284" w:rsidR="00F94BD4" w:rsidRDefault="00F94BD4" w:rsidP="007A2928">
      <w:pPr>
        <w:ind w:left="-360" w:right="-324" w:firstLine="720"/>
        <w:rPr>
          <w:szCs w:val="24"/>
        </w:rPr>
      </w:pPr>
      <w:r>
        <w:rPr>
          <w:szCs w:val="24"/>
        </w:rPr>
        <w:t>First, there is no pressing need to ban amicus briefs in Superior Court special actions because they are exceedingly rare anyway.</w:t>
      </w:r>
      <w:r w:rsidR="00934A03">
        <w:rPr>
          <w:szCs w:val="24"/>
        </w:rPr>
        <w:t xml:space="preserve"> </w:t>
      </w:r>
    </w:p>
    <w:p w14:paraId="66AE2C94" w14:textId="77777777" w:rsidR="00F94BD4" w:rsidRDefault="00F94BD4" w:rsidP="007A2928">
      <w:pPr>
        <w:ind w:left="-360" w:right="-324"/>
        <w:rPr>
          <w:szCs w:val="24"/>
        </w:rPr>
      </w:pPr>
    </w:p>
    <w:p w14:paraId="35A80603" w14:textId="3FA0E2B8" w:rsidR="00F94BD4" w:rsidRDefault="00F94BD4" w:rsidP="007A2928">
      <w:pPr>
        <w:ind w:left="-360" w:right="-324" w:firstLine="720"/>
      </w:pPr>
      <w:r>
        <w:rPr>
          <w:szCs w:val="24"/>
        </w:rPr>
        <w:t>Second, trial judges have—and should retain—discretion to decide</w:t>
      </w:r>
      <w:r w:rsidRPr="00F94BD4">
        <w:t xml:space="preserve"> </w:t>
      </w:r>
      <w:r>
        <w:t>whether to grant or deny an amicus leave to participate. If amicus participation is unwarranted in a particular matter, judges are free to deny it.</w:t>
      </w:r>
      <w:r w:rsidR="00F33158">
        <w:t xml:space="preserve"> Conversely, in instances where amicus participation would be helpful, judges should be free to allow it.</w:t>
      </w:r>
      <w:r w:rsidR="00934A03">
        <w:t xml:space="preserve"> As one Task Force member commented, “You can be a friend to any court.”</w:t>
      </w:r>
    </w:p>
    <w:p w14:paraId="54A59B03" w14:textId="77777777" w:rsidR="00F94BD4" w:rsidRDefault="00F94BD4" w:rsidP="007A2928">
      <w:pPr>
        <w:ind w:left="-360" w:right="-324"/>
      </w:pPr>
    </w:p>
    <w:p w14:paraId="479D414E" w14:textId="65FBA04C" w:rsidR="00F94BD4" w:rsidRDefault="00F94BD4" w:rsidP="007A2928">
      <w:pPr>
        <w:ind w:left="-360" w:right="-324" w:firstLine="720"/>
        <w:rPr>
          <w:szCs w:val="24"/>
        </w:rPr>
      </w:pPr>
      <w:r>
        <w:t xml:space="preserve">Third, amicus briefs can be quite helpful to judges even under normal circumstances, but </w:t>
      </w:r>
      <w:r w:rsidR="00BC6798">
        <w:t>they may</w:t>
      </w:r>
      <w:r>
        <w:t xml:space="preserve"> </w:t>
      </w:r>
      <w:r w:rsidR="00BC6798">
        <w:t>provide even more value</w:t>
      </w:r>
      <w:r>
        <w:t xml:space="preserve"> in accelerated proceedings </w:t>
      </w:r>
      <w:r w:rsidR="00A54302">
        <w:t xml:space="preserve">that often turn on questions of law and </w:t>
      </w:r>
      <w:r>
        <w:t xml:space="preserve">where there is </w:t>
      </w:r>
      <w:r w:rsidR="00A54302">
        <w:t xml:space="preserve">generally </w:t>
      </w:r>
      <w:r>
        <w:t>not a lot of time for factfinding (indeed, as discussed below, the current draft rules seek to further curtail discovery).</w:t>
      </w:r>
      <w:r w:rsidR="00BC6798">
        <w:t xml:space="preserve"> Amici, in an appropriate case, could provide valuable information to a trial judge regarding a host of factual and legal issues that might otherwise be impractical for the parties to do on a truncated timeline.</w:t>
      </w:r>
    </w:p>
    <w:p w14:paraId="6C5CA7EA" w14:textId="77777777" w:rsidR="00C31C00" w:rsidRDefault="00C31C00" w:rsidP="007A2928">
      <w:pPr>
        <w:ind w:left="-360" w:right="-324"/>
        <w:rPr>
          <w:szCs w:val="24"/>
        </w:rPr>
      </w:pPr>
    </w:p>
    <w:p w14:paraId="30FCE481" w14:textId="0344B5FC" w:rsidR="00BC6798" w:rsidRDefault="00BC6798" w:rsidP="007A2928">
      <w:pPr>
        <w:ind w:left="-360" w:right="-324" w:firstLine="720"/>
      </w:pPr>
      <w:r>
        <w:rPr>
          <w:szCs w:val="24"/>
        </w:rPr>
        <w:lastRenderedPageBreak/>
        <w:t xml:space="preserve">Fourth, </w:t>
      </w:r>
      <w:r>
        <w:t xml:space="preserve">if amicus briefs are banned, interested parties who otherwise would have appeared as amici </w:t>
      </w:r>
      <w:r w:rsidR="00A54302">
        <w:t>may</w:t>
      </w:r>
      <w:r>
        <w:t xml:space="preserve"> instead have a greater incentive to file intervention motions, which would complicate and elongate the proceedings</w:t>
      </w:r>
      <w:r w:rsidR="00A54302">
        <w:t>. This is</w:t>
      </w:r>
      <w:r w:rsidR="00B752A6">
        <w:t xml:space="preserve"> </w:t>
      </w:r>
      <w:r>
        <w:t>the opposite of what the special action rules are designed to do.</w:t>
      </w:r>
    </w:p>
    <w:p w14:paraId="10CD4377" w14:textId="77777777" w:rsidR="00BC6798" w:rsidRDefault="00BC6798" w:rsidP="007A2928">
      <w:pPr>
        <w:ind w:left="-360" w:right="-324"/>
      </w:pPr>
    </w:p>
    <w:p w14:paraId="37EA3F16" w14:textId="21A73102" w:rsidR="00BC6798" w:rsidRDefault="00BC6798" w:rsidP="007A2928">
      <w:pPr>
        <w:ind w:left="-360" w:right="-324" w:firstLine="720"/>
      </w:pPr>
      <w:r>
        <w:t xml:space="preserve">Fifth, </w:t>
      </w:r>
      <w:r w:rsidR="00F33158">
        <w:t xml:space="preserve">amicus support may occasionally be warranted in certain original special actions—including statutory special actions—where there is a strong likelihood that the outcome will affect third parties. Public interest cases </w:t>
      </w:r>
      <w:r w:rsidR="00A54302">
        <w:t>are a good example of this</w:t>
      </w:r>
      <w:r w:rsidR="00F33158">
        <w:t xml:space="preserve">, </w:t>
      </w:r>
      <w:r w:rsidR="00A54302">
        <w:t>including</w:t>
      </w:r>
      <w:r w:rsidR="00F33158">
        <w:t xml:space="preserve"> special actions involving public records, elections, or unique constitutional questions. </w:t>
      </w:r>
      <w:r w:rsidR="003168FE">
        <w:t xml:space="preserve">Moreover, the Superior Court might in some instances be the only practical opportunity to </w:t>
      </w:r>
      <w:r w:rsidR="00A54302">
        <w:t>file an amicus brief.</w:t>
      </w:r>
    </w:p>
    <w:p w14:paraId="42D9DDFF" w14:textId="77777777" w:rsidR="00BC6798" w:rsidRDefault="00BC6798" w:rsidP="007A2928">
      <w:pPr>
        <w:ind w:left="-360" w:right="-324"/>
      </w:pPr>
    </w:p>
    <w:p w14:paraId="2D9C043A" w14:textId="76B6E6E0" w:rsidR="00ED4EF4" w:rsidRDefault="00BC6798" w:rsidP="007A2928">
      <w:pPr>
        <w:ind w:left="-360" w:right="-324" w:firstLine="720"/>
      </w:pPr>
      <w:r>
        <w:t xml:space="preserve">The current rules have </w:t>
      </w:r>
      <w:r w:rsidR="003168FE">
        <w:t xml:space="preserve">granted superior court judges discretion to </w:t>
      </w:r>
      <w:r>
        <w:t xml:space="preserve">allow amicus participation for decades. There is no reason to limit </w:t>
      </w:r>
      <w:r w:rsidR="003168FE">
        <w:t>their</w:t>
      </w:r>
      <w:r>
        <w:t xml:space="preserve"> discretion in that area now</w:t>
      </w:r>
      <w:r w:rsidR="00934A03">
        <w:t xml:space="preserve">, and the Task Force </w:t>
      </w:r>
      <w:r w:rsidR="00A54302">
        <w:t>was correct to preserve</w:t>
      </w:r>
      <w:r w:rsidR="00934A03">
        <w:t xml:space="preserve"> the </w:t>
      </w:r>
      <w:r w:rsidR="004D09BB">
        <w:t>language</w:t>
      </w:r>
      <w:r w:rsidR="00ED4EF4">
        <w:t xml:space="preserve"> in proposed Rule 5(c)</w:t>
      </w:r>
      <w:r w:rsidR="00934A03">
        <w:t>.</w:t>
      </w:r>
    </w:p>
    <w:p w14:paraId="4A676120" w14:textId="77777777" w:rsidR="00A647EC" w:rsidRDefault="00A647EC" w:rsidP="007A2928">
      <w:pPr>
        <w:ind w:left="-360" w:right="-324"/>
        <w:jc w:val="center"/>
        <w:rPr>
          <w:b/>
          <w:bCs/>
          <w:szCs w:val="24"/>
          <w:u w:val="single"/>
        </w:rPr>
      </w:pPr>
    </w:p>
    <w:p w14:paraId="5E80B353" w14:textId="14B21CF2" w:rsidR="00C31C00" w:rsidRDefault="00ED4EF4" w:rsidP="007A2928">
      <w:pPr>
        <w:ind w:left="-360" w:right="-324"/>
        <w:jc w:val="center"/>
        <w:rPr>
          <w:b/>
          <w:bCs/>
          <w:szCs w:val="24"/>
          <w:u w:val="single"/>
        </w:rPr>
      </w:pPr>
      <w:r>
        <w:rPr>
          <w:b/>
          <w:bCs/>
          <w:szCs w:val="24"/>
          <w:u w:val="single"/>
        </w:rPr>
        <w:t xml:space="preserve">Proposed </w:t>
      </w:r>
      <w:r w:rsidR="00454F37">
        <w:rPr>
          <w:b/>
          <w:bCs/>
          <w:szCs w:val="24"/>
          <w:u w:val="single"/>
        </w:rPr>
        <w:t xml:space="preserve">Rule </w:t>
      </w:r>
      <w:r>
        <w:rPr>
          <w:b/>
          <w:bCs/>
          <w:szCs w:val="24"/>
          <w:u w:val="single"/>
        </w:rPr>
        <w:t>7</w:t>
      </w:r>
      <w:r w:rsidR="00454F37">
        <w:rPr>
          <w:b/>
          <w:bCs/>
          <w:szCs w:val="24"/>
          <w:u w:val="single"/>
        </w:rPr>
        <w:t>(</w:t>
      </w:r>
      <w:r>
        <w:rPr>
          <w:b/>
          <w:bCs/>
          <w:szCs w:val="24"/>
          <w:u w:val="single"/>
        </w:rPr>
        <w:t>g</w:t>
      </w:r>
      <w:r w:rsidR="00454F37">
        <w:rPr>
          <w:b/>
          <w:bCs/>
          <w:szCs w:val="24"/>
          <w:u w:val="single"/>
        </w:rPr>
        <w:t>) should not discourage d</w:t>
      </w:r>
      <w:r w:rsidR="009F7EB7">
        <w:rPr>
          <w:b/>
          <w:bCs/>
          <w:szCs w:val="24"/>
          <w:u w:val="single"/>
        </w:rPr>
        <w:t xml:space="preserve">iscovery in </w:t>
      </w:r>
      <w:r w:rsidR="00454F37">
        <w:rPr>
          <w:b/>
          <w:bCs/>
          <w:szCs w:val="24"/>
          <w:u w:val="single"/>
        </w:rPr>
        <w:t>o</w:t>
      </w:r>
      <w:r w:rsidR="009F7EB7">
        <w:rPr>
          <w:b/>
          <w:bCs/>
          <w:szCs w:val="24"/>
          <w:u w:val="single"/>
        </w:rPr>
        <w:t xml:space="preserve">riginal </w:t>
      </w:r>
      <w:r w:rsidR="00454F37">
        <w:rPr>
          <w:b/>
          <w:bCs/>
          <w:szCs w:val="24"/>
          <w:u w:val="single"/>
        </w:rPr>
        <w:t>s</w:t>
      </w:r>
      <w:r w:rsidR="009F7EB7">
        <w:rPr>
          <w:b/>
          <w:bCs/>
          <w:szCs w:val="24"/>
          <w:u w:val="single"/>
        </w:rPr>
        <w:t xml:space="preserve">pecial </w:t>
      </w:r>
      <w:r w:rsidR="00454F37">
        <w:rPr>
          <w:b/>
          <w:bCs/>
          <w:szCs w:val="24"/>
          <w:u w:val="single"/>
        </w:rPr>
        <w:t>a</w:t>
      </w:r>
      <w:r w:rsidR="009F7EB7">
        <w:rPr>
          <w:b/>
          <w:bCs/>
          <w:szCs w:val="24"/>
          <w:u w:val="single"/>
        </w:rPr>
        <w:t>ctions</w:t>
      </w:r>
      <w:r w:rsidR="00454F37">
        <w:rPr>
          <w:b/>
          <w:bCs/>
          <w:szCs w:val="24"/>
          <w:u w:val="single"/>
        </w:rPr>
        <w:t>.</w:t>
      </w:r>
    </w:p>
    <w:p w14:paraId="2DC0B7D0" w14:textId="77777777" w:rsidR="009F7EB7" w:rsidRDefault="009F7EB7" w:rsidP="007A2928">
      <w:pPr>
        <w:ind w:left="-360" w:right="-324"/>
        <w:rPr>
          <w:b/>
          <w:bCs/>
          <w:szCs w:val="24"/>
          <w:u w:val="single"/>
        </w:rPr>
      </w:pPr>
    </w:p>
    <w:p w14:paraId="159867DA" w14:textId="7941E042" w:rsidR="004D09BB" w:rsidRDefault="00BF4CB3" w:rsidP="007A2928">
      <w:pPr>
        <w:ind w:left="-360" w:right="-324" w:firstLine="720"/>
        <w:rPr>
          <w:szCs w:val="24"/>
        </w:rPr>
      </w:pPr>
      <w:r>
        <w:rPr>
          <w:szCs w:val="24"/>
        </w:rPr>
        <w:t>P</w:t>
      </w:r>
      <w:r w:rsidR="00B9343E">
        <w:rPr>
          <w:szCs w:val="24"/>
        </w:rPr>
        <w:t xml:space="preserve">roposed </w:t>
      </w:r>
      <w:r w:rsidR="004D09BB">
        <w:rPr>
          <w:szCs w:val="24"/>
        </w:rPr>
        <w:t xml:space="preserve">Rule 7(g), in </w:t>
      </w:r>
      <w:r w:rsidR="00B12EF7">
        <w:rPr>
          <w:szCs w:val="24"/>
        </w:rPr>
        <w:t>its current form</w:t>
      </w:r>
      <w:r w:rsidR="004D09BB">
        <w:rPr>
          <w:szCs w:val="24"/>
        </w:rPr>
        <w:t xml:space="preserve">, </w:t>
      </w:r>
      <w:r w:rsidR="00C77686">
        <w:rPr>
          <w:szCs w:val="24"/>
        </w:rPr>
        <w:t>should not be adopted.</w:t>
      </w:r>
      <w:r w:rsidR="00FF30FB">
        <w:rPr>
          <w:szCs w:val="24"/>
        </w:rPr>
        <w:t xml:space="preserve"> </w:t>
      </w:r>
    </w:p>
    <w:p w14:paraId="09D64B50" w14:textId="77777777" w:rsidR="004D09BB" w:rsidRDefault="004D09BB" w:rsidP="007A2928">
      <w:pPr>
        <w:ind w:left="-360" w:right="-324"/>
        <w:rPr>
          <w:szCs w:val="24"/>
        </w:rPr>
      </w:pPr>
    </w:p>
    <w:p w14:paraId="5326A0F9" w14:textId="472A762D" w:rsidR="00B12EF7" w:rsidRDefault="00C77686" w:rsidP="007A2928">
      <w:pPr>
        <w:ind w:left="-360" w:right="-324" w:firstLine="720"/>
        <w:rPr>
          <w:szCs w:val="24"/>
        </w:rPr>
      </w:pPr>
      <w:r>
        <w:rPr>
          <w:szCs w:val="24"/>
        </w:rPr>
        <w:t>The heading for draft</w:t>
      </w:r>
      <w:r w:rsidR="009F7EB7">
        <w:rPr>
          <w:szCs w:val="24"/>
        </w:rPr>
        <w:t xml:space="preserve"> Rule </w:t>
      </w:r>
      <w:r w:rsidR="00ED4EF4">
        <w:rPr>
          <w:szCs w:val="24"/>
        </w:rPr>
        <w:t>7</w:t>
      </w:r>
      <w:r w:rsidR="009F7EB7">
        <w:rPr>
          <w:szCs w:val="24"/>
        </w:rPr>
        <w:t>(</w:t>
      </w:r>
      <w:r w:rsidR="00ED4EF4">
        <w:rPr>
          <w:szCs w:val="24"/>
        </w:rPr>
        <w:t>g</w:t>
      </w:r>
      <w:r w:rsidR="009F7EB7">
        <w:rPr>
          <w:szCs w:val="24"/>
        </w:rPr>
        <w:t xml:space="preserve">) states </w:t>
      </w:r>
      <w:r>
        <w:rPr>
          <w:szCs w:val="24"/>
        </w:rPr>
        <w:t>“Discovery Generally Prohibited.”</w:t>
      </w:r>
      <w:r w:rsidR="00FF30FB">
        <w:rPr>
          <w:szCs w:val="24"/>
        </w:rPr>
        <w:t xml:space="preserve"> </w:t>
      </w:r>
      <w:r>
        <w:rPr>
          <w:szCs w:val="24"/>
        </w:rPr>
        <w:t xml:space="preserve">The Rule goes on to state </w:t>
      </w:r>
      <w:r w:rsidR="009F7EB7">
        <w:rPr>
          <w:szCs w:val="24"/>
        </w:rPr>
        <w:t>that “[</w:t>
      </w:r>
      <w:r w:rsidR="00ED4EF4">
        <w:rPr>
          <w:szCs w:val="24"/>
        </w:rPr>
        <w:t>d]</w:t>
      </w:r>
      <w:r w:rsidR="009F7EB7">
        <w:rPr>
          <w:szCs w:val="24"/>
        </w:rPr>
        <w:t xml:space="preserve">iscovery is not </w:t>
      </w:r>
      <w:r w:rsidR="00ED4EF4">
        <w:rPr>
          <w:szCs w:val="24"/>
        </w:rPr>
        <w:t xml:space="preserve">routinely </w:t>
      </w:r>
      <w:r w:rsidR="009F7EB7">
        <w:rPr>
          <w:szCs w:val="24"/>
        </w:rPr>
        <w:t xml:space="preserve">permitted in special actions.” </w:t>
      </w:r>
      <w:r>
        <w:rPr>
          <w:szCs w:val="24"/>
        </w:rPr>
        <w:t>A prohibition on discovery in original special actions would impair the administration of justice in special action cases that require factual development.</w:t>
      </w:r>
      <w:r w:rsidR="00FF30FB">
        <w:rPr>
          <w:szCs w:val="24"/>
        </w:rPr>
        <w:t xml:space="preserve"> </w:t>
      </w:r>
    </w:p>
    <w:p w14:paraId="1F59B0BF" w14:textId="77777777" w:rsidR="00B12EF7" w:rsidRDefault="00B12EF7" w:rsidP="007A2928">
      <w:pPr>
        <w:ind w:left="-360" w:right="-324"/>
        <w:rPr>
          <w:szCs w:val="24"/>
        </w:rPr>
      </w:pPr>
    </w:p>
    <w:p w14:paraId="1F997203" w14:textId="1D127075" w:rsidR="009F7EB7" w:rsidRDefault="009F7EB7" w:rsidP="007A2928">
      <w:pPr>
        <w:ind w:left="-360" w:right="-324" w:firstLine="720"/>
        <w:rPr>
          <w:szCs w:val="24"/>
        </w:rPr>
      </w:pPr>
      <w:r w:rsidRPr="007711C5">
        <w:rPr>
          <w:b/>
          <w:bCs/>
          <w:szCs w:val="24"/>
        </w:rPr>
        <w:t>Th</w:t>
      </w:r>
      <w:r w:rsidR="00B12EF7">
        <w:rPr>
          <w:b/>
          <w:bCs/>
          <w:szCs w:val="24"/>
        </w:rPr>
        <w:t>e first</w:t>
      </w:r>
      <w:r w:rsidRPr="007711C5">
        <w:rPr>
          <w:b/>
          <w:bCs/>
          <w:szCs w:val="24"/>
        </w:rPr>
        <w:t xml:space="preserve"> sentence</w:t>
      </w:r>
      <w:r w:rsidR="00B12EF7">
        <w:rPr>
          <w:b/>
          <w:bCs/>
          <w:szCs w:val="24"/>
        </w:rPr>
        <w:t xml:space="preserve"> of Rule 7(g)</w:t>
      </w:r>
      <w:r w:rsidRPr="007711C5">
        <w:rPr>
          <w:b/>
          <w:bCs/>
          <w:szCs w:val="24"/>
        </w:rPr>
        <w:t xml:space="preserve"> should be deleted and </w:t>
      </w:r>
      <w:r w:rsidR="00B12EF7">
        <w:rPr>
          <w:b/>
          <w:bCs/>
          <w:szCs w:val="24"/>
        </w:rPr>
        <w:t>its</w:t>
      </w:r>
      <w:r w:rsidRPr="007711C5">
        <w:rPr>
          <w:b/>
          <w:bCs/>
          <w:szCs w:val="24"/>
        </w:rPr>
        <w:t xml:space="preserve"> heading shortened to “Discovery.”</w:t>
      </w:r>
    </w:p>
    <w:p w14:paraId="003C053D" w14:textId="77777777" w:rsidR="009F7EB7" w:rsidRDefault="009F7EB7" w:rsidP="007A2928">
      <w:pPr>
        <w:ind w:left="-360" w:right="-324"/>
        <w:rPr>
          <w:szCs w:val="24"/>
        </w:rPr>
      </w:pPr>
    </w:p>
    <w:p w14:paraId="6AEBDA15" w14:textId="3B5DF8D3" w:rsidR="009F7EB7" w:rsidRDefault="00C77686" w:rsidP="007A2928">
      <w:pPr>
        <w:ind w:left="-360" w:right="-324" w:firstLine="720"/>
        <w:rPr>
          <w:szCs w:val="24"/>
        </w:rPr>
      </w:pPr>
      <w:r>
        <w:rPr>
          <w:szCs w:val="24"/>
        </w:rPr>
        <w:t>F</w:t>
      </w:r>
      <w:r w:rsidR="0097729D">
        <w:rPr>
          <w:szCs w:val="24"/>
        </w:rPr>
        <w:t xml:space="preserve">actual issues frequently arise in original special actions—and particularly in statutory special actions. </w:t>
      </w:r>
      <w:r w:rsidR="007711C5">
        <w:rPr>
          <w:szCs w:val="24"/>
        </w:rPr>
        <w:t>Superior Court j</w:t>
      </w:r>
      <w:r w:rsidR="0097729D">
        <w:rPr>
          <w:szCs w:val="24"/>
        </w:rPr>
        <w:t xml:space="preserve">udges should retain the discretion to allow discovery where warranted without being discouraged from </w:t>
      </w:r>
      <w:r w:rsidR="0020266C">
        <w:rPr>
          <w:szCs w:val="24"/>
        </w:rPr>
        <w:t>doing so</w:t>
      </w:r>
      <w:r w:rsidR="0097729D">
        <w:rPr>
          <w:szCs w:val="24"/>
        </w:rPr>
        <w:t xml:space="preserve">. </w:t>
      </w:r>
      <w:r w:rsidR="004D09BB">
        <w:rPr>
          <w:i/>
          <w:iCs/>
          <w:szCs w:val="24"/>
        </w:rPr>
        <w:t xml:space="preserve">Lewis v. Ariz. </w:t>
      </w:r>
      <w:r w:rsidR="00B12623">
        <w:rPr>
          <w:i/>
          <w:iCs/>
          <w:szCs w:val="24"/>
        </w:rPr>
        <w:t>Dep’t</w:t>
      </w:r>
      <w:r w:rsidR="004D09BB">
        <w:rPr>
          <w:i/>
          <w:iCs/>
          <w:szCs w:val="24"/>
        </w:rPr>
        <w:t xml:space="preserve"> of Econ. Sec.</w:t>
      </w:r>
      <w:r w:rsidR="004D09BB">
        <w:rPr>
          <w:szCs w:val="24"/>
        </w:rPr>
        <w:t xml:space="preserve">, 186 Ariz. 610, 616 (App. 1996) (“A trial court has broad discretion in matters of discovery, and … this is no less true when discovery is requested in a special action proceeding in the superior court.”). </w:t>
      </w:r>
    </w:p>
    <w:p w14:paraId="222CED70" w14:textId="77777777" w:rsidR="00363C89" w:rsidRDefault="00363C89" w:rsidP="007A2928">
      <w:pPr>
        <w:ind w:left="-360" w:right="-324"/>
        <w:rPr>
          <w:szCs w:val="24"/>
        </w:rPr>
      </w:pPr>
    </w:p>
    <w:p w14:paraId="1F7A6235" w14:textId="0FB8FAC7" w:rsidR="00363C89" w:rsidRDefault="00363C89" w:rsidP="007A2928">
      <w:pPr>
        <w:ind w:left="-360" w:right="-324" w:firstLine="720"/>
        <w:rPr>
          <w:szCs w:val="24"/>
        </w:rPr>
      </w:pPr>
      <w:r w:rsidRPr="00514245">
        <w:rPr>
          <w:szCs w:val="24"/>
        </w:rPr>
        <w:t xml:space="preserve">Discovery is not as “rare” in statutory special actions as in other special actions because </w:t>
      </w:r>
      <w:r>
        <w:rPr>
          <w:szCs w:val="24"/>
        </w:rPr>
        <w:t>such actions typically provide</w:t>
      </w:r>
      <w:r w:rsidRPr="00514245">
        <w:rPr>
          <w:szCs w:val="24"/>
        </w:rPr>
        <w:t xml:space="preserve"> plaintiffs</w:t>
      </w:r>
      <w:r>
        <w:rPr>
          <w:szCs w:val="24"/>
        </w:rPr>
        <w:t xml:space="preserve"> their</w:t>
      </w:r>
      <w:r w:rsidRPr="00514245">
        <w:rPr>
          <w:szCs w:val="24"/>
        </w:rPr>
        <w:t xml:space="preserve"> only avenue to bring such claims, even </w:t>
      </w:r>
      <w:r>
        <w:rPr>
          <w:szCs w:val="24"/>
        </w:rPr>
        <w:t>when</w:t>
      </w:r>
      <w:r w:rsidRPr="00514245">
        <w:rPr>
          <w:szCs w:val="24"/>
        </w:rPr>
        <w:t xml:space="preserve"> there are </w:t>
      </w:r>
      <w:r>
        <w:rPr>
          <w:szCs w:val="24"/>
        </w:rPr>
        <w:t>key</w:t>
      </w:r>
      <w:r w:rsidRPr="00514245">
        <w:rPr>
          <w:szCs w:val="24"/>
        </w:rPr>
        <w:t xml:space="preserve"> factual disputes. In the public records context</w:t>
      </w:r>
      <w:r w:rsidR="00C77686">
        <w:rPr>
          <w:szCs w:val="24"/>
        </w:rPr>
        <w:t>, for example</w:t>
      </w:r>
      <w:r w:rsidRPr="00514245">
        <w:rPr>
          <w:szCs w:val="24"/>
        </w:rPr>
        <w:t xml:space="preserve">, under the “best interests of the state” exception to disclosure, the “impact of disclosure” is a triable issue of fact. </w:t>
      </w:r>
      <w:r>
        <w:rPr>
          <w:i/>
          <w:iCs/>
          <w:szCs w:val="24"/>
        </w:rPr>
        <w:t>Phoenix Newspapers, Inc. v. Keegan</w:t>
      </w:r>
      <w:r>
        <w:rPr>
          <w:szCs w:val="24"/>
        </w:rPr>
        <w:t xml:space="preserve">, 201 Ariz. 344, 347, 350 </w:t>
      </w:r>
      <w:r w:rsidRPr="0022414E">
        <w:rPr>
          <w:szCs w:val="24"/>
        </w:rPr>
        <w:t>¶¶</w:t>
      </w:r>
      <w:r>
        <w:rPr>
          <w:szCs w:val="24"/>
        </w:rPr>
        <w:t xml:space="preserve"> 8, 27 &amp; n.4 (App. 2001).</w:t>
      </w:r>
      <w:r w:rsidRPr="00514245">
        <w:rPr>
          <w:i/>
          <w:iCs/>
          <w:szCs w:val="24"/>
        </w:rPr>
        <w:t xml:space="preserve"> </w:t>
      </w:r>
      <w:r w:rsidRPr="00514245">
        <w:rPr>
          <w:szCs w:val="24"/>
        </w:rPr>
        <w:t xml:space="preserve">This means that discovery </w:t>
      </w:r>
      <w:r w:rsidR="00C77686">
        <w:rPr>
          <w:szCs w:val="24"/>
        </w:rPr>
        <w:t>may</w:t>
      </w:r>
      <w:r w:rsidR="00C77686" w:rsidRPr="00514245">
        <w:rPr>
          <w:szCs w:val="24"/>
        </w:rPr>
        <w:t xml:space="preserve"> </w:t>
      </w:r>
      <w:r w:rsidRPr="00514245">
        <w:rPr>
          <w:szCs w:val="24"/>
        </w:rPr>
        <w:t xml:space="preserve">be necessary any time a </w:t>
      </w:r>
      <w:r w:rsidR="00C77686">
        <w:rPr>
          <w:szCs w:val="24"/>
        </w:rPr>
        <w:t>public body</w:t>
      </w:r>
      <w:r w:rsidRPr="00514245">
        <w:rPr>
          <w:szCs w:val="24"/>
        </w:rPr>
        <w:t xml:space="preserve"> </w:t>
      </w:r>
      <w:r w:rsidR="00C77686">
        <w:rPr>
          <w:szCs w:val="24"/>
        </w:rPr>
        <w:t>attempts</w:t>
      </w:r>
      <w:r w:rsidRPr="00514245">
        <w:rPr>
          <w:szCs w:val="24"/>
        </w:rPr>
        <w:t xml:space="preserve"> to shield records under the “best interests of the state” exception. Such a broad statement </w:t>
      </w:r>
      <w:r>
        <w:rPr>
          <w:szCs w:val="24"/>
        </w:rPr>
        <w:t xml:space="preserve">in the rule </w:t>
      </w:r>
      <w:r w:rsidRPr="00514245">
        <w:rPr>
          <w:szCs w:val="24"/>
        </w:rPr>
        <w:t>discourag</w:t>
      </w:r>
      <w:r>
        <w:rPr>
          <w:szCs w:val="24"/>
        </w:rPr>
        <w:t>ing</w:t>
      </w:r>
      <w:r w:rsidRPr="00514245">
        <w:rPr>
          <w:szCs w:val="24"/>
        </w:rPr>
        <w:t xml:space="preserve"> discovery (and, potentially, </w:t>
      </w:r>
      <w:r>
        <w:rPr>
          <w:szCs w:val="24"/>
        </w:rPr>
        <w:t xml:space="preserve">removing other </w:t>
      </w:r>
      <w:r w:rsidRPr="00514245">
        <w:rPr>
          <w:szCs w:val="24"/>
        </w:rPr>
        <w:t>disclosure r</w:t>
      </w:r>
      <w:r>
        <w:rPr>
          <w:szCs w:val="24"/>
        </w:rPr>
        <w:t>equirements</w:t>
      </w:r>
      <w:r w:rsidRPr="00514245">
        <w:rPr>
          <w:szCs w:val="24"/>
        </w:rPr>
        <w:t xml:space="preserve">) thus </w:t>
      </w:r>
      <w:r w:rsidR="00C77686">
        <w:rPr>
          <w:szCs w:val="24"/>
        </w:rPr>
        <w:t>may prevent</w:t>
      </w:r>
      <w:r w:rsidRPr="00514245">
        <w:rPr>
          <w:szCs w:val="24"/>
        </w:rPr>
        <w:t xml:space="preserve"> </w:t>
      </w:r>
      <w:r w:rsidR="00C77686">
        <w:rPr>
          <w:szCs w:val="24"/>
        </w:rPr>
        <w:t xml:space="preserve">plaintiffs from capably prosecuting their cases against </w:t>
      </w:r>
      <w:r w:rsidRPr="00514245">
        <w:rPr>
          <w:szCs w:val="24"/>
        </w:rPr>
        <w:t xml:space="preserve">government entities </w:t>
      </w:r>
      <w:r>
        <w:rPr>
          <w:szCs w:val="24"/>
        </w:rPr>
        <w:t>in public records cases</w:t>
      </w:r>
      <w:r w:rsidR="00C77686">
        <w:rPr>
          <w:szCs w:val="24"/>
        </w:rPr>
        <w:t xml:space="preserve">. Similarly, courts sitting as fact-finders will not have a well-developed record to make critical legal determinations. </w:t>
      </w:r>
    </w:p>
    <w:p w14:paraId="317CDD17" w14:textId="77777777" w:rsidR="00363C89" w:rsidRDefault="00363C89" w:rsidP="007A2928">
      <w:pPr>
        <w:ind w:left="-360" w:right="-324"/>
        <w:rPr>
          <w:szCs w:val="24"/>
        </w:rPr>
      </w:pPr>
    </w:p>
    <w:p w14:paraId="09F0798E" w14:textId="09E24B9C" w:rsidR="00363C89" w:rsidRDefault="00363C89" w:rsidP="007A2928">
      <w:pPr>
        <w:ind w:left="-360" w:right="-324" w:firstLine="720"/>
        <w:rPr>
          <w:szCs w:val="24"/>
        </w:rPr>
      </w:pPr>
      <w:r w:rsidRPr="00514245">
        <w:rPr>
          <w:szCs w:val="24"/>
        </w:rPr>
        <w:lastRenderedPageBreak/>
        <w:t xml:space="preserve">We do not believe the government (or any litigant) should have such a presumption against discovery in </w:t>
      </w:r>
      <w:r>
        <w:rPr>
          <w:szCs w:val="24"/>
        </w:rPr>
        <w:t xml:space="preserve">original </w:t>
      </w:r>
      <w:r w:rsidRPr="00514245">
        <w:rPr>
          <w:szCs w:val="24"/>
        </w:rPr>
        <w:t>statutory special actions</w:t>
      </w:r>
      <w:r>
        <w:rPr>
          <w:szCs w:val="24"/>
        </w:rPr>
        <w:t xml:space="preserve"> in Superior Court</w:t>
      </w:r>
      <w:r w:rsidRPr="00514245">
        <w:rPr>
          <w:szCs w:val="24"/>
        </w:rPr>
        <w:t xml:space="preserve">, even if it </w:t>
      </w:r>
      <w:r>
        <w:rPr>
          <w:szCs w:val="24"/>
        </w:rPr>
        <w:t>may</w:t>
      </w:r>
      <w:r w:rsidRPr="00514245">
        <w:rPr>
          <w:szCs w:val="24"/>
        </w:rPr>
        <w:t xml:space="preserve"> be warranted in other special actions</w:t>
      </w:r>
      <w:r w:rsidR="00C77686">
        <w:rPr>
          <w:szCs w:val="24"/>
        </w:rPr>
        <w:t xml:space="preserve"> that present clean questions of law</w:t>
      </w:r>
      <w:r w:rsidRPr="00514245">
        <w:rPr>
          <w:szCs w:val="24"/>
        </w:rPr>
        <w:t>.</w:t>
      </w:r>
    </w:p>
    <w:p w14:paraId="55E3ABF6" w14:textId="77777777" w:rsidR="00C77686" w:rsidRDefault="00C77686" w:rsidP="007A2928">
      <w:pPr>
        <w:ind w:left="-360" w:right="-324"/>
        <w:rPr>
          <w:szCs w:val="24"/>
        </w:rPr>
      </w:pPr>
    </w:p>
    <w:p w14:paraId="60059CD2" w14:textId="16AD7EF1" w:rsidR="00C77686" w:rsidRPr="0022414E" w:rsidRDefault="00C77686" w:rsidP="007A2928">
      <w:pPr>
        <w:ind w:left="-360" w:right="-324" w:firstLine="720"/>
        <w:rPr>
          <w:szCs w:val="24"/>
        </w:rPr>
      </w:pPr>
      <w:r>
        <w:rPr>
          <w:szCs w:val="24"/>
        </w:rPr>
        <w:t>Additionally, discovery is “generally prohibited” in an appellate court setting, so any concerns that appellate courts will sit as fact-finders are resolved by draft Rule 6(e), which expressly states that appellate courts “do not conduct trials in original special actions.”</w:t>
      </w:r>
    </w:p>
    <w:p w14:paraId="2CE28AB8" w14:textId="77777777" w:rsidR="00363C89" w:rsidRPr="004D09BB" w:rsidRDefault="00363C89" w:rsidP="007A2928">
      <w:pPr>
        <w:ind w:left="-360" w:right="-324"/>
        <w:rPr>
          <w:szCs w:val="24"/>
        </w:rPr>
      </w:pPr>
    </w:p>
    <w:p w14:paraId="5D22C70E" w14:textId="702B0CEF" w:rsidR="0097729D" w:rsidRDefault="0097729D" w:rsidP="007A2928">
      <w:pPr>
        <w:ind w:left="-360" w:right="-324" w:firstLine="720"/>
        <w:rPr>
          <w:szCs w:val="24"/>
        </w:rPr>
      </w:pPr>
      <w:r>
        <w:rPr>
          <w:szCs w:val="24"/>
        </w:rPr>
        <w:t>The old State Bar Committee Note (e) to current Rule 4 contains more appropriate language:</w:t>
      </w:r>
    </w:p>
    <w:p w14:paraId="3BDFAFAF" w14:textId="77777777" w:rsidR="0097729D" w:rsidRDefault="0097729D" w:rsidP="007A2928">
      <w:pPr>
        <w:ind w:left="-360" w:right="-324"/>
        <w:rPr>
          <w:szCs w:val="24"/>
        </w:rPr>
      </w:pPr>
    </w:p>
    <w:p w14:paraId="7E4CF2A8" w14:textId="1E1F0396" w:rsidR="0097729D" w:rsidRPr="009F7EB7" w:rsidRDefault="0097729D" w:rsidP="00F95B80">
      <w:pPr>
        <w:ind w:left="540" w:right="576"/>
        <w:jc w:val="both"/>
        <w:rPr>
          <w:szCs w:val="24"/>
        </w:rPr>
      </w:pPr>
      <w:r>
        <w:rPr>
          <w:szCs w:val="24"/>
        </w:rPr>
        <w:t>Discovery in special action proceedings may be necessary in particular circumstances, though it will certainly not be routinely required, and will never be used in an appellate court since no trials will occur there. The Rule gives necessary latitude to allow discovery in those rare instances when it is necessary.</w:t>
      </w:r>
    </w:p>
    <w:p w14:paraId="7CE3FE78" w14:textId="77777777" w:rsidR="00C31C00" w:rsidRDefault="00C31C00" w:rsidP="007A2928">
      <w:pPr>
        <w:ind w:left="-360" w:right="-324"/>
        <w:rPr>
          <w:szCs w:val="24"/>
        </w:rPr>
      </w:pPr>
    </w:p>
    <w:p w14:paraId="738FF156" w14:textId="0AC2409D" w:rsidR="00C31C00" w:rsidRDefault="003168FE" w:rsidP="007A2928">
      <w:pPr>
        <w:ind w:left="-360" w:right="-324" w:firstLine="720"/>
        <w:rPr>
          <w:szCs w:val="24"/>
        </w:rPr>
      </w:pPr>
      <w:r>
        <w:rPr>
          <w:szCs w:val="24"/>
        </w:rPr>
        <w:t xml:space="preserve">In short, </w:t>
      </w:r>
      <w:r w:rsidR="004D09BB">
        <w:rPr>
          <w:szCs w:val="24"/>
        </w:rPr>
        <w:t>proposed Rule 7(g)</w:t>
      </w:r>
      <w:r w:rsidR="0097729D">
        <w:rPr>
          <w:szCs w:val="24"/>
        </w:rPr>
        <w:t xml:space="preserve"> goes too far in curtai</w:t>
      </w:r>
      <w:r w:rsidR="00C77686">
        <w:rPr>
          <w:szCs w:val="24"/>
        </w:rPr>
        <w:t>ling</w:t>
      </w:r>
      <w:r w:rsidR="0097729D">
        <w:rPr>
          <w:szCs w:val="24"/>
        </w:rPr>
        <w:t xml:space="preserve"> discovery</w:t>
      </w:r>
      <w:r w:rsidR="00C77686">
        <w:rPr>
          <w:szCs w:val="24"/>
        </w:rPr>
        <w:t xml:space="preserve"> that may be necessary and appropriate</w:t>
      </w:r>
      <w:r w:rsidR="0097729D">
        <w:rPr>
          <w:szCs w:val="24"/>
        </w:rPr>
        <w:t xml:space="preserve">. </w:t>
      </w:r>
    </w:p>
    <w:p w14:paraId="5CDB1B02" w14:textId="77777777" w:rsidR="0097729D" w:rsidRDefault="0097729D" w:rsidP="007A2928">
      <w:pPr>
        <w:ind w:left="-360" w:right="-324"/>
        <w:rPr>
          <w:szCs w:val="24"/>
        </w:rPr>
      </w:pPr>
    </w:p>
    <w:p w14:paraId="346497C0" w14:textId="4BDB6197" w:rsidR="0097729D" w:rsidRDefault="0097729D" w:rsidP="007A2928">
      <w:pPr>
        <w:ind w:left="-360" w:right="-324" w:firstLine="720"/>
        <w:rPr>
          <w:szCs w:val="24"/>
        </w:rPr>
      </w:pPr>
      <w:r>
        <w:rPr>
          <w:szCs w:val="24"/>
        </w:rPr>
        <w:t xml:space="preserve">Relatedly, </w:t>
      </w:r>
      <w:r w:rsidR="004D09BB">
        <w:rPr>
          <w:szCs w:val="24"/>
        </w:rPr>
        <w:t>the Task Force’s</w:t>
      </w:r>
      <w:r>
        <w:rPr>
          <w:szCs w:val="24"/>
        </w:rPr>
        <w:t xml:space="preserve"> </w:t>
      </w:r>
      <w:r w:rsidR="004D09BB">
        <w:rPr>
          <w:szCs w:val="24"/>
        </w:rPr>
        <w:t>s</w:t>
      </w:r>
      <w:r w:rsidR="004C75FE">
        <w:rPr>
          <w:szCs w:val="24"/>
        </w:rPr>
        <w:t>ubstitution</w:t>
      </w:r>
      <w:r w:rsidR="004D09BB">
        <w:rPr>
          <w:szCs w:val="24"/>
        </w:rPr>
        <w:t xml:space="preserve"> of the </w:t>
      </w:r>
      <w:r w:rsidR="00EB6DA4">
        <w:rPr>
          <w:szCs w:val="24"/>
        </w:rPr>
        <w:t xml:space="preserve">word </w:t>
      </w:r>
      <w:r w:rsidR="004C75FE">
        <w:rPr>
          <w:szCs w:val="24"/>
        </w:rPr>
        <w:t xml:space="preserve">“material” for </w:t>
      </w:r>
      <w:r w:rsidR="00EB6DA4">
        <w:rPr>
          <w:szCs w:val="24"/>
        </w:rPr>
        <w:t>“triable” regarding the issues of fact that can be subject to special orders concerning discovery</w:t>
      </w:r>
      <w:r w:rsidR="004C75FE">
        <w:rPr>
          <w:szCs w:val="24"/>
        </w:rPr>
        <w:t xml:space="preserve"> improperly impairs the fair administration of justice</w:t>
      </w:r>
      <w:r w:rsidR="00EB6DA4">
        <w:rPr>
          <w:szCs w:val="24"/>
        </w:rPr>
        <w:t xml:space="preserve">. </w:t>
      </w:r>
      <w:r w:rsidR="004C75FE">
        <w:rPr>
          <w:szCs w:val="24"/>
        </w:rPr>
        <w:t xml:space="preserve">Use of the word </w:t>
      </w:r>
      <w:r w:rsidR="00EB6DA4">
        <w:rPr>
          <w:szCs w:val="24"/>
        </w:rPr>
        <w:t xml:space="preserve">“material” risks importing summary judgment caselaw that may not be appropriate for special actions. </w:t>
      </w:r>
      <w:r w:rsidR="004D09BB">
        <w:rPr>
          <w:szCs w:val="24"/>
        </w:rPr>
        <w:t>T</w:t>
      </w:r>
      <w:r w:rsidR="00EB6DA4">
        <w:rPr>
          <w:szCs w:val="24"/>
        </w:rPr>
        <w:t xml:space="preserve">his change </w:t>
      </w:r>
      <w:r w:rsidR="004D09BB">
        <w:rPr>
          <w:szCs w:val="24"/>
        </w:rPr>
        <w:t xml:space="preserve">also </w:t>
      </w:r>
      <w:r w:rsidR="00EB6DA4">
        <w:rPr>
          <w:szCs w:val="24"/>
        </w:rPr>
        <w:t xml:space="preserve">risks undermining caselaw that has discussed “triable issue[s] of fact” in the special action context. </w:t>
      </w:r>
      <w:r w:rsidR="00EB6DA4">
        <w:rPr>
          <w:i/>
          <w:iCs/>
          <w:szCs w:val="24"/>
        </w:rPr>
        <w:t>See, e.g., Cranmer v. State</w:t>
      </w:r>
      <w:r w:rsidR="00EB6DA4">
        <w:rPr>
          <w:szCs w:val="24"/>
        </w:rPr>
        <w:t xml:space="preserve">, 204 Ariz. 299, 302–03 </w:t>
      </w:r>
      <w:r w:rsidR="0020266C" w:rsidRPr="0020266C">
        <w:rPr>
          <w:szCs w:val="24"/>
        </w:rPr>
        <w:t>¶</w:t>
      </w:r>
      <w:r w:rsidR="0020266C">
        <w:rPr>
          <w:szCs w:val="24"/>
        </w:rPr>
        <w:t xml:space="preserve"> 12 (App. 2003) (discussing </w:t>
      </w:r>
      <w:r w:rsidR="007711C5">
        <w:rPr>
          <w:szCs w:val="24"/>
        </w:rPr>
        <w:t xml:space="preserve">current </w:t>
      </w:r>
      <w:r w:rsidR="0020266C">
        <w:rPr>
          <w:szCs w:val="24"/>
        </w:rPr>
        <w:t xml:space="preserve">Rule 4(f) and clarifying that “a special action proceeding is not a trial de novo,” at least for non-statutory special actions); </w:t>
      </w:r>
      <w:r w:rsidR="0022414E">
        <w:rPr>
          <w:i/>
          <w:iCs/>
          <w:szCs w:val="24"/>
        </w:rPr>
        <w:t>Keegan</w:t>
      </w:r>
      <w:r w:rsidR="0022414E">
        <w:rPr>
          <w:szCs w:val="24"/>
        </w:rPr>
        <w:t xml:space="preserve">, 201 Ariz. </w:t>
      </w:r>
      <w:r w:rsidR="00363C89">
        <w:rPr>
          <w:szCs w:val="24"/>
        </w:rPr>
        <w:t>at</w:t>
      </w:r>
      <w:r w:rsidR="0022414E">
        <w:rPr>
          <w:szCs w:val="24"/>
        </w:rPr>
        <w:t xml:space="preserve"> 347, 350 </w:t>
      </w:r>
      <w:r w:rsidR="0022414E" w:rsidRPr="0022414E">
        <w:rPr>
          <w:szCs w:val="24"/>
        </w:rPr>
        <w:t>¶¶</w:t>
      </w:r>
      <w:r w:rsidR="0022414E">
        <w:rPr>
          <w:szCs w:val="24"/>
        </w:rPr>
        <w:t xml:space="preserve"> 8, 27 &amp; n.4 (App. 2001) (characterizing “the impact of disclosure” as a “disputed fact” in a public records statutory special action where expert witnesses were deposed);</w:t>
      </w:r>
      <w:r w:rsidR="0022414E">
        <w:rPr>
          <w:i/>
          <w:iCs/>
          <w:szCs w:val="24"/>
        </w:rPr>
        <w:t xml:space="preserve"> King v. Neely</w:t>
      </w:r>
      <w:r w:rsidR="0022414E">
        <w:rPr>
          <w:szCs w:val="24"/>
        </w:rPr>
        <w:t xml:space="preserve">, 143 Ariz. 329, 330 (App. 1984) (citing predecessor to Rule 4(f) and finding that it did not allow a deposition under the circumstances). </w:t>
      </w:r>
    </w:p>
    <w:p w14:paraId="0455DF92" w14:textId="77777777" w:rsidR="00514245" w:rsidRDefault="00514245" w:rsidP="007A2928">
      <w:pPr>
        <w:ind w:left="-360" w:right="-324"/>
        <w:rPr>
          <w:szCs w:val="24"/>
        </w:rPr>
      </w:pPr>
    </w:p>
    <w:p w14:paraId="59889124" w14:textId="2CBB829E" w:rsidR="007711C5" w:rsidRDefault="003168FE" w:rsidP="007A2928">
      <w:pPr>
        <w:ind w:left="-360" w:right="-324" w:firstLine="720"/>
        <w:rPr>
          <w:szCs w:val="24"/>
        </w:rPr>
      </w:pPr>
      <w:r>
        <w:rPr>
          <w:szCs w:val="24"/>
        </w:rPr>
        <w:t>To address these concerns</w:t>
      </w:r>
      <w:r w:rsidR="00EB6DA4">
        <w:rPr>
          <w:szCs w:val="24"/>
        </w:rPr>
        <w:t xml:space="preserve">, we </w:t>
      </w:r>
      <w:r w:rsidR="004C75FE">
        <w:rPr>
          <w:szCs w:val="24"/>
        </w:rPr>
        <w:t xml:space="preserve">recommend </w:t>
      </w:r>
      <w:r w:rsidR="00EB6DA4">
        <w:rPr>
          <w:szCs w:val="24"/>
        </w:rPr>
        <w:t xml:space="preserve">that Rule </w:t>
      </w:r>
      <w:r w:rsidR="007711C5">
        <w:rPr>
          <w:szCs w:val="24"/>
        </w:rPr>
        <w:t>7</w:t>
      </w:r>
      <w:r w:rsidR="00EB6DA4">
        <w:rPr>
          <w:szCs w:val="24"/>
        </w:rPr>
        <w:t>(</w:t>
      </w:r>
      <w:r w:rsidR="007711C5">
        <w:rPr>
          <w:szCs w:val="24"/>
        </w:rPr>
        <w:t>g</w:t>
      </w:r>
      <w:r w:rsidR="00EB6DA4">
        <w:rPr>
          <w:szCs w:val="24"/>
        </w:rPr>
        <w:t xml:space="preserve">) read as follows: </w:t>
      </w:r>
    </w:p>
    <w:p w14:paraId="75315DB2" w14:textId="77777777" w:rsidR="007711C5" w:rsidRDefault="007711C5" w:rsidP="007A2928">
      <w:pPr>
        <w:ind w:left="-360" w:right="-324"/>
        <w:rPr>
          <w:szCs w:val="24"/>
        </w:rPr>
      </w:pPr>
    </w:p>
    <w:p w14:paraId="41962CDE" w14:textId="40A240CC" w:rsidR="00B93E2C" w:rsidRDefault="007711C5" w:rsidP="00F95B80">
      <w:pPr>
        <w:ind w:left="540" w:right="576"/>
        <w:rPr>
          <w:szCs w:val="24"/>
        </w:rPr>
      </w:pPr>
      <w:r w:rsidRPr="007711C5">
        <w:rPr>
          <w:b/>
          <w:bCs/>
          <w:szCs w:val="24"/>
        </w:rPr>
        <w:t>(g) Discovery.</w:t>
      </w:r>
      <w:r>
        <w:rPr>
          <w:szCs w:val="24"/>
        </w:rPr>
        <w:t xml:space="preserve"> </w:t>
      </w:r>
      <w:r w:rsidR="00EB6DA4" w:rsidRPr="007711C5">
        <w:rPr>
          <w:szCs w:val="24"/>
        </w:rPr>
        <w:t>If a triable issue of fact is raised in an original special action</w:t>
      </w:r>
      <w:r w:rsidR="0022414E" w:rsidRPr="007711C5">
        <w:rPr>
          <w:szCs w:val="24"/>
        </w:rPr>
        <w:t xml:space="preserve"> in the Superior Court</w:t>
      </w:r>
      <w:r w:rsidR="00EB6DA4" w:rsidRPr="007711C5">
        <w:rPr>
          <w:szCs w:val="24"/>
        </w:rPr>
        <w:t>, the court may issue special orders concerning discovery.</w:t>
      </w:r>
    </w:p>
    <w:p w14:paraId="68CBAB40" w14:textId="77777777" w:rsidR="001F4DFE" w:rsidRDefault="001F4DFE" w:rsidP="007A2928">
      <w:pPr>
        <w:ind w:left="-360" w:right="-324"/>
        <w:rPr>
          <w:szCs w:val="24"/>
        </w:rPr>
      </w:pPr>
    </w:p>
    <w:p w14:paraId="06BD13A0" w14:textId="1CAFE333" w:rsidR="001F4DFE" w:rsidRPr="001634A8" w:rsidRDefault="001F4DFE" w:rsidP="007A2928">
      <w:pPr>
        <w:ind w:left="-360" w:right="-324" w:firstLine="720"/>
        <w:rPr>
          <w:szCs w:val="24"/>
        </w:rPr>
      </w:pPr>
      <w:r>
        <w:rPr>
          <w:szCs w:val="24"/>
        </w:rPr>
        <w:t>Importantly, this language</w:t>
      </w:r>
      <w:r w:rsidR="001634A8">
        <w:rPr>
          <w:szCs w:val="24"/>
        </w:rPr>
        <w:t>, like current Rule 4(f),</w:t>
      </w:r>
      <w:r>
        <w:rPr>
          <w:szCs w:val="24"/>
        </w:rPr>
        <w:t xml:space="preserve"> requires the court to issue an order before discovery </w:t>
      </w:r>
      <w:r w:rsidR="001634A8">
        <w:rPr>
          <w:szCs w:val="24"/>
        </w:rPr>
        <w:t>proce</w:t>
      </w:r>
      <w:r>
        <w:rPr>
          <w:szCs w:val="24"/>
        </w:rPr>
        <w:t>ed</w:t>
      </w:r>
      <w:r w:rsidR="001634A8">
        <w:rPr>
          <w:szCs w:val="24"/>
        </w:rPr>
        <w:t>s</w:t>
      </w:r>
      <w:r>
        <w:rPr>
          <w:szCs w:val="24"/>
        </w:rPr>
        <w:t>. It therefore retains</w:t>
      </w:r>
      <w:r w:rsidR="001634A8">
        <w:rPr>
          <w:szCs w:val="24"/>
        </w:rPr>
        <w:t xml:space="preserve"> in practice</w:t>
      </w:r>
      <w:r>
        <w:rPr>
          <w:szCs w:val="24"/>
        </w:rPr>
        <w:t xml:space="preserve"> the substance of the phrase “[d]iscovery is not routinely permitted in </w:t>
      </w:r>
      <w:r w:rsidR="001634A8">
        <w:rPr>
          <w:szCs w:val="24"/>
        </w:rPr>
        <w:t xml:space="preserve">special actions” without implying a presumption against discovery. Moreover, it specifies that discovery should only be allowed in </w:t>
      </w:r>
      <w:r w:rsidR="001634A8">
        <w:rPr>
          <w:i/>
          <w:iCs/>
          <w:szCs w:val="24"/>
        </w:rPr>
        <w:t xml:space="preserve">original </w:t>
      </w:r>
      <w:r w:rsidR="001634A8">
        <w:rPr>
          <w:szCs w:val="24"/>
        </w:rPr>
        <w:t xml:space="preserve">special actions </w:t>
      </w:r>
      <w:r w:rsidR="001634A8">
        <w:rPr>
          <w:i/>
          <w:iCs/>
          <w:szCs w:val="24"/>
        </w:rPr>
        <w:t>in the Superior Court</w:t>
      </w:r>
      <w:r w:rsidR="001634A8">
        <w:rPr>
          <w:szCs w:val="24"/>
        </w:rPr>
        <w:t xml:space="preserve">, which is more restrictive than the </w:t>
      </w:r>
      <w:r w:rsidR="00B9343E">
        <w:rPr>
          <w:szCs w:val="24"/>
        </w:rPr>
        <w:t xml:space="preserve">text of the </w:t>
      </w:r>
      <w:r w:rsidR="001634A8">
        <w:rPr>
          <w:szCs w:val="24"/>
        </w:rPr>
        <w:t>current rule.</w:t>
      </w:r>
    </w:p>
    <w:p w14:paraId="03BC0A77" w14:textId="77777777" w:rsidR="00B93E2C" w:rsidRDefault="00B93E2C" w:rsidP="007A2928">
      <w:pPr>
        <w:ind w:left="-360" w:right="-324"/>
        <w:rPr>
          <w:b/>
          <w:bCs/>
          <w:szCs w:val="24"/>
        </w:rPr>
      </w:pPr>
    </w:p>
    <w:p w14:paraId="5EF175FB" w14:textId="22F61D71" w:rsidR="0020266C" w:rsidRDefault="00B93E2C" w:rsidP="007A2928">
      <w:pPr>
        <w:ind w:left="-360" w:right="-324" w:firstLine="720"/>
        <w:rPr>
          <w:szCs w:val="24"/>
        </w:rPr>
      </w:pPr>
      <w:r>
        <w:rPr>
          <w:szCs w:val="24"/>
        </w:rPr>
        <w:t xml:space="preserve">We also suggest that </w:t>
      </w:r>
      <w:r w:rsidR="007711C5">
        <w:rPr>
          <w:szCs w:val="24"/>
        </w:rPr>
        <w:t xml:space="preserve">this sentence from the old State Bar Committee Note (or substantially similar language) be inserted at the beginning of the </w:t>
      </w:r>
      <w:r w:rsidR="001634A8">
        <w:rPr>
          <w:szCs w:val="24"/>
        </w:rPr>
        <w:t xml:space="preserve">proposed </w:t>
      </w:r>
      <w:r w:rsidR="007711C5">
        <w:rPr>
          <w:szCs w:val="24"/>
        </w:rPr>
        <w:t>comment to the rule:</w:t>
      </w:r>
    </w:p>
    <w:p w14:paraId="3B4F4955" w14:textId="77777777" w:rsidR="007711C5" w:rsidRDefault="007711C5" w:rsidP="007A2928">
      <w:pPr>
        <w:ind w:left="-360" w:right="-324"/>
        <w:rPr>
          <w:szCs w:val="24"/>
        </w:rPr>
      </w:pPr>
    </w:p>
    <w:p w14:paraId="4DC3D736" w14:textId="6D23FEAB" w:rsidR="007711C5" w:rsidRDefault="007711C5" w:rsidP="00F95B80">
      <w:pPr>
        <w:ind w:left="540" w:right="756"/>
        <w:jc w:val="both"/>
        <w:rPr>
          <w:szCs w:val="24"/>
        </w:rPr>
      </w:pPr>
      <w:r>
        <w:rPr>
          <w:szCs w:val="24"/>
        </w:rPr>
        <w:lastRenderedPageBreak/>
        <w:t>Discovery in special action proceedings may be necessary in particular circumstances, though it will certainly not be routinely required, and will never be used in an appellate court since no trials will occur there.</w:t>
      </w:r>
    </w:p>
    <w:p w14:paraId="2A9D7C42" w14:textId="77777777" w:rsidR="00EB6DA4" w:rsidRDefault="00EB6DA4" w:rsidP="007A2928">
      <w:pPr>
        <w:ind w:left="-360" w:right="-324"/>
        <w:rPr>
          <w:szCs w:val="24"/>
        </w:rPr>
      </w:pPr>
    </w:p>
    <w:p w14:paraId="109829A3" w14:textId="294962D9" w:rsidR="00EB6DA4" w:rsidRPr="00454F37" w:rsidRDefault="003168FE" w:rsidP="007A2928">
      <w:pPr>
        <w:ind w:left="-360" w:right="-324"/>
        <w:jc w:val="center"/>
        <w:rPr>
          <w:b/>
          <w:bCs/>
          <w:szCs w:val="24"/>
          <w:u w:val="single"/>
        </w:rPr>
      </w:pPr>
      <w:r w:rsidRPr="00F95B80">
        <w:rPr>
          <w:b/>
          <w:bCs/>
          <w:szCs w:val="24"/>
          <w:u w:val="single"/>
        </w:rPr>
        <w:t xml:space="preserve">The </w:t>
      </w:r>
      <w:r w:rsidR="00B9343E" w:rsidRPr="00F95B80">
        <w:rPr>
          <w:b/>
          <w:bCs/>
          <w:szCs w:val="24"/>
          <w:u w:val="single"/>
        </w:rPr>
        <w:t xml:space="preserve">RPSA should clarify that the </w:t>
      </w:r>
      <w:r w:rsidRPr="00F95B80">
        <w:rPr>
          <w:b/>
          <w:bCs/>
          <w:szCs w:val="24"/>
          <w:u w:val="single"/>
        </w:rPr>
        <w:t>Rules of Civil Procedure apply in original special</w:t>
      </w:r>
      <w:r>
        <w:rPr>
          <w:b/>
          <w:bCs/>
          <w:szCs w:val="24"/>
          <w:u w:val="single"/>
        </w:rPr>
        <w:t xml:space="preserve"> actions </w:t>
      </w:r>
      <w:r w:rsidR="00F06653">
        <w:rPr>
          <w:b/>
          <w:bCs/>
          <w:szCs w:val="24"/>
          <w:u w:val="single"/>
        </w:rPr>
        <w:t xml:space="preserve">in </w:t>
      </w:r>
      <w:r w:rsidR="001411A8">
        <w:rPr>
          <w:b/>
          <w:bCs/>
          <w:szCs w:val="24"/>
          <w:u w:val="single"/>
        </w:rPr>
        <w:t xml:space="preserve">the </w:t>
      </w:r>
      <w:r w:rsidR="00F06653">
        <w:rPr>
          <w:b/>
          <w:bCs/>
          <w:szCs w:val="24"/>
          <w:u w:val="single"/>
        </w:rPr>
        <w:t xml:space="preserve">Superior Court </w:t>
      </w:r>
      <w:r>
        <w:rPr>
          <w:b/>
          <w:bCs/>
          <w:szCs w:val="24"/>
          <w:u w:val="single"/>
        </w:rPr>
        <w:t>where the</w:t>
      </w:r>
      <w:r w:rsidR="001411A8">
        <w:rPr>
          <w:b/>
          <w:bCs/>
          <w:szCs w:val="24"/>
          <w:u w:val="single"/>
        </w:rPr>
        <w:t>y do not conflict with the</w:t>
      </w:r>
      <w:r>
        <w:rPr>
          <w:b/>
          <w:bCs/>
          <w:szCs w:val="24"/>
          <w:u w:val="single"/>
        </w:rPr>
        <w:t xml:space="preserve"> special action rules.</w:t>
      </w:r>
    </w:p>
    <w:p w14:paraId="6E46B2CD" w14:textId="77777777" w:rsidR="00EB6DA4" w:rsidRDefault="00EB6DA4" w:rsidP="007A2928">
      <w:pPr>
        <w:ind w:left="-360" w:right="-324"/>
        <w:rPr>
          <w:szCs w:val="24"/>
        </w:rPr>
      </w:pPr>
    </w:p>
    <w:p w14:paraId="1703E6F6" w14:textId="472ADFB4" w:rsidR="00C31C00" w:rsidRDefault="004C75FE" w:rsidP="007A2928">
      <w:pPr>
        <w:ind w:left="-360" w:right="-324" w:firstLine="720"/>
        <w:rPr>
          <w:szCs w:val="24"/>
        </w:rPr>
      </w:pPr>
      <w:r>
        <w:rPr>
          <w:szCs w:val="24"/>
        </w:rPr>
        <w:t>The current rules also create</w:t>
      </w:r>
      <w:r w:rsidR="00E156CB">
        <w:rPr>
          <w:szCs w:val="24"/>
        </w:rPr>
        <w:t xml:space="preserve"> confusion during litigation regarding the applicability of the Arizona Rules of Civil Procedure in original special actions</w:t>
      </w:r>
      <w:r w:rsidR="00554B9C">
        <w:rPr>
          <w:szCs w:val="24"/>
        </w:rPr>
        <w:t xml:space="preserve"> </w:t>
      </w:r>
      <w:r w:rsidR="00E156CB">
        <w:rPr>
          <w:szCs w:val="24"/>
        </w:rPr>
        <w:t>in Superior Court.</w:t>
      </w:r>
    </w:p>
    <w:p w14:paraId="13647098" w14:textId="77777777" w:rsidR="00E156CB" w:rsidRDefault="00E156CB" w:rsidP="007A2928">
      <w:pPr>
        <w:ind w:left="-360" w:right="-324"/>
        <w:rPr>
          <w:szCs w:val="24"/>
        </w:rPr>
      </w:pPr>
    </w:p>
    <w:p w14:paraId="2E7E8023" w14:textId="01B8966A" w:rsidR="00E156CB" w:rsidRDefault="001411A8" w:rsidP="007A2928">
      <w:pPr>
        <w:ind w:left="-360" w:right="-324" w:firstLine="720"/>
        <w:rPr>
          <w:szCs w:val="24"/>
        </w:rPr>
      </w:pPr>
      <w:r>
        <w:rPr>
          <w:szCs w:val="24"/>
        </w:rPr>
        <w:t>T</w:t>
      </w:r>
      <w:r w:rsidR="00E156CB">
        <w:rPr>
          <w:szCs w:val="24"/>
        </w:rPr>
        <w:t xml:space="preserve">hese questions include the timeline for the filing of an answer </w:t>
      </w:r>
      <w:r w:rsidR="00ED72B5">
        <w:rPr>
          <w:szCs w:val="24"/>
        </w:rPr>
        <w:t xml:space="preserve">or another appropriate response, what other responsive pleadings might be filed in lieu of an answer, </w:t>
      </w:r>
      <w:r w:rsidR="00E156CB">
        <w:rPr>
          <w:szCs w:val="24"/>
        </w:rPr>
        <w:t>and the availability of preliminary relief</w:t>
      </w:r>
      <w:r>
        <w:rPr>
          <w:szCs w:val="24"/>
        </w:rPr>
        <w:t xml:space="preserve"> in special actions</w:t>
      </w:r>
      <w:r w:rsidR="00E156CB">
        <w:rPr>
          <w:szCs w:val="24"/>
        </w:rPr>
        <w:t>, n</w:t>
      </w:r>
      <w:r w:rsidR="00ED72B5">
        <w:rPr>
          <w:szCs w:val="24"/>
        </w:rPr>
        <w:t>one</w:t>
      </w:r>
      <w:r w:rsidR="00E156CB">
        <w:rPr>
          <w:szCs w:val="24"/>
        </w:rPr>
        <w:t xml:space="preserve"> of which are addressed in the current rules.</w:t>
      </w:r>
      <w:r w:rsidR="00BA1D6F">
        <w:rPr>
          <w:szCs w:val="24"/>
        </w:rPr>
        <w:t xml:space="preserve"> </w:t>
      </w:r>
      <w:r w:rsidR="004C75FE">
        <w:rPr>
          <w:szCs w:val="24"/>
        </w:rPr>
        <w:t>The current rules also do not address the</w:t>
      </w:r>
      <w:r w:rsidR="00BA1D6F">
        <w:rPr>
          <w:szCs w:val="24"/>
        </w:rPr>
        <w:t xml:space="preserve"> extent to which Rule 16 of the Civil Procedure rules applies in special actions.</w:t>
      </w:r>
    </w:p>
    <w:p w14:paraId="740ADE53" w14:textId="7CEDE3AB" w:rsidR="00ED72B5" w:rsidRDefault="00ED72B5" w:rsidP="007A2928">
      <w:pPr>
        <w:ind w:left="-360" w:right="-324"/>
        <w:rPr>
          <w:szCs w:val="24"/>
        </w:rPr>
      </w:pPr>
    </w:p>
    <w:p w14:paraId="4898B8F7" w14:textId="1C7EE964" w:rsidR="00ED72B5" w:rsidRDefault="00BA1D6F" w:rsidP="007A2928">
      <w:pPr>
        <w:ind w:left="-360" w:right="-324" w:firstLine="720"/>
        <w:rPr>
          <w:szCs w:val="24"/>
        </w:rPr>
      </w:pPr>
      <w:r>
        <w:rPr>
          <w:szCs w:val="24"/>
        </w:rPr>
        <w:t>Proposed</w:t>
      </w:r>
      <w:r w:rsidR="00ED72B5">
        <w:rPr>
          <w:szCs w:val="24"/>
        </w:rPr>
        <w:t xml:space="preserve"> Rule </w:t>
      </w:r>
      <w:r w:rsidR="00554B9C">
        <w:rPr>
          <w:szCs w:val="24"/>
        </w:rPr>
        <w:t>7</w:t>
      </w:r>
      <w:r w:rsidR="00ED72B5">
        <w:rPr>
          <w:szCs w:val="24"/>
        </w:rPr>
        <w:t xml:space="preserve">(a)(2) solves the first problem by importing the timeline of Rule 12(a) of the Rules of Civil Procedure for the filing of an answer. The </w:t>
      </w:r>
      <w:r>
        <w:rPr>
          <w:szCs w:val="24"/>
        </w:rPr>
        <w:t xml:space="preserve">Task Force briefly discussed the phrase </w:t>
      </w:r>
      <w:r w:rsidR="00ED72B5">
        <w:rPr>
          <w:szCs w:val="24"/>
        </w:rPr>
        <w:t>“other appropriate response”</w:t>
      </w:r>
      <w:r>
        <w:rPr>
          <w:szCs w:val="24"/>
        </w:rPr>
        <w:t xml:space="preserve"> in that rule but did not clarify in rule or comment what types of pre-answer motions that might include. In fact, motions are not specifically addressed in the RPSA</w:t>
      </w:r>
      <w:r w:rsidR="00BF4CB3">
        <w:rPr>
          <w:szCs w:val="24"/>
        </w:rPr>
        <w:t>.</w:t>
      </w:r>
      <w:r>
        <w:rPr>
          <w:szCs w:val="24"/>
        </w:rPr>
        <w:t xml:space="preserve"> Likewise, n</w:t>
      </w:r>
      <w:r w:rsidR="00ED72B5">
        <w:rPr>
          <w:szCs w:val="24"/>
        </w:rPr>
        <w:t xml:space="preserve">o rule </w:t>
      </w:r>
      <w:r w:rsidR="001411A8">
        <w:rPr>
          <w:szCs w:val="24"/>
        </w:rPr>
        <w:t xml:space="preserve">directly </w:t>
      </w:r>
      <w:r w:rsidR="00ED72B5">
        <w:rPr>
          <w:szCs w:val="24"/>
        </w:rPr>
        <w:t>discusses the availability of preliminary relief</w:t>
      </w:r>
      <w:r w:rsidR="00037A0C">
        <w:rPr>
          <w:szCs w:val="24"/>
        </w:rPr>
        <w:t xml:space="preserve"> aside from stays in </w:t>
      </w:r>
      <w:r w:rsidR="00B76996">
        <w:rPr>
          <w:szCs w:val="24"/>
        </w:rPr>
        <w:t>proposed</w:t>
      </w:r>
      <w:r w:rsidR="00037A0C">
        <w:rPr>
          <w:szCs w:val="24"/>
        </w:rPr>
        <w:t xml:space="preserve"> Rule </w:t>
      </w:r>
      <w:r>
        <w:rPr>
          <w:szCs w:val="24"/>
        </w:rPr>
        <w:t>8</w:t>
      </w:r>
      <w:r w:rsidR="00ED72B5">
        <w:rPr>
          <w:szCs w:val="24"/>
        </w:rPr>
        <w:t>.</w:t>
      </w:r>
      <w:r>
        <w:rPr>
          <w:szCs w:val="24"/>
        </w:rPr>
        <w:t xml:space="preserve"> Proposed Rule 7(f) will likely solve at least some of the questions surrounding Civil Procedure Rule 16</w:t>
      </w:r>
      <w:r w:rsidR="004C75FE">
        <w:rPr>
          <w:szCs w:val="24"/>
        </w:rPr>
        <w:t>.</w:t>
      </w:r>
      <w:r w:rsidR="00FF30FB">
        <w:rPr>
          <w:szCs w:val="24"/>
        </w:rPr>
        <w:t xml:space="preserve"> </w:t>
      </w:r>
    </w:p>
    <w:p w14:paraId="6DE574E1" w14:textId="77777777" w:rsidR="0050649E" w:rsidRDefault="0050649E" w:rsidP="007A2928">
      <w:pPr>
        <w:ind w:left="-360" w:right="-324"/>
        <w:rPr>
          <w:szCs w:val="24"/>
        </w:rPr>
      </w:pPr>
    </w:p>
    <w:p w14:paraId="7B0ED507" w14:textId="0E062CED" w:rsidR="00FA1453" w:rsidRPr="001411A8" w:rsidRDefault="001411A8" w:rsidP="007A2928">
      <w:pPr>
        <w:ind w:left="-360" w:right="-324" w:firstLine="720"/>
        <w:rPr>
          <w:szCs w:val="24"/>
        </w:rPr>
      </w:pPr>
      <w:r w:rsidRPr="001411A8">
        <w:rPr>
          <w:szCs w:val="24"/>
        </w:rPr>
        <w:t>Rather than continue to import the Rules of Civil Procedure piecemeal into the special action rules</w:t>
      </w:r>
      <w:r w:rsidR="00FA1453" w:rsidRPr="001411A8">
        <w:rPr>
          <w:szCs w:val="24"/>
        </w:rPr>
        <w:t xml:space="preserve">, we </w:t>
      </w:r>
      <w:r w:rsidR="00BA1D6F">
        <w:rPr>
          <w:szCs w:val="24"/>
        </w:rPr>
        <w:t>propose</w:t>
      </w:r>
      <w:r w:rsidR="00FA1453" w:rsidRPr="001411A8">
        <w:rPr>
          <w:szCs w:val="24"/>
        </w:rPr>
        <w:t xml:space="preserve"> add</w:t>
      </w:r>
      <w:r w:rsidR="00BA1D6F">
        <w:rPr>
          <w:szCs w:val="24"/>
        </w:rPr>
        <w:t>ing</w:t>
      </w:r>
      <w:r w:rsidR="00FA1453" w:rsidRPr="001411A8">
        <w:rPr>
          <w:szCs w:val="24"/>
        </w:rPr>
        <w:t xml:space="preserve"> an express provision in the rules stating that the </w:t>
      </w:r>
      <w:r w:rsidR="00E156CB" w:rsidRPr="001411A8">
        <w:rPr>
          <w:szCs w:val="24"/>
        </w:rPr>
        <w:t xml:space="preserve">Arizona </w:t>
      </w:r>
      <w:r w:rsidR="00FA1453" w:rsidRPr="001411A8">
        <w:rPr>
          <w:szCs w:val="24"/>
        </w:rPr>
        <w:t>Rules of Civil Procedure apply where the special action rules are silent and a judge has not ordered otherwise.</w:t>
      </w:r>
    </w:p>
    <w:p w14:paraId="1733EDAF" w14:textId="77777777" w:rsidR="001411A8" w:rsidRPr="001411A8" w:rsidRDefault="001411A8" w:rsidP="007A2928">
      <w:pPr>
        <w:ind w:left="-360" w:right="-324"/>
        <w:rPr>
          <w:szCs w:val="24"/>
        </w:rPr>
      </w:pPr>
    </w:p>
    <w:p w14:paraId="5BF4FA02" w14:textId="5D79E9A1" w:rsidR="001411A8" w:rsidRPr="001411A8" w:rsidRDefault="001411A8" w:rsidP="007A2928">
      <w:pPr>
        <w:ind w:left="-360" w:right="-324" w:firstLine="720"/>
        <w:rPr>
          <w:b/>
          <w:bCs/>
          <w:szCs w:val="24"/>
        </w:rPr>
      </w:pPr>
      <w:r w:rsidRPr="001411A8">
        <w:rPr>
          <w:szCs w:val="24"/>
        </w:rPr>
        <w:t xml:space="preserve">Specifically, we suggest </w:t>
      </w:r>
      <w:r w:rsidR="00037A0C">
        <w:rPr>
          <w:szCs w:val="24"/>
        </w:rPr>
        <w:t>adding</w:t>
      </w:r>
      <w:r w:rsidRPr="001411A8">
        <w:rPr>
          <w:szCs w:val="24"/>
        </w:rPr>
        <w:t xml:space="preserve"> a rule </w:t>
      </w:r>
      <w:r w:rsidR="00037A0C">
        <w:rPr>
          <w:szCs w:val="24"/>
        </w:rPr>
        <w:t>to Part II that parallels</w:t>
      </w:r>
      <w:r w:rsidRPr="001411A8">
        <w:rPr>
          <w:szCs w:val="24"/>
        </w:rPr>
        <w:t xml:space="preserve"> draft Rule </w:t>
      </w:r>
      <w:r w:rsidR="00BA1D6F">
        <w:rPr>
          <w:szCs w:val="24"/>
        </w:rPr>
        <w:t>10</w:t>
      </w:r>
      <w:r w:rsidR="00150782">
        <w:rPr>
          <w:szCs w:val="24"/>
        </w:rPr>
        <w:t>(a)</w:t>
      </w:r>
      <w:r w:rsidRPr="001411A8">
        <w:rPr>
          <w:szCs w:val="24"/>
        </w:rPr>
        <w:t xml:space="preserve"> </w:t>
      </w:r>
      <w:r w:rsidR="00037A0C">
        <w:rPr>
          <w:szCs w:val="24"/>
        </w:rPr>
        <w:t xml:space="preserve">in Part III </w:t>
      </w:r>
      <w:r w:rsidRPr="001411A8">
        <w:rPr>
          <w:szCs w:val="24"/>
        </w:rPr>
        <w:t>regarding the use of ARCAP</w:t>
      </w:r>
      <w:r w:rsidR="00150782">
        <w:rPr>
          <w:szCs w:val="24"/>
        </w:rPr>
        <w:t xml:space="preserve"> and SCRAP</w:t>
      </w:r>
      <w:r w:rsidRPr="001411A8">
        <w:rPr>
          <w:szCs w:val="24"/>
        </w:rPr>
        <w:t xml:space="preserve"> in appellate special actions</w:t>
      </w:r>
      <w:r w:rsidR="00037A0C">
        <w:rPr>
          <w:szCs w:val="24"/>
        </w:rPr>
        <w:t>. We propose that it</w:t>
      </w:r>
      <w:r w:rsidRPr="001411A8">
        <w:rPr>
          <w:szCs w:val="24"/>
        </w:rPr>
        <w:t xml:space="preserve"> read as follows: </w:t>
      </w:r>
      <w:r w:rsidRPr="001411A8">
        <w:rPr>
          <w:b/>
          <w:bCs/>
          <w:szCs w:val="24"/>
        </w:rPr>
        <w:t xml:space="preserve">“To the extent they are consistent with these </w:t>
      </w:r>
      <w:r w:rsidR="00150782">
        <w:rPr>
          <w:b/>
          <w:bCs/>
          <w:szCs w:val="24"/>
        </w:rPr>
        <w:t>R</w:t>
      </w:r>
      <w:r w:rsidRPr="001411A8">
        <w:rPr>
          <w:b/>
          <w:bCs/>
          <w:szCs w:val="24"/>
        </w:rPr>
        <w:t xml:space="preserve">ules, the Rules of Civil Procedure apply to original special actions in the Superior Court.” </w:t>
      </w:r>
    </w:p>
    <w:p w14:paraId="02157092" w14:textId="77777777" w:rsidR="001411A8" w:rsidRPr="001411A8" w:rsidRDefault="001411A8" w:rsidP="007A2928">
      <w:pPr>
        <w:ind w:left="-360" w:right="-324"/>
        <w:rPr>
          <w:b/>
          <w:bCs/>
          <w:szCs w:val="24"/>
        </w:rPr>
      </w:pPr>
    </w:p>
    <w:p w14:paraId="275EEDA1" w14:textId="4A6B1FAE" w:rsidR="00037A0C" w:rsidRDefault="004C75FE" w:rsidP="007A2928">
      <w:pPr>
        <w:ind w:left="-360" w:right="-324" w:firstLine="720"/>
        <w:rPr>
          <w:szCs w:val="24"/>
        </w:rPr>
      </w:pPr>
      <w:r>
        <w:rPr>
          <w:szCs w:val="24"/>
        </w:rPr>
        <w:t>A specific</w:t>
      </w:r>
      <w:r w:rsidR="00037A0C">
        <w:rPr>
          <w:szCs w:val="24"/>
        </w:rPr>
        <w:t xml:space="preserve"> reference to the Rules </w:t>
      </w:r>
      <w:r>
        <w:rPr>
          <w:szCs w:val="24"/>
        </w:rPr>
        <w:t xml:space="preserve">of Civil Procedure </w:t>
      </w:r>
      <w:r w:rsidR="00037A0C">
        <w:rPr>
          <w:szCs w:val="24"/>
        </w:rPr>
        <w:t>will fill in these and other potential gaps in the special action rules, which again, are designed to expedite proceedings, not necessarily supplant every procedural rule used in a typical case</w:t>
      </w:r>
      <w:r w:rsidR="00150782">
        <w:rPr>
          <w:szCs w:val="24"/>
        </w:rPr>
        <w:t xml:space="preserve">. </w:t>
      </w:r>
    </w:p>
    <w:p w14:paraId="390F634E" w14:textId="77777777" w:rsidR="00011C24" w:rsidRDefault="00011C24" w:rsidP="007A2928">
      <w:pPr>
        <w:ind w:left="-360" w:right="-324"/>
        <w:rPr>
          <w:szCs w:val="24"/>
        </w:rPr>
      </w:pPr>
    </w:p>
    <w:p w14:paraId="1A4713D2" w14:textId="7A5A920A" w:rsidR="00011C24" w:rsidRDefault="00011C24" w:rsidP="007A2928">
      <w:pPr>
        <w:ind w:left="-360" w:right="-324"/>
        <w:jc w:val="center"/>
        <w:rPr>
          <w:b/>
          <w:bCs/>
          <w:szCs w:val="24"/>
          <w:u w:val="single"/>
        </w:rPr>
      </w:pPr>
      <w:r w:rsidRPr="00011C24">
        <w:rPr>
          <w:b/>
          <w:bCs/>
          <w:szCs w:val="24"/>
          <w:u w:val="single"/>
        </w:rPr>
        <w:t>Conclusion</w:t>
      </w:r>
    </w:p>
    <w:p w14:paraId="56490F5C" w14:textId="77777777" w:rsidR="00011C24" w:rsidRDefault="00011C24" w:rsidP="007A2928">
      <w:pPr>
        <w:ind w:left="-360" w:right="-324"/>
        <w:rPr>
          <w:b/>
          <w:bCs/>
          <w:szCs w:val="24"/>
          <w:u w:val="single"/>
        </w:rPr>
      </w:pPr>
    </w:p>
    <w:p w14:paraId="4B5CB7DF" w14:textId="499FB67A" w:rsidR="00011C24" w:rsidRDefault="00011C24" w:rsidP="007A2928">
      <w:pPr>
        <w:ind w:left="-360" w:right="-324" w:firstLine="720"/>
        <w:rPr>
          <w:szCs w:val="24"/>
        </w:rPr>
      </w:pPr>
      <w:r>
        <w:rPr>
          <w:szCs w:val="24"/>
        </w:rPr>
        <w:t xml:space="preserve">In sum, </w:t>
      </w:r>
      <w:r w:rsidR="008B4BD5">
        <w:rPr>
          <w:szCs w:val="24"/>
        </w:rPr>
        <w:t>petition R-23-0055,</w:t>
      </w:r>
      <w:r>
        <w:rPr>
          <w:szCs w:val="24"/>
        </w:rPr>
        <w:t xml:space="preserve"> abrogati</w:t>
      </w:r>
      <w:r w:rsidR="008B4BD5">
        <w:rPr>
          <w:szCs w:val="24"/>
        </w:rPr>
        <w:t>ng</w:t>
      </w:r>
      <w:r>
        <w:rPr>
          <w:szCs w:val="24"/>
        </w:rPr>
        <w:t xml:space="preserve"> the current RPSA and replac</w:t>
      </w:r>
      <w:r w:rsidR="008B4BD5">
        <w:rPr>
          <w:szCs w:val="24"/>
        </w:rPr>
        <w:t>ing them</w:t>
      </w:r>
      <w:r>
        <w:rPr>
          <w:szCs w:val="24"/>
        </w:rPr>
        <w:t xml:space="preserve"> with the </w:t>
      </w:r>
      <w:r w:rsidR="00B60F3C">
        <w:rPr>
          <w:szCs w:val="24"/>
        </w:rPr>
        <w:t xml:space="preserve">petition’s </w:t>
      </w:r>
      <w:r>
        <w:rPr>
          <w:szCs w:val="24"/>
        </w:rPr>
        <w:t xml:space="preserve">proposed rules, </w:t>
      </w:r>
      <w:r w:rsidR="004C75FE">
        <w:rPr>
          <w:szCs w:val="24"/>
        </w:rPr>
        <w:t xml:space="preserve">should be </w:t>
      </w:r>
      <w:r w:rsidR="003C631A">
        <w:rPr>
          <w:szCs w:val="24"/>
        </w:rPr>
        <w:t>granted</w:t>
      </w:r>
      <w:r w:rsidR="004C75FE">
        <w:rPr>
          <w:szCs w:val="24"/>
        </w:rPr>
        <w:t xml:space="preserve">, </w:t>
      </w:r>
      <w:r>
        <w:rPr>
          <w:szCs w:val="24"/>
        </w:rPr>
        <w:t>subject to the following</w:t>
      </w:r>
      <w:r w:rsidR="00B60F3C">
        <w:rPr>
          <w:szCs w:val="24"/>
        </w:rPr>
        <w:t xml:space="preserve"> revisions</w:t>
      </w:r>
      <w:r>
        <w:rPr>
          <w:szCs w:val="24"/>
        </w:rPr>
        <w:t>:</w:t>
      </w:r>
    </w:p>
    <w:p w14:paraId="00BECFCA" w14:textId="77777777" w:rsidR="00011C24" w:rsidRDefault="00011C24" w:rsidP="007A2928">
      <w:pPr>
        <w:ind w:left="-360" w:right="-324"/>
        <w:rPr>
          <w:szCs w:val="24"/>
        </w:rPr>
      </w:pPr>
    </w:p>
    <w:p w14:paraId="7DD11AEE" w14:textId="25A63990" w:rsidR="00011C24" w:rsidRDefault="00011C24" w:rsidP="001A1120">
      <w:pPr>
        <w:pStyle w:val="ListParagraph"/>
        <w:numPr>
          <w:ilvl w:val="0"/>
          <w:numId w:val="7"/>
        </w:numPr>
        <w:ind w:left="-360" w:right="-324" w:firstLine="720"/>
        <w:rPr>
          <w:szCs w:val="24"/>
        </w:rPr>
      </w:pPr>
      <w:r>
        <w:rPr>
          <w:szCs w:val="24"/>
        </w:rPr>
        <w:t xml:space="preserve">Substitute proposed Rule 7(g) with the following: </w:t>
      </w:r>
    </w:p>
    <w:p w14:paraId="149AF94E" w14:textId="77777777" w:rsidR="00011C24" w:rsidRDefault="00011C24" w:rsidP="007A2928">
      <w:pPr>
        <w:pStyle w:val="ListParagraph"/>
        <w:ind w:left="-360" w:right="-324"/>
        <w:rPr>
          <w:b/>
          <w:bCs/>
          <w:szCs w:val="24"/>
        </w:rPr>
      </w:pPr>
    </w:p>
    <w:p w14:paraId="363E69CE" w14:textId="03DB716C" w:rsidR="00011C24" w:rsidRDefault="00011C24" w:rsidP="007616D0">
      <w:pPr>
        <w:pStyle w:val="ListParagraph"/>
        <w:ind w:left="1080" w:right="1296"/>
        <w:jc w:val="both"/>
        <w:rPr>
          <w:szCs w:val="24"/>
        </w:rPr>
      </w:pPr>
      <w:r w:rsidRPr="00011C24">
        <w:rPr>
          <w:b/>
          <w:bCs/>
          <w:szCs w:val="24"/>
        </w:rPr>
        <w:lastRenderedPageBreak/>
        <w:t>(g) Discovery.</w:t>
      </w:r>
      <w:r w:rsidRPr="00011C24">
        <w:rPr>
          <w:szCs w:val="24"/>
        </w:rPr>
        <w:t xml:space="preserve"> If a triable issue of fact is raised in an original special action in the Superior Court, the court may issue special orders concerning discovery.</w:t>
      </w:r>
    </w:p>
    <w:p w14:paraId="707312C6" w14:textId="77777777" w:rsidR="00011C24" w:rsidRDefault="00011C24" w:rsidP="007A2928">
      <w:pPr>
        <w:pStyle w:val="ListParagraph"/>
        <w:ind w:left="-360" w:right="-324"/>
        <w:rPr>
          <w:szCs w:val="24"/>
        </w:rPr>
      </w:pPr>
    </w:p>
    <w:p w14:paraId="7B6FEB83" w14:textId="0C8E1AF5" w:rsidR="00011C24" w:rsidRDefault="00011C24" w:rsidP="00F95B80">
      <w:pPr>
        <w:pStyle w:val="ListParagraph"/>
        <w:ind w:left="-360" w:right="-324" w:firstLine="1080"/>
        <w:rPr>
          <w:szCs w:val="24"/>
        </w:rPr>
      </w:pPr>
      <w:r>
        <w:rPr>
          <w:szCs w:val="24"/>
        </w:rPr>
        <w:t>And add as the first sentence of the comment</w:t>
      </w:r>
      <w:r w:rsidR="00A8616C">
        <w:rPr>
          <w:szCs w:val="24"/>
        </w:rPr>
        <w:t xml:space="preserve"> to Rule 7(g)</w:t>
      </w:r>
      <w:r>
        <w:rPr>
          <w:szCs w:val="24"/>
        </w:rPr>
        <w:t>:</w:t>
      </w:r>
    </w:p>
    <w:p w14:paraId="45A93927" w14:textId="77777777" w:rsidR="00011C24" w:rsidRDefault="00011C24" w:rsidP="007A2928">
      <w:pPr>
        <w:pStyle w:val="ListParagraph"/>
        <w:ind w:left="-360" w:right="-324"/>
        <w:rPr>
          <w:szCs w:val="24"/>
        </w:rPr>
      </w:pPr>
    </w:p>
    <w:p w14:paraId="0E06111D" w14:textId="77777777" w:rsidR="00011C24" w:rsidRDefault="00011C24" w:rsidP="007616D0">
      <w:pPr>
        <w:ind w:left="1080" w:right="1296"/>
        <w:jc w:val="both"/>
        <w:rPr>
          <w:szCs w:val="24"/>
        </w:rPr>
      </w:pPr>
      <w:r>
        <w:rPr>
          <w:szCs w:val="24"/>
        </w:rPr>
        <w:t>Discovery in special action proceedings may be necessary in particular circumstances, though it will certainly not be routinely required, and will never be used in an appellate court since no trials will occur there.</w:t>
      </w:r>
    </w:p>
    <w:p w14:paraId="611F3369" w14:textId="77777777" w:rsidR="00011C24" w:rsidRPr="00011C24" w:rsidRDefault="00011C24" w:rsidP="007A2928">
      <w:pPr>
        <w:pStyle w:val="ListParagraph"/>
        <w:ind w:left="-360" w:right="-324"/>
        <w:rPr>
          <w:szCs w:val="24"/>
        </w:rPr>
      </w:pPr>
    </w:p>
    <w:p w14:paraId="670497BF" w14:textId="075550B9" w:rsidR="00011C24" w:rsidRDefault="00011C24" w:rsidP="001A1120">
      <w:pPr>
        <w:pStyle w:val="ListParagraph"/>
        <w:numPr>
          <w:ilvl w:val="0"/>
          <w:numId w:val="7"/>
        </w:numPr>
        <w:ind w:right="-324"/>
        <w:rPr>
          <w:szCs w:val="24"/>
        </w:rPr>
      </w:pPr>
      <w:r>
        <w:rPr>
          <w:szCs w:val="24"/>
        </w:rPr>
        <w:t>Insert the following at or near the beginning of Part II, either as a separate rule or as a new subsection to rules 6 or 7:</w:t>
      </w:r>
    </w:p>
    <w:p w14:paraId="4B80318B" w14:textId="77777777" w:rsidR="00011C24" w:rsidRDefault="00011C24" w:rsidP="007A2928">
      <w:pPr>
        <w:pStyle w:val="ListParagraph"/>
        <w:ind w:left="-360" w:right="-324"/>
        <w:rPr>
          <w:szCs w:val="24"/>
        </w:rPr>
      </w:pPr>
    </w:p>
    <w:p w14:paraId="706B9A7D" w14:textId="32BCC8E6" w:rsidR="003C631A" w:rsidRDefault="00011C24" w:rsidP="007616D0">
      <w:pPr>
        <w:ind w:left="1080" w:right="1296"/>
        <w:jc w:val="both"/>
        <w:rPr>
          <w:szCs w:val="24"/>
        </w:rPr>
      </w:pPr>
      <w:r w:rsidRPr="00011C24">
        <w:rPr>
          <w:szCs w:val="24"/>
        </w:rPr>
        <w:t>To the extent they are consistent with these Rules, the Rules of Civil Procedure apply to original special actions in the Superior Court.</w:t>
      </w:r>
    </w:p>
    <w:p w14:paraId="43599749" w14:textId="77777777" w:rsidR="003C631A" w:rsidRDefault="003C631A" w:rsidP="007A2928">
      <w:pPr>
        <w:ind w:left="-360" w:right="-324"/>
        <w:rPr>
          <w:szCs w:val="24"/>
        </w:rPr>
      </w:pPr>
    </w:p>
    <w:p w14:paraId="6870BAAC" w14:textId="53734B77" w:rsidR="001F4260" w:rsidRDefault="001F4260" w:rsidP="007A2928">
      <w:pPr>
        <w:ind w:left="-360" w:right="-324" w:firstLine="720"/>
        <w:rPr>
          <w:szCs w:val="24"/>
        </w:rPr>
      </w:pPr>
      <w:r>
        <w:rPr>
          <w:szCs w:val="24"/>
        </w:rPr>
        <w:t xml:space="preserve">Additionally, any further proposal to </w:t>
      </w:r>
      <w:r w:rsidR="001073F9">
        <w:rPr>
          <w:szCs w:val="24"/>
        </w:rPr>
        <w:t xml:space="preserve">amend proposed Rule 5(c) to </w:t>
      </w:r>
      <w:r>
        <w:rPr>
          <w:szCs w:val="24"/>
        </w:rPr>
        <w:t>curtail amicus involvement in special actions in Superior Court should be rejected.</w:t>
      </w:r>
    </w:p>
    <w:p w14:paraId="3810B9A6" w14:textId="77777777" w:rsidR="001F4260" w:rsidRDefault="001F4260" w:rsidP="007A2928">
      <w:pPr>
        <w:ind w:left="-360" w:right="-324" w:firstLine="720"/>
        <w:rPr>
          <w:szCs w:val="24"/>
        </w:rPr>
      </w:pPr>
    </w:p>
    <w:p w14:paraId="42E9746F" w14:textId="384FCCCE" w:rsidR="00037A0C" w:rsidRDefault="00FA1453" w:rsidP="007A2928">
      <w:pPr>
        <w:ind w:left="-360" w:right="-324" w:firstLine="720"/>
        <w:rPr>
          <w:szCs w:val="24"/>
        </w:rPr>
      </w:pPr>
      <w:r>
        <w:rPr>
          <w:szCs w:val="24"/>
        </w:rPr>
        <w:t xml:space="preserve">Thank you </w:t>
      </w:r>
      <w:r w:rsidR="0050649E">
        <w:rPr>
          <w:szCs w:val="24"/>
        </w:rPr>
        <w:t xml:space="preserve">again </w:t>
      </w:r>
      <w:r>
        <w:rPr>
          <w:szCs w:val="24"/>
        </w:rPr>
        <w:t xml:space="preserve">for your consideration of these issues. </w:t>
      </w:r>
      <w:r w:rsidR="00011C24">
        <w:rPr>
          <w:szCs w:val="24"/>
        </w:rPr>
        <w:t>We look forward to the new and improved RPSA.</w:t>
      </w:r>
    </w:p>
    <w:p w14:paraId="1C24A568" w14:textId="77777777" w:rsidR="00E141F9" w:rsidRDefault="00E141F9" w:rsidP="007A2928">
      <w:pPr>
        <w:ind w:left="-360" w:right="-324"/>
      </w:pPr>
    </w:p>
    <w:p w14:paraId="694ABB77" w14:textId="7B9AC04B" w:rsidR="00087C5D" w:rsidRDefault="00087C5D" w:rsidP="007A2928">
      <w:pPr>
        <w:ind w:left="3780" w:right="-324"/>
      </w:pPr>
      <w:r>
        <w:t>Sincerely,</w:t>
      </w:r>
    </w:p>
    <w:p w14:paraId="6642713C" w14:textId="77777777" w:rsidR="003B1514" w:rsidRDefault="003B1514" w:rsidP="007A2928">
      <w:pPr>
        <w:ind w:left="-360" w:right="-324"/>
      </w:pPr>
    </w:p>
    <w:p w14:paraId="33637B7A" w14:textId="3F02718F" w:rsidR="00087C5D" w:rsidRDefault="003B1514" w:rsidP="007A2928">
      <w:pPr>
        <w:ind w:left="-360" w:right="-324"/>
      </w:pPr>
      <w:r>
        <w:rPr>
          <w:noProof/>
        </w:rPr>
        <w:drawing>
          <wp:anchor distT="0" distB="0" distL="114300" distR="114300" simplePos="0" relativeHeight="251659264" behindDoc="1" locked="0" layoutInCell="1" allowOverlap="1" wp14:anchorId="7A62FBC0" wp14:editId="2313064A">
            <wp:simplePos x="0" y="0"/>
            <wp:positionH relativeFrom="column">
              <wp:posOffset>2390775</wp:posOffset>
            </wp:positionH>
            <wp:positionV relativeFrom="paragraph">
              <wp:posOffset>13335</wp:posOffset>
            </wp:positionV>
            <wp:extent cx="1440180" cy="463550"/>
            <wp:effectExtent l="0" t="0" r="7620" b="0"/>
            <wp:wrapTight wrapText="bothSides">
              <wp:wrapPolygon edited="0">
                <wp:start x="0" y="0"/>
                <wp:lineTo x="0" y="20416"/>
                <wp:lineTo x="21429" y="20416"/>
                <wp:lineTo x="21429" y="0"/>
                <wp:lineTo x="0" y="0"/>
              </wp:wrapPolygon>
            </wp:wrapTight>
            <wp:docPr id="1" name="Picture 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rrow&#10;&#10;Description automatically generated with medium confidence"/>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2885" t="6596" r="6570" b="7663"/>
                    <a:stretch/>
                  </pic:blipFill>
                  <pic:spPr bwMode="auto">
                    <a:xfrm>
                      <a:off x="0" y="0"/>
                      <a:ext cx="1440180" cy="463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13127E9" w14:textId="45BEC1D7" w:rsidR="00087C5D" w:rsidRDefault="00087C5D" w:rsidP="007A2928">
      <w:pPr>
        <w:ind w:left="-360" w:right="-324"/>
      </w:pPr>
    </w:p>
    <w:p w14:paraId="4FA4497F" w14:textId="1E8DBFC4" w:rsidR="00FA1453" w:rsidRDefault="00FA1453" w:rsidP="007A2928">
      <w:pPr>
        <w:ind w:left="-360" w:right="-324"/>
        <w:sectPr w:rsidR="00FA1453" w:rsidSect="00012A5E">
          <w:headerReference w:type="default" r:id="rId10"/>
          <w:footerReference w:type="default" r:id="rId11"/>
          <w:headerReference w:type="first" r:id="rId12"/>
          <w:footerReference w:type="first" r:id="rId13"/>
          <w:pgSz w:w="12240" w:h="15840" w:code="1"/>
          <w:pgMar w:top="1300" w:right="1440" w:bottom="1440" w:left="1944" w:header="576" w:footer="130" w:gutter="0"/>
          <w:cols w:space="720"/>
          <w:titlePg/>
          <w:docGrid w:linePitch="360"/>
        </w:sectPr>
      </w:pPr>
    </w:p>
    <w:p w14:paraId="6B84DB3C" w14:textId="5B204B7D" w:rsidR="006D2E0E" w:rsidRDefault="00E141F9" w:rsidP="007A2928">
      <w:pPr>
        <w:ind w:left="-360" w:right="-324" w:firstLine="4140"/>
      </w:pPr>
      <w:r>
        <w:t>Parker Jackson</w:t>
      </w:r>
      <w:r w:rsidR="00B60F3C">
        <w:t xml:space="preserve"> (Bar No. 037844)</w:t>
      </w:r>
    </w:p>
    <w:p w14:paraId="5751FB49" w14:textId="5C25A098" w:rsidR="00087C5D" w:rsidRDefault="00E141F9" w:rsidP="007A2928">
      <w:pPr>
        <w:ind w:left="-360" w:right="-324" w:firstLine="4140"/>
      </w:pPr>
      <w:r>
        <w:t>Staff Attorney</w:t>
      </w:r>
    </w:p>
    <w:p w14:paraId="16E714F4" w14:textId="632FE985" w:rsidR="00087C5D" w:rsidRDefault="00087C5D" w:rsidP="007A2928">
      <w:pPr>
        <w:ind w:left="-360" w:right="-324" w:firstLine="4140"/>
      </w:pPr>
      <w:r>
        <w:t xml:space="preserve">Scharf-Norton Center for </w:t>
      </w:r>
    </w:p>
    <w:p w14:paraId="62F87940" w14:textId="705BFCA8" w:rsidR="00087C5D" w:rsidRDefault="00087C5D" w:rsidP="007A2928">
      <w:pPr>
        <w:ind w:left="-360" w:right="-324" w:firstLine="4140"/>
      </w:pPr>
      <w:r>
        <w:t xml:space="preserve">Constitutional Litigation at the </w:t>
      </w:r>
    </w:p>
    <w:p w14:paraId="71533EE3" w14:textId="117C808B" w:rsidR="00087C5D" w:rsidRDefault="00087C5D" w:rsidP="007A2928">
      <w:pPr>
        <w:ind w:left="-360" w:right="-324" w:firstLine="4140"/>
      </w:pPr>
      <w:r>
        <w:t>Goldwater Institute</w:t>
      </w:r>
    </w:p>
    <w:p w14:paraId="7F9DDEF3" w14:textId="38BAE582" w:rsidR="00B60F3C" w:rsidRDefault="00B60F3C" w:rsidP="007A2928">
      <w:pPr>
        <w:ind w:left="-360" w:right="-324" w:firstLine="4140"/>
      </w:pPr>
      <w:r>
        <w:t>Email: pjackson@goldwaterinstitute.org</w:t>
      </w:r>
    </w:p>
    <w:sectPr w:rsidR="00B60F3C" w:rsidSect="00FA1453">
      <w:type w:val="continuous"/>
      <w:pgSz w:w="12240" w:h="15840" w:code="1"/>
      <w:pgMar w:top="1300" w:right="1440" w:bottom="1440" w:left="1944" w:header="576" w:footer="1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36A86D" w14:textId="77777777" w:rsidR="0031279C" w:rsidRDefault="0031279C" w:rsidP="00EB3336">
      <w:r>
        <w:separator/>
      </w:r>
    </w:p>
  </w:endnote>
  <w:endnote w:type="continuationSeparator" w:id="0">
    <w:p w14:paraId="1C218D24" w14:textId="77777777" w:rsidR="0031279C" w:rsidRDefault="0031279C" w:rsidP="00EB3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yala">
    <w:charset w:val="00"/>
    <w:family w:val="auto"/>
    <w:pitch w:val="variable"/>
    <w:sig w:usb0="A000006F" w:usb1="00000000" w:usb2="000008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79169" w14:textId="77777777" w:rsidR="00F66496" w:rsidRDefault="00F66496" w:rsidP="00F95B80">
    <w:pPr>
      <w:spacing w:before="20" w:line="204" w:lineRule="exact"/>
      <w:ind w:left="-360" w:right="-324"/>
      <w:jc w:val="center"/>
      <w:rPr>
        <w:rFonts w:ascii="Georgia" w:eastAsia="Nyala" w:hAnsi="Georgia" w:cs="Nyala"/>
        <w:color w:val="001F5F"/>
        <w:sz w:val="20"/>
      </w:rPr>
    </w:pPr>
    <w:r>
      <w:rPr>
        <w:rFonts w:ascii="Georgia" w:eastAsia="Nyala" w:hAnsi="Georgia" w:cs="Nyala"/>
        <w:noProof/>
        <w:color w:val="001F5F"/>
        <w:sz w:val="20"/>
      </w:rPr>
      <mc:AlternateContent>
        <mc:Choice Requires="wps">
          <w:drawing>
            <wp:anchor distT="0" distB="0" distL="114300" distR="114300" simplePos="0" relativeHeight="251661312" behindDoc="0" locked="0" layoutInCell="1" allowOverlap="1" wp14:anchorId="1A1076E0" wp14:editId="04AD3F7A">
              <wp:simplePos x="0" y="0"/>
              <wp:positionH relativeFrom="column">
                <wp:posOffset>-33337</wp:posOffset>
              </wp:positionH>
              <wp:positionV relativeFrom="paragraph">
                <wp:posOffset>36195</wp:posOffset>
              </wp:positionV>
              <wp:extent cx="60769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076950" cy="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77CFA8"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pt,2.85pt" to="475.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" strokecolor="#5b9bd5 [3204]" strokeweight=".5pt">
              <v:stroke joinstyle="miter"/>
            </v:line>
          </w:pict>
        </mc:Fallback>
      </mc:AlternateContent>
    </w:r>
  </w:p>
  <w:p w14:paraId="21C26A8C" w14:textId="77777777" w:rsidR="00F66496" w:rsidRPr="00904FD1" w:rsidRDefault="00F66496" w:rsidP="00F66496">
    <w:pPr>
      <w:spacing w:before="20" w:line="204" w:lineRule="exact"/>
      <w:ind w:right="7"/>
      <w:jc w:val="center"/>
      <w:rPr>
        <w:rFonts w:ascii="Georgia" w:eastAsia="Nyala" w:hAnsi="Georgia" w:cs="Nyala"/>
        <w:sz w:val="20"/>
      </w:rPr>
    </w:pPr>
    <w:r w:rsidRPr="00904FD1">
      <w:rPr>
        <w:rFonts w:ascii="Georgia" w:eastAsia="Nyala" w:hAnsi="Georgia" w:cs="Nyala"/>
        <w:color w:val="001F5F"/>
        <w:sz w:val="20"/>
      </w:rPr>
      <w:t>Goldwat</w:t>
    </w:r>
    <w:r w:rsidRPr="00904FD1">
      <w:rPr>
        <w:rFonts w:ascii="Georgia" w:eastAsia="Nyala" w:hAnsi="Georgia" w:cs="Nyala"/>
        <w:color w:val="001F5F"/>
        <w:spacing w:val="-1"/>
        <w:sz w:val="20"/>
      </w:rPr>
      <w:t>e</w:t>
    </w:r>
    <w:r w:rsidRPr="00904FD1">
      <w:rPr>
        <w:rFonts w:ascii="Georgia" w:eastAsia="Nyala" w:hAnsi="Georgia" w:cs="Nyala"/>
        <w:color w:val="001F5F"/>
        <w:sz w:val="20"/>
      </w:rPr>
      <w:t>r</w:t>
    </w:r>
    <w:r w:rsidRPr="00904FD1">
      <w:rPr>
        <w:rFonts w:ascii="Georgia" w:eastAsia="Nyala" w:hAnsi="Georgia" w:cs="Nyala"/>
        <w:color w:val="001F5F"/>
        <w:spacing w:val="-7"/>
        <w:sz w:val="20"/>
      </w:rPr>
      <w:t xml:space="preserve"> </w:t>
    </w:r>
    <w:r w:rsidRPr="00904FD1">
      <w:rPr>
        <w:rFonts w:ascii="Georgia" w:eastAsia="Nyala" w:hAnsi="Georgia" w:cs="Nyala"/>
        <w:color w:val="001F5F"/>
        <w:spacing w:val="1"/>
        <w:sz w:val="20"/>
      </w:rPr>
      <w:t>I</w:t>
    </w:r>
    <w:r w:rsidRPr="00904FD1">
      <w:rPr>
        <w:rFonts w:ascii="Georgia" w:eastAsia="Nyala" w:hAnsi="Georgia" w:cs="Nyala"/>
        <w:color w:val="001F5F"/>
        <w:sz w:val="20"/>
      </w:rPr>
      <w:t>nst</w:t>
    </w:r>
    <w:r w:rsidRPr="00904FD1">
      <w:rPr>
        <w:rFonts w:ascii="Georgia" w:eastAsia="Nyala" w:hAnsi="Georgia" w:cs="Nyala"/>
        <w:color w:val="001F5F"/>
        <w:spacing w:val="1"/>
        <w:sz w:val="20"/>
      </w:rPr>
      <w:t>i</w:t>
    </w:r>
    <w:r w:rsidRPr="00904FD1">
      <w:rPr>
        <w:rFonts w:ascii="Georgia" w:eastAsia="Nyala" w:hAnsi="Georgia" w:cs="Nyala"/>
        <w:color w:val="001F5F"/>
        <w:sz w:val="20"/>
      </w:rPr>
      <w:t>tute</w:t>
    </w:r>
    <w:r w:rsidRPr="00904FD1">
      <w:rPr>
        <w:rFonts w:ascii="Georgia" w:eastAsia="Nyala" w:hAnsi="Georgia" w:cs="Nyala"/>
        <w:color w:val="001F5F"/>
        <w:spacing w:val="-7"/>
        <w:sz w:val="20"/>
      </w:rPr>
      <w:t xml:space="preserve"> </w:t>
    </w:r>
    <w:r w:rsidRPr="00904FD1">
      <w:rPr>
        <w:rFonts w:ascii="Georgia" w:eastAsia="Nyala" w:hAnsi="Georgia" w:cs="Nyala"/>
        <w:color w:val="001F5F"/>
        <w:sz w:val="20"/>
      </w:rPr>
      <w:t>|</w:t>
    </w:r>
    <w:r w:rsidRPr="00904FD1">
      <w:rPr>
        <w:rFonts w:ascii="Georgia" w:eastAsia="Nyala" w:hAnsi="Georgia" w:cs="Nyala"/>
        <w:color w:val="001F5F"/>
        <w:spacing w:val="-6"/>
        <w:sz w:val="20"/>
      </w:rPr>
      <w:t xml:space="preserve"> </w:t>
    </w:r>
    <w:r w:rsidRPr="00904FD1">
      <w:rPr>
        <w:rFonts w:ascii="Georgia" w:eastAsia="Nyala" w:hAnsi="Georgia" w:cs="Nyala"/>
        <w:color w:val="001F5F"/>
        <w:sz w:val="20"/>
      </w:rPr>
      <w:t>500</w:t>
    </w:r>
    <w:r w:rsidRPr="00904FD1">
      <w:rPr>
        <w:rFonts w:ascii="Georgia" w:eastAsia="Nyala" w:hAnsi="Georgia" w:cs="Nyala"/>
        <w:color w:val="001F5F"/>
        <w:spacing w:val="-6"/>
        <w:sz w:val="20"/>
      </w:rPr>
      <w:t xml:space="preserve"> </w:t>
    </w:r>
    <w:r w:rsidRPr="00904FD1">
      <w:rPr>
        <w:rFonts w:ascii="Georgia" w:eastAsia="Nyala" w:hAnsi="Georgia" w:cs="Nyala"/>
        <w:color w:val="001F5F"/>
        <w:spacing w:val="1"/>
        <w:sz w:val="20"/>
      </w:rPr>
      <w:t>E</w:t>
    </w:r>
    <w:r w:rsidRPr="00904FD1">
      <w:rPr>
        <w:rFonts w:ascii="Georgia" w:eastAsia="Nyala" w:hAnsi="Georgia" w:cs="Nyala"/>
        <w:color w:val="001F5F"/>
        <w:sz w:val="20"/>
      </w:rPr>
      <w:t>a</w:t>
    </w:r>
    <w:r w:rsidRPr="00904FD1">
      <w:rPr>
        <w:rFonts w:ascii="Georgia" w:eastAsia="Nyala" w:hAnsi="Georgia" w:cs="Nyala"/>
        <w:color w:val="001F5F"/>
        <w:spacing w:val="1"/>
        <w:sz w:val="20"/>
      </w:rPr>
      <w:t>s</w:t>
    </w:r>
    <w:r w:rsidRPr="00904FD1">
      <w:rPr>
        <w:rFonts w:ascii="Georgia" w:eastAsia="Nyala" w:hAnsi="Georgia" w:cs="Nyala"/>
        <w:color w:val="001F5F"/>
        <w:sz w:val="20"/>
      </w:rPr>
      <w:t>t</w:t>
    </w:r>
    <w:r w:rsidRPr="00904FD1">
      <w:rPr>
        <w:rFonts w:ascii="Georgia" w:eastAsia="Nyala" w:hAnsi="Georgia" w:cs="Nyala"/>
        <w:color w:val="001F5F"/>
        <w:spacing w:val="-6"/>
        <w:sz w:val="20"/>
      </w:rPr>
      <w:t xml:space="preserve"> </w:t>
    </w:r>
    <w:r w:rsidRPr="00904FD1">
      <w:rPr>
        <w:rFonts w:ascii="Georgia" w:eastAsia="Nyala" w:hAnsi="Georgia" w:cs="Nyala"/>
        <w:color w:val="001F5F"/>
        <w:spacing w:val="2"/>
        <w:sz w:val="20"/>
      </w:rPr>
      <w:t>C</w:t>
    </w:r>
    <w:r w:rsidRPr="00904FD1">
      <w:rPr>
        <w:rFonts w:ascii="Georgia" w:eastAsia="Nyala" w:hAnsi="Georgia" w:cs="Nyala"/>
        <w:color w:val="001F5F"/>
        <w:sz w:val="20"/>
      </w:rPr>
      <w:t>o</w:t>
    </w:r>
    <w:r w:rsidRPr="00904FD1">
      <w:rPr>
        <w:rFonts w:ascii="Georgia" w:eastAsia="Nyala" w:hAnsi="Georgia" w:cs="Nyala"/>
        <w:color w:val="001F5F"/>
        <w:spacing w:val="1"/>
        <w:sz w:val="20"/>
      </w:rPr>
      <w:t>r</w:t>
    </w:r>
    <w:r w:rsidRPr="00904FD1">
      <w:rPr>
        <w:rFonts w:ascii="Georgia" w:eastAsia="Nyala" w:hAnsi="Georgia" w:cs="Nyala"/>
        <w:color w:val="001F5F"/>
        <w:sz w:val="20"/>
      </w:rPr>
      <w:t>onado</w:t>
    </w:r>
    <w:r w:rsidRPr="00904FD1">
      <w:rPr>
        <w:rFonts w:ascii="Georgia" w:eastAsia="Nyala" w:hAnsi="Georgia" w:cs="Nyala"/>
        <w:color w:val="001F5F"/>
        <w:spacing w:val="-6"/>
        <w:sz w:val="20"/>
      </w:rPr>
      <w:t xml:space="preserve"> </w:t>
    </w:r>
    <w:r w:rsidRPr="00904FD1">
      <w:rPr>
        <w:rFonts w:ascii="Georgia" w:eastAsia="Nyala" w:hAnsi="Georgia" w:cs="Nyala"/>
        <w:color w:val="001F5F"/>
        <w:sz w:val="20"/>
      </w:rPr>
      <w:t>Road,</w:t>
    </w:r>
    <w:r w:rsidRPr="00904FD1">
      <w:rPr>
        <w:rFonts w:ascii="Georgia" w:eastAsia="Nyala" w:hAnsi="Georgia" w:cs="Nyala"/>
        <w:color w:val="001F5F"/>
        <w:spacing w:val="-7"/>
        <w:sz w:val="20"/>
      </w:rPr>
      <w:t xml:space="preserve"> </w:t>
    </w:r>
    <w:r w:rsidRPr="00904FD1">
      <w:rPr>
        <w:rFonts w:ascii="Georgia" w:eastAsia="Nyala" w:hAnsi="Georgia" w:cs="Nyala"/>
        <w:color w:val="001F5F"/>
        <w:sz w:val="20"/>
      </w:rPr>
      <w:t>Ph</w:t>
    </w:r>
    <w:r w:rsidRPr="00904FD1">
      <w:rPr>
        <w:rFonts w:ascii="Georgia" w:eastAsia="Nyala" w:hAnsi="Georgia" w:cs="Nyala"/>
        <w:color w:val="001F5F"/>
        <w:spacing w:val="2"/>
        <w:sz w:val="20"/>
      </w:rPr>
      <w:t>o</w:t>
    </w:r>
    <w:r w:rsidRPr="00904FD1">
      <w:rPr>
        <w:rFonts w:ascii="Georgia" w:eastAsia="Nyala" w:hAnsi="Georgia" w:cs="Nyala"/>
        <w:color w:val="001F5F"/>
        <w:spacing w:val="-1"/>
        <w:sz w:val="20"/>
      </w:rPr>
      <w:t>e</w:t>
    </w:r>
    <w:r w:rsidRPr="00904FD1">
      <w:rPr>
        <w:rFonts w:ascii="Georgia" w:eastAsia="Nyala" w:hAnsi="Georgia" w:cs="Nyala"/>
        <w:color w:val="001F5F"/>
        <w:sz w:val="20"/>
      </w:rPr>
      <w:t>nix,</w:t>
    </w:r>
    <w:r w:rsidRPr="00904FD1">
      <w:rPr>
        <w:rFonts w:ascii="Georgia" w:eastAsia="Nyala" w:hAnsi="Georgia" w:cs="Nyala"/>
        <w:color w:val="001F5F"/>
        <w:spacing w:val="-8"/>
        <w:sz w:val="20"/>
      </w:rPr>
      <w:t xml:space="preserve"> </w:t>
    </w:r>
    <w:r w:rsidRPr="00904FD1">
      <w:rPr>
        <w:rFonts w:ascii="Georgia" w:eastAsia="Nyala" w:hAnsi="Georgia" w:cs="Nyala"/>
        <w:color w:val="001F5F"/>
        <w:sz w:val="20"/>
      </w:rPr>
      <w:t>Ar</w:t>
    </w:r>
    <w:r w:rsidRPr="00904FD1">
      <w:rPr>
        <w:rFonts w:ascii="Georgia" w:eastAsia="Nyala" w:hAnsi="Georgia" w:cs="Nyala"/>
        <w:color w:val="001F5F"/>
        <w:spacing w:val="1"/>
        <w:sz w:val="20"/>
      </w:rPr>
      <w:t>i</w:t>
    </w:r>
    <w:r w:rsidRPr="00904FD1">
      <w:rPr>
        <w:rFonts w:ascii="Georgia" w:eastAsia="Nyala" w:hAnsi="Georgia" w:cs="Nyala"/>
        <w:color w:val="001F5F"/>
        <w:sz w:val="20"/>
      </w:rPr>
      <w:t>zona</w:t>
    </w:r>
    <w:r w:rsidRPr="00904FD1">
      <w:rPr>
        <w:rFonts w:ascii="Georgia" w:eastAsia="Nyala" w:hAnsi="Georgia" w:cs="Nyala"/>
        <w:color w:val="001F5F"/>
        <w:spacing w:val="-4"/>
        <w:sz w:val="20"/>
      </w:rPr>
      <w:t xml:space="preserve"> </w:t>
    </w:r>
    <w:r w:rsidRPr="00904FD1">
      <w:rPr>
        <w:rFonts w:ascii="Georgia" w:eastAsia="Nyala" w:hAnsi="Georgia" w:cs="Nyala"/>
        <w:color w:val="001F5F"/>
        <w:sz w:val="20"/>
      </w:rPr>
      <w:t>8</w:t>
    </w:r>
    <w:r w:rsidRPr="00904FD1">
      <w:rPr>
        <w:rFonts w:ascii="Georgia" w:eastAsia="Nyala" w:hAnsi="Georgia" w:cs="Nyala"/>
        <w:color w:val="001F5F"/>
        <w:spacing w:val="1"/>
        <w:sz w:val="20"/>
      </w:rPr>
      <w:t>5</w:t>
    </w:r>
    <w:r w:rsidRPr="00904FD1">
      <w:rPr>
        <w:rFonts w:ascii="Georgia" w:eastAsia="Nyala" w:hAnsi="Georgia" w:cs="Nyala"/>
        <w:color w:val="001F5F"/>
        <w:sz w:val="20"/>
      </w:rPr>
      <w:t>0</w:t>
    </w:r>
    <w:r w:rsidRPr="00904FD1">
      <w:rPr>
        <w:rFonts w:ascii="Georgia" w:eastAsia="Nyala" w:hAnsi="Georgia" w:cs="Nyala"/>
        <w:color w:val="001F5F"/>
        <w:spacing w:val="-1"/>
        <w:sz w:val="20"/>
      </w:rPr>
      <w:t>0</w:t>
    </w:r>
    <w:r w:rsidRPr="00904FD1">
      <w:rPr>
        <w:rFonts w:ascii="Georgia" w:eastAsia="Nyala" w:hAnsi="Georgia" w:cs="Nyala"/>
        <w:color w:val="001F5F"/>
        <w:sz w:val="20"/>
      </w:rPr>
      <w:t>4</w:t>
    </w:r>
  </w:p>
  <w:p w14:paraId="3A7E4B03" w14:textId="0568E578" w:rsidR="00F66496" w:rsidRDefault="00F66496" w:rsidP="00F66496">
    <w:pPr>
      <w:pStyle w:val="Footer"/>
      <w:jc w:val="center"/>
      <w:rPr>
        <w:rFonts w:ascii="Georgia" w:eastAsia="Nyala" w:hAnsi="Georgia" w:cs="Nyala"/>
        <w:color w:val="001F5F"/>
        <w:spacing w:val="-13"/>
        <w:sz w:val="20"/>
      </w:rPr>
    </w:pPr>
    <w:r w:rsidRPr="00904FD1">
      <w:rPr>
        <w:rFonts w:ascii="Georgia" w:eastAsia="Nyala" w:hAnsi="Georgia" w:cs="Nyala"/>
        <w:color w:val="001F5F"/>
        <w:sz w:val="21"/>
        <w:szCs w:val="21"/>
      </w:rPr>
      <w:t>Phone</w:t>
    </w:r>
    <w:r w:rsidRPr="00904FD1">
      <w:rPr>
        <w:rFonts w:ascii="Georgia" w:eastAsia="Nyala" w:hAnsi="Georgia" w:cs="Nyala"/>
        <w:color w:val="001F5F"/>
        <w:spacing w:val="-17"/>
        <w:sz w:val="21"/>
        <w:szCs w:val="21"/>
      </w:rPr>
      <w:t xml:space="preserve"> </w:t>
    </w:r>
    <w:r w:rsidRPr="00904FD1">
      <w:rPr>
        <w:rFonts w:ascii="Georgia" w:eastAsia="Nyala" w:hAnsi="Georgia" w:cs="Nyala"/>
        <w:color w:val="001F5F"/>
        <w:spacing w:val="2"/>
        <w:sz w:val="20"/>
      </w:rPr>
      <w:t>(</w:t>
    </w:r>
    <w:r w:rsidRPr="00904FD1">
      <w:rPr>
        <w:rFonts w:ascii="Georgia" w:eastAsia="Nyala" w:hAnsi="Georgia" w:cs="Nyala"/>
        <w:color w:val="001F5F"/>
        <w:sz w:val="20"/>
      </w:rPr>
      <w:t>602)</w:t>
    </w:r>
    <w:r w:rsidRPr="00904FD1">
      <w:rPr>
        <w:rFonts w:ascii="Georgia" w:eastAsia="Nyala" w:hAnsi="Georgia" w:cs="Nyala"/>
        <w:color w:val="001F5F"/>
        <w:spacing w:val="-14"/>
        <w:sz w:val="20"/>
      </w:rPr>
      <w:t xml:space="preserve"> </w:t>
    </w:r>
    <w:r w:rsidRPr="00904FD1">
      <w:rPr>
        <w:rFonts w:ascii="Georgia" w:eastAsia="Nyala" w:hAnsi="Georgia" w:cs="Nyala"/>
        <w:color w:val="001F5F"/>
        <w:spacing w:val="1"/>
        <w:sz w:val="20"/>
      </w:rPr>
      <w:t>4</w:t>
    </w:r>
    <w:r w:rsidRPr="00904FD1">
      <w:rPr>
        <w:rFonts w:ascii="Georgia" w:eastAsia="Nyala" w:hAnsi="Georgia" w:cs="Nyala"/>
        <w:color w:val="001F5F"/>
        <w:sz w:val="20"/>
      </w:rPr>
      <w:t>6</w:t>
    </w:r>
    <w:r w:rsidRPr="00904FD1">
      <w:rPr>
        <w:rFonts w:ascii="Georgia" w:eastAsia="Nyala" w:hAnsi="Georgia" w:cs="Nyala"/>
        <w:color w:val="001F5F"/>
        <w:spacing w:val="1"/>
        <w:sz w:val="20"/>
      </w:rPr>
      <w:t>2-</w:t>
    </w:r>
    <w:r w:rsidRPr="00904FD1">
      <w:rPr>
        <w:rFonts w:ascii="Georgia" w:eastAsia="Nyala" w:hAnsi="Georgia" w:cs="Nyala"/>
        <w:color w:val="001F5F"/>
        <w:sz w:val="20"/>
      </w:rPr>
      <w:t>50</w:t>
    </w:r>
    <w:r w:rsidRPr="00904FD1">
      <w:rPr>
        <w:rFonts w:ascii="Georgia" w:eastAsia="Nyala" w:hAnsi="Georgia" w:cs="Nyala"/>
        <w:color w:val="001F5F"/>
        <w:spacing w:val="-1"/>
        <w:sz w:val="20"/>
      </w:rPr>
      <w:t>0</w:t>
    </w:r>
    <w:r w:rsidRPr="00904FD1">
      <w:rPr>
        <w:rFonts w:ascii="Georgia" w:eastAsia="Nyala" w:hAnsi="Georgia" w:cs="Nyala"/>
        <w:color w:val="001F5F"/>
        <w:sz w:val="20"/>
      </w:rPr>
      <w:t>0</w:t>
    </w:r>
    <w:r w:rsidRPr="00904FD1">
      <w:rPr>
        <w:rFonts w:ascii="Georgia" w:eastAsia="Nyala" w:hAnsi="Georgia" w:cs="Nyala"/>
        <w:color w:val="001F5F"/>
        <w:spacing w:val="-14"/>
        <w:sz w:val="20"/>
      </w:rPr>
      <w:t xml:space="preserve"> </w:t>
    </w:r>
    <w:r w:rsidRPr="00904FD1">
      <w:rPr>
        <w:rFonts w:ascii="Georgia" w:eastAsia="Nyala" w:hAnsi="Georgia" w:cs="Nyala"/>
        <w:color w:val="001F5F"/>
        <w:sz w:val="20"/>
      </w:rPr>
      <w:t>|</w:t>
    </w:r>
    <w:r w:rsidRPr="00904FD1">
      <w:rPr>
        <w:rFonts w:ascii="Georgia" w:eastAsia="Nyala" w:hAnsi="Georgia" w:cs="Nyala"/>
        <w:color w:val="001F5F"/>
        <w:spacing w:val="-12"/>
        <w:sz w:val="20"/>
      </w:rPr>
      <w:t xml:space="preserve"> </w:t>
    </w:r>
    <w:r w:rsidRPr="00904FD1">
      <w:rPr>
        <w:rFonts w:ascii="Georgia" w:eastAsia="Nyala" w:hAnsi="Georgia" w:cs="Nyala"/>
        <w:color w:val="001F5F"/>
        <w:sz w:val="21"/>
        <w:szCs w:val="21"/>
      </w:rPr>
      <w:t>Fax</w:t>
    </w:r>
    <w:r w:rsidRPr="00904FD1">
      <w:rPr>
        <w:rFonts w:ascii="Georgia" w:eastAsia="Nyala" w:hAnsi="Georgia" w:cs="Nyala"/>
        <w:color w:val="001F5F"/>
        <w:spacing w:val="-15"/>
        <w:sz w:val="21"/>
        <w:szCs w:val="21"/>
      </w:rPr>
      <w:t xml:space="preserve"> </w:t>
    </w:r>
    <w:r w:rsidRPr="00904FD1">
      <w:rPr>
        <w:rFonts w:ascii="Georgia" w:eastAsia="Nyala" w:hAnsi="Georgia" w:cs="Nyala"/>
        <w:color w:val="001F5F"/>
        <w:sz w:val="20"/>
      </w:rPr>
      <w:t>(6</w:t>
    </w:r>
    <w:r w:rsidRPr="00904FD1">
      <w:rPr>
        <w:rFonts w:ascii="Georgia" w:eastAsia="Nyala" w:hAnsi="Georgia" w:cs="Nyala"/>
        <w:color w:val="001F5F"/>
        <w:spacing w:val="1"/>
        <w:sz w:val="20"/>
      </w:rPr>
      <w:t>0</w:t>
    </w:r>
    <w:r w:rsidRPr="00904FD1">
      <w:rPr>
        <w:rFonts w:ascii="Georgia" w:eastAsia="Nyala" w:hAnsi="Georgia" w:cs="Nyala"/>
        <w:color w:val="001F5F"/>
        <w:sz w:val="20"/>
      </w:rPr>
      <w:t>2)</w:t>
    </w:r>
    <w:r w:rsidRPr="00904FD1">
      <w:rPr>
        <w:rFonts w:ascii="Georgia" w:eastAsia="Nyala" w:hAnsi="Georgia" w:cs="Nyala"/>
        <w:color w:val="001F5F"/>
        <w:spacing w:val="-14"/>
        <w:sz w:val="20"/>
      </w:rPr>
      <w:t xml:space="preserve"> </w:t>
    </w:r>
    <w:r w:rsidRPr="00904FD1">
      <w:rPr>
        <w:rFonts w:ascii="Georgia" w:eastAsia="Nyala" w:hAnsi="Georgia" w:cs="Nyala"/>
        <w:color w:val="001F5F"/>
        <w:sz w:val="20"/>
      </w:rPr>
      <w:t>256</w:t>
    </w:r>
    <w:r w:rsidRPr="00904FD1">
      <w:rPr>
        <w:rFonts w:ascii="Georgia" w:eastAsia="Nyala" w:hAnsi="Georgia" w:cs="Nyala"/>
        <w:color w:val="001F5F"/>
        <w:spacing w:val="1"/>
        <w:sz w:val="20"/>
      </w:rPr>
      <w:t>-</w:t>
    </w:r>
    <w:r w:rsidRPr="00904FD1">
      <w:rPr>
        <w:rFonts w:ascii="Georgia" w:eastAsia="Nyala" w:hAnsi="Georgia" w:cs="Nyala"/>
        <w:color w:val="001F5F"/>
        <w:spacing w:val="-2"/>
        <w:sz w:val="20"/>
      </w:rPr>
      <w:t>7</w:t>
    </w:r>
    <w:r w:rsidRPr="00904FD1">
      <w:rPr>
        <w:rFonts w:ascii="Georgia" w:eastAsia="Nyala" w:hAnsi="Georgia" w:cs="Nyala"/>
        <w:color w:val="001F5F"/>
        <w:sz w:val="20"/>
      </w:rPr>
      <w:t>0</w:t>
    </w:r>
    <w:r w:rsidRPr="00904FD1">
      <w:rPr>
        <w:rFonts w:ascii="Georgia" w:eastAsia="Nyala" w:hAnsi="Georgia" w:cs="Nyala"/>
        <w:color w:val="001F5F"/>
        <w:spacing w:val="-1"/>
        <w:sz w:val="20"/>
      </w:rPr>
      <w:t>4</w:t>
    </w:r>
    <w:r w:rsidRPr="00904FD1">
      <w:rPr>
        <w:rFonts w:ascii="Georgia" w:eastAsia="Nyala" w:hAnsi="Georgia" w:cs="Nyala"/>
        <w:color w:val="001F5F"/>
        <w:sz w:val="20"/>
      </w:rPr>
      <w:t>5</w:t>
    </w:r>
    <w:r w:rsidRPr="00904FD1">
      <w:rPr>
        <w:rFonts w:ascii="Georgia" w:eastAsia="Nyala" w:hAnsi="Georgia" w:cs="Nyala"/>
        <w:color w:val="001F5F"/>
        <w:spacing w:val="-13"/>
        <w:sz w:val="20"/>
      </w:rPr>
      <w:t xml:space="preserve"> </w:t>
    </w:r>
  </w:p>
  <w:p w14:paraId="2437DE46" w14:textId="77777777" w:rsidR="00F66496" w:rsidRDefault="00F66496" w:rsidP="00F66496">
    <w:pPr>
      <w:pStyle w:val="Footer"/>
      <w:jc w:val="center"/>
      <w:rPr>
        <w:rFonts w:ascii="Georgia" w:eastAsia="Nyala" w:hAnsi="Georgia" w:cs="Nyala"/>
        <w:color w:val="001F5F"/>
        <w:spacing w:val="-13"/>
        <w:sz w:val="20"/>
      </w:rPr>
    </w:pPr>
  </w:p>
  <w:p w14:paraId="0FB542AF" w14:textId="77777777" w:rsidR="005732DF" w:rsidRPr="001154DF" w:rsidRDefault="00401E12" w:rsidP="001154DF">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50578" w14:textId="77777777" w:rsidR="00F66496" w:rsidRDefault="00F66496" w:rsidP="00F66496">
    <w:pPr>
      <w:spacing w:before="20" w:line="204" w:lineRule="exact"/>
      <w:ind w:right="7"/>
      <w:jc w:val="center"/>
      <w:rPr>
        <w:rFonts w:ascii="Georgia" w:eastAsia="Nyala" w:hAnsi="Georgia" w:cs="Nyala"/>
        <w:color w:val="001F5F"/>
        <w:sz w:val="20"/>
      </w:rPr>
    </w:pPr>
    <w:r>
      <w:rPr>
        <w:rFonts w:ascii="Georgia" w:eastAsia="Nyala" w:hAnsi="Georgia" w:cs="Nyala"/>
        <w:noProof/>
        <w:color w:val="001F5F"/>
        <w:sz w:val="20"/>
      </w:rPr>
      <mc:AlternateContent>
        <mc:Choice Requires="wps">
          <w:drawing>
            <wp:anchor distT="0" distB="0" distL="114300" distR="114300" simplePos="0" relativeHeight="251659264" behindDoc="0" locked="0" layoutInCell="1" allowOverlap="1" wp14:anchorId="31670ECE" wp14:editId="59AFBA38">
              <wp:simplePos x="0" y="0"/>
              <wp:positionH relativeFrom="column">
                <wp:posOffset>-33337</wp:posOffset>
              </wp:positionH>
              <wp:positionV relativeFrom="paragraph">
                <wp:posOffset>36195</wp:posOffset>
              </wp:positionV>
              <wp:extent cx="60769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076950" cy="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CB6B79"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pt,2.85pt" to="475.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" strokecolor="#5b9bd5 [3204]" strokeweight=".5pt">
              <v:stroke joinstyle="miter"/>
            </v:line>
          </w:pict>
        </mc:Fallback>
      </mc:AlternateContent>
    </w:r>
  </w:p>
  <w:p w14:paraId="4E4F9CFE" w14:textId="77777777" w:rsidR="00F66496" w:rsidRPr="00904FD1" w:rsidRDefault="00F66496" w:rsidP="00F66496">
    <w:pPr>
      <w:spacing w:before="20" w:line="204" w:lineRule="exact"/>
      <w:ind w:right="7"/>
      <w:jc w:val="center"/>
      <w:rPr>
        <w:rFonts w:ascii="Georgia" w:eastAsia="Nyala" w:hAnsi="Georgia" w:cs="Nyala"/>
        <w:sz w:val="20"/>
      </w:rPr>
    </w:pPr>
    <w:r w:rsidRPr="00904FD1">
      <w:rPr>
        <w:rFonts w:ascii="Georgia" w:eastAsia="Nyala" w:hAnsi="Georgia" w:cs="Nyala"/>
        <w:color w:val="001F5F"/>
        <w:sz w:val="20"/>
      </w:rPr>
      <w:t>Goldwat</w:t>
    </w:r>
    <w:r w:rsidRPr="00904FD1">
      <w:rPr>
        <w:rFonts w:ascii="Georgia" w:eastAsia="Nyala" w:hAnsi="Georgia" w:cs="Nyala"/>
        <w:color w:val="001F5F"/>
        <w:spacing w:val="-1"/>
        <w:sz w:val="20"/>
      </w:rPr>
      <w:t>e</w:t>
    </w:r>
    <w:r w:rsidRPr="00904FD1">
      <w:rPr>
        <w:rFonts w:ascii="Georgia" w:eastAsia="Nyala" w:hAnsi="Georgia" w:cs="Nyala"/>
        <w:color w:val="001F5F"/>
        <w:sz w:val="20"/>
      </w:rPr>
      <w:t>r</w:t>
    </w:r>
    <w:r w:rsidRPr="00904FD1">
      <w:rPr>
        <w:rFonts w:ascii="Georgia" w:eastAsia="Nyala" w:hAnsi="Georgia" w:cs="Nyala"/>
        <w:color w:val="001F5F"/>
        <w:spacing w:val="-7"/>
        <w:sz w:val="20"/>
      </w:rPr>
      <w:t xml:space="preserve"> </w:t>
    </w:r>
    <w:r w:rsidRPr="00904FD1">
      <w:rPr>
        <w:rFonts w:ascii="Georgia" w:eastAsia="Nyala" w:hAnsi="Georgia" w:cs="Nyala"/>
        <w:color w:val="001F5F"/>
        <w:spacing w:val="1"/>
        <w:sz w:val="20"/>
      </w:rPr>
      <w:t>I</w:t>
    </w:r>
    <w:r w:rsidRPr="00904FD1">
      <w:rPr>
        <w:rFonts w:ascii="Georgia" w:eastAsia="Nyala" w:hAnsi="Georgia" w:cs="Nyala"/>
        <w:color w:val="001F5F"/>
        <w:sz w:val="20"/>
      </w:rPr>
      <w:t>nst</w:t>
    </w:r>
    <w:r w:rsidRPr="00904FD1">
      <w:rPr>
        <w:rFonts w:ascii="Georgia" w:eastAsia="Nyala" w:hAnsi="Georgia" w:cs="Nyala"/>
        <w:color w:val="001F5F"/>
        <w:spacing w:val="1"/>
        <w:sz w:val="20"/>
      </w:rPr>
      <w:t>i</w:t>
    </w:r>
    <w:r w:rsidRPr="00904FD1">
      <w:rPr>
        <w:rFonts w:ascii="Georgia" w:eastAsia="Nyala" w:hAnsi="Georgia" w:cs="Nyala"/>
        <w:color w:val="001F5F"/>
        <w:sz w:val="20"/>
      </w:rPr>
      <w:t>tute</w:t>
    </w:r>
    <w:r w:rsidRPr="00904FD1">
      <w:rPr>
        <w:rFonts w:ascii="Georgia" w:eastAsia="Nyala" w:hAnsi="Georgia" w:cs="Nyala"/>
        <w:color w:val="001F5F"/>
        <w:spacing w:val="-7"/>
        <w:sz w:val="20"/>
      </w:rPr>
      <w:t xml:space="preserve"> </w:t>
    </w:r>
    <w:r w:rsidRPr="00904FD1">
      <w:rPr>
        <w:rFonts w:ascii="Georgia" w:eastAsia="Nyala" w:hAnsi="Georgia" w:cs="Nyala"/>
        <w:color w:val="001F5F"/>
        <w:sz w:val="20"/>
      </w:rPr>
      <w:t>|</w:t>
    </w:r>
    <w:r w:rsidRPr="00904FD1">
      <w:rPr>
        <w:rFonts w:ascii="Georgia" w:eastAsia="Nyala" w:hAnsi="Georgia" w:cs="Nyala"/>
        <w:color w:val="001F5F"/>
        <w:spacing w:val="-6"/>
        <w:sz w:val="20"/>
      </w:rPr>
      <w:t xml:space="preserve"> </w:t>
    </w:r>
    <w:r w:rsidRPr="00904FD1">
      <w:rPr>
        <w:rFonts w:ascii="Georgia" w:eastAsia="Nyala" w:hAnsi="Georgia" w:cs="Nyala"/>
        <w:color w:val="001F5F"/>
        <w:sz w:val="20"/>
      </w:rPr>
      <w:t>500</w:t>
    </w:r>
    <w:r w:rsidRPr="00904FD1">
      <w:rPr>
        <w:rFonts w:ascii="Georgia" w:eastAsia="Nyala" w:hAnsi="Georgia" w:cs="Nyala"/>
        <w:color w:val="001F5F"/>
        <w:spacing w:val="-6"/>
        <w:sz w:val="20"/>
      </w:rPr>
      <w:t xml:space="preserve"> </w:t>
    </w:r>
    <w:r w:rsidRPr="00904FD1">
      <w:rPr>
        <w:rFonts w:ascii="Georgia" w:eastAsia="Nyala" w:hAnsi="Georgia" w:cs="Nyala"/>
        <w:color w:val="001F5F"/>
        <w:spacing w:val="1"/>
        <w:sz w:val="20"/>
      </w:rPr>
      <w:t>E</w:t>
    </w:r>
    <w:r w:rsidRPr="00904FD1">
      <w:rPr>
        <w:rFonts w:ascii="Georgia" w:eastAsia="Nyala" w:hAnsi="Georgia" w:cs="Nyala"/>
        <w:color w:val="001F5F"/>
        <w:sz w:val="20"/>
      </w:rPr>
      <w:t>a</w:t>
    </w:r>
    <w:r w:rsidRPr="00904FD1">
      <w:rPr>
        <w:rFonts w:ascii="Georgia" w:eastAsia="Nyala" w:hAnsi="Georgia" w:cs="Nyala"/>
        <w:color w:val="001F5F"/>
        <w:spacing w:val="1"/>
        <w:sz w:val="20"/>
      </w:rPr>
      <w:t>s</w:t>
    </w:r>
    <w:r w:rsidRPr="00904FD1">
      <w:rPr>
        <w:rFonts w:ascii="Georgia" w:eastAsia="Nyala" w:hAnsi="Georgia" w:cs="Nyala"/>
        <w:color w:val="001F5F"/>
        <w:sz w:val="20"/>
      </w:rPr>
      <w:t>t</w:t>
    </w:r>
    <w:r w:rsidRPr="00904FD1">
      <w:rPr>
        <w:rFonts w:ascii="Georgia" w:eastAsia="Nyala" w:hAnsi="Georgia" w:cs="Nyala"/>
        <w:color w:val="001F5F"/>
        <w:spacing w:val="-6"/>
        <w:sz w:val="20"/>
      </w:rPr>
      <w:t xml:space="preserve"> </w:t>
    </w:r>
    <w:r w:rsidRPr="00904FD1">
      <w:rPr>
        <w:rFonts w:ascii="Georgia" w:eastAsia="Nyala" w:hAnsi="Georgia" w:cs="Nyala"/>
        <w:color w:val="001F5F"/>
        <w:spacing w:val="2"/>
        <w:sz w:val="20"/>
      </w:rPr>
      <w:t>C</w:t>
    </w:r>
    <w:r w:rsidRPr="00904FD1">
      <w:rPr>
        <w:rFonts w:ascii="Georgia" w:eastAsia="Nyala" w:hAnsi="Georgia" w:cs="Nyala"/>
        <w:color w:val="001F5F"/>
        <w:sz w:val="20"/>
      </w:rPr>
      <w:t>o</w:t>
    </w:r>
    <w:r w:rsidRPr="00904FD1">
      <w:rPr>
        <w:rFonts w:ascii="Georgia" w:eastAsia="Nyala" w:hAnsi="Georgia" w:cs="Nyala"/>
        <w:color w:val="001F5F"/>
        <w:spacing w:val="1"/>
        <w:sz w:val="20"/>
      </w:rPr>
      <w:t>r</w:t>
    </w:r>
    <w:r w:rsidRPr="00904FD1">
      <w:rPr>
        <w:rFonts w:ascii="Georgia" w:eastAsia="Nyala" w:hAnsi="Georgia" w:cs="Nyala"/>
        <w:color w:val="001F5F"/>
        <w:sz w:val="20"/>
      </w:rPr>
      <w:t>onado</w:t>
    </w:r>
    <w:r w:rsidRPr="00904FD1">
      <w:rPr>
        <w:rFonts w:ascii="Georgia" w:eastAsia="Nyala" w:hAnsi="Georgia" w:cs="Nyala"/>
        <w:color w:val="001F5F"/>
        <w:spacing w:val="-6"/>
        <w:sz w:val="20"/>
      </w:rPr>
      <w:t xml:space="preserve"> </w:t>
    </w:r>
    <w:r w:rsidRPr="00904FD1">
      <w:rPr>
        <w:rFonts w:ascii="Georgia" w:eastAsia="Nyala" w:hAnsi="Georgia" w:cs="Nyala"/>
        <w:color w:val="001F5F"/>
        <w:sz w:val="20"/>
      </w:rPr>
      <w:t>Road,</w:t>
    </w:r>
    <w:r w:rsidRPr="00904FD1">
      <w:rPr>
        <w:rFonts w:ascii="Georgia" w:eastAsia="Nyala" w:hAnsi="Georgia" w:cs="Nyala"/>
        <w:color w:val="001F5F"/>
        <w:spacing w:val="-7"/>
        <w:sz w:val="20"/>
      </w:rPr>
      <w:t xml:space="preserve"> </w:t>
    </w:r>
    <w:r w:rsidRPr="00904FD1">
      <w:rPr>
        <w:rFonts w:ascii="Georgia" w:eastAsia="Nyala" w:hAnsi="Georgia" w:cs="Nyala"/>
        <w:color w:val="001F5F"/>
        <w:sz w:val="20"/>
      </w:rPr>
      <w:t>Ph</w:t>
    </w:r>
    <w:r w:rsidRPr="00904FD1">
      <w:rPr>
        <w:rFonts w:ascii="Georgia" w:eastAsia="Nyala" w:hAnsi="Georgia" w:cs="Nyala"/>
        <w:color w:val="001F5F"/>
        <w:spacing w:val="2"/>
        <w:sz w:val="20"/>
      </w:rPr>
      <w:t>o</w:t>
    </w:r>
    <w:r w:rsidRPr="00904FD1">
      <w:rPr>
        <w:rFonts w:ascii="Georgia" w:eastAsia="Nyala" w:hAnsi="Georgia" w:cs="Nyala"/>
        <w:color w:val="001F5F"/>
        <w:spacing w:val="-1"/>
        <w:sz w:val="20"/>
      </w:rPr>
      <w:t>e</w:t>
    </w:r>
    <w:r w:rsidRPr="00904FD1">
      <w:rPr>
        <w:rFonts w:ascii="Georgia" w:eastAsia="Nyala" w:hAnsi="Georgia" w:cs="Nyala"/>
        <w:color w:val="001F5F"/>
        <w:sz w:val="20"/>
      </w:rPr>
      <w:t>nix,</w:t>
    </w:r>
    <w:r w:rsidRPr="00904FD1">
      <w:rPr>
        <w:rFonts w:ascii="Georgia" w:eastAsia="Nyala" w:hAnsi="Georgia" w:cs="Nyala"/>
        <w:color w:val="001F5F"/>
        <w:spacing w:val="-8"/>
        <w:sz w:val="20"/>
      </w:rPr>
      <w:t xml:space="preserve"> </w:t>
    </w:r>
    <w:r w:rsidRPr="00904FD1">
      <w:rPr>
        <w:rFonts w:ascii="Georgia" w:eastAsia="Nyala" w:hAnsi="Georgia" w:cs="Nyala"/>
        <w:color w:val="001F5F"/>
        <w:sz w:val="20"/>
      </w:rPr>
      <w:t>Ar</w:t>
    </w:r>
    <w:r w:rsidRPr="00904FD1">
      <w:rPr>
        <w:rFonts w:ascii="Georgia" w:eastAsia="Nyala" w:hAnsi="Georgia" w:cs="Nyala"/>
        <w:color w:val="001F5F"/>
        <w:spacing w:val="1"/>
        <w:sz w:val="20"/>
      </w:rPr>
      <w:t>i</w:t>
    </w:r>
    <w:r w:rsidRPr="00904FD1">
      <w:rPr>
        <w:rFonts w:ascii="Georgia" w:eastAsia="Nyala" w:hAnsi="Georgia" w:cs="Nyala"/>
        <w:color w:val="001F5F"/>
        <w:sz w:val="20"/>
      </w:rPr>
      <w:t>zona</w:t>
    </w:r>
    <w:r w:rsidRPr="00904FD1">
      <w:rPr>
        <w:rFonts w:ascii="Georgia" w:eastAsia="Nyala" w:hAnsi="Georgia" w:cs="Nyala"/>
        <w:color w:val="001F5F"/>
        <w:spacing w:val="-4"/>
        <w:sz w:val="20"/>
      </w:rPr>
      <w:t xml:space="preserve"> </w:t>
    </w:r>
    <w:r w:rsidRPr="00904FD1">
      <w:rPr>
        <w:rFonts w:ascii="Georgia" w:eastAsia="Nyala" w:hAnsi="Georgia" w:cs="Nyala"/>
        <w:color w:val="001F5F"/>
        <w:sz w:val="20"/>
      </w:rPr>
      <w:t>8</w:t>
    </w:r>
    <w:r w:rsidRPr="00904FD1">
      <w:rPr>
        <w:rFonts w:ascii="Georgia" w:eastAsia="Nyala" w:hAnsi="Georgia" w:cs="Nyala"/>
        <w:color w:val="001F5F"/>
        <w:spacing w:val="1"/>
        <w:sz w:val="20"/>
      </w:rPr>
      <w:t>5</w:t>
    </w:r>
    <w:r w:rsidRPr="00904FD1">
      <w:rPr>
        <w:rFonts w:ascii="Georgia" w:eastAsia="Nyala" w:hAnsi="Georgia" w:cs="Nyala"/>
        <w:color w:val="001F5F"/>
        <w:sz w:val="20"/>
      </w:rPr>
      <w:t>0</w:t>
    </w:r>
    <w:r w:rsidRPr="00904FD1">
      <w:rPr>
        <w:rFonts w:ascii="Georgia" w:eastAsia="Nyala" w:hAnsi="Georgia" w:cs="Nyala"/>
        <w:color w:val="001F5F"/>
        <w:spacing w:val="-1"/>
        <w:sz w:val="20"/>
      </w:rPr>
      <w:t>0</w:t>
    </w:r>
    <w:r w:rsidRPr="00904FD1">
      <w:rPr>
        <w:rFonts w:ascii="Georgia" w:eastAsia="Nyala" w:hAnsi="Georgia" w:cs="Nyala"/>
        <w:color w:val="001F5F"/>
        <w:sz w:val="20"/>
      </w:rPr>
      <w:t>4</w:t>
    </w:r>
  </w:p>
  <w:p w14:paraId="5F46924A" w14:textId="1BDEE6EB" w:rsidR="00F66496" w:rsidRDefault="00F66496" w:rsidP="00F66496">
    <w:pPr>
      <w:pStyle w:val="Footer"/>
      <w:jc w:val="center"/>
      <w:rPr>
        <w:rFonts w:ascii="Georgia" w:eastAsia="Nyala" w:hAnsi="Georgia" w:cs="Nyala"/>
        <w:color w:val="001F5F"/>
        <w:spacing w:val="-13"/>
        <w:sz w:val="20"/>
      </w:rPr>
    </w:pPr>
    <w:r w:rsidRPr="00904FD1">
      <w:rPr>
        <w:rFonts w:ascii="Georgia" w:eastAsia="Nyala" w:hAnsi="Georgia" w:cs="Nyala"/>
        <w:color w:val="001F5F"/>
        <w:sz w:val="21"/>
        <w:szCs w:val="21"/>
      </w:rPr>
      <w:t>Phone</w:t>
    </w:r>
    <w:r w:rsidRPr="00904FD1">
      <w:rPr>
        <w:rFonts w:ascii="Georgia" w:eastAsia="Nyala" w:hAnsi="Georgia" w:cs="Nyala"/>
        <w:color w:val="001F5F"/>
        <w:spacing w:val="-17"/>
        <w:sz w:val="21"/>
        <w:szCs w:val="21"/>
      </w:rPr>
      <w:t xml:space="preserve"> </w:t>
    </w:r>
    <w:r w:rsidRPr="00904FD1">
      <w:rPr>
        <w:rFonts w:ascii="Georgia" w:eastAsia="Nyala" w:hAnsi="Georgia" w:cs="Nyala"/>
        <w:color w:val="001F5F"/>
        <w:spacing w:val="2"/>
        <w:sz w:val="20"/>
      </w:rPr>
      <w:t>(</w:t>
    </w:r>
    <w:r w:rsidRPr="00904FD1">
      <w:rPr>
        <w:rFonts w:ascii="Georgia" w:eastAsia="Nyala" w:hAnsi="Georgia" w:cs="Nyala"/>
        <w:color w:val="001F5F"/>
        <w:sz w:val="20"/>
      </w:rPr>
      <w:t>602)</w:t>
    </w:r>
    <w:r w:rsidRPr="00904FD1">
      <w:rPr>
        <w:rFonts w:ascii="Georgia" w:eastAsia="Nyala" w:hAnsi="Georgia" w:cs="Nyala"/>
        <w:color w:val="001F5F"/>
        <w:spacing w:val="-14"/>
        <w:sz w:val="20"/>
      </w:rPr>
      <w:t xml:space="preserve"> </w:t>
    </w:r>
    <w:r w:rsidRPr="00904FD1">
      <w:rPr>
        <w:rFonts w:ascii="Georgia" w:eastAsia="Nyala" w:hAnsi="Georgia" w:cs="Nyala"/>
        <w:color w:val="001F5F"/>
        <w:spacing w:val="1"/>
        <w:sz w:val="20"/>
      </w:rPr>
      <w:t>4</w:t>
    </w:r>
    <w:r w:rsidRPr="00904FD1">
      <w:rPr>
        <w:rFonts w:ascii="Georgia" w:eastAsia="Nyala" w:hAnsi="Georgia" w:cs="Nyala"/>
        <w:color w:val="001F5F"/>
        <w:sz w:val="20"/>
      </w:rPr>
      <w:t>6</w:t>
    </w:r>
    <w:r w:rsidRPr="00904FD1">
      <w:rPr>
        <w:rFonts w:ascii="Georgia" w:eastAsia="Nyala" w:hAnsi="Georgia" w:cs="Nyala"/>
        <w:color w:val="001F5F"/>
        <w:spacing w:val="1"/>
        <w:sz w:val="20"/>
      </w:rPr>
      <w:t>2-</w:t>
    </w:r>
    <w:r w:rsidRPr="00904FD1">
      <w:rPr>
        <w:rFonts w:ascii="Georgia" w:eastAsia="Nyala" w:hAnsi="Georgia" w:cs="Nyala"/>
        <w:color w:val="001F5F"/>
        <w:sz w:val="20"/>
      </w:rPr>
      <w:t>50</w:t>
    </w:r>
    <w:r w:rsidRPr="00904FD1">
      <w:rPr>
        <w:rFonts w:ascii="Georgia" w:eastAsia="Nyala" w:hAnsi="Georgia" w:cs="Nyala"/>
        <w:color w:val="001F5F"/>
        <w:spacing w:val="-1"/>
        <w:sz w:val="20"/>
      </w:rPr>
      <w:t>0</w:t>
    </w:r>
    <w:r w:rsidRPr="00904FD1">
      <w:rPr>
        <w:rFonts w:ascii="Georgia" w:eastAsia="Nyala" w:hAnsi="Georgia" w:cs="Nyala"/>
        <w:color w:val="001F5F"/>
        <w:sz w:val="20"/>
      </w:rPr>
      <w:t>0</w:t>
    </w:r>
    <w:r w:rsidRPr="00904FD1">
      <w:rPr>
        <w:rFonts w:ascii="Georgia" w:eastAsia="Nyala" w:hAnsi="Georgia" w:cs="Nyala"/>
        <w:color w:val="001F5F"/>
        <w:spacing w:val="-14"/>
        <w:sz w:val="20"/>
      </w:rPr>
      <w:t xml:space="preserve"> </w:t>
    </w:r>
    <w:r w:rsidRPr="00904FD1">
      <w:rPr>
        <w:rFonts w:ascii="Georgia" w:eastAsia="Nyala" w:hAnsi="Georgia" w:cs="Nyala"/>
        <w:color w:val="001F5F"/>
        <w:sz w:val="20"/>
      </w:rPr>
      <w:t>|</w:t>
    </w:r>
    <w:r w:rsidRPr="00904FD1">
      <w:rPr>
        <w:rFonts w:ascii="Georgia" w:eastAsia="Nyala" w:hAnsi="Georgia" w:cs="Nyala"/>
        <w:color w:val="001F5F"/>
        <w:spacing w:val="-12"/>
        <w:sz w:val="20"/>
      </w:rPr>
      <w:t xml:space="preserve"> </w:t>
    </w:r>
    <w:r w:rsidRPr="00904FD1">
      <w:rPr>
        <w:rFonts w:ascii="Georgia" w:eastAsia="Nyala" w:hAnsi="Georgia" w:cs="Nyala"/>
        <w:color w:val="001F5F"/>
        <w:sz w:val="21"/>
        <w:szCs w:val="21"/>
      </w:rPr>
      <w:t>Fax</w:t>
    </w:r>
    <w:r w:rsidRPr="00904FD1">
      <w:rPr>
        <w:rFonts w:ascii="Georgia" w:eastAsia="Nyala" w:hAnsi="Georgia" w:cs="Nyala"/>
        <w:color w:val="001F5F"/>
        <w:spacing w:val="-15"/>
        <w:sz w:val="21"/>
        <w:szCs w:val="21"/>
      </w:rPr>
      <w:t xml:space="preserve"> </w:t>
    </w:r>
    <w:r w:rsidRPr="00904FD1">
      <w:rPr>
        <w:rFonts w:ascii="Georgia" w:eastAsia="Nyala" w:hAnsi="Georgia" w:cs="Nyala"/>
        <w:color w:val="001F5F"/>
        <w:sz w:val="20"/>
      </w:rPr>
      <w:t>(6</w:t>
    </w:r>
    <w:r w:rsidRPr="00904FD1">
      <w:rPr>
        <w:rFonts w:ascii="Georgia" w:eastAsia="Nyala" w:hAnsi="Georgia" w:cs="Nyala"/>
        <w:color w:val="001F5F"/>
        <w:spacing w:val="1"/>
        <w:sz w:val="20"/>
      </w:rPr>
      <w:t>0</w:t>
    </w:r>
    <w:r w:rsidRPr="00904FD1">
      <w:rPr>
        <w:rFonts w:ascii="Georgia" w:eastAsia="Nyala" w:hAnsi="Georgia" w:cs="Nyala"/>
        <w:color w:val="001F5F"/>
        <w:sz w:val="20"/>
      </w:rPr>
      <w:t>2)</w:t>
    </w:r>
    <w:r w:rsidRPr="00904FD1">
      <w:rPr>
        <w:rFonts w:ascii="Georgia" w:eastAsia="Nyala" w:hAnsi="Georgia" w:cs="Nyala"/>
        <w:color w:val="001F5F"/>
        <w:spacing w:val="-14"/>
        <w:sz w:val="20"/>
      </w:rPr>
      <w:t xml:space="preserve"> </w:t>
    </w:r>
    <w:r w:rsidRPr="00904FD1">
      <w:rPr>
        <w:rFonts w:ascii="Georgia" w:eastAsia="Nyala" w:hAnsi="Georgia" w:cs="Nyala"/>
        <w:color w:val="001F5F"/>
        <w:sz w:val="20"/>
      </w:rPr>
      <w:t>256</w:t>
    </w:r>
    <w:r w:rsidRPr="00904FD1">
      <w:rPr>
        <w:rFonts w:ascii="Georgia" w:eastAsia="Nyala" w:hAnsi="Georgia" w:cs="Nyala"/>
        <w:color w:val="001F5F"/>
        <w:spacing w:val="1"/>
        <w:sz w:val="20"/>
      </w:rPr>
      <w:t>-</w:t>
    </w:r>
    <w:r w:rsidRPr="00904FD1">
      <w:rPr>
        <w:rFonts w:ascii="Georgia" w:eastAsia="Nyala" w:hAnsi="Georgia" w:cs="Nyala"/>
        <w:color w:val="001F5F"/>
        <w:spacing w:val="-2"/>
        <w:sz w:val="20"/>
      </w:rPr>
      <w:t>7</w:t>
    </w:r>
    <w:r w:rsidRPr="00904FD1">
      <w:rPr>
        <w:rFonts w:ascii="Georgia" w:eastAsia="Nyala" w:hAnsi="Georgia" w:cs="Nyala"/>
        <w:color w:val="001F5F"/>
        <w:sz w:val="20"/>
      </w:rPr>
      <w:t>0</w:t>
    </w:r>
    <w:r w:rsidRPr="00904FD1">
      <w:rPr>
        <w:rFonts w:ascii="Georgia" w:eastAsia="Nyala" w:hAnsi="Georgia" w:cs="Nyala"/>
        <w:color w:val="001F5F"/>
        <w:spacing w:val="-1"/>
        <w:sz w:val="20"/>
      </w:rPr>
      <w:t>4</w:t>
    </w:r>
    <w:r w:rsidRPr="00904FD1">
      <w:rPr>
        <w:rFonts w:ascii="Georgia" w:eastAsia="Nyala" w:hAnsi="Georgia" w:cs="Nyala"/>
        <w:color w:val="001F5F"/>
        <w:sz w:val="20"/>
      </w:rPr>
      <w:t>5</w:t>
    </w:r>
    <w:r w:rsidRPr="00904FD1">
      <w:rPr>
        <w:rFonts w:ascii="Georgia" w:eastAsia="Nyala" w:hAnsi="Georgia" w:cs="Nyala"/>
        <w:color w:val="001F5F"/>
        <w:spacing w:val="-13"/>
        <w:sz w:val="20"/>
      </w:rPr>
      <w:t xml:space="preserve"> </w:t>
    </w:r>
  </w:p>
  <w:p w14:paraId="514D9877" w14:textId="77777777" w:rsidR="00F66496" w:rsidRPr="001323E9" w:rsidRDefault="00F66496" w:rsidP="00F66496">
    <w:pPr>
      <w:pStyle w:val="Footer"/>
      <w:jc w:val="center"/>
      <w:rPr>
        <w:rFonts w:ascii="Georgia" w:hAnsi="Georgia"/>
      </w:rPr>
    </w:pPr>
  </w:p>
  <w:p w14:paraId="14EC263D" w14:textId="77777777" w:rsidR="00F66496" w:rsidRDefault="00F66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03D41" w14:textId="77777777" w:rsidR="0031279C" w:rsidRDefault="0031279C" w:rsidP="00EB3336">
      <w:r>
        <w:separator/>
      </w:r>
    </w:p>
  </w:footnote>
  <w:footnote w:type="continuationSeparator" w:id="0">
    <w:p w14:paraId="184E82E0" w14:textId="77777777" w:rsidR="0031279C" w:rsidRDefault="0031279C" w:rsidP="00EB3336">
      <w:r>
        <w:continuationSeparator/>
      </w:r>
    </w:p>
  </w:footnote>
  <w:footnote w:id="1">
    <w:p w14:paraId="22F2816A" w14:textId="3F0392B9" w:rsidR="00B9343E" w:rsidRPr="00B9343E" w:rsidRDefault="00B9343E" w:rsidP="00F95B80">
      <w:pPr>
        <w:pStyle w:val="FootnoteText"/>
        <w:ind w:left="-360"/>
        <w:rPr>
          <w:rFonts w:ascii="Times New Roman" w:hAnsi="Times New Roman" w:cs="Times New Roman"/>
          <w:sz w:val="24"/>
          <w:szCs w:val="24"/>
        </w:rPr>
      </w:pPr>
      <w:r w:rsidRPr="00B9343E">
        <w:rPr>
          <w:rStyle w:val="FootnoteReference"/>
          <w:rFonts w:ascii="Times New Roman" w:hAnsi="Times New Roman" w:cs="Times New Roman"/>
          <w:sz w:val="24"/>
          <w:szCs w:val="24"/>
        </w:rPr>
        <w:footnoteRef/>
      </w:r>
      <w:r w:rsidRPr="00B9343E">
        <w:rPr>
          <w:rFonts w:ascii="Times New Roman" w:hAnsi="Times New Roman" w:cs="Times New Roman"/>
          <w:sz w:val="24"/>
          <w:szCs w:val="24"/>
        </w:rPr>
        <w:t xml:space="preserve"> </w:t>
      </w:r>
      <w:r w:rsidRPr="00B9343E">
        <w:rPr>
          <w:rFonts w:ascii="Times New Roman" w:hAnsi="Times New Roman" w:cs="Times New Roman"/>
          <w:i/>
          <w:iCs/>
          <w:sz w:val="24"/>
          <w:szCs w:val="24"/>
        </w:rPr>
        <w:t xml:space="preserve">See </w:t>
      </w:r>
      <w:r w:rsidRPr="00B9343E">
        <w:rPr>
          <w:rFonts w:ascii="Times New Roman" w:hAnsi="Times New Roman" w:cs="Times New Roman"/>
          <w:sz w:val="24"/>
          <w:szCs w:val="24"/>
        </w:rPr>
        <w:t>pages 61 and 67 of the Task Force’s January 5, 2024 Meeting Materials.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FCB93" w14:textId="52438530" w:rsidR="00EB6DF2" w:rsidRDefault="00EB6DF2" w:rsidP="007616D0">
    <w:pPr>
      <w:pStyle w:val="Header"/>
      <w:ind w:left="-360"/>
    </w:pPr>
    <w:r>
      <w:t>Arizona Supreme Court</w:t>
    </w:r>
  </w:p>
  <w:p w14:paraId="173895D4" w14:textId="21F98765" w:rsidR="00EB6DF2" w:rsidRDefault="00EB6DF2" w:rsidP="007616D0">
    <w:pPr>
      <w:pStyle w:val="Header"/>
      <w:ind w:left="-360"/>
    </w:pPr>
    <w:r>
      <w:t>May 17, 2024</w:t>
    </w:r>
  </w:p>
  <w:p w14:paraId="65111973" w14:textId="475A75A3" w:rsidR="005732DF" w:rsidRDefault="00514245" w:rsidP="007616D0">
    <w:pPr>
      <w:pStyle w:val="Header"/>
      <w:ind w:left="-360"/>
      <w:rPr>
        <w:noProof/>
      </w:rPr>
    </w:pPr>
    <w:r w:rsidRPr="00514245">
      <w:t xml:space="preserve">Page </w:t>
    </w:r>
    <w:r w:rsidRPr="00514245">
      <w:fldChar w:fldCharType="begin"/>
    </w:r>
    <w:r w:rsidRPr="00514245">
      <w:instrText xml:space="preserve"> PAGE  \* Arabic  \* MERGEFORMAT </w:instrText>
    </w:r>
    <w:r w:rsidRPr="00514245">
      <w:fldChar w:fldCharType="separate"/>
    </w:r>
    <w:r w:rsidRPr="00514245">
      <w:rPr>
        <w:noProof/>
      </w:rPr>
      <w:t>1</w:t>
    </w:r>
    <w:r w:rsidRPr="00514245">
      <w:fldChar w:fldCharType="end"/>
    </w:r>
    <w:r w:rsidRPr="00514245">
      <w:t xml:space="preserve"> of </w:t>
    </w:r>
    <w:fldSimple w:instr=" NUMPAGES  \* Arabic  \* MERGEFORMAT ">
      <w:r w:rsidRPr="00514245">
        <w:rPr>
          <w:noProof/>
        </w:rPr>
        <w:t>2</w:t>
      </w:r>
    </w:fldSimple>
  </w:p>
  <w:p w14:paraId="44B6CDC7" w14:textId="77777777" w:rsidR="00EB6DF2" w:rsidRPr="00514245" w:rsidRDefault="00EB6DF2" w:rsidP="00EB6D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938CF" w14:textId="075E5C94" w:rsidR="008F3993" w:rsidRDefault="008F3993" w:rsidP="00F95B80">
    <w:pPr>
      <w:pStyle w:val="Header"/>
      <w:ind w:left="-360" w:right="-144"/>
      <w:jc w:val="center"/>
    </w:pPr>
    <w:r w:rsidRPr="008F3993">
      <w:rPr>
        <w:rFonts w:ascii="Georgia" w:eastAsia="Calibri" w:hAnsi="Georgia"/>
        <w:bCs/>
        <w:noProof/>
        <w:sz w:val="22"/>
        <w:szCs w:val="22"/>
      </w:rPr>
      <w:drawing>
        <wp:inline distT="0" distB="0" distL="0" distR="0" wp14:anchorId="4A12539C" wp14:editId="74C4A446">
          <wp:extent cx="1123950" cy="1204402"/>
          <wp:effectExtent l="0" t="0" r="0" b="0"/>
          <wp:docPr id="1082952824" name="Picture 108295282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3950" cy="12044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E3CB6"/>
    <w:multiLevelType w:val="hybridMultilevel"/>
    <w:tmpl w:val="D0804F86"/>
    <w:lvl w:ilvl="0" w:tplc="53287F8E">
      <w:start w:val="1"/>
      <w:numFmt w:val="lowerLetter"/>
      <w:lvlText w:val="(%1)"/>
      <w:lvlJc w:val="left"/>
      <w:pPr>
        <w:ind w:left="0" w:hanging="360"/>
      </w:pPr>
      <w:rPr>
        <w:rFonts w:hint="default"/>
      </w:rPr>
    </w:lvl>
    <w:lvl w:ilvl="1" w:tplc="0409001B">
      <w:start w:val="1"/>
      <w:numFmt w:val="lowerRoman"/>
      <w:lvlText w:val="%2."/>
      <w:lvlJc w:val="righ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226E0E33"/>
    <w:multiLevelType w:val="multilevel"/>
    <w:tmpl w:val="B92EA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AC1EFB"/>
    <w:multiLevelType w:val="hybridMultilevel"/>
    <w:tmpl w:val="77F2255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3C222DCC"/>
    <w:multiLevelType w:val="multilevel"/>
    <w:tmpl w:val="64A0A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0916E1"/>
    <w:multiLevelType w:val="hybridMultilevel"/>
    <w:tmpl w:val="F334C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7A64C2"/>
    <w:multiLevelType w:val="hybridMultilevel"/>
    <w:tmpl w:val="597A2362"/>
    <w:lvl w:ilvl="0" w:tplc="F97000A0">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006E4E"/>
    <w:multiLevelType w:val="multilevel"/>
    <w:tmpl w:val="F120E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45120854">
    <w:abstractNumId w:val="0"/>
  </w:num>
  <w:num w:numId="2" w16cid:durableId="612782305">
    <w:abstractNumId w:val="5"/>
  </w:num>
  <w:num w:numId="3" w16cid:durableId="17908565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8018514">
    <w:abstractNumId w:val="1"/>
  </w:num>
  <w:num w:numId="5" w16cid:durableId="663780706">
    <w:abstractNumId w:val="6"/>
  </w:num>
  <w:num w:numId="6" w16cid:durableId="873158162">
    <w:abstractNumId w:val="3"/>
  </w:num>
  <w:num w:numId="7" w16cid:durableId="97024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669"/>
    <w:rsid w:val="00007220"/>
    <w:rsid w:val="00011C24"/>
    <w:rsid w:val="00012A5E"/>
    <w:rsid w:val="00036218"/>
    <w:rsid w:val="00037A0C"/>
    <w:rsid w:val="000734E7"/>
    <w:rsid w:val="00085E80"/>
    <w:rsid w:val="00087C5D"/>
    <w:rsid w:val="00096669"/>
    <w:rsid w:val="000A4FD8"/>
    <w:rsid w:val="000E10F3"/>
    <w:rsid w:val="000F59D2"/>
    <w:rsid w:val="00103D2C"/>
    <w:rsid w:val="001073F9"/>
    <w:rsid w:val="00107806"/>
    <w:rsid w:val="001411A8"/>
    <w:rsid w:val="00150782"/>
    <w:rsid w:val="00154935"/>
    <w:rsid w:val="001634A8"/>
    <w:rsid w:val="00182AF1"/>
    <w:rsid w:val="001A1120"/>
    <w:rsid w:val="001B3E93"/>
    <w:rsid w:val="001D29CF"/>
    <w:rsid w:val="001F4260"/>
    <w:rsid w:val="001F4DFE"/>
    <w:rsid w:val="00202117"/>
    <w:rsid w:val="002024F9"/>
    <w:rsid w:val="0020266C"/>
    <w:rsid w:val="00202C32"/>
    <w:rsid w:val="0022414E"/>
    <w:rsid w:val="00224D99"/>
    <w:rsid w:val="0023327A"/>
    <w:rsid w:val="00233CB8"/>
    <w:rsid w:val="00254553"/>
    <w:rsid w:val="00276FC0"/>
    <w:rsid w:val="0031279C"/>
    <w:rsid w:val="003168FE"/>
    <w:rsid w:val="003623BC"/>
    <w:rsid w:val="00363C89"/>
    <w:rsid w:val="0037216E"/>
    <w:rsid w:val="0037261D"/>
    <w:rsid w:val="003827C0"/>
    <w:rsid w:val="00391FED"/>
    <w:rsid w:val="00397EA7"/>
    <w:rsid w:val="003B1514"/>
    <w:rsid w:val="003C3503"/>
    <w:rsid w:val="003C3789"/>
    <w:rsid w:val="003C631A"/>
    <w:rsid w:val="00401E12"/>
    <w:rsid w:val="00454196"/>
    <w:rsid w:val="00454F37"/>
    <w:rsid w:val="00467177"/>
    <w:rsid w:val="004B46E6"/>
    <w:rsid w:val="004B6E89"/>
    <w:rsid w:val="004C1CF4"/>
    <w:rsid w:val="004C75FE"/>
    <w:rsid w:val="004D05FE"/>
    <w:rsid w:val="004D09BB"/>
    <w:rsid w:val="004D535A"/>
    <w:rsid w:val="004F0161"/>
    <w:rsid w:val="0050273E"/>
    <w:rsid w:val="0050649E"/>
    <w:rsid w:val="00514245"/>
    <w:rsid w:val="00534AB7"/>
    <w:rsid w:val="00544B06"/>
    <w:rsid w:val="00554B9C"/>
    <w:rsid w:val="00570B19"/>
    <w:rsid w:val="005732DF"/>
    <w:rsid w:val="00580637"/>
    <w:rsid w:val="005A2E61"/>
    <w:rsid w:val="005B7FD7"/>
    <w:rsid w:val="005D34B2"/>
    <w:rsid w:val="005E4D35"/>
    <w:rsid w:val="00646E1F"/>
    <w:rsid w:val="00664BED"/>
    <w:rsid w:val="00681462"/>
    <w:rsid w:val="00692C73"/>
    <w:rsid w:val="006D24A5"/>
    <w:rsid w:val="006D2E0E"/>
    <w:rsid w:val="006E2712"/>
    <w:rsid w:val="006F10A9"/>
    <w:rsid w:val="006F73B6"/>
    <w:rsid w:val="00723677"/>
    <w:rsid w:val="0076055E"/>
    <w:rsid w:val="007616D0"/>
    <w:rsid w:val="00770A5F"/>
    <w:rsid w:val="007711C5"/>
    <w:rsid w:val="00792E5A"/>
    <w:rsid w:val="0079326B"/>
    <w:rsid w:val="007A2928"/>
    <w:rsid w:val="007A6FFA"/>
    <w:rsid w:val="007B43FF"/>
    <w:rsid w:val="007C5CDF"/>
    <w:rsid w:val="008042A8"/>
    <w:rsid w:val="00826B64"/>
    <w:rsid w:val="00841100"/>
    <w:rsid w:val="00851767"/>
    <w:rsid w:val="00893B8E"/>
    <w:rsid w:val="008B4BD5"/>
    <w:rsid w:val="008D3FA8"/>
    <w:rsid w:val="008E1AE6"/>
    <w:rsid w:val="008F3993"/>
    <w:rsid w:val="0090684A"/>
    <w:rsid w:val="00934A03"/>
    <w:rsid w:val="00941E03"/>
    <w:rsid w:val="00975F74"/>
    <w:rsid w:val="0097729D"/>
    <w:rsid w:val="009775BD"/>
    <w:rsid w:val="009A160A"/>
    <w:rsid w:val="009A1BD4"/>
    <w:rsid w:val="009B5F4C"/>
    <w:rsid w:val="009C6E66"/>
    <w:rsid w:val="009C71FF"/>
    <w:rsid w:val="009E5ECE"/>
    <w:rsid w:val="009E6BE7"/>
    <w:rsid w:val="009F44DD"/>
    <w:rsid w:val="009F7EB7"/>
    <w:rsid w:val="00A10C70"/>
    <w:rsid w:val="00A330D2"/>
    <w:rsid w:val="00A54302"/>
    <w:rsid w:val="00A647EC"/>
    <w:rsid w:val="00A84C0B"/>
    <w:rsid w:val="00A8616C"/>
    <w:rsid w:val="00A93F23"/>
    <w:rsid w:val="00AB71C3"/>
    <w:rsid w:val="00AC27D1"/>
    <w:rsid w:val="00AC3D90"/>
    <w:rsid w:val="00B048A4"/>
    <w:rsid w:val="00B12623"/>
    <w:rsid w:val="00B12EF7"/>
    <w:rsid w:val="00B14CC3"/>
    <w:rsid w:val="00B21D91"/>
    <w:rsid w:val="00B45EFA"/>
    <w:rsid w:val="00B55E30"/>
    <w:rsid w:val="00B5686F"/>
    <w:rsid w:val="00B60F3C"/>
    <w:rsid w:val="00B67E8A"/>
    <w:rsid w:val="00B72B0E"/>
    <w:rsid w:val="00B72EFB"/>
    <w:rsid w:val="00B752A6"/>
    <w:rsid w:val="00B76996"/>
    <w:rsid w:val="00B80837"/>
    <w:rsid w:val="00B9343E"/>
    <w:rsid w:val="00B934C7"/>
    <w:rsid w:val="00B93E2C"/>
    <w:rsid w:val="00BA1D6F"/>
    <w:rsid w:val="00BC6798"/>
    <w:rsid w:val="00BE57F0"/>
    <w:rsid w:val="00BF4CB3"/>
    <w:rsid w:val="00BF65E3"/>
    <w:rsid w:val="00C201D8"/>
    <w:rsid w:val="00C307AC"/>
    <w:rsid w:val="00C31C00"/>
    <w:rsid w:val="00C633AB"/>
    <w:rsid w:val="00C6720B"/>
    <w:rsid w:val="00C77686"/>
    <w:rsid w:val="00C77964"/>
    <w:rsid w:val="00CB2E34"/>
    <w:rsid w:val="00CC091E"/>
    <w:rsid w:val="00D16920"/>
    <w:rsid w:val="00D26248"/>
    <w:rsid w:val="00D5125E"/>
    <w:rsid w:val="00D54CB7"/>
    <w:rsid w:val="00D765CB"/>
    <w:rsid w:val="00D9520E"/>
    <w:rsid w:val="00DD2D5F"/>
    <w:rsid w:val="00E1008B"/>
    <w:rsid w:val="00E141F9"/>
    <w:rsid w:val="00E15339"/>
    <w:rsid w:val="00E156CB"/>
    <w:rsid w:val="00E64B5A"/>
    <w:rsid w:val="00E80C9D"/>
    <w:rsid w:val="00E92D9D"/>
    <w:rsid w:val="00EB04E9"/>
    <w:rsid w:val="00EB3336"/>
    <w:rsid w:val="00EB6DA4"/>
    <w:rsid w:val="00EB6DF2"/>
    <w:rsid w:val="00ED4EF4"/>
    <w:rsid w:val="00ED72B5"/>
    <w:rsid w:val="00EE0316"/>
    <w:rsid w:val="00F06653"/>
    <w:rsid w:val="00F15F09"/>
    <w:rsid w:val="00F2608D"/>
    <w:rsid w:val="00F33158"/>
    <w:rsid w:val="00F338B9"/>
    <w:rsid w:val="00F33FF9"/>
    <w:rsid w:val="00F3413B"/>
    <w:rsid w:val="00F406DF"/>
    <w:rsid w:val="00F55D18"/>
    <w:rsid w:val="00F63249"/>
    <w:rsid w:val="00F66496"/>
    <w:rsid w:val="00F91CEA"/>
    <w:rsid w:val="00F94BD4"/>
    <w:rsid w:val="00F95B80"/>
    <w:rsid w:val="00FA1453"/>
    <w:rsid w:val="00FB311A"/>
    <w:rsid w:val="00FD064A"/>
    <w:rsid w:val="00FD53DD"/>
    <w:rsid w:val="00FF30FB"/>
    <w:rsid w:val="00FF7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4DC4B"/>
  <w15:chartTrackingRefBased/>
  <w15:docId w15:val="{3554215F-588F-4F30-BE5B-EA583EEC9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C24"/>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next w:val="Normal"/>
    <w:rsid w:val="00096669"/>
  </w:style>
  <w:style w:type="paragraph" w:customStyle="1" w:styleId="Confidentiality">
    <w:name w:val="Confidentiality"/>
    <w:basedOn w:val="Normal"/>
    <w:rsid w:val="00096669"/>
    <w:rPr>
      <w:b/>
      <w:caps/>
    </w:rPr>
  </w:style>
  <w:style w:type="paragraph" w:styleId="Date">
    <w:name w:val="Date"/>
    <w:basedOn w:val="Normal"/>
    <w:next w:val="Normal"/>
    <w:link w:val="DateChar"/>
    <w:rsid w:val="00096669"/>
  </w:style>
  <w:style w:type="character" w:customStyle="1" w:styleId="DateChar">
    <w:name w:val="Date Char"/>
    <w:basedOn w:val="DefaultParagraphFont"/>
    <w:link w:val="Date"/>
    <w:rsid w:val="00096669"/>
    <w:rPr>
      <w:rFonts w:eastAsia="Times New Roman"/>
      <w:szCs w:val="20"/>
    </w:rPr>
  </w:style>
  <w:style w:type="paragraph" w:styleId="Footer">
    <w:name w:val="footer"/>
    <w:basedOn w:val="Normal"/>
    <w:link w:val="FooterChar"/>
    <w:uiPriority w:val="99"/>
    <w:rsid w:val="00096669"/>
    <w:pPr>
      <w:tabs>
        <w:tab w:val="center" w:pos="4680"/>
        <w:tab w:val="right" w:pos="9360"/>
      </w:tabs>
    </w:pPr>
  </w:style>
  <w:style w:type="character" w:customStyle="1" w:styleId="FooterChar">
    <w:name w:val="Footer Char"/>
    <w:basedOn w:val="DefaultParagraphFont"/>
    <w:link w:val="Footer"/>
    <w:uiPriority w:val="99"/>
    <w:rsid w:val="00096669"/>
    <w:rPr>
      <w:rFonts w:eastAsia="Times New Roman"/>
      <w:szCs w:val="20"/>
    </w:rPr>
  </w:style>
  <w:style w:type="paragraph" w:styleId="Header">
    <w:name w:val="header"/>
    <w:basedOn w:val="Normal"/>
    <w:link w:val="HeaderChar"/>
    <w:rsid w:val="00096669"/>
    <w:pPr>
      <w:tabs>
        <w:tab w:val="center" w:pos="4680"/>
        <w:tab w:val="right" w:pos="9360"/>
      </w:tabs>
    </w:pPr>
  </w:style>
  <w:style w:type="character" w:customStyle="1" w:styleId="HeaderChar">
    <w:name w:val="Header Char"/>
    <w:basedOn w:val="DefaultParagraphFont"/>
    <w:link w:val="Header"/>
    <w:rsid w:val="00096669"/>
    <w:rPr>
      <w:rFonts w:eastAsia="Times New Roman"/>
      <w:szCs w:val="20"/>
    </w:rPr>
  </w:style>
  <w:style w:type="paragraph" w:customStyle="1" w:styleId="Name">
    <w:name w:val="Name"/>
    <w:basedOn w:val="Normal"/>
    <w:rsid w:val="00096669"/>
  </w:style>
  <w:style w:type="paragraph" w:customStyle="1" w:styleId="ReLine">
    <w:name w:val="Re Line"/>
    <w:basedOn w:val="Normal"/>
    <w:next w:val="Salutation"/>
    <w:rsid w:val="00096669"/>
    <w:pPr>
      <w:ind w:left="720" w:hanging="720"/>
    </w:pPr>
    <w:rPr>
      <w:szCs w:val="24"/>
    </w:rPr>
  </w:style>
  <w:style w:type="paragraph" w:styleId="Salutation">
    <w:name w:val="Salutation"/>
    <w:basedOn w:val="Normal"/>
    <w:next w:val="Normal"/>
    <w:link w:val="SalutationChar"/>
    <w:rsid w:val="00096669"/>
  </w:style>
  <w:style w:type="character" w:customStyle="1" w:styleId="SalutationChar">
    <w:name w:val="Salutation Char"/>
    <w:basedOn w:val="DefaultParagraphFont"/>
    <w:link w:val="Salutation"/>
    <w:rsid w:val="00096669"/>
    <w:rPr>
      <w:rFonts w:eastAsia="Times New Roman"/>
      <w:szCs w:val="20"/>
    </w:rPr>
  </w:style>
  <w:style w:type="paragraph" w:customStyle="1" w:styleId="BodyText0">
    <w:name w:val="Body Text 0"/>
    <w:aliases w:val="b0"/>
    <w:basedOn w:val="Normal"/>
    <w:rsid w:val="00096669"/>
    <w:pPr>
      <w:spacing w:after="240"/>
    </w:pPr>
  </w:style>
  <w:style w:type="paragraph" w:styleId="ListParagraph">
    <w:name w:val="List Paragraph"/>
    <w:basedOn w:val="Normal"/>
    <w:uiPriority w:val="34"/>
    <w:qFormat/>
    <w:rsid w:val="00096669"/>
    <w:pPr>
      <w:ind w:left="720"/>
      <w:contextualSpacing/>
    </w:pPr>
  </w:style>
  <w:style w:type="character" w:customStyle="1" w:styleId="ptext-25">
    <w:name w:val="ptext-25"/>
    <w:basedOn w:val="DefaultParagraphFont"/>
    <w:rsid w:val="005D34B2"/>
  </w:style>
  <w:style w:type="character" w:styleId="Hyperlink">
    <w:name w:val="Hyperlink"/>
    <w:basedOn w:val="DefaultParagraphFont"/>
    <w:uiPriority w:val="99"/>
    <w:unhideWhenUsed/>
    <w:rsid w:val="00F66496"/>
    <w:rPr>
      <w:color w:val="0563C1" w:themeColor="hyperlink"/>
      <w:u w:val="single"/>
    </w:rPr>
  </w:style>
  <w:style w:type="character" w:styleId="UnresolvedMention">
    <w:name w:val="Unresolved Mention"/>
    <w:basedOn w:val="DefaultParagraphFont"/>
    <w:uiPriority w:val="99"/>
    <w:semiHidden/>
    <w:unhideWhenUsed/>
    <w:rsid w:val="00F66496"/>
    <w:rPr>
      <w:color w:val="605E5C"/>
      <w:shd w:val="clear" w:color="auto" w:fill="E1DFDD"/>
    </w:rPr>
  </w:style>
  <w:style w:type="paragraph" w:styleId="FootnoteText">
    <w:name w:val="footnote text"/>
    <w:basedOn w:val="Normal"/>
    <w:link w:val="FootnoteTextChar"/>
    <w:uiPriority w:val="99"/>
    <w:semiHidden/>
    <w:unhideWhenUsed/>
    <w:rsid w:val="00012A5E"/>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012A5E"/>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012A5E"/>
    <w:rPr>
      <w:vertAlign w:val="superscript"/>
    </w:rPr>
  </w:style>
  <w:style w:type="character" w:styleId="CommentReference">
    <w:name w:val="annotation reference"/>
    <w:basedOn w:val="DefaultParagraphFont"/>
    <w:uiPriority w:val="99"/>
    <w:semiHidden/>
    <w:unhideWhenUsed/>
    <w:rsid w:val="00664BED"/>
    <w:rPr>
      <w:sz w:val="16"/>
      <w:szCs w:val="16"/>
    </w:rPr>
  </w:style>
  <w:style w:type="paragraph" w:styleId="CommentText">
    <w:name w:val="annotation text"/>
    <w:basedOn w:val="Normal"/>
    <w:link w:val="CommentTextChar"/>
    <w:uiPriority w:val="99"/>
    <w:unhideWhenUsed/>
    <w:rsid w:val="00664BED"/>
    <w:rPr>
      <w:sz w:val="20"/>
    </w:rPr>
  </w:style>
  <w:style w:type="character" w:customStyle="1" w:styleId="CommentTextChar">
    <w:name w:val="Comment Text Char"/>
    <w:basedOn w:val="DefaultParagraphFont"/>
    <w:link w:val="CommentText"/>
    <w:uiPriority w:val="99"/>
    <w:rsid w:val="00664BED"/>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664BED"/>
    <w:rPr>
      <w:b/>
      <w:bCs/>
    </w:rPr>
  </w:style>
  <w:style w:type="character" w:customStyle="1" w:styleId="CommentSubjectChar">
    <w:name w:val="Comment Subject Char"/>
    <w:basedOn w:val="CommentTextChar"/>
    <w:link w:val="CommentSubject"/>
    <w:uiPriority w:val="99"/>
    <w:semiHidden/>
    <w:rsid w:val="00664BED"/>
    <w:rPr>
      <w:rFonts w:eastAsia="Times New Roman"/>
      <w:b/>
      <w:bCs/>
      <w:sz w:val="20"/>
      <w:szCs w:val="20"/>
    </w:rPr>
  </w:style>
  <w:style w:type="paragraph" w:styleId="Revision">
    <w:name w:val="Revision"/>
    <w:hidden/>
    <w:uiPriority w:val="99"/>
    <w:semiHidden/>
    <w:rsid w:val="00AB71C3"/>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031377">
      <w:bodyDiv w:val="1"/>
      <w:marLeft w:val="0"/>
      <w:marRight w:val="0"/>
      <w:marTop w:val="0"/>
      <w:marBottom w:val="0"/>
      <w:divBdr>
        <w:top w:val="none" w:sz="0" w:space="0" w:color="auto"/>
        <w:left w:val="none" w:sz="0" w:space="0" w:color="auto"/>
        <w:bottom w:val="none" w:sz="0" w:space="0" w:color="auto"/>
        <w:right w:val="none" w:sz="0" w:space="0" w:color="auto"/>
      </w:divBdr>
    </w:div>
    <w:div w:id="448622538">
      <w:bodyDiv w:val="1"/>
      <w:marLeft w:val="0"/>
      <w:marRight w:val="0"/>
      <w:marTop w:val="0"/>
      <w:marBottom w:val="0"/>
      <w:divBdr>
        <w:top w:val="none" w:sz="0" w:space="0" w:color="auto"/>
        <w:left w:val="none" w:sz="0" w:space="0" w:color="auto"/>
        <w:bottom w:val="none" w:sz="0" w:space="0" w:color="auto"/>
        <w:right w:val="none" w:sz="0" w:space="0" w:color="auto"/>
      </w:divBdr>
    </w:div>
    <w:div w:id="664092684">
      <w:bodyDiv w:val="1"/>
      <w:marLeft w:val="0"/>
      <w:marRight w:val="0"/>
      <w:marTop w:val="0"/>
      <w:marBottom w:val="0"/>
      <w:divBdr>
        <w:top w:val="none" w:sz="0" w:space="0" w:color="auto"/>
        <w:left w:val="none" w:sz="0" w:space="0" w:color="auto"/>
        <w:bottom w:val="none" w:sz="0" w:space="0" w:color="auto"/>
        <w:right w:val="none" w:sz="0" w:space="0" w:color="auto"/>
      </w:divBdr>
    </w:div>
    <w:div w:id="834878553">
      <w:bodyDiv w:val="1"/>
      <w:marLeft w:val="0"/>
      <w:marRight w:val="0"/>
      <w:marTop w:val="0"/>
      <w:marBottom w:val="0"/>
      <w:divBdr>
        <w:top w:val="none" w:sz="0" w:space="0" w:color="auto"/>
        <w:left w:val="none" w:sz="0" w:space="0" w:color="auto"/>
        <w:bottom w:val="none" w:sz="0" w:space="0" w:color="auto"/>
        <w:right w:val="none" w:sz="0" w:space="0" w:color="auto"/>
      </w:divBdr>
    </w:div>
    <w:div w:id="1207335709">
      <w:bodyDiv w:val="1"/>
      <w:marLeft w:val="0"/>
      <w:marRight w:val="0"/>
      <w:marTop w:val="0"/>
      <w:marBottom w:val="0"/>
      <w:divBdr>
        <w:top w:val="none" w:sz="0" w:space="0" w:color="auto"/>
        <w:left w:val="none" w:sz="0" w:space="0" w:color="auto"/>
        <w:bottom w:val="none" w:sz="0" w:space="0" w:color="auto"/>
        <w:right w:val="none" w:sz="0" w:space="0" w:color="auto"/>
      </w:divBdr>
    </w:div>
    <w:div w:id="1656032144">
      <w:bodyDiv w:val="1"/>
      <w:marLeft w:val="0"/>
      <w:marRight w:val="0"/>
      <w:marTop w:val="0"/>
      <w:marBottom w:val="0"/>
      <w:divBdr>
        <w:top w:val="none" w:sz="0" w:space="0" w:color="auto"/>
        <w:left w:val="none" w:sz="0" w:space="0" w:color="auto"/>
        <w:bottom w:val="none" w:sz="0" w:space="0" w:color="auto"/>
        <w:right w:val="none" w:sz="0" w:space="0" w:color="auto"/>
      </w:divBdr>
    </w:div>
    <w:div w:id="203076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png@01D90BD5.7C9D1830"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E842D-A1E6-414D-9D9E-5A3F0A176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2276</Words>
  <Characters>12978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Riches</dc:creator>
  <cp:keywords/>
  <dc:description/>
  <cp:lastModifiedBy>Kris Schlott</cp:lastModifiedBy>
  <cp:revision>15</cp:revision>
  <cp:lastPrinted>2024-05-17T23:54:00Z</cp:lastPrinted>
  <dcterms:created xsi:type="dcterms:W3CDTF">2024-05-17T22:09:00Z</dcterms:created>
  <dcterms:modified xsi:type="dcterms:W3CDTF">2024-05-17T23:54:00Z</dcterms:modified>
</cp:coreProperties>
</file>