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B6E4" w14:textId="77777777" w:rsidR="005374E1" w:rsidRPr="000E4072" w:rsidRDefault="005374E1" w:rsidP="005374E1">
      <w:pPr>
        <w:spacing w:before="100" w:beforeAutospacing="1"/>
        <w:rPr>
          <w:rFonts w:ascii="Times New Roman" w:hAnsi="Times New Roman" w:cs="Times New Roman"/>
          <w:szCs w:val="26"/>
        </w:rPr>
      </w:pPr>
      <w:r w:rsidRPr="000E4072">
        <w:rPr>
          <w:rFonts w:ascii="Times New Roman" w:hAnsi="Times New Roman" w:cs="Times New Roman"/>
          <w:b/>
          <w:caps/>
          <w:szCs w:val="26"/>
        </w:rPr>
        <w:t>KRIStin K. MAYES</w:t>
      </w:r>
      <w:r w:rsidRPr="000E4072">
        <w:rPr>
          <w:rFonts w:ascii="Times New Roman" w:hAnsi="Times New Roman" w:cs="Times New Roman"/>
          <w:b/>
          <w:caps/>
          <w:szCs w:val="26"/>
        </w:rPr>
        <w:br/>
        <w:t>Attorney General</w:t>
      </w:r>
      <w:r w:rsidRPr="000E4072">
        <w:rPr>
          <w:rFonts w:ascii="Times New Roman" w:hAnsi="Times New Roman" w:cs="Times New Roman"/>
          <w:b/>
          <w:szCs w:val="26"/>
        </w:rPr>
        <w:br/>
      </w:r>
      <w:r w:rsidRPr="000E4072">
        <w:rPr>
          <w:rFonts w:ascii="Times New Roman" w:hAnsi="Times New Roman" w:cs="Times New Roman"/>
          <w:szCs w:val="26"/>
        </w:rPr>
        <w:t>(Firm State Bar No. 14000)</w:t>
      </w:r>
    </w:p>
    <w:p w14:paraId="523F48F4" w14:textId="77777777" w:rsidR="005374E1" w:rsidRPr="000E4072" w:rsidRDefault="005374E1" w:rsidP="005374E1">
      <w:pPr>
        <w:spacing w:before="100" w:beforeAutospacing="1"/>
        <w:rPr>
          <w:rFonts w:ascii="Times New Roman" w:hAnsi="Times New Roman" w:cs="Times New Roman"/>
          <w:szCs w:val="26"/>
        </w:rPr>
      </w:pPr>
      <w:r w:rsidRPr="000E4072">
        <w:rPr>
          <w:rFonts w:ascii="Times New Roman" w:hAnsi="Times New Roman" w:cs="Times New Roman"/>
          <w:szCs w:val="26"/>
        </w:rPr>
        <w:t>Joshua D. Bendor (Bar No. 031908)</w:t>
      </w:r>
    </w:p>
    <w:p w14:paraId="4D506C56" w14:textId="17CB49F6" w:rsidR="005374E1" w:rsidRPr="000E4072" w:rsidRDefault="005374E1" w:rsidP="005374E1">
      <w:pPr>
        <w:rPr>
          <w:rFonts w:ascii="Times New Roman" w:hAnsi="Times New Roman" w:cs="Times New Roman"/>
          <w:szCs w:val="26"/>
        </w:rPr>
      </w:pPr>
      <w:r w:rsidRPr="000E4072">
        <w:rPr>
          <w:rFonts w:ascii="Times New Roman" w:hAnsi="Times New Roman" w:cs="Times New Roman"/>
          <w:szCs w:val="26"/>
        </w:rPr>
        <w:t>Clinten N. Garrett (Bar No. 022457)</w:t>
      </w:r>
    </w:p>
    <w:p w14:paraId="2158EF45" w14:textId="77777777" w:rsidR="005374E1" w:rsidRPr="000E4072" w:rsidRDefault="005374E1" w:rsidP="005374E1">
      <w:pPr>
        <w:rPr>
          <w:rFonts w:ascii="Times New Roman" w:hAnsi="Times New Roman" w:cs="Times New Roman"/>
          <w:szCs w:val="26"/>
        </w:rPr>
      </w:pPr>
      <w:r w:rsidRPr="000E4072">
        <w:rPr>
          <w:rFonts w:ascii="Times New Roman" w:hAnsi="Times New Roman" w:cs="Times New Roman"/>
          <w:bCs/>
          <w:szCs w:val="26"/>
        </w:rPr>
        <w:t>Office of the A</w:t>
      </w:r>
      <w:bookmarkStart w:id="0" w:name="_GoBack"/>
      <w:bookmarkEnd w:id="0"/>
      <w:r w:rsidRPr="000E4072">
        <w:rPr>
          <w:rFonts w:ascii="Times New Roman" w:hAnsi="Times New Roman" w:cs="Times New Roman"/>
          <w:bCs/>
          <w:szCs w:val="26"/>
        </w:rPr>
        <w:t>rizona Attorney General</w:t>
      </w:r>
      <w:r w:rsidRPr="000E4072">
        <w:rPr>
          <w:rFonts w:ascii="Times New Roman" w:hAnsi="Times New Roman" w:cs="Times New Roman"/>
          <w:bCs/>
          <w:szCs w:val="26"/>
        </w:rPr>
        <w:br/>
        <w:t>2005 N. Central Avenue</w:t>
      </w:r>
    </w:p>
    <w:p w14:paraId="6BDFDD3D" w14:textId="77777777" w:rsidR="005374E1" w:rsidRPr="000E4072" w:rsidRDefault="005374E1" w:rsidP="005374E1">
      <w:pPr>
        <w:rPr>
          <w:rFonts w:ascii="Times New Roman" w:hAnsi="Times New Roman" w:cs="Times New Roman"/>
          <w:bCs/>
          <w:szCs w:val="26"/>
        </w:rPr>
      </w:pPr>
      <w:r w:rsidRPr="000E4072">
        <w:rPr>
          <w:rFonts w:ascii="Times New Roman" w:hAnsi="Times New Roman" w:cs="Times New Roman"/>
          <w:bCs/>
          <w:szCs w:val="26"/>
        </w:rPr>
        <w:t>Phoenix, AZ 85004-1592</w:t>
      </w:r>
    </w:p>
    <w:p w14:paraId="06376FB0" w14:textId="77777777" w:rsidR="005374E1" w:rsidRPr="000E4072" w:rsidRDefault="005374E1" w:rsidP="005374E1">
      <w:pPr>
        <w:rPr>
          <w:rFonts w:ascii="Times New Roman" w:hAnsi="Times New Roman" w:cs="Times New Roman"/>
          <w:szCs w:val="26"/>
        </w:rPr>
      </w:pPr>
      <w:r w:rsidRPr="000E4072">
        <w:rPr>
          <w:rFonts w:ascii="Times New Roman" w:hAnsi="Times New Roman" w:cs="Times New Roman"/>
          <w:szCs w:val="26"/>
        </w:rPr>
        <w:t>(602) 542-3333</w:t>
      </w:r>
    </w:p>
    <w:p w14:paraId="17C4769A" w14:textId="77777777" w:rsidR="005374E1" w:rsidRPr="000E4072" w:rsidRDefault="005374E1" w:rsidP="005374E1">
      <w:pPr>
        <w:rPr>
          <w:rFonts w:ascii="Times New Roman" w:hAnsi="Times New Roman" w:cs="Times New Roman"/>
          <w:bCs/>
          <w:szCs w:val="26"/>
        </w:rPr>
      </w:pPr>
      <w:r w:rsidRPr="000E4072">
        <w:rPr>
          <w:rFonts w:ascii="Times New Roman" w:hAnsi="Times New Roman" w:cs="Times New Roman"/>
          <w:bCs/>
          <w:szCs w:val="26"/>
        </w:rPr>
        <w:t>Joshua.Bendor@azag.gov</w:t>
      </w:r>
    </w:p>
    <w:p w14:paraId="66C7B777" w14:textId="1634816C" w:rsidR="005374E1" w:rsidRPr="000E4072" w:rsidRDefault="005374E1" w:rsidP="005374E1">
      <w:pPr>
        <w:rPr>
          <w:rFonts w:ascii="Times New Roman" w:hAnsi="Times New Roman" w:cs="Times New Roman"/>
          <w:color w:val="0000FF" w:themeColor="hyperlink"/>
        </w:rPr>
      </w:pPr>
      <w:bookmarkStart w:id="1" w:name="_Hlk158629538"/>
      <w:bookmarkStart w:id="2" w:name="_Hlk132898258"/>
      <w:r w:rsidRPr="000E4072">
        <w:rPr>
          <w:rFonts w:ascii="Times New Roman" w:hAnsi="Times New Roman" w:cs="Times New Roman"/>
        </w:rPr>
        <w:t>Clinten.Garrett@azag.gov</w:t>
      </w:r>
    </w:p>
    <w:bookmarkEnd w:id="1"/>
    <w:p w14:paraId="16D648F1" w14:textId="77777777" w:rsidR="005374E1" w:rsidRPr="000E4072" w:rsidRDefault="005374E1" w:rsidP="005374E1">
      <w:pPr>
        <w:rPr>
          <w:rFonts w:ascii="Times New Roman" w:hAnsi="Times New Roman" w:cs="Times New Roman"/>
        </w:rPr>
      </w:pPr>
      <w:r w:rsidRPr="000E4072">
        <w:rPr>
          <w:rFonts w:ascii="Times New Roman" w:hAnsi="Times New Roman" w:cs="Times New Roman"/>
        </w:rPr>
        <w:t xml:space="preserve">ACL@azag.gov </w:t>
      </w:r>
    </w:p>
    <w:bookmarkEnd w:id="2"/>
    <w:p w14:paraId="6AC7ECC7" w14:textId="77777777" w:rsidR="009A0525" w:rsidRPr="009A0525" w:rsidRDefault="009A0525" w:rsidP="009A0525">
      <w:pPr>
        <w:widowControl w:val="0"/>
        <w:autoSpaceDE w:val="0"/>
        <w:autoSpaceDN w:val="0"/>
        <w:rPr>
          <w:rFonts w:ascii="Times New Roman" w:eastAsia="Times New Roman" w:hAnsi="Times New Roman" w:cs="Times New Roman"/>
          <w:sz w:val="30"/>
        </w:rPr>
      </w:pPr>
    </w:p>
    <w:p w14:paraId="12D37AF1" w14:textId="77777777" w:rsidR="009A0525" w:rsidRPr="009A0525" w:rsidRDefault="009A0525" w:rsidP="009A0525">
      <w:pPr>
        <w:widowControl w:val="0"/>
        <w:autoSpaceDE w:val="0"/>
        <w:autoSpaceDN w:val="0"/>
        <w:rPr>
          <w:rFonts w:ascii="Times New Roman" w:eastAsia="Times New Roman" w:hAnsi="Times New Roman" w:cs="Times New Roman"/>
          <w:sz w:val="26"/>
        </w:rPr>
      </w:pPr>
    </w:p>
    <w:p w14:paraId="0E855497" w14:textId="60D41900" w:rsidR="00627DE6" w:rsidRDefault="00627DE6" w:rsidP="00627DE6">
      <w:pPr>
        <w:pStyle w:val="Court"/>
        <w:spacing w:line="240" w:lineRule="auto"/>
        <w:rPr>
          <w:bCs/>
          <w:sz w:val="28"/>
          <w:szCs w:val="28"/>
        </w:rPr>
      </w:pPr>
      <w:r>
        <w:rPr>
          <w:bCs/>
          <w:sz w:val="28"/>
          <w:szCs w:val="28"/>
        </w:rPr>
        <w:t>SUPREME COURT</w:t>
      </w:r>
      <w:r w:rsidR="00915124">
        <w:rPr>
          <w:bCs/>
          <w:sz w:val="28"/>
          <w:szCs w:val="28"/>
        </w:rPr>
        <w:t xml:space="preserve"> of arizona</w:t>
      </w:r>
      <w:r>
        <w:rPr>
          <w:bCs/>
          <w:sz w:val="28"/>
          <w:szCs w:val="28"/>
        </w:rPr>
        <w:br/>
      </w: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627DE6" w14:paraId="7A988983" w14:textId="77777777" w:rsidTr="00627DE6">
        <w:tc>
          <w:tcPr>
            <w:tcW w:w="4680" w:type="dxa"/>
            <w:tcBorders>
              <w:top w:val="nil"/>
              <w:left w:val="nil"/>
              <w:bottom w:val="single" w:sz="4" w:space="0" w:color="auto"/>
              <w:right w:val="single" w:sz="4" w:space="0" w:color="auto"/>
            </w:tcBorders>
            <w:hideMark/>
          </w:tcPr>
          <w:p w14:paraId="2C0AEB4A" w14:textId="77777777" w:rsidR="00627DE6" w:rsidRDefault="00627DE6">
            <w:pPr>
              <w:pStyle w:val="Caption"/>
              <w:spacing w:before="240" w:line="260" w:lineRule="exact"/>
              <w:rPr>
                <w:sz w:val="28"/>
                <w:szCs w:val="28"/>
              </w:rPr>
            </w:pPr>
            <w:bookmarkStart w:id="3" w:name="_zzmpFIXED_CaptionTable"/>
            <w:r>
              <w:rPr>
                <w:sz w:val="28"/>
                <w:szCs w:val="28"/>
              </w:rPr>
              <w:t>In the Matter of:</w:t>
            </w:r>
          </w:p>
          <w:p w14:paraId="39F145D5" w14:textId="77777777" w:rsidR="00627DE6" w:rsidRDefault="00627DE6">
            <w:pPr>
              <w:pStyle w:val="Caption"/>
              <w:spacing w:before="240" w:line="240" w:lineRule="auto"/>
              <w:rPr>
                <w:b/>
                <w:sz w:val="28"/>
                <w:szCs w:val="28"/>
              </w:rPr>
            </w:pPr>
            <w:r>
              <w:rPr>
                <w:sz w:val="28"/>
                <w:szCs w:val="28"/>
              </w:rPr>
              <w:t>PETITION TO AMEND THE RULES OF SPECIAL ACTION PROCEDURE</w:t>
            </w:r>
            <w:r>
              <w:rPr>
                <w:b/>
                <w:sz w:val="28"/>
                <w:szCs w:val="28"/>
              </w:rPr>
              <w:br/>
            </w:r>
          </w:p>
        </w:tc>
        <w:tc>
          <w:tcPr>
            <w:tcW w:w="4524" w:type="dxa"/>
            <w:tcBorders>
              <w:top w:val="nil"/>
              <w:left w:val="single" w:sz="4" w:space="0" w:color="auto"/>
              <w:bottom w:val="nil"/>
              <w:right w:val="nil"/>
            </w:tcBorders>
          </w:tcPr>
          <w:p w14:paraId="7810CEF2" w14:textId="77777777" w:rsidR="00627DE6" w:rsidRDefault="00627DE6">
            <w:pPr>
              <w:pStyle w:val="Caption"/>
              <w:tabs>
                <w:tab w:val="left" w:pos="1238"/>
              </w:tabs>
              <w:spacing w:before="240" w:after="240"/>
              <w:ind w:left="259" w:right="115"/>
              <w:rPr>
                <w:sz w:val="28"/>
                <w:szCs w:val="28"/>
              </w:rPr>
            </w:pPr>
            <w:r>
              <w:rPr>
                <w:sz w:val="28"/>
                <w:szCs w:val="28"/>
              </w:rPr>
              <w:t>Supreme Court No. R-23-0055</w:t>
            </w:r>
          </w:p>
          <w:p w14:paraId="37E02090" w14:textId="51988C74" w:rsidR="00627DE6" w:rsidRDefault="00627DE6">
            <w:pPr>
              <w:pStyle w:val="Caption"/>
              <w:tabs>
                <w:tab w:val="left" w:pos="1238"/>
              </w:tabs>
              <w:spacing w:line="260" w:lineRule="exact"/>
              <w:ind w:left="257" w:right="115"/>
              <w:rPr>
                <w:b/>
                <w:sz w:val="28"/>
                <w:szCs w:val="28"/>
              </w:rPr>
            </w:pPr>
            <w:r>
              <w:rPr>
                <w:b/>
                <w:sz w:val="28"/>
                <w:szCs w:val="28"/>
              </w:rPr>
              <w:t xml:space="preserve">COMMENT </w:t>
            </w:r>
            <w:r w:rsidR="000C0CFF">
              <w:rPr>
                <w:b/>
                <w:sz w:val="28"/>
                <w:szCs w:val="28"/>
              </w:rPr>
              <w:t>ON</w:t>
            </w:r>
            <w:r>
              <w:rPr>
                <w:b/>
                <w:sz w:val="28"/>
                <w:szCs w:val="28"/>
              </w:rPr>
              <w:t xml:space="preserve"> PETITION TO AMEND THE RULES OF PROCEDURE FOR SPECIAL ACTIONS</w:t>
            </w:r>
          </w:p>
          <w:p w14:paraId="2C4DF786" w14:textId="77777777" w:rsidR="00627DE6" w:rsidRDefault="00627DE6">
            <w:pPr>
              <w:pStyle w:val="DocumentTitle"/>
              <w:rPr>
                <w:szCs w:val="26"/>
              </w:rPr>
            </w:pPr>
          </w:p>
          <w:p w14:paraId="461DA6E5" w14:textId="77777777" w:rsidR="00627DE6" w:rsidRDefault="00627DE6">
            <w:pPr>
              <w:pStyle w:val="Caption"/>
              <w:ind w:left="1512" w:right="115" w:hanging="1253"/>
              <w:rPr>
                <w:szCs w:val="26"/>
              </w:rPr>
            </w:pPr>
          </w:p>
        </w:tc>
        <w:bookmarkEnd w:id="3"/>
      </w:tr>
    </w:tbl>
    <w:p w14:paraId="4C019F36" w14:textId="77777777" w:rsidR="009A0525" w:rsidRPr="00075386" w:rsidRDefault="009A0525" w:rsidP="00AC3F84">
      <w:pPr>
        <w:pStyle w:val="BodyText"/>
        <w:spacing w:before="1"/>
        <w:ind w:firstLine="0"/>
        <w:rPr>
          <w:b/>
          <w:szCs w:val="28"/>
        </w:rPr>
      </w:pPr>
    </w:p>
    <w:p w14:paraId="11560481" w14:textId="1B4BB0FD" w:rsidR="00E70347" w:rsidRDefault="00AC3F84" w:rsidP="009A0525">
      <w:pPr>
        <w:pStyle w:val="BodyText"/>
        <w:ind w:left="119" w:right="116" w:firstLine="719"/>
        <w:jc w:val="both"/>
        <w:rPr>
          <w:spacing w:val="-9"/>
          <w:szCs w:val="28"/>
        </w:rPr>
      </w:pPr>
      <w:r>
        <w:rPr>
          <w:szCs w:val="28"/>
        </w:rPr>
        <w:t>P</w:t>
      </w:r>
      <w:r w:rsidRPr="00075386">
        <w:rPr>
          <w:szCs w:val="28"/>
        </w:rPr>
        <w:t>ursuant to</w:t>
      </w:r>
      <w:r>
        <w:rPr>
          <w:szCs w:val="28"/>
        </w:rPr>
        <w:t xml:space="preserve"> Supreme Court</w:t>
      </w:r>
      <w:r w:rsidRPr="00075386">
        <w:rPr>
          <w:szCs w:val="28"/>
        </w:rPr>
        <w:t xml:space="preserve"> Rule 28</w:t>
      </w:r>
      <w:r>
        <w:rPr>
          <w:szCs w:val="28"/>
        </w:rPr>
        <w:t>(e), the</w:t>
      </w:r>
      <w:r w:rsidR="009A0525" w:rsidRPr="00075386">
        <w:rPr>
          <w:szCs w:val="28"/>
        </w:rPr>
        <w:t xml:space="preserve"> Arizona Attorney General’s Office submits this comment on the</w:t>
      </w:r>
      <w:r w:rsidR="009A0525" w:rsidRPr="00075386">
        <w:rPr>
          <w:spacing w:val="-10"/>
          <w:szCs w:val="28"/>
        </w:rPr>
        <w:t xml:space="preserve"> </w:t>
      </w:r>
      <w:r w:rsidR="009A0525" w:rsidRPr="00075386">
        <w:rPr>
          <w:szCs w:val="28"/>
        </w:rPr>
        <w:t>Task</w:t>
      </w:r>
      <w:r w:rsidR="009A0525" w:rsidRPr="00075386">
        <w:rPr>
          <w:spacing w:val="-7"/>
          <w:szCs w:val="28"/>
        </w:rPr>
        <w:t xml:space="preserve"> </w:t>
      </w:r>
      <w:r w:rsidR="009A0525" w:rsidRPr="00075386">
        <w:rPr>
          <w:szCs w:val="28"/>
        </w:rPr>
        <w:t>Force’s</w:t>
      </w:r>
      <w:r w:rsidR="009A0525" w:rsidRPr="00075386">
        <w:rPr>
          <w:spacing w:val="-7"/>
          <w:szCs w:val="28"/>
        </w:rPr>
        <w:t xml:space="preserve"> </w:t>
      </w:r>
      <w:r w:rsidR="009A0525" w:rsidRPr="00075386">
        <w:rPr>
          <w:szCs w:val="28"/>
        </w:rPr>
        <w:t>Petition</w:t>
      </w:r>
      <w:r w:rsidR="009A0525" w:rsidRPr="00075386">
        <w:rPr>
          <w:spacing w:val="-7"/>
          <w:szCs w:val="28"/>
        </w:rPr>
        <w:t xml:space="preserve"> </w:t>
      </w:r>
      <w:r w:rsidR="009A0525" w:rsidRPr="00075386">
        <w:rPr>
          <w:szCs w:val="28"/>
        </w:rPr>
        <w:t>to</w:t>
      </w:r>
      <w:r w:rsidR="009A0525" w:rsidRPr="00075386">
        <w:rPr>
          <w:spacing w:val="-9"/>
          <w:szCs w:val="28"/>
        </w:rPr>
        <w:t xml:space="preserve"> </w:t>
      </w:r>
      <w:r w:rsidR="009A0525" w:rsidRPr="00075386">
        <w:rPr>
          <w:szCs w:val="28"/>
        </w:rPr>
        <w:t>Amend</w:t>
      </w:r>
      <w:r w:rsidR="009A0525" w:rsidRPr="00075386">
        <w:rPr>
          <w:spacing w:val="-9"/>
          <w:szCs w:val="28"/>
        </w:rPr>
        <w:t xml:space="preserve"> </w:t>
      </w:r>
      <w:r w:rsidR="009A0525" w:rsidRPr="00075386">
        <w:rPr>
          <w:szCs w:val="28"/>
        </w:rPr>
        <w:t>the</w:t>
      </w:r>
      <w:r w:rsidR="009A0525" w:rsidRPr="00075386">
        <w:rPr>
          <w:spacing w:val="-7"/>
          <w:szCs w:val="28"/>
        </w:rPr>
        <w:t xml:space="preserve"> </w:t>
      </w:r>
      <w:r w:rsidR="009A0525" w:rsidRPr="00075386">
        <w:rPr>
          <w:szCs w:val="28"/>
        </w:rPr>
        <w:t>Rules</w:t>
      </w:r>
      <w:r w:rsidR="009A0525" w:rsidRPr="00075386">
        <w:rPr>
          <w:spacing w:val="-7"/>
          <w:szCs w:val="28"/>
        </w:rPr>
        <w:t xml:space="preserve"> </w:t>
      </w:r>
      <w:r w:rsidR="009A0525" w:rsidRPr="00075386">
        <w:rPr>
          <w:szCs w:val="28"/>
        </w:rPr>
        <w:t>of</w:t>
      </w:r>
      <w:r w:rsidR="009A0525" w:rsidRPr="00075386">
        <w:rPr>
          <w:spacing w:val="-8"/>
          <w:szCs w:val="28"/>
        </w:rPr>
        <w:t xml:space="preserve"> </w:t>
      </w:r>
      <w:r w:rsidR="009A0525" w:rsidRPr="00075386">
        <w:rPr>
          <w:szCs w:val="28"/>
        </w:rPr>
        <w:t>Procedure</w:t>
      </w:r>
      <w:r w:rsidR="009A0525" w:rsidRPr="00075386">
        <w:rPr>
          <w:spacing w:val="-7"/>
          <w:szCs w:val="28"/>
        </w:rPr>
        <w:t xml:space="preserve"> </w:t>
      </w:r>
      <w:r w:rsidR="009A0525" w:rsidRPr="00075386">
        <w:rPr>
          <w:szCs w:val="28"/>
        </w:rPr>
        <w:t>for</w:t>
      </w:r>
      <w:r w:rsidR="009A0525" w:rsidRPr="00075386">
        <w:rPr>
          <w:spacing w:val="-8"/>
          <w:szCs w:val="28"/>
        </w:rPr>
        <w:t xml:space="preserve"> </w:t>
      </w:r>
      <w:r w:rsidR="009A0525" w:rsidRPr="00075386">
        <w:rPr>
          <w:szCs w:val="28"/>
        </w:rPr>
        <w:t>Special</w:t>
      </w:r>
      <w:r w:rsidR="009A0525" w:rsidRPr="00075386">
        <w:rPr>
          <w:spacing w:val="-9"/>
          <w:szCs w:val="28"/>
        </w:rPr>
        <w:t xml:space="preserve"> </w:t>
      </w:r>
      <w:r w:rsidR="009A0525" w:rsidRPr="00075386">
        <w:rPr>
          <w:szCs w:val="28"/>
        </w:rPr>
        <w:t>Actions</w:t>
      </w:r>
      <w:r>
        <w:rPr>
          <w:szCs w:val="28"/>
        </w:rPr>
        <w:t xml:space="preserve">. </w:t>
      </w:r>
      <w:r w:rsidR="008914E8">
        <w:rPr>
          <w:szCs w:val="28"/>
        </w:rPr>
        <w:t>While u</w:t>
      </w:r>
      <w:r>
        <w:rPr>
          <w:szCs w:val="28"/>
        </w:rPr>
        <w:t xml:space="preserve">ndersigned counsel helped </w:t>
      </w:r>
      <w:r w:rsidR="00CB7B73">
        <w:rPr>
          <w:szCs w:val="28"/>
        </w:rPr>
        <w:t>marshal</w:t>
      </w:r>
      <w:r w:rsidR="00391BC7">
        <w:rPr>
          <w:szCs w:val="28"/>
        </w:rPr>
        <w:t xml:space="preserve"> and </w:t>
      </w:r>
      <w:r w:rsidR="00B76423">
        <w:rPr>
          <w:szCs w:val="28"/>
        </w:rPr>
        <w:t>distill</w:t>
      </w:r>
      <w:r>
        <w:rPr>
          <w:szCs w:val="28"/>
        </w:rPr>
        <w:t xml:space="preserve"> th</w:t>
      </w:r>
      <w:r w:rsidR="007E4CE8">
        <w:rPr>
          <w:szCs w:val="28"/>
        </w:rPr>
        <w:t>e</w:t>
      </w:r>
      <w:r>
        <w:rPr>
          <w:szCs w:val="28"/>
        </w:rPr>
        <w:t xml:space="preserve"> comment, it</w:t>
      </w:r>
      <w:r w:rsidRPr="00075386">
        <w:rPr>
          <w:spacing w:val="-9"/>
          <w:szCs w:val="28"/>
        </w:rPr>
        <w:t xml:space="preserve"> reflects input from multiple </w:t>
      </w:r>
      <w:r w:rsidR="008914E8">
        <w:rPr>
          <w:spacing w:val="-9"/>
          <w:szCs w:val="28"/>
        </w:rPr>
        <w:t xml:space="preserve">experienced </w:t>
      </w:r>
      <w:r w:rsidRPr="00075386">
        <w:rPr>
          <w:spacing w:val="-9"/>
          <w:szCs w:val="28"/>
        </w:rPr>
        <w:t xml:space="preserve">appellate and trial court attorneys in the </w:t>
      </w:r>
      <w:r w:rsidR="008914E8">
        <w:rPr>
          <w:spacing w:val="-9"/>
          <w:szCs w:val="28"/>
        </w:rPr>
        <w:t>O</w:t>
      </w:r>
      <w:r w:rsidRPr="00075386">
        <w:rPr>
          <w:spacing w:val="-9"/>
          <w:szCs w:val="28"/>
        </w:rPr>
        <w:t>ffice.</w:t>
      </w:r>
    </w:p>
    <w:p w14:paraId="119B367A" w14:textId="1894EC08" w:rsidR="009A0525" w:rsidRPr="008914E8" w:rsidRDefault="009A0525" w:rsidP="00173253">
      <w:pPr>
        <w:pStyle w:val="BodyText"/>
        <w:ind w:left="119" w:right="116" w:firstLine="719"/>
        <w:jc w:val="both"/>
        <w:rPr>
          <w:spacing w:val="-9"/>
          <w:szCs w:val="28"/>
        </w:rPr>
      </w:pPr>
      <w:r w:rsidRPr="00075386">
        <w:rPr>
          <w:spacing w:val="-9"/>
          <w:szCs w:val="28"/>
        </w:rPr>
        <w:t xml:space="preserve">The Office echoes the laudatory </w:t>
      </w:r>
      <w:r w:rsidR="00E70347">
        <w:rPr>
          <w:spacing w:val="-9"/>
          <w:szCs w:val="28"/>
        </w:rPr>
        <w:t>feedback that the Task Force has heard from others</w:t>
      </w:r>
      <w:r w:rsidR="008F0800">
        <w:rPr>
          <w:spacing w:val="-9"/>
          <w:szCs w:val="28"/>
        </w:rPr>
        <w:t xml:space="preserve"> and </w:t>
      </w:r>
      <w:r w:rsidR="005F721C">
        <w:rPr>
          <w:spacing w:val="-9"/>
          <w:szCs w:val="28"/>
        </w:rPr>
        <w:t>has therefore</w:t>
      </w:r>
      <w:r w:rsidR="00DB2AC0">
        <w:rPr>
          <w:spacing w:val="-9"/>
          <w:szCs w:val="28"/>
        </w:rPr>
        <w:t xml:space="preserve"> </w:t>
      </w:r>
      <w:r w:rsidR="000E4072">
        <w:rPr>
          <w:spacing w:val="-9"/>
          <w:szCs w:val="28"/>
        </w:rPr>
        <w:t xml:space="preserve">endeavored to provide feedback </w:t>
      </w:r>
      <w:r w:rsidR="009C1EEE">
        <w:rPr>
          <w:spacing w:val="-9"/>
          <w:szCs w:val="28"/>
        </w:rPr>
        <w:t>that aligns with</w:t>
      </w:r>
      <w:r w:rsidR="00DB2AC0">
        <w:rPr>
          <w:spacing w:val="-9"/>
          <w:szCs w:val="28"/>
        </w:rPr>
        <w:t xml:space="preserve"> the principles </w:t>
      </w:r>
      <w:r w:rsidR="00DB2AC0">
        <w:rPr>
          <w:spacing w:val="-9"/>
          <w:szCs w:val="28"/>
        </w:rPr>
        <w:lastRenderedPageBreak/>
        <w:t xml:space="preserve">and goals underlying the </w:t>
      </w:r>
      <w:r w:rsidR="001E69E1">
        <w:rPr>
          <w:spacing w:val="-9"/>
          <w:szCs w:val="28"/>
        </w:rPr>
        <w:t xml:space="preserve">commendable </w:t>
      </w:r>
      <w:r w:rsidR="00150A73">
        <w:rPr>
          <w:spacing w:val="-9"/>
          <w:szCs w:val="28"/>
        </w:rPr>
        <w:t>work</w:t>
      </w:r>
      <w:r w:rsidR="00D512AD">
        <w:rPr>
          <w:spacing w:val="-9"/>
          <w:szCs w:val="28"/>
        </w:rPr>
        <w:t xml:space="preserve"> </w:t>
      </w:r>
      <w:r w:rsidR="00DB2AC0">
        <w:rPr>
          <w:spacing w:val="-9"/>
          <w:szCs w:val="28"/>
        </w:rPr>
        <w:t>to this point</w:t>
      </w:r>
      <w:r w:rsidR="00D512AD">
        <w:rPr>
          <w:spacing w:val="-9"/>
          <w:szCs w:val="28"/>
        </w:rPr>
        <w:t xml:space="preserve">. </w:t>
      </w:r>
      <w:r w:rsidR="006B4C04">
        <w:rPr>
          <w:szCs w:val="28"/>
        </w:rPr>
        <w:t>Our</w:t>
      </w:r>
      <w:r w:rsidRPr="00075386">
        <w:rPr>
          <w:szCs w:val="28"/>
        </w:rPr>
        <w:t xml:space="preserve"> comment (1) </w:t>
      </w:r>
      <w:r w:rsidR="00B97AB8">
        <w:rPr>
          <w:szCs w:val="28"/>
        </w:rPr>
        <w:t>addresses</w:t>
      </w:r>
      <w:r w:rsidRPr="00075386">
        <w:rPr>
          <w:szCs w:val="28"/>
        </w:rPr>
        <w:t xml:space="preserve"> the most </w:t>
      </w:r>
      <w:r w:rsidR="00150A73">
        <w:rPr>
          <w:szCs w:val="28"/>
        </w:rPr>
        <w:t>significant substantive</w:t>
      </w:r>
      <w:r w:rsidRPr="00075386">
        <w:rPr>
          <w:szCs w:val="28"/>
        </w:rPr>
        <w:t xml:space="preserve"> concerns expressed within the </w:t>
      </w:r>
      <w:r w:rsidR="00E27A9B">
        <w:rPr>
          <w:szCs w:val="28"/>
        </w:rPr>
        <w:t>O</w:t>
      </w:r>
      <w:r w:rsidRPr="00075386">
        <w:rPr>
          <w:szCs w:val="28"/>
        </w:rPr>
        <w:t xml:space="preserve">ffice; (2) </w:t>
      </w:r>
      <w:r w:rsidR="00CB7B73">
        <w:rPr>
          <w:szCs w:val="28"/>
        </w:rPr>
        <w:t>offers</w:t>
      </w:r>
      <w:r w:rsidRPr="00075386">
        <w:rPr>
          <w:szCs w:val="28"/>
        </w:rPr>
        <w:t xml:space="preserve"> </w:t>
      </w:r>
      <w:r w:rsidR="008914E8">
        <w:rPr>
          <w:szCs w:val="28"/>
        </w:rPr>
        <w:t xml:space="preserve">additional substantive </w:t>
      </w:r>
      <w:r w:rsidR="001A36B9">
        <w:rPr>
          <w:szCs w:val="28"/>
        </w:rPr>
        <w:t>feedback</w:t>
      </w:r>
      <w:r w:rsidR="008914E8">
        <w:rPr>
          <w:szCs w:val="28"/>
        </w:rPr>
        <w:t xml:space="preserve"> </w:t>
      </w:r>
      <w:r w:rsidR="0058562E">
        <w:rPr>
          <w:szCs w:val="28"/>
        </w:rPr>
        <w:t>more briefly</w:t>
      </w:r>
      <w:r w:rsidRPr="00075386">
        <w:rPr>
          <w:szCs w:val="28"/>
        </w:rPr>
        <w:t xml:space="preserve">; and </w:t>
      </w:r>
      <w:r w:rsidR="001A36B9">
        <w:rPr>
          <w:szCs w:val="28"/>
        </w:rPr>
        <w:t xml:space="preserve">then </w:t>
      </w:r>
      <w:r w:rsidRPr="00075386">
        <w:rPr>
          <w:szCs w:val="28"/>
        </w:rPr>
        <w:t xml:space="preserve">(3) </w:t>
      </w:r>
      <w:r w:rsidR="006B4C04">
        <w:rPr>
          <w:szCs w:val="28"/>
        </w:rPr>
        <w:t>makes</w:t>
      </w:r>
      <w:r w:rsidRPr="00075386">
        <w:rPr>
          <w:szCs w:val="28"/>
        </w:rPr>
        <w:t xml:space="preserve"> </w:t>
      </w:r>
      <w:r w:rsidR="00263596">
        <w:rPr>
          <w:szCs w:val="28"/>
        </w:rPr>
        <w:t>a handful of</w:t>
      </w:r>
      <w:r w:rsidR="006B4C04">
        <w:rPr>
          <w:szCs w:val="28"/>
        </w:rPr>
        <w:t xml:space="preserve"> </w:t>
      </w:r>
      <w:r w:rsidRPr="00075386">
        <w:rPr>
          <w:szCs w:val="28"/>
        </w:rPr>
        <w:t xml:space="preserve">stylistic </w:t>
      </w:r>
      <w:r w:rsidR="006B4C04">
        <w:rPr>
          <w:szCs w:val="28"/>
        </w:rPr>
        <w:t>suggestions</w:t>
      </w:r>
      <w:r w:rsidRPr="00075386">
        <w:rPr>
          <w:szCs w:val="28"/>
        </w:rPr>
        <w:t xml:space="preserve"> for consideration. </w:t>
      </w:r>
    </w:p>
    <w:p w14:paraId="0A859A40" w14:textId="398BB413" w:rsidR="009A0525" w:rsidRPr="00075386" w:rsidRDefault="00E70347" w:rsidP="009A0525">
      <w:pPr>
        <w:pStyle w:val="OMCOABriefHeadingLevel2"/>
        <w:rPr>
          <w:sz w:val="28"/>
        </w:rPr>
      </w:pPr>
      <w:r>
        <w:rPr>
          <w:sz w:val="28"/>
        </w:rPr>
        <w:t>Primary</w:t>
      </w:r>
      <w:r w:rsidR="009A0525" w:rsidRPr="00075386">
        <w:rPr>
          <w:sz w:val="28"/>
        </w:rPr>
        <w:t xml:space="preserve"> substantive </w:t>
      </w:r>
      <w:r w:rsidR="00CB7B73">
        <w:rPr>
          <w:sz w:val="28"/>
        </w:rPr>
        <w:t>concerns</w:t>
      </w:r>
      <w:r w:rsidR="009A0525" w:rsidRPr="00075386">
        <w:rPr>
          <w:sz w:val="28"/>
        </w:rPr>
        <w:t xml:space="preserve">. </w:t>
      </w:r>
    </w:p>
    <w:p w14:paraId="427B3801" w14:textId="4E486DF5" w:rsidR="009A0525" w:rsidRPr="00075386" w:rsidRDefault="009A0525" w:rsidP="009A0525">
      <w:pPr>
        <w:pStyle w:val="OMCOABriefHeadingLevel3"/>
        <w:rPr>
          <w:sz w:val="28"/>
        </w:rPr>
      </w:pPr>
      <w:r w:rsidRPr="00075386">
        <w:rPr>
          <w:sz w:val="28"/>
        </w:rPr>
        <w:t xml:space="preserve">Omission of the threshold requirement that a special action is available only where there is </w:t>
      </w:r>
      <w:r w:rsidR="00573D2F">
        <w:rPr>
          <w:sz w:val="28"/>
        </w:rPr>
        <w:t xml:space="preserve">no </w:t>
      </w:r>
      <w:r w:rsidRPr="00075386">
        <w:rPr>
          <w:sz w:val="28"/>
        </w:rPr>
        <w:t xml:space="preserve">adequate remedy by appeal. </w:t>
      </w:r>
    </w:p>
    <w:p w14:paraId="0E394AE0" w14:textId="04533BB8" w:rsidR="000B43D4" w:rsidRDefault="00BB0AA2" w:rsidP="009A0525">
      <w:pPr>
        <w:pStyle w:val="BodyText"/>
        <w:ind w:left="119" w:right="116" w:firstLine="719"/>
        <w:jc w:val="both"/>
        <w:rPr>
          <w:szCs w:val="28"/>
        </w:rPr>
      </w:pPr>
      <w:r>
        <w:rPr>
          <w:szCs w:val="28"/>
        </w:rPr>
        <w:t>Under current Rule 1(a), “the special action shall not be available where there is an equally plain, speedy, and adequate remedy by appeal.” The proposed rules omit this provision</w:t>
      </w:r>
      <w:r w:rsidR="00191C19">
        <w:rPr>
          <w:szCs w:val="28"/>
        </w:rPr>
        <w:t>, as well as the similar language in Rule 8</w:t>
      </w:r>
      <w:r>
        <w:rPr>
          <w:szCs w:val="28"/>
        </w:rPr>
        <w:t xml:space="preserve">. </w:t>
      </w:r>
      <w:r w:rsidR="009A0525" w:rsidRPr="00075386">
        <w:rPr>
          <w:szCs w:val="28"/>
        </w:rPr>
        <w:t xml:space="preserve">The Office </w:t>
      </w:r>
      <w:r w:rsidR="006E5F04">
        <w:rPr>
          <w:szCs w:val="28"/>
        </w:rPr>
        <w:t>understands</w:t>
      </w:r>
      <w:r w:rsidR="009A0525" w:rsidRPr="00075386">
        <w:rPr>
          <w:szCs w:val="28"/>
        </w:rPr>
        <w:t xml:space="preserve"> that </w:t>
      </w:r>
      <w:r>
        <w:rPr>
          <w:szCs w:val="28"/>
        </w:rPr>
        <w:t xml:space="preserve">this </w:t>
      </w:r>
      <w:r w:rsidR="009A0525" w:rsidRPr="00075386">
        <w:rPr>
          <w:szCs w:val="28"/>
        </w:rPr>
        <w:t>omission</w:t>
      </w:r>
      <w:r w:rsidR="00790DDD">
        <w:rPr>
          <w:szCs w:val="28"/>
        </w:rPr>
        <w:t xml:space="preserve"> </w:t>
      </w:r>
      <w:r w:rsidR="009A0525" w:rsidRPr="00075386">
        <w:rPr>
          <w:szCs w:val="28"/>
        </w:rPr>
        <w:t>reflects the Task Force’s considered view that tangible guidance is generally more useful than language that is sometimes “merely a recital</w:t>
      </w:r>
      <w:r w:rsidR="000B43D4">
        <w:rPr>
          <w:szCs w:val="28"/>
        </w:rPr>
        <w:t>,</w:t>
      </w:r>
      <w:r w:rsidR="009A0525" w:rsidRPr="00075386">
        <w:rPr>
          <w:szCs w:val="28"/>
        </w:rPr>
        <w:t>” Pet. at 10</w:t>
      </w:r>
      <w:r w:rsidR="000B43D4">
        <w:rPr>
          <w:szCs w:val="28"/>
        </w:rPr>
        <w:t xml:space="preserve">, and we take the point that the terms </w:t>
      </w:r>
      <w:r w:rsidR="00AF667E">
        <w:rPr>
          <w:szCs w:val="28"/>
        </w:rPr>
        <w:t>“plain” and “</w:t>
      </w:r>
      <w:r w:rsidR="00300566">
        <w:rPr>
          <w:szCs w:val="28"/>
        </w:rPr>
        <w:t xml:space="preserve">equally . . . </w:t>
      </w:r>
      <w:r w:rsidR="00AF667E">
        <w:rPr>
          <w:szCs w:val="28"/>
        </w:rPr>
        <w:t xml:space="preserve">speedy” </w:t>
      </w:r>
      <w:r w:rsidR="0067450E">
        <w:rPr>
          <w:szCs w:val="28"/>
        </w:rPr>
        <w:t>may have dubious value. However, we favor retaining at least</w:t>
      </w:r>
      <w:r w:rsidR="000A2623">
        <w:rPr>
          <w:szCs w:val="28"/>
        </w:rPr>
        <w:t xml:space="preserve"> the</w:t>
      </w:r>
      <w:r w:rsidR="0067450E">
        <w:rPr>
          <w:szCs w:val="28"/>
        </w:rPr>
        <w:t xml:space="preserve"> “adequate remedy” language as an umbrella standard</w:t>
      </w:r>
      <w:r w:rsidR="00677273">
        <w:rPr>
          <w:szCs w:val="28"/>
        </w:rPr>
        <w:t xml:space="preserve"> for discretionary special actions</w:t>
      </w:r>
      <w:r w:rsidR="0067450E">
        <w:rPr>
          <w:szCs w:val="28"/>
        </w:rPr>
        <w:t xml:space="preserve">. </w:t>
      </w:r>
    </w:p>
    <w:p w14:paraId="2E4C7877" w14:textId="5F9913C4" w:rsidR="00851F17" w:rsidRPr="00D93B3D" w:rsidRDefault="009A0525" w:rsidP="009A0525">
      <w:pPr>
        <w:pStyle w:val="BodyText"/>
        <w:ind w:left="119" w:right="116" w:firstLine="719"/>
        <w:jc w:val="both"/>
        <w:rPr>
          <w:szCs w:val="28"/>
        </w:rPr>
      </w:pPr>
      <w:r w:rsidRPr="00075386">
        <w:rPr>
          <w:szCs w:val="28"/>
        </w:rPr>
        <w:t>We agree with Joel Nomkin (</w:t>
      </w:r>
      <w:r w:rsidRPr="00075386">
        <w:rPr>
          <w:i/>
          <w:szCs w:val="28"/>
        </w:rPr>
        <w:t xml:space="preserve">see </w:t>
      </w:r>
      <w:r w:rsidRPr="00075386">
        <w:rPr>
          <w:szCs w:val="28"/>
        </w:rPr>
        <w:t>3/18/24 J. Nomkin comment) that th</w:t>
      </w:r>
      <w:r w:rsidR="00677273">
        <w:rPr>
          <w:szCs w:val="28"/>
        </w:rPr>
        <w:t>e “equally plain, speedy, and adequate”</w:t>
      </w:r>
      <w:r w:rsidRPr="00075386">
        <w:rPr>
          <w:szCs w:val="28"/>
        </w:rPr>
        <w:t xml:space="preserve"> standard </w:t>
      </w:r>
      <w:r w:rsidR="00677273">
        <w:rPr>
          <w:szCs w:val="28"/>
        </w:rPr>
        <w:t xml:space="preserve">has historically </w:t>
      </w:r>
      <w:r w:rsidRPr="00075386">
        <w:rPr>
          <w:szCs w:val="28"/>
        </w:rPr>
        <w:t>serve</w:t>
      </w:r>
      <w:r w:rsidR="00677273">
        <w:rPr>
          <w:szCs w:val="28"/>
        </w:rPr>
        <w:t>d</w:t>
      </w:r>
      <w:r w:rsidRPr="00075386">
        <w:rPr>
          <w:szCs w:val="28"/>
        </w:rPr>
        <w:t xml:space="preserve"> an important </w:t>
      </w:r>
      <w:r w:rsidR="00925EA9">
        <w:rPr>
          <w:szCs w:val="28"/>
        </w:rPr>
        <w:t>limiting</w:t>
      </w:r>
      <w:r w:rsidR="00925EA9" w:rsidRPr="00075386">
        <w:rPr>
          <w:szCs w:val="28"/>
        </w:rPr>
        <w:t xml:space="preserve"> </w:t>
      </w:r>
      <w:r w:rsidRPr="00075386">
        <w:rPr>
          <w:szCs w:val="28"/>
        </w:rPr>
        <w:t>function</w:t>
      </w:r>
      <w:r w:rsidR="00B76423">
        <w:rPr>
          <w:szCs w:val="28"/>
        </w:rPr>
        <w:t xml:space="preserve">, </w:t>
      </w:r>
      <w:r w:rsidRPr="00075386">
        <w:rPr>
          <w:szCs w:val="28"/>
        </w:rPr>
        <w:t xml:space="preserve">and that its </w:t>
      </w:r>
      <w:r w:rsidR="00677273">
        <w:rPr>
          <w:szCs w:val="28"/>
        </w:rPr>
        <w:t xml:space="preserve">total </w:t>
      </w:r>
      <w:r w:rsidRPr="00075386">
        <w:rPr>
          <w:szCs w:val="28"/>
        </w:rPr>
        <w:t xml:space="preserve">omission </w:t>
      </w:r>
      <w:r w:rsidR="00803936">
        <w:rPr>
          <w:szCs w:val="28"/>
        </w:rPr>
        <w:t>may</w:t>
      </w:r>
      <w:r w:rsidR="00BB0AA2">
        <w:rPr>
          <w:szCs w:val="28"/>
        </w:rPr>
        <w:t xml:space="preserve"> </w:t>
      </w:r>
      <w:r w:rsidRPr="00075386">
        <w:rPr>
          <w:szCs w:val="28"/>
        </w:rPr>
        <w:t>expand special action availability</w:t>
      </w:r>
      <w:r w:rsidR="005E393F">
        <w:rPr>
          <w:szCs w:val="28"/>
        </w:rPr>
        <w:t>, notwithstanding</w:t>
      </w:r>
      <w:r w:rsidR="00C46725">
        <w:rPr>
          <w:szCs w:val="28"/>
        </w:rPr>
        <w:t xml:space="preserve"> t</w:t>
      </w:r>
      <w:r w:rsidRPr="00075386">
        <w:rPr>
          <w:szCs w:val="28"/>
        </w:rPr>
        <w:t xml:space="preserve">he avowal </w:t>
      </w:r>
      <w:r w:rsidR="00A54CF5">
        <w:rPr>
          <w:szCs w:val="28"/>
        </w:rPr>
        <w:t xml:space="preserve">elsewhere </w:t>
      </w:r>
      <w:r w:rsidRPr="00075386">
        <w:rPr>
          <w:szCs w:val="28"/>
        </w:rPr>
        <w:t xml:space="preserve">that the “Rules do not enlarge </w:t>
      </w:r>
      <w:r w:rsidRPr="00075386">
        <w:rPr>
          <w:szCs w:val="28"/>
        </w:rPr>
        <w:lastRenderedPageBreak/>
        <w:t xml:space="preserve">the scope of relief” under the old writs. </w:t>
      </w:r>
      <w:r w:rsidRPr="00075386">
        <w:rPr>
          <w:i/>
          <w:szCs w:val="28"/>
        </w:rPr>
        <w:t xml:space="preserve">See </w:t>
      </w:r>
      <w:r w:rsidRPr="00075386">
        <w:rPr>
          <w:szCs w:val="28"/>
        </w:rPr>
        <w:t xml:space="preserve">Proposed </w:t>
      </w:r>
      <w:r w:rsidR="000E4072">
        <w:rPr>
          <w:szCs w:val="28"/>
        </w:rPr>
        <w:t>Rule</w:t>
      </w:r>
      <w:r w:rsidR="006B4C04">
        <w:rPr>
          <w:szCs w:val="28"/>
        </w:rPr>
        <w:t>s</w:t>
      </w:r>
      <w:r w:rsidR="000E4072">
        <w:rPr>
          <w:szCs w:val="28"/>
        </w:rPr>
        <w:t xml:space="preserve"> of Procedure for Special Actions (“</w:t>
      </w:r>
      <w:r w:rsidR="00F975C1">
        <w:rPr>
          <w:szCs w:val="28"/>
        </w:rPr>
        <w:t>Rule</w:t>
      </w:r>
      <w:r w:rsidR="000E4072">
        <w:rPr>
          <w:szCs w:val="28"/>
        </w:rPr>
        <w:t>”)</w:t>
      </w:r>
      <w:r w:rsidRPr="00075386">
        <w:rPr>
          <w:szCs w:val="28"/>
        </w:rPr>
        <w:t xml:space="preserve"> 2(c). </w:t>
      </w:r>
    </w:p>
    <w:p w14:paraId="10AC10C7" w14:textId="1099F58A" w:rsidR="00BB0AA2" w:rsidRPr="00BB0AA2" w:rsidRDefault="00851F17" w:rsidP="009A0525">
      <w:pPr>
        <w:pStyle w:val="BodyText"/>
        <w:ind w:left="119" w:right="116" w:firstLine="719"/>
        <w:jc w:val="both"/>
        <w:rPr>
          <w:szCs w:val="28"/>
        </w:rPr>
      </w:pPr>
      <w:r>
        <w:rPr>
          <w:szCs w:val="28"/>
        </w:rPr>
        <w:t xml:space="preserve">While </w:t>
      </w:r>
      <w:r w:rsidR="0034782F">
        <w:rPr>
          <w:szCs w:val="28"/>
        </w:rPr>
        <w:t xml:space="preserve">certain Rule 11 factors may indeed embed “the concept of speed and adequacy” (Pet. at 11), </w:t>
      </w:r>
      <w:r w:rsidR="00225FEF">
        <w:rPr>
          <w:szCs w:val="28"/>
        </w:rPr>
        <w:t>factor</w:t>
      </w:r>
      <w:r w:rsidR="0034782F">
        <w:rPr>
          <w:szCs w:val="28"/>
        </w:rPr>
        <w:t xml:space="preserve"> </w:t>
      </w:r>
      <w:r w:rsidR="009A0525" w:rsidRPr="00075386">
        <w:rPr>
          <w:szCs w:val="28"/>
        </w:rPr>
        <w:t>11(c)(4)</w:t>
      </w:r>
      <w:r w:rsidR="00B97AB8">
        <w:rPr>
          <w:szCs w:val="28"/>
        </w:rPr>
        <w:t xml:space="preserve"> (</w:t>
      </w:r>
      <w:r w:rsidR="009A0525" w:rsidRPr="00075386">
        <w:rPr>
          <w:szCs w:val="28"/>
        </w:rPr>
        <w:t>“equally appropriate to address by appeal”</w:t>
      </w:r>
      <w:r w:rsidR="00B97AB8">
        <w:rPr>
          <w:szCs w:val="28"/>
        </w:rPr>
        <w:t xml:space="preserve">) </w:t>
      </w:r>
      <w:r w:rsidR="0034782F">
        <w:rPr>
          <w:szCs w:val="28"/>
        </w:rPr>
        <w:t xml:space="preserve">most closely parallels the </w:t>
      </w:r>
      <w:r w:rsidR="00263596">
        <w:rPr>
          <w:szCs w:val="28"/>
        </w:rPr>
        <w:t xml:space="preserve">venerable </w:t>
      </w:r>
      <w:r w:rsidR="0034782F">
        <w:rPr>
          <w:szCs w:val="28"/>
        </w:rPr>
        <w:t xml:space="preserve">old standard. </w:t>
      </w:r>
      <w:r w:rsidR="00D279AE">
        <w:rPr>
          <w:szCs w:val="28"/>
        </w:rPr>
        <w:t xml:space="preserve">Replacing the </w:t>
      </w:r>
      <w:r w:rsidR="00677273">
        <w:rPr>
          <w:szCs w:val="28"/>
        </w:rPr>
        <w:t xml:space="preserve">concept of adequacy </w:t>
      </w:r>
      <w:r w:rsidR="00D279AE">
        <w:rPr>
          <w:szCs w:val="28"/>
        </w:rPr>
        <w:t xml:space="preserve">with the more generic term “appropriate”—and </w:t>
      </w:r>
      <w:r w:rsidR="006B4C04">
        <w:rPr>
          <w:szCs w:val="28"/>
        </w:rPr>
        <w:t>including</w:t>
      </w:r>
      <w:r w:rsidR="00D279AE">
        <w:rPr>
          <w:szCs w:val="28"/>
        </w:rPr>
        <w:t xml:space="preserve"> </w:t>
      </w:r>
      <w:r w:rsidR="006B4C04">
        <w:rPr>
          <w:szCs w:val="28"/>
        </w:rPr>
        <w:t>th</w:t>
      </w:r>
      <w:r w:rsidR="005C3CC7">
        <w:rPr>
          <w:szCs w:val="28"/>
        </w:rPr>
        <w:t>is</w:t>
      </w:r>
      <w:r w:rsidR="00225FEF">
        <w:rPr>
          <w:szCs w:val="28"/>
        </w:rPr>
        <w:t xml:space="preserve"> </w:t>
      </w:r>
      <w:r w:rsidR="007F6AB5">
        <w:rPr>
          <w:szCs w:val="28"/>
        </w:rPr>
        <w:t>variation</w:t>
      </w:r>
      <w:r w:rsidR="007F6AB5">
        <w:rPr>
          <w:szCs w:val="28"/>
        </w:rPr>
        <w:t xml:space="preserve"> </w:t>
      </w:r>
      <w:r w:rsidR="00225FEF">
        <w:rPr>
          <w:szCs w:val="28"/>
        </w:rPr>
        <w:t>of</w:t>
      </w:r>
      <w:r w:rsidR="00CB7B73">
        <w:rPr>
          <w:szCs w:val="28"/>
        </w:rPr>
        <w:t xml:space="preserve"> the</w:t>
      </w:r>
      <w:r w:rsidR="00225FEF">
        <w:rPr>
          <w:szCs w:val="28"/>
        </w:rPr>
        <w:t xml:space="preserve"> </w:t>
      </w:r>
      <w:r w:rsidR="00CB7B73">
        <w:rPr>
          <w:szCs w:val="28"/>
        </w:rPr>
        <w:t>old</w:t>
      </w:r>
      <w:r w:rsidR="00225FEF">
        <w:rPr>
          <w:szCs w:val="28"/>
        </w:rPr>
        <w:t xml:space="preserve"> standard</w:t>
      </w:r>
      <w:r w:rsidR="00D279AE">
        <w:rPr>
          <w:szCs w:val="28"/>
        </w:rPr>
        <w:t xml:space="preserve"> </w:t>
      </w:r>
      <w:r w:rsidR="000E4072">
        <w:rPr>
          <w:szCs w:val="28"/>
        </w:rPr>
        <w:t xml:space="preserve">as </w:t>
      </w:r>
      <w:r w:rsidR="00D279AE">
        <w:rPr>
          <w:szCs w:val="28"/>
        </w:rPr>
        <w:t>one of thirteen nonexclusive</w:t>
      </w:r>
      <w:r w:rsidR="002D4347">
        <w:rPr>
          <w:szCs w:val="28"/>
        </w:rPr>
        <w:t>, nonbinding</w:t>
      </w:r>
      <w:r w:rsidR="00D279AE">
        <w:rPr>
          <w:szCs w:val="28"/>
        </w:rPr>
        <w:t xml:space="preserve"> factors—</w:t>
      </w:r>
      <w:r w:rsidR="00E2572D">
        <w:rPr>
          <w:szCs w:val="28"/>
        </w:rPr>
        <w:t xml:space="preserve">will </w:t>
      </w:r>
      <w:r w:rsidR="005F721C">
        <w:rPr>
          <w:szCs w:val="28"/>
        </w:rPr>
        <w:t xml:space="preserve">likely </w:t>
      </w:r>
      <w:r w:rsidR="00263596">
        <w:rPr>
          <w:szCs w:val="28"/>
        </w:rPr>
        <w:t>be understood</w:t>
      </w:r>
      <w:r w:rsidR="005F721C">
        <w:rPr>
          <w:szCs w:val="28"/>
        </w:rPr>
        <w:t xml:space="preserve"> by practitioners</w:t>
      </w:r>
      <w:r w:rsidR="00263596">
        <w:rPr>
          <w:szCs w:val="28"/>
        </w:rPr>
        <w:t xml:space="preserve"> to </w:t>
      </w:r>
      <w:r w:rsidR="00E2572D">
        <w:rPr>
          <w:szCs w:val="28"/>
        </w:rPr>
        <w:t>have import</w:t>
      </w:r>
      <w:r w:rsidR="00D279AE">
        <w:rPr>
          <w:szCs w:val="28"/>
        </w:rPr>
        <w:t>.</w:t>
      </w:r>
      <w:r w:rsidR="00BB0AA2">
        <w:rPr>
          <w:szCs w:val="28"/>
        </w:rPr>
        <w:t xml:space="preserve"> In particular, it will likely cause practitioners and courts to conclude that special action jurisdiction may be appropriate even when there </w:t>
      </w:r>
      <w:r w:rsidR="00BB0AA2" w:rsidRPr="00BB0AA2">
        <w:rPr>
          <w:i/>
          <w:szCs w:val="28"/>
        </w:rPr>
        <w:t>is</w:t>
      </w:r>
      <w:r w:rsidR="00BB0AA2">
        <w:rPr>
          <w:szCs w:val="28"/>
        </w:rPr>
        <w:t xml:space="preserve"> an equally adequate remedy by appeal.  </w:t>
      </w:r>
    </w:p>
    <w:p w14:paraId="2BEE1F2C" w14:textId="6C9CB531" w:rsidR="00073F1E" w:rsidRDefault="00F5752D" w:rsidP="009A0525">
      <w:pPr>
        <w:pStyle w:val="BodyText"/>
        <w:ind w:left="119" w:right="116" w:firstLine="719"/>
        <w:jc w:val="both"/>
        <w:rPr>
          <w:szCs w:val="28"/>
        </w:rPr>
      </w:pPr>
      <w:r>
        <w:rPr>
          <w:szCs w:val="28"/>
        </w:rPr>
        <w:t xml:space="preserve">Any expansion of special action relief </w:t>
      </w:r>
      <w:r w:rsidR="00BB0AA2">
        <w:rPr>
          <w:szCs w:val="28"/>
        </w:rPr>
        <w:t xml:space="preserve">to cases in which there is an adequate remedy by appeal </w:t>
      </w:r>
      <w:r>
        <w:rPr>
          <w:szCs w:val="28"/>
        </w:rPr>
        <w:t xml:space="preserve">may have </w:t>
      </w:r>
      <w:r w:rsidR="00BB0AA2">
        <w:rPr>
          <w:szCs w:val="28"/>
        </w:rPr>
        <w:t xml:space="preserve">significant </w:t>
      </w:r>
      <w:r>
        <w:rPr>
          <w:szCs w:val="28"/>
        </w:rPr>
        <w:t xml:space="preserve">adverse consequences. </w:t>
      </w:r>
      <w:r w:rsidR="00BB0AA2">
        <w:rPr>
          <w:szCs w:val="28"/>
        </w:rPr>
        <w:t>It</w:t>
      </w:r>
      <w:r w:rsidR="00925EA9">
        <w:rPr>
          <w:szCs w:val="28"/>
        </w:rPr>
        <w:t xml:space="preserve"> </w:t>
      </w:r>
      <w:r w:rsidR="009114CF">
        <w:rPr>
          <w:szCs w:val="28"/>
        </w:rPr>
        <w:t>could encourage marginal special actions that will cause delay, make litigation more expensive, and burden the courts</w:t>
      </w:r>
      <w:r w:rsidR="00191C19">
        <w:rPr>
          <w:szCs w:val="28"/>
        </w:rPr>
        <w:t>. It could also</w:t>
      </w:r>
      <w:r w:rsidR="00BB0AA2">
        <w:rPr>
          <w:szCs w:val="28"/>
        </w:rPr>
        <w:t xml:space="preserve"> </w:t>
      </w:r>
      <w:r w:rsidR="00191C19">
        <w:rPr>
          <w:szCs w:val="28"/>
        </w:rPr>
        <w:t>cause</w:t>
      </w:r>
      <w:r w:rsidR="00BB0AA2">
        <w:rPr>
          <w:szCs w:val="28"/>
        </w:rPr>
        <w:t xml:space="preserve"> our appellate courts to decide important issues on a fast track</w:t>
      </w:r>
      <w:r w:rsidR="00191C19">
        <w:rPr>
          <w:szCs w:val="28"/>
        </w:rPr>
        <w:t xml:space="preserve">, rather than through the normal appellate process, which is structured to provide for careful decision on issues of lasting consequence. And it could cause our appellate courts to reach issues that </w:t>
      </w:r>
      <w:r w:rsidR="00E057F2">
        <w:rPr>
          <w:szCs w:val="28"/>
        </w:rPr>
        <w:t>would otherwise be productively resolved in the ordinary course of litigation</w:t>
      </w:r>
      <w:r w:rsidR="009114CF">
        <w:rPr>
          <w:szCs w:val="28"/>
        </w:rPr>
        <w:t xml:space="preserve">. </w:t>
      </w:r>
    </w:p>
    <w:p w14:paraId="6F3D9C9E" w14:textId="20BDA6F5" w:rsidR="00300566" w:rsidRPr="00300566" w:rsidRDefault="00300566" w:rsidP="00E33328">
      <w:pPr>
        <w:pStyle w:val="BodyText"/>
        <w:ind w:left="119" w:right="116" w:firstLine="719"/>
        <w:jc w:val="both"/>
        <w:rPr>
          <w:szCs w:val="28"/>
        </w:rPr>
      </w:pPr>
      <w:r>
        <w:rPr>
          <w:szCs w:val="28"/>
        </w:rPr>
        <w:t xml:space="preserve">Additionally, we are concerned that without an umbrella concept explaining when special action jurisdiction is appropriate, courts will be left without guidance </w:t>
      </w:r>
      <w:r>
        <w:rPr>
          <w:szCs w:val="28"/>
        </w:rPr>
        <w:lastRenderedPageBreak/>
        <w:t xml:space="preserve">when a special action </w:t>
      </w:r>
      <w:r>
        <w:rPr>
          <w:i/>
          <w:szCs w:val="28"/>
        </w:rPr>
        <w:t xml:space="preserve">seems </w:t>
      </w:r>
      <w:r>
        <w:rPr>
          <w:szCs w:val="28"/>
        </w:rPr>
        <w:t xml:space="preserve">appropriate but does not qualify under any of </w:t>
      </w:r>
      <w:r w:rsidR="00A071B1">
        <w:rPr>
          <w:szCs w:val="28"/>
        </w:rPr>
        <w:t xml:space="preserve">the </w:t>
      </w:r>
      <w:r>
        <w:rPr>
          <w:szCs w:val="28"/>
        </w:rPr>
        <w:t>factors listed in Rule 11.  It is important to have an overall concept of what makes a special action appropriate. That concept should be embedded in the rule.</w:t>
      </w:r>
    </w:p>
    <w:p w14:paraId="51DE7DCD" w14:textId="3211C84A" w:rsidR="009A0525" w:rsidRDefault="00677273" w:rsidP="00E33328">
      <w:pPr>
        <w:pStyle w:val="BodyText"/>
        <w:ind w:left="119" w:right="116" w:firstLine="719"/>
        <w:jc w:val="both"/>
        <w:rPr>
          <w:szCs w:val="28"/>
        </w:rPr>
      </w:pPr>
      <w:r>
        <w:rPr>
          <w:szCs w:val="28"/>
        </w:rPr>
        <w:t>We also note that</w:t>
      </w:r>
      <w:r w:rsidR="00191C19">
        <w:rPr>
          <w:szCs w:val="28"/>
        </w:rPr>
        <w:t xml:space="preserve"> statutory provisions that confer special action jurisdiction continue to retain “</w:t>
      </w:r>
      <w:r w:rsidR="00191C19" w:rsidRPr="00F019EC">
        <w:rPr>
          <w:szCs w:val="28"/>
        </w:rPr>
        <w:t>plain, speedy and adequate remedy</w:t>
      </w:r>
      <w:r w:rsidR="00191C19">
        <w:rPr>
          <w:szCs w:val="28"/>
        </w:rPr>
        <w:t>” language</w:t>
      </w:r>
      <w:r w:rsidR="00191C19" w:rsidRPr="00403E13">
        <w:rPr>
          <w:szCs w:val="28"/>
        </w:rPr>
        <w:t xml:space="preserve"> </w:t>
      </w:r>
      <w:r w:rsidR="00191C19">
        <w:rPr>
          <w:szCs w:val="28"/>
        </w:rPr>
        <w:t>(</w:t>
      </w:r>
      <w:r w:rsidR="00191C19">
        <w:rPr>
          <w:i/>
          <w:szCs w:val="28"/>
        </w:rPr>
        <w:t xml:space="preserve">see, e.g., </w:t>
      </w:r>
      <w:r w:rsidR="00191C19">
        <w:rPr>
          <w:szCs w:val="28"/>
        </w:rPr>
        <w:t xml:space="preserve">A.R.S. §§ 12-2001, -2021), creating potential tension between Arizona’s statutory and rule-based special action authority. </w:t>
      </w:r>
      <w:r w:rsidR="00073F1E">
        <w:rPr>
          <w:szCs w:val="28"/>
        </w:rPr>
        <w:t xml:space="preserve">While there’s a reasonable argument for retaining this full phrase in the Rules for historical continuity, we feel most strongly about retaining </w:t>
      </w:r>
      <w:r w:rsidR="009A0525" w:rsidRPr="00075386">
        <w:rPr>
          <w:szCs w:val="28"/>
        </w:rPr>
        <w:t>the “adequate remedy” standard as umbrella guidance</w:t>
      </w:r>
      <w:r w:rsidR="006F5B73">
        <w:rPr>
          <w:szCs w:val="28"/>
        </w:rPr>
        <w:t>, as illustrated in the next section</w:t>
      </w:r>
      <w:r w:rsidR="009A0525" w:rsidRPr="00075386">
        <w:rPr>
          <w:szCs w:val="28"/>
        </w:rPr>
        <w:t xml:space="preserve">. </w:t>
      </w:r>
    </w:p>
    <w:p w14:paraId="5F8CFE75" w14:textId="77777777" w:rsidR="009A0525" w:rsidRPr="00075386" w:rsidRDefault="009A0525" w:rsidP="009A0525">
      <w:pPr>
        <w:pStyle w:val="OMCOABriefHeadingLevel3"/>
        <w:rPr>
          <w:sz w:val="28"/>
        </w:rPr>
      </w:pPr>
      <w:r w:rsidRPr="00075386">
        <w:rPr>
          <w:sz w:val="28"/>
        </w:rPr>
        <w:t xml:space="preserve">Multiplicity and redundancy of the nonexclusive Rule 11 factors. </w:t>
      </w:r>
    </w:p>
    <w:p w14:paraId="3F0AB84E" w14:textId="5B2F43A6" w:rsidR="009A0525" w:rsidRPr="00075386" w:rsidRDefault="009A0525" w:rsidP="00836220">
      <w:pPr>
        <w:pStyle w:val="BodyText"/>
        <w:ind w:left="119" w:right="116" w:firstLine="719"/>
        <w:jc w:val="both"/>
        <w:rPr>
          <w:szCs w:val="28"/>
        </w:rPr>
      </w:pPr>
      <w:r w:rsidRPr="00075386">
        <w:rPr>
          <w:szCs w:val="28"/>
        </w:rPr>
        <w:t>We commend the Task Force’s incorporation of tangible guidance via the Rule 11 factors, but—recognizing the powerful sway</w:t>
      </w:r>
      <w:r w:rsidR="00D838AF">
        <w:rPr>
          <w:szCs w:val="28"/>
        </w:rPr>
        <w:t xml:space="preserve"> that</w:t>
      </w:r>
      <w:r w:rsidRPr="00075386">
        <w:rPr>
          <w:szCs w:val="28"/>
        </w:rPr>
        <w:t xml:space="preserve"> multifactor tests hold over practitioners—we question whether </w:t>
      </w:r>
      <w:r w:rsidR="00004DD3">
        <w:rPr>
          <w:szCs w:val="28"/>
        </w:rPr>
        <w:t xml:space="preserve">the factors </w:t>
      </w:r>
      <w:r w:rsidR="00095FA5">
        <w:rPr>
          <w:szCs w:val="28"/>
        </w:rPr>
        <w:t>could</w:t>
      </w:r>
      <w:r w:rsidR="00004DD3">
        <w:rPr>
          <w:szCs w:val="28"/>
        </w:rPr>
        <w:t xml:space="preserve"> be slightly refined.</w:t>
      </w:r>
      <w:r w:rsidR="00DB3D7C">
        <w:rPr>
          <w:szCs w:val="28"/>
        </w:rPr>
        <w:t xml:space="preserve"> </w:t>
      </w:r>
      <w:r w:rsidR="00836220">
        <w:rPr>
          <w:szCs w:val="28"/>
        </w:rPr>
        <w:t xml:space="preserve">In particular, </w:t>
      </w:r>
      <w:r w:rsidR="00B538A7">
        <w:rPr>
          <w:szCs w:val="28"/>
        </w:rPr>
        <w:t xml:space="preserve">we are concerned that </w:t>
      </w:r>
      <w:r w:rsidR="00836220">
        <w:t xml:space="preserve">inviting lawyers to argue about </w:t>
      </w:r>
      <w:r w:rsidR="00A92572">
        <w:t>thirteen</w:t>
      </w:r>
      <w:r w:rsidR="00836220">
        <w:t xml:space="preserve"> nonbinding</w:t>
      </w:r>
      <w:r w:rsidR="00B538A7">
        <w:t xml:space="preserve"> factors—some of which are substantively redundant—</w:t>
      </w:r>
      <w:r w:rsidR="00836220">
        <w:t xml:space="preserve">may elicit strained </w:t>
      </w:r>
      <w:r w:rsidR="00A92572">
        <w:t xml:space="preserve">factor-centric </w:t>
      </w:r>
      <w:r w:rsidR="00836220">
        <w:t xml:space="preserve">argument at the expense of more natural </w:t>
      </w:r>
      <w:r w:rsidR="00F843E0">
        <w:t>focus on the most r</w:t>
      </w:r>
      <w:r w:rsidR="00836220">
        <w:t xml:space="preserve">elevant </w:t>
      </w:r>
      <w:r w:rsidR="00F843E0">
        <w:t>and important factors in a given case</w:t>
      </w:r>
      <w:r w:rsidR="00836220">
        <w:t xml:space="preserve">. </w:t>
      </w:r>
    </w:p>
    <w:p w14:paraId="6E2541E6" w14:textId="1DEA5AD8" w:rsidR="002D4347" w:rsidRDefault="006C0AEA" w:rsidP="006C0AEA">
      <w:pPr>
        <w:pStyle w:val="BodyText"/>
        <w:ind w:left="119" w:right="116" w:firstLine="719"/>
        <w:jc w:val="both"/>
        <w:rPr>
          <w:szCs w:val="28"/>
        </w:rPr>
      </w:pPr>
      <w:r>
        <w:rPr>
          <w:szCs w:val="28"/>
        </w:rPr>
        <w:t xml:space="preserve">In principle, we appreciate </w:t>
      </w:r>
      <w:r w:rsidR="00E277CC">
        <w:rPr>
          <w:szCs w:val="28"/>
        </w:rPr>
        <w:t xml:space="preserve">that the </w:t>
      </w:r>
      <w:r w:rsidR="00173253">
        <w:rPr>
          <w:szCs w:val="28"/>
        </w:rPr>
        <w:t>R</w:t>
      </w:r>
      <w:r w:rsidR="00E277CC">
        <w:rPr>
          <w:szCs w:val="28"/>
        </w:rPr>
        <w:t>ule lists</w:t>
      </w:r>
      <w:r>
        <w:rPr>
          <w:szCs w:val="28"/>
        </w:rPr>
        <w:t xml:space="preserve"> factors on both sides of the accept/decline ledger. But in practice, a</w:t>
      </w:r>
      <w:r w:rsidR="009A0525" w:rsidRPr="00075386">
        <w:rPr>
          <w:szCs w:val="28"/>
        </w:rPr>
        <w:t xml:space="preserve">ll (or nearly all) of the Rule 11(b) and Rule </w:t>
      </w:r>
      <w:r w:rsidR="009A0525" w:rsidRPr="00075386">
        <w:rPr>
          <w:szCs w:val="28"/>
        </w:rPr>
        <w:lastRenderedPageBreak/>
        <w:t xml:space="preserve">11(c) factors can alternately be stated in either the positive or negative, and thereby framed as something that supports either acceptance or denial of jurisdiction. </w:t>
      </w:r>
      <w:r w:rsidR="00B4320D">
        <w:rPr>
          <w:szCs w:val="28"/>
        </w:rPr>
        <w:t xml:space="preserve">Rule 11 </w:t>
      </w:r>
      <w:r w:rsidR="00F843E0">
        <w:rPr>
          <w:szCs w:val="28"/>
        </w:rPr>
        <w:t xml:space="preserve">even </w:t>
      </w:r>
      <w:r w:rsidR="00C74988">
        <w:rPr>
          <w:szCs w:val="28"/>
        </w:rPr>
        <w:t xml:space="preserve">expressly </w:t>
      </w:r>
      <w:r w:rsidR="00B4320D">
        <w:rPr>
          <w:szCs w:val="28"/>
        </w:rPr>
        <w:t>includes both sides of this framing</w:t>
      </w:r>
      <w:r w:rsidR="00F843E0">
        <w:rPr>
          <w:szCs w:val="28"/>
        </w:rPr>
        <w:t xml:space="preserve"> for</w:t>
      </w:r>
      <w:r w:rsidR="00B4320D">
        <w:rPr>
          <w:szCs w:val="28"/>
        </w:rPr>
        <w:t xml:space="preserve"> </w:t>
      </w:r>
      <w:r w:rsidR="00D838AF">
        <w:rPr>
          <w:szCs w:val="28"/>
        </w:rPr>
        <w:t>f</w:t>
      </w:r>
      <w:r w:rsidR="009A0525" w:rsidRPr="00075386">
        <w:rPr>
          <w:szCs w:val="28"/>
        </w:rPr>
        <w:t>actors</w:t>
      </w:r>
      <w:r w:rsidR="0070533C">
        <w:rPr>
          <w:szCs w:val="28"/>
        </w:rPr>
        <w:t xml:space="preserve"> </w:t>
      </w:r>
      <w:r w:rsidR="00D838AF">
        <w:rPr>
          <w:szCs w:val="28"/>
        </w:rPr>
        <w:t>11</w:t>
      </w:r>
      <w:r w:rsidR="009A0525" w:rsidRPr="00075386">
        <w:rPr>
          <w:szCs w:val="28"/>
        </w:rPr>
        <w:t>(b)(7) (“the resolution of which will materially advance the efficient management of the case . . .”) and (c)(</w:t>
      </w:r>
      <w:r w:rsidR="00A071B1">
        <w:rPr>
          <w:szCs w:val="28"/>
        </w:rPr>
        <w:t>5</w:t>
      </w:r>
      <w:r w:rsidR="009A0525" w:rsidRPr="00075386">
        <w:rPr>
          <w:szCs w:val="28"/>
        </w:rPr>
        <w:t>) (“the resolution of which will not materially advance the efficient management of the case . . .”)</w:t>
      </w:r>
      <w:r w:rsidR="00F843E0">
        <w:rPr>
          <w:szCs w:val="28"/>
        </w:rPr>
        <w:t xml:space="preserve">. </w:t>
      </w:r>
      <w:r w:rsidR="009A0525" w:rsidRPr="00075386">
        <w:rPr>
          <w:szCs w:val="28"/>
        </w:rPr>
        <w:t xml:space="preserve">It is not clear why this particular factor (and not others) received this </w:t>
      </w:r>
      <w:r w:rsidR="004C35F0">
        <w:rPr>
          <w:szCs w:val="28"/>
        </w:rPr>
        <w:t>precise</w:t>
      </w:r>
      <w:r w:rsidR="009A0525" w:rsidRPr="00075386">
        <w:rPr>
          <w:szCs w:val="28"/>
        </w:rPr>
        <w:t xml:space="preserve"> parallel treatment</w:t>
      </w:r>
      <w:r w:rsidR="00F843E0">
        <w:rPr>
          <w:szCs w:val="28"/>
        </w:rPr>
        <w:t xml:space="preserve">—for example, it seems as though </w:t>
      </w:r>
      <w:r w:rsidR="00173253">
        <w:rPr>
          <w:szCs w:val="28"/>
        </w:rPr>
        <w:t>factor 1</w:t>
      </w:r>
      <w:r w:rsidR="00A071B1">
        <w:rPr>
          <w:szCs w:val="28"/>
        </w:rPr>
        <w:t>1</w:t>
      </w:r>
      <w:r w:rsidR="00173253">
        <w:rPr>
          <w:szCs w:val="28"/>
        </w:rPr>
        <w:t>(b)(4) (</w:t>
      </w:r>
      <w:r w:rsidR="00B4320D">
        <w:rPr>
          <w:szCs w:val="28"/>
        </w:rPr>
        <w:t>“of statewide importance”</w:t>
      </w:r>
      <w:r w:rsidR="00173253">
        <w:rPr>
          <w:szCs w:val="28"/>
        </w:rPr>
        <w:t>)</w:t>
      </w:r>
      <w:r w:rsidR="00F843E0">
        <w:rPr>
          <w:szCs w:val="28"/>
        </w:rPr>
        <w:t xml:space="preserve"> could just as easily </w:t>
      </w:r>
      <w:r w:rsidR="00B4320D">
        <w:rPr>
          <w:szCs w:val="28"/>
        </w:rPr>
        <w:t>have a “not of statewide importance” reverse doppelganger in Rule 1</w:t>
      </w:r>
      <w:r w:rsidR="00A071B1">
        <w:rPr>
          <w:szCs w:val="28"/>
        </w:rPr>
        <w:t>1</w:t>
      </w:r>
      <w:r w:rsidR="00B4320D">
        <w:rPr>
          <w:szCs w:val="28"/>
        </w:rPr>
        <w:t xml:space="preserve">(c). </w:t>
      </w:r>
    </w:p>
    <w:p w14:paraId="10F38104" w14:textId="33C4EB62" w:rsidR="00B26EC9" w:rsidRDefault="006C0AEA" w:rsidP="009A0525">
      <w:pPr>
        <w:pStyle w:val="BodyText"/>
        <w:ind w:left="119" w:right="116" w:firstLine="719"/>
        <w:jc w:val="both"/>
        <w:rPr>
          <w:szCs w:val="28"/>
        </w:rPr>
      </w:pPr>
      <w:r>
        <w:rPr>
          <w:szCs w:val="28"/>
        </w:rPr>
        <w:t xml:space="preserve">We </w:t>
      </w:r>
      <w:r w:rsidR="00836220">
        <w:rPr>
          <w:szCs w:val="28"/>
        </w:rPr>
        <w:t xml:space="preserve">would address these </w:t>
      </w:r>
      <w:r w:rsidR="007A1D5B">
        <w:rPr>
          <w:szCs w:val="28"/>
        </w:rPr>
        <w:t xml:space="preserve">consistency and redundancy </w:t>
      </w:r>
      <w:r w:rsidR="00836220">
        <w:rPr>
          <w:szCs w:val="28"/>
        </w:rPr>
        <w:t>issues by</w:t>
      </w:r>
      <w:r>
        <w:rPr>
          <w:szCs w:val="28"/>
        </w:rPr>
        <w:t xml:space="preserve"> condensing the lists in some manner</w:t>
      </w:r>
      <w:r w:rsidR="005764E6">
        <w:rPr>
          <w:szCs w:val="28"/>
        </w:rPr>
        <w:t>. With</w:t>
      </w:r>
      <w:r w:rsidR="00B24E3A">
        <w:rPr>
          <w:szCs w:val="28"/>
        </w:rPr>
        <w:t xml:space="preserve"> appropriate prefatory or concluding guidance, the factors might </w:t>
      </w:r>
      <w:r w:rsidR="003155AD">
        <w:rPr>
          <w:szCs w:val="28"/>
        </w:rPr>
        <w:t xml:space="preserve">effectively </w:t>
      </w:r>
      <w:r w:rsidR="00B24E3A">
        <w:rPr>
          <w:szCs w:val="28"/>
        </w:rPr>
        <w:t>be combined into a single list</w:t>
      </w:r>
      <w:r w:rsidR="00836220">
        <w:rPr>
          <w:szCs w:val="28"/>
        </w:rPr>
        <w:t xml:space="preserve"> of about </w:t>
      </w:r>
      <w:r w:rsidR="00B538A7">
        <w:rPr>
          <w:szCs w:val="28"/>
        </w:rPr>
        <w:t>eight</w:t>
      </w:r>
      <w:r w:rsidR="00B2065B">
        <w:rPr>
          <w:szCs w:val="28"/>
        </w:rPr>
        <w:t xml:space="preserve"> to ten</w:t>
      </w:r>
      <w:r w:rsidR="00836220">
        <w:rPr>
          <w:szCs w:val="28"/>
        </w:rPr>
        <w:t xml:space="preserve"> factors</w:t>
      </w:r>
      <w:r w:rsidR="00B24E3A">
        <w:rPr>
          <w:szCs w:val="28"/>
        </w:rPr>
        <w:t xml:space="preserve">; alternatively, the factors might be </w:t>
      </w:r>
      <w:r w:rsidR="00D838AF">
        <w:rPr>
          <w:szCs w:val="28"/>
        </w:rPr>
        <w:t>revised and condensed</w:t>
      </w:r>
      <w:r w:rsidR="00B24E3A">
        <w:rPr>
          <w:szCs w:val="28"/>
        </w:rPr>
        <w:t xml:space="preserve"> so as to leave </w:t>
      </w:r>
      <w:r w:rsidR="00D838AF">
        <w:rPr>
          <w:szCs w:val="28"/>
        </w:rPr>
        <w:t>eight</w:t>
      </w:r>
      <w:r w:rsidR="00173253">
        <w:rPr>
          <w:szCs w:val="28"/>
        </w:rPr>
        <w:t xml:space="preserve"> to ten</w:t>
      </w:r>
      <w:r w:rsidR="00B24E3A">
        <w:rPr>
          <w:szCs w:val="28"/>
        </w:rPr>
        <w:t xml:space="preserve"> factors</w:t>
      </w:r>
      <w:r w:rsidR="003155AD">
        <w:rPr>
          <w:szCs w:val="28"/>
        </w:rPr>
        <w:t>—</w:t>
      </w:r>
      <w:r w:rsidR="004C0725">
        <w:rPr>
          <w:szCs w:val="28"/>
        </w:rPr>
        <w:t xml:space="preserve">each </w:t>
      </w:r>
      <w:r w:rsidR="003155AD">
        <w:rPr>
          <w:szCs w:val="28"/>
        </w:rPr>
        <w:t>substantively distinct to the extent possible—</w:t>
      </w:r>
      <w:r w:rsidR="00B24E3A">
        <w:rPr>
          <w:szCs w:val="28"/>
        </w:rPr>
        <w:t xml:space="preserve">split between two lists. </w:t>
      </w:r>
    </w:p>
    <w:p w14:paraId="2F55989C" w14:textId="29D022BE" w:rsidR="00F21D20" w:rsidRDefault="00F21D20" w:rsidP="00480CEE">
      <w:pPr>
        <w:pStyle w:val="BodyText"/>
        <w:ind w:left="119" w:right="116" w:firstLine="719"/>
        <w:jc w:val="both"/>
      </w:pPr>
      <w:r>
        <w:rPr>
          <w:szCs w:val="28"/>
        </w:rPr>
        <w:t xml:space="preserve">For </w:t>
      </w:r>
      <w:r w:rsidR="003B7172">
        <w:rPr>
          <w:szCs w:val="28"/>
        </w:rPr>
        <w:t>example,</w:t>
      </w:r>
      <w:r w:rsidR="00B26EC9">
        <w:rPr>
          <w:szCs w:val="28"/>
        </w:rPr>
        <w:t xml:space="preserve"> combining the factors into a single list (and incorporating our suggestion</w:t>
      </w:r>
      <w:r w:rsidR="00093E54">
        <w:rPr>
          <w:szCs w:val="28"/>
        </w:rPr>
        <w:t>s</w:t>
      </w:r>
      <w:r w:rsidR="00B26EC9">
        <w:rPr>
          <w:szCs w:val="28"/>
        </w:rPr>
        <w:t xml:space="preserve"> in </w:t>
      </w:r>
      <w:r w:rsidR="003B7172">
        <w:rPr>
          <w:szCs w:val="28"/>
        </w:rPr>
        <w:t>Section</w:t>
      </w:r>
      <w:r w:rsidR="00093E54">
        <w:rPr>
          <w:szCs w:val="28"/>
        </w:rPr>
        <w:t>s</w:t>
      </w:r>
      <w:r w:rsidR="003B7172">
        <w:rPr>
          <w:szCs w:val="28"/>
        </w:rPr>
        <w:t xml:space="preserve"> </w:t>
      </w:r>
      <w:r w:rsidR="00B26EC9">
        <w:rPr>
          <w:szCs w:val="28"/>
        </w:rPr>
        <w:t>I(A)</w:t>
      </w:r>
      <w:r w:rsidR="00093E54">
        <w:rPr>
          <w:szCs w:val="28"/>
        </w:rPr>
        <w:t xml:space="preserve"> and II(</w:t>
      </w:r>
      <w:r w:rsidR="00AE3BE7">
        <w:rPr>
          <w:szCs w:val="28"/>
        </w:rPr>
        <w:t>E</w:t>
      </w:r>
      <w:r w:rsidR="00093E54">
        <w:rPr>
          <w:szCs w:val="28"/>
        </w:rPr>
        <w:t>)</w:t>
      </w:r>
      <w:r w:rsidR="00A2584D">
        <w:rPr>
          <w:szCs w:val="28"/>
        </w:rPr>
        <w:t>)</w:t>
      </w:r>
      <w:r w:rsidR="00B26EC9">
        <w:rPr>
          <w:szCs w:val="28"/>
        </w:rPr>
        <w:t xml:space="preserve"> might look as follows</w:t>
      </w:r>
      <w:r w:rsidR="003B7172">
        <w:rPr>
          <w:szCs w:val="28"/>
        </w:rPr>
        <w:t>:</w:t>
      </w:r>
    </w:p>
    <w:p w14:paraId="017729E9" w14:textId="19163FE3" w:rsidR="00F21D20" w:rsidRPr="00EB239D" w:rsidRDefault="00F21D20" w:rsidP="00EB239D">
      <w:pPr>
        <w:pStyle w:val="Default"/>
        <w:rPr>
          <w:sz w:val="28"/>
          <w:szCs w:val="28"/>
        </w:rPr>
      </w:pPr>
      <w:r w:rsidRPr="00EB239D">
        <w:rPr>
          <w:b/>
          <w:bCs/>
          <w:sz w:val="28"/>
          <w:szCs w:val="28"/>
        </w:rPr>
        <w:t xml:space="preserve">Factors That </w:t>
      </w:r>
      <w:r w:rsidRPr="00EB239D">
        <w:rPr>
          <w:b/>
          <w:bCs/>
          <w:color w:val="4F81BD" w:themeColor="accent1"/>
          <w:sz w:val="28"/>
          <w:szCs w:val="28"/>
          <w:u w:val="single"/>
        </w:rPr>
        <w:t xml:space="preserve">Bear </w:t>
      </w:r>
      <w:proofErr w:type="gramStart"/>
      <w:r w:rsidRPr="00EB239D">
        <w:rPr>
          <w:b/>
          <w:bCs/>
          <w:color w:val="4F81BD" w:themeColor="accent1"/>
          <w:sz w:val="28"/>
          <w:szCs w:val="28"/>
          <w:u w:val="single"/>
        </w:rPr>
        <w:t>On</w:t>
      </w:r>
      <w:proofErr w:type="gramEnd"/>
      <w:r w:rsidRPr="00EB239D">
        <w:rPr>
          <w:b/>
          <w:bCs/>
          <w:color w:val="4F81BD" w:themeColor="accent1"/>
          <w:sz w:val="28"/>
          <w:szCs w:val="28"/>
        </w:rPr>
        <w:t xml:space="preserve"> </w:t>
      </w:r>
      <w:r w:rsidRPr="00EB239D">
        <w:rPr>
          <w:b/>
          <w:bCs/>
          <w:strike/>
          <w:color w:val="FF0000"/>
          <w:sz w:val="28"/>
          <w:szCs w:val="28"/>
        </w:rPr>
        <w:t>Support Accepting</w:t>
      </w:r>
      <w:r w:rsidRPr="00EB239D">
        <w:rPr>
          <w:b/>
          <w:bCs/>
          <w:color w:val="FF0000"/>
          <w:sz w:val="28"/>
          <w:szCs w:val="28"/>
        </w:rPr>
        <w:t xml:space="preserve"> </w:t>
      </w:r>
      <w:r w:rsidRPr="00EB239D">
        <w:rPr>
          <w:b/>
          <w:bCs/>
          <w:sz w:val="28"/>
          <w:szCs w:val="28"/>
        </w:rPr>
        <w:t xml:space="preserve">Jurisdiction. </w:t>
      </w:r>
      <w:r w:rsidR="00F4781B" w:rsidRPr="00EB239D">
        <w:rPr>
          <w:bCs/>
          <w:color w:val="4F81BD" w:themeColor="accent1"/>
          <w:sz w:val="28"/>
          <w:szCs w:val="28"/>
          <w:u w:val="single"/>
        </w:rPr>
        <w:t xml:space="preserve">A special action is </w:t>
      </w:r>
      <w:r w:rsidR="00F4781B">
        <w:rPr>
          <w:bCs/>
          <w:color w:val="4F81BD" w:themeColor="accent1"/>
          <w:sz w:val="28"/>
          <w:szCs w:val="28"/>
          <w:u w:val="single"/>
        </w:rPr>
        <w:t>available only</w:t>
      </w:r>
      <w:r w:rsidR="00F4781B" w:rsidRPr="00EB239D">
        <w:rPr>
          <w:bCs/>
          <w:color w:val="4F81BD" w:themeColor="accent1"/>
          <w:sz w:val="28"/>
          <w:szCs w:val="28"/>
          <w:u w:val="single"/>
        </w:rPr>
        <w:t xml:space="preserve"> where there </w:t>
      </w:r>
      <w:r w:rsidR="00B60ABD">
        <w:rPr>
          <w:bCs/>
          <w:color w:val="4F81BD" w:themeColor="accent1"/>
          <w:sz w:val="28"/>
          <w:szCs w:val="28"/>
          <w:u w:val="single"/>
        </w:rPr>
        <w:t xml:space="preserve">is </w:t>
      </w:r>
      <w:r w:rsidR="00B26EC9">
        <w:rPr>
          <w:bCs/>
          <w:color w:val="4F81BD" w:themeColor="accent1"/>
          <w:sz w:val="28"/>
          <w:szCs w:val="28"/>
          <w:u w:val="single"/>
        </w:rPr>
        <w:t xml:space="preserve">no </w:t>
      </w:r>
      <w:r w:rsidR="00F4781B" w:rsidRPr="00EB239D">
        <w:rPr>
          <w:bCs/>
          <w:color w:val="4F81BD" w:themeColor="accent1"/>
          <w:sz w:val="28"/>
          <w:szCs w:val="28"/>
          <w:u w:val="single"/>
        </w:rPr>
        <w:t>adequate remedy by appeal.</w:t>
      </w:r>
      <w:r w:rsidR="00F4781B" w:rsidRPr="00EB239D">
        <w:rPr>
          <w:b/>
          <w:bCs/>
          <w:color w:val="4F81BD" w:themeColor="accent1"/>
          <w:sz w:val="28"/>
          <w:szCs w:val="28"/>
        </w:rPr>
        <w:t xml:space="preserve"> </w:t>
      </w:r>
      <w:r w:rsidRPr="00EB239D">
        <w:rPr>
          <w:sz w:val="28"/>
          <w:szCs w:val="28"/>
        </w:rPr>
        <w:t xml:space="preserve">In deciding whether to accept </w:t>
      </w:r>
      <w:r w:rsidRPr="00EB239D">
        <w:rPr>
          <w:color w:val="4F81BD" w:themeColor="accent1"/>
          <w:sz w:val="28"/>
          <w:szCs w:val="28"/>
          <w:u w:val="single"/>
        </w:rPr>
        <w:t>or decline</w:t>
      </w:r>
      <w:r w:rsidRPr="00EB239D">
        <w:rPr>
          <w:color w:val="4F81BD" w:themeColor="accent1"/>
          <w:sz w:val="28"/>
          <w:szCs w:val="28"/>
        </w:rPr>
        <w:t xml:space="preserve"> </w:t>
      </w:r>
      <w:r w:rsidRPr="00EB239D">
        <w:rPr>
          <w:sz w:val="28"/>
          <w:szCs w:val="28"/>
        </w:rPr>
        <w:t xml:space="preserve">jurisdiction, the court should consider, among other factors, whether the petition asks the court to resolve questions: </w:t>
      </w:r>
    </w:p>
    <w:p w14:paraId="6C0CFA9E" w14:textId="77777777" w:rsidR="00F21D20" w:rsidRPr="00EB239D" w:rsidRDefault="00F21D20" w:rsidP="00F21D20">
      <w:pPr>
        <w:pStyle w:val="Default"/>
        <w:rPr>
          <w:sz w:val="28"/>
          <w:szCs w:val="28"/>
        </w:rPr>
      </w:pPr>
    </w:p>
    <w:p w14:paraId="48F77A21" w14:textId="77777777" w:rsidR="00F21D20" w:rsidRPr="00EB239D" w:rsidRDefault="00F21D20" w:rsidP="00F21D20">
      <w:pPr>
        <w:pStyle w:val="Default"/>
        <w:rPr>
          <w:sz w:val="28"/>
          <w:szCs w:val="28"/>
        </w:rPr>
      </w:pPr>
      <w:r w:rsidRPr="00EB239D">
        <w:rPr>
          <w:b/>
          <w:bCs/>
          <w:i/>
          <w:iCs/>
          <w:sz w:val="28"/>
          <w:szCs w:val="28"/>
        </w:rPr>
        <w:t xml:space="preserve">(1) </w:t>
      </w:r>
      <w:r w:rsidRPr="00EB239D">
        <w:rPr>
          <w:sz w:val="28"/>
          <w:szCs w:val="28"/>
        </w:rPr>
        <w:t xml:space="preserve">certified for review under Rule 12; </w:t>
      </w:r>
    </w:p>
    <w:p w14:paraId="59153235" w14:textId="77777777" w:rsidR="00F21D20" w:rsidRPr="00EB239D" w:rsidRDefault="00F21D20" w:rsidP="00F21D20">
      <w:pPr>
        <w:pStyle w:val="Default"/>
        <w:rPr>
          <w:sz w:val="28"/>
          <w:szCs w:val="28"/>
        </w:rPr>
      </w:pPr>
    </w:p>
    <w:p w14:paraId="1D33FC83" w14:textId="77777777" w:rsidR="00F21D20" w:rsidRPr="00EB239D" w:rsidRDefault="00F21D20" w:rsidP="00F21D20">
      <w:pPr>
        <w:pStyle w:val="Default"/>
        <w:rPr>
          <w:sz w:val="28"/>
          <w:szCs w:val="28"/>
        </w:rPr>
      </w:pPr>
      <w:r w:rsidRPr="00EB239D">
        <w:rPr>
          <w:b/>
          <w:bCs/>
          <w:i/>
          <w:iCs/>
          <w:sz w:val="28"/>
          <w:szCs w:val="28"/>
        </w:rPr>
        <w:t xml:space="preserve">(2) </w:t>
      </w:r>
      <w:r w:rsidRPr="00EB239D">
        <w:rPr>
          <w:sz w:val="28"/>
          <w:szCs w:val="28"/>
        </w:rPr>
        <w:t xml:space="preserve">of privileges or immunities; </w:t>
      </w:r>
    </w:p>
    <w:p w14:paraId="6E6AFE96" w14:textId="77777777" w:rsidR="00F21D20" w:rsidRPr="00EB239D" w:rsidRDefault="00F21D20" w:rsidP="00F21D20">
      <w:pPr>
        <w:pStyle w:val="Default"/>
        <w:rPr>
          <w:sz w:val="28"/>
          <w:szCs w:val="28"/>
        </w:rPr>
      </w:pPr>
    </w:p>
    <w:p w14:paraId="19B5A7E5" w14:textId="6A53F088" w:rsidR="00F21D20" w:rsidRDefault="00F21D20" w:rsidP="00F21D20">
      <w:pPr>
        <w:pStyle w:val="Default"/>
        <w:rPr>
          <w:sz w:val="28"/>
          <w:szCs w:val="28"/>
        </w:rPr>
      </w:pPr>
      <w:r w:rsidRPr="00EB239D">
        <w:rPr>
          <w:b/>
          <w:bCs/>
          <w:i/>
          <w:iCs/>
          <w:sz w:val="28"/>
          <w:szCs w:val="28"/>
        </w:rPr>
        <w:t xml:space="preserve">(3) </w:t>
      </w:r>
      <w:r w:rsidRPr="00EB239D">
        <w:rPr>
          <w:sz w:val="28"/>
          <w:szCs w:val="28"/>
        </w:rPr>
        <w:t xml:space="preserve">of first impression; </w:t>
      </w:r>
    </w:p>
    <w:p w14:paraId="5513BE4A" w14:textId="77777777" w:rsidR="00787770" w:rsidRDefault="00787770" w:rsidP="00F21D20">
      <w:pPr>
        <w:pStyle w:val="Default"/>
        <w:rPr>
          <w:sz w:val="28"/>
          <w:szCs w:val="28"/>
        </w:rPr>
      </w:pPr>
    </w:p>
    <w:p w14:paraId="68F6C924" w14:textId="3AB60A1B" w:rsidR="00F21D20" w:rsidRPr="00EB239D" w:rsidRDefault="00787770" w:rsidP="00F21D20">
      <w:pPr>
        <w:pStyle w:val="Default"/>
        <w:rPr>
          <w:sz w:val="28"/>
          <w:szCs w:val="28"/>
          <w:u w:val="single"/>
        </w:rPr>
      </w:pPr>
      <w:r w:rsidRPr="00EB239D">
        <w:rPr>
          <w:b/>
          <w:i/>
          <w:color w:val="4F81BD" w:themeColor="accent1"/>
          <w:sz w:val="28"/>
          <w:szCs w:val="28"/>
          <w:u w:val="single"/>
        </w:rPr>
        <w:t>(4)</w:t>
      </w:r>
      <w:r w:rsidRPr="00EB239D">
        <w:rPr>
          <w:color w:val="4F81BD" w:themeColor="accent1"/>
          <w:sz w:val="28"/>
          <w:szCs w:val="28"/>
          <w:u w:val="single"/>
        </w:rPr>
        <w:t xml:space="preserve"> of law, not fact</w:t>
      </w:r>
      <w:r w:rsidR="00803936">
        <w:rPr>
          <w:color w:val="4F81BD" w:themeColor="accent1"/>
          <w:sz w:val="28"/>
          <w:szCs w:val="28"/>
          <w:u w:val="single"/>
        </w:rPr>
        <w:t>, and not clearly resolved by settled law</w:t>
      </w:r>
      <w:r w:rsidRPr="00EB239D">
        <w:rPr>
          <w:color w:val="4F81BD" w:themeColor="accent1"/>
          <w:sz w:val="28"/>
          <w:szCs w:val="28"/>
          <w:u w:val="single"/>
        </w:rPr>
        <w:t xml:space="preserve">; </w:t>
      </w:r>
    </w:p>
    <w:p w14:paraId="24D60B23" w14:textId="77777777" w:rsidR="00787770" w:rsidRPr="00EB239D" w:rsidRDefault="00787770" w:rsidP="00F21D20">
      <w:pPr>
        <w:pStyle w:val="Default"/>
        <w:rPr>
          <w:sz w:val="28"/>
          <w:szCs w:val="28"/>
        </w:rPr>
      </w:pPr>
    </w:p>
    <w:p w14:paraId="5E8F58D2" w14:textId="54820AB7" w:rsidR="00F21D20" w:rsidRPr="00EB239D" w:rsidRDefault="00F21D20" w:rsidP="00F21D20">
      <w:pPr>
        <w:pStyle w:val="Default"/>
        <w:rPr>
          <w:sz w:val="28"/>
          <w:szCs w:val="28"/>
        </w:rPr>
      </w:pPr>
      <w:r w:rsidRPr="00EB239D">
        <w:rPr>
          <w:b/>
          <w:bCs/>
          <w:i/>
          <w:iCs/>
          <w:sz w:val="28"/>
          <w:szCs w:val="28"/>
        </w:rPr>
        <w:t>(</w:t>
      </w:r>
      <w:r w:rsidRPr="00EB239D">
        <w:rPr>
          <w:b/>
          <w:bCs/>
          <w:i/>
          <w:iCs/>
          <w:strike/>
          <w:color w:val="FF0000"/>
          <w:sz w:val="28"/>
          <w:szCs w:val="28"/>
        </w:rPr>
        <w:t>4</w:t>
      </w:r>
      <w:r w:rsidR="00787770" w:rsidRPr="00EB239D">
        <w:rPr>
          <w:b/>
          <w:bCs/>
          <w:i/>
          <w:iCs/>
          <w:color w:val="4F81BD" w:themeColor="accent1"/>
          <w:sz w:val="28"/>
          <w:szCs w:val="28"/>
          <w:u w:val="single"/>
        </w:rPr>
        <w:t>5</w:t>
      </w:r>
      <w:r w:rsidRPr="00EB239D">
        <w:rPr>
          <w:b/>
          <w:bCs/>
          <w:i/>
          <w:iCs/>
          <w:sz w:val="28"/>
          <w:szCs w:val="28"/>
        </w:rPr>
        <w:t xml:space="preserve">) </w:t>
      </w:r>
      <w:r w:rsidRPr="00EB239D">
        <w:rPr>
          <w:sz w:val="28"/>
          <w:szCs w:val="28"/>
        </w:rPr>
        <w:t xml:space="preserve">of statewide importance; </w:t>
      </w:r>
    </w:p>
    <w:p w14:paraId="3C4F5BF6" w14:textId="77777777" w:rsidR="00F21D20" w:rsidRPr="00EB239D" w:rsidRDefault="00F21D20" w:rsidP="00F21D20">
      <w:pPr>
        <w:pStyle w:val="Default"/>
        <w:rPr>
          <w:sz w:val="28"/>
          <w:szCs w:val="28"/>
        </w:rPr>
      </w:pPr>
    </w:p>
    <w:p w14:paraId="4B87C6E1" w14:textId="1BE1F5CF" w:rsidR="00F21D20" w:rsidRPr="00EB239D" w:rsidRDefault="00F21D20" w:rsidP="00F21D20">
      <w:pPr>
        <w:pStyle w:val="Default"/>
        <w:rPr>
          <w:sz w:val="28"/>
          <w:szCs w:val="28"/>
        </w:rPr>
      </w:pPr>
      <w:r w:rsidRPr="00EB239D">
        <w:rPr>
          <w:b/>
          <w:bCs/>
          <w:i/>
          <w:iCs/>
          <w:sz w:val="28"/>
          <w:szCs w:val="28"/>
        </w:rPr>
        <w:t>(</w:t>
      </w:r>
      <w:r w:rsidRPr="00EB239D">
        <w:rPr>
          <w:b/>
          <w:bCs/>
          <w:i/>
          <w:iCs/>
          <w:strike/>
          <w:color w:val="FF0000"/>
          <w:sz w:val="28"/>
          <w:szCs w:val="28"/>
        </w:rPr>
        <w:t>5</w:t>
      </w:r>
      <w:r w:rsidR="00787770" w:rsidRPr="00EB239D">
        <w:rPr>
          <w:b/>
          <w:bCs/>
          <w:i/>
          <w:iCs/>
          <w:color w:val="4F81BD" w:themeColor="accent1"/>
          <w:sz w:val="28"/>
          <w:szCs w:val="28"/>
          <w:u w:val="single"/>
        </w:rPr>
        <w:t>6</w:t>
      </w:r>
      <w:r w:rsidRPr="00EB239D">
        <w:rPr>
          <w:b/>
          <w:bCs/>
          <w:i/>
          <w:iCs/>
          <w:sz w:val="28"/>
          <w:szCs w:val="28"/>
        </w:rPr>
        <w:t xml:space="preserve">) </w:t>
      </w:r>
      <w:r w:rsidRPr="00EB239D">
        <w:rPr>
          <w:sz w:val="28"/>
          <w:szCs w:val="28"/>
        </w:rPr>
        <w:t xml:space="preserve">tending to evade review, including questions that may become moot before an appeal; </w:t>
      </w:r>
    </w:p>
    <w:p w14:paraId="32E58FC3" w14:textId="77777777" w:rsidR="00F21D20" w:rsidRPr="00EB239D" w:rsidRDefault="00F21D20" w:rsidP="00F21D20">
      <w:pPr>
        <w:pStyle w:val="Default"/>
        <w:rPr>
          <w:sz w:val="28"/>
          <w:szCs w:val="28"/>
        </w:rPr>
      </w:pPr>
    </w:p>
    <w:p w14:paraId="2BC90681" w14:textId="469FCC2F" w:rsidR="00F21D20" w:rsidRPr="00EB239D" w:rsidRDefault="00F21D20" w:rsidP="00F21D20">
      <w:pPr>
        <w:pStyle w:val="Default"/>
        <w:rPr>
          <w:sz w:val="28"/>
          <w:szCs w:val="28"/>
        </w:rPr>
      </w:pPr>
      <w:r w:rsidRPr="00EB239D">
        <w:rPr>
          <w:b/>
          <w:bCs/>
          <w:i/>
          <w:iCs/>
          <w:sz w:val="28"/>
          <w:szCs w:val="28"/>
        </w:rPr>
        <w:t>(</w:t>
      </w:r>
      <w:r w:rsidRPr="00EB239D">
        <w:rPr>
          <w:b/>
          <w:bCs/>
          <w:i/>
          <w:iCs/>
          <w:strike/>
          <w:color w:val="FF0000"/>
          <w:sz w:val="28"/>
          <w:szCs w:val="28"/>
        </w:rPr>
        <w:t>6</w:t>
      </w:r>
      <w:r w:rsidR="00787770" w:rsidRPr="00EB239D">
        <w:rPr>
          <w:b/>
          <w:bCs/>
          <w:i/>
          <w:iCs/>
          <w:color w:val="4F81BD" w:themeColor="accent1"/>
          <w:sz w:val="28"/>
          <w:szCs w:val="28"/>
          <w:u w:val="single"/>
        </w:rPr>
        <w:t>7</w:t>
      </w:r>
      <w:r w:rsidRPr="00EB239D">
        <w:rPr>
          <w:b/>
          <w:bCs/>
          <w:i/>
          <w:iCs/>
          <w:sz w:val="28"/>
          <w:szCs w:val="28"/>
        </w:rPr>
        <w:t xml:space="preserve">) </w:t>
      </w:r>
      <w:r w:rsidRPr="00EB239D">
        <w:rPr>
          <w:sz w:val="28"/>
          <w:szCs w:val="28"/>
        </w:rPr>
        <w:t xml:space="preserve">involving the welfare of children where the harm complained of can only be prevented by resolution before an appeal; </w:t>
      </w:r>
    </w:p>
    <w:p w14:paraId="5A0B5475" w14:textId="77777777" w:rsidR="00F21D20" w:rsidRPr="00EB239D" w:rsidRDefault="00F21D20" w:rsidP="00F21D20">
      <w:pPr>
        <w:pStyle w:val="Default"/>
        <w:rPr>
          <w:sz w:val="28"/>
          <w:szCs w:val="28"/>
        </w:rPr>
      </w:pPr>
    </w:p>
    <w:p w14:paraId="63F08010" w14:textId="26520826" w:rsidR="00787770" w:rsidRPr="00987364" w:rsidRDefault="00F21D20" w:rsidP="00787770">
      <w:pPr>
        <w:pStyle w:val="Default"/>
        <w:rPr>
          <w:sz w:val="28"/>
          <w:szCs w:val="28"/>
        </w:rPr>
      </w:pPr>
      <w:r w:rsidRPr="00EB239D">
        <w:rPr>
          <w:b/>
          <w:bCs/>
          <w:i/>
          <w:iCs/>
          <w:sz w:val="28"/>
          <w:szCs w:val="28"/>
        </w:rPr>
        <w:t>(</w:t>
      </w:r>
      <w:r w:rsidRPr="00EB239D">
        <w:rPr>
          <w:b/>
          <w:bCs/>
          <w:i/>
          <w:iCs/>
          <w:strike/>
          <w:color w:val="FF0000"/>
          <w:sz w:val="28"/>
          <w:szCs w:val="28"/>
        </w:rPr>
        <w:t>7</w:t>
      </w:r>
      <w:r w:rsidR="00787770" w:rsidRPr="00EB239D">
        <w:rPr>
          <w:b/>
          <w:bCs/>
          <w:i/>
          <w:iCs/>
          <w:color w:val="4F81BD" w:themeColor="accent1"/>
          <w:sz w:val="28"/>
          <w:szCs w:val="28"/>
          <w:u w:val="single"/>
        </w:rPr>
        <w:t>8</w:t>
      </w:r>
      <w:r w:rsidRPr="00EB239D">
        <w:rPr>
          <w:b/>
          <w:bCs/>
          <w:i/>
          <w:iCs/>
          <w:sz w:val="28"/>
          <w:szCs w:val="28"/>
        </w:rPr>
        <w:t xml:space="preserve">) </w:t>
      </w:r>
      <w:r w:rsidRPr="00EB239D">
        <w:rPr>
          <w:sz w:val="28"/>
          <w:szCs w:val="28"/>
        </w:rPr>
        <w:t>the resolution of which will materially advance the efficient management of the case, other than issues presented by ordinary dispositive motion practice</w:t>
      </w:r>
      <w:r w:rsidR="00787770">
        <w:rPr>
          <w:sz w:val="28"/>
          <w:szCs w:val="28"/>
        </w:rPr>
        <w:t xml:space="preserve"> </w:t>
      </w:r>
      <w:r w:rsidR="00787770" w:rsidRPr="00EB239D">
        <w:rPr>
          <w:color w:val="4F81BD" w:themeColor="accent1"/>
          <w:sz w:val="28"/>
          <w:szCs w:val="28"/>
          <w:u w:val="single"/>
        </w:rPr>
        <w:t>under Rules 12(b)(6)</w:t>
      </w:r>
      <w:r w:rsidR="00B60ABD">
        <w:rPr>
          <w:color w:val="4F81BD" w:themeColor="accent1"/>
          <w:sz w:val="28"/>
          <w:szCs w:val="28"/>
          <w:u w:val="single"/>
        </w:rPr>
        <w:t>, 12(c),</w:t>
      </w:r>
      <w:r w:rsidR="00787770" w:rsidRPr="00EB239D">
        <w:rPr>
          <w:color w:val="4F81BD" w:themeColor="accent1"/>
          <w:sz w:val="28"/>
          <w:szCs w:val="28"/>
          <w:u w:val="single"/>
        </w:rPr>
        <w:t xml:space="preserve"> or 56 of the Rules of Civil Procedure, or Rules 29(a)(6) or 79 of the Rules of Family Law Procedure</w:t>
      </w:r>
      <w:r w:rsidR="00787770" w:rsidRPr="00987364">
        <w:rPr>
          <w:sz w:val="28"/>
          <w:szCs w:val="28"/>
        </w:rPr>
        <w:t xml:space="preserve">; </w:t>
      </w:r>
    </w:p>
    <w:p w14:paraId="6C271509" w14:textId="2C7104F4" w:rsidR="00F21D20" w:rsidRPr="00EB239D" w:rsidRDefault="00F21D20" w:rsidP="00F21D20">
      <w:pPr>
        <w:pStyle w:val="Default"/>
        <w:rPr>
          <w:sz w:val="28"/>
          <w:szCs w:val="28"/>
        </w:rPr>
      </w:pPr>
    </w:p>
    <w:p w14:paraId="325EDE00" w14:textId="4391C123" w:rsidR="00F21D20" w:rsidRDefault="00F21D20" w:rsidP="00F21D20">
      <w:pPr>
        <w:pStyle w:val="Default"/>
        <w:rPr>
          <w:sz w:val="28"/>
          <w:szCs w:val="28"/>
        </w:rPr>
      </w:pPr>
      <w:r w:rsidRPr="00EB239D">
        <w:rPr>
          <w:b/>
          <w:bCs/>
          <w:i/>
          <w:iCs/>
          <w:sz w:val="28"/>
          <w:szCs w:val="28"/>
        </w:rPr>
        <w:t>(</w:t>
      </w:r>
      <w:r w:rsidRPr="00B60ABD">
        <w:rPr>
          <w:b/>
          <w:bCs/>
          <w:i/>
          <w:iCs/>
          <w:strike/>
          <w:color w:val="FF0000"/>
          <w:sz w:val="28"/>
          <w:szCs w:val="28"/>
        </w:rPr>
        <w:t>8</w:t>
      </w:r>
      <w:r w:rsidR="00787770" w:rsidRPr="00EB239D">
        <w:rPr>
          <w:b/>
          <w:bCs/>
          <w:i/>
          <w:iCs/>
          <w:color w:val="4F81BD" w:themeColor="accent1"/>
          <w:sz w:val="28"/>
          <w:szCs w:val="28"/>
          <w:u w:val="single"/>
        </w:rPr>
        <w:t>9</w:t>
      </w:r>
      <w:r w:rsidRPr="00EB239D">
        <w:rPr>
          <w:b/>
          <w:bCs/>
          <w:i/>
          <w:iCs/>
          <w:sz w:val="28"/>
          <w:szCs w:val="28"/>
        </w:rPr>
        <w:t xml:space="preserve">) </w:t>
      </w:r>
      <w:r w:rsidRPr="00EB239D">
        <w:rPr>
          <w:sz w:val="28"/>
          <w:szCs w:val="28"/>
        </w:rPr>
        <w:t xml:space="preserve">concerning a decision that cannot be justified under any rule of law. </w:t>
      </w:r>
    </w:p>
    <w:p w14:paraId="49AB41D8" w14:textId="4A09C50C" w:rsidR="00F4781B" w:rsidRDefault="00F4781B" w:rsidP="00F21D20">
      <w:pPr>
        <w:pStyle w:val="Default"/>
        <w:rPr>
          <w:sz w:val="28"/>
          <w:szCs w:val="28"/>
        </w:rPr>
      </w:pPr>
    </w:p>
    <w:p w14:paraId="64BD9280" w14:textId="76AA3BEC" w:rsidR="00B26EC9" w:rsidRPr="00EB239D" w:rsidRDefault="00B26EC9" w:rsidP="00F21D20">
      <w:pPr>
        <w:pStyle w:val="Default"/>
        <w:rPr>
          <w:strike/>
          <w:color w:val="4F81BD" w:themeColor="accent1"/>
          <w:sz w:val="28"/>
          <w:szCs w:val="28"/>
          <w:u w:val="single"/>
        </w:rPr>
      </w:pPr>
      <w:r w:rsidRPr="00EB239D">
        <w:rPr>
          <w:strike/>
          <w:color w:val="FF0000"/>
          <w:sz w:val="28"/>
          <w:szCs w:val="28"/>
        </w:rPr>
        <w:t>These factors support but do not require accepting jurisdiction.</w:t>
      </w:r>
    </w:p>
    <w:p w14:paraId="35E9DE9C" w14:textId="77777777" w:rsidR="00B26EC9" w:rsidRDefault="00B26EC9" w:rsidP="00F21D20">
      <w:pPr>
        <w:pStyle w:val="Default"/>
        <w:rPr>
          <w:color w:val="4F81BD" w:themeColor="accent1"/>
          <w:sz w:val="28"/>
          <w:szCs w:val="28"/>
          <w:u w:val="single"/>
        </w:rPr>
      </w:pPr>
    </w:p>
    <w:p w14:paraId="73D9456F" w14:textId="37EB9B9C" w:rsidR="00F4781B" w:rsidRPr="00EB239D" w:rsidRDefault="00F4781B" w:rsidP="00F21D20">
      <w:pPr>
        <w:pStyle w:val="Default"/>
        <w:rPr>
          <w:sz w:val="28"/>
          <w:szCs w:val="28"/>
        </w:rPr>
      </w:pPr>
      <w:r w:rsidRPr="00EB239D">
        <w:rPr>
          <w:color w:val="4F81BD" w:themeColor="accent1"/>
          <w:sz w:val="28"/>
          <w:szCs w:val="28"/>
          <w:u w:val="single"/>
        </w:rPr>
        <w:t xml:space="preserve">The presence of a </w:t>
      </w:r>
      <w:r>
        <w:rPr>
          <w:color w:val="4F81BD" w:themeColor="accent1"/>
          <w:sz w:val="28"/>
          <w:szCs w:val="28"/>
          <w:u w:val="single"/>
        </w:rPr>
        <w:t xml:space="preserve">particular </w:t>
      </w:r>
      <w:r w:rsidRPr="00EB239D">
        <w:rPr>
          <w:color w:val="4F81BD" w:themeColor="accent1"/>
          <w:sz w:val="28"/>
          <w:szCs w:val="28"/>
          <w:u w:val="single"/>
        </w:rPr>
        <w:t xml:space="preserve">factor supports </w:t>
      </w:r>
      <w:r w:rsidR="00B26EC9">
        <w:rPr>
          <w:color w:val="4F81BD" w:themeColor="accent1"/>
          <w:sz w:val="28"/>
          <w:szCs w:val="28"/>
          <w:u w:val="single"/>
        </w:rPr>
        <w:t xml:space="preserve">but does not require </w:t>
      </w:r>
      <w:r w:rsidRPr="003B7172">
        <w:rPr>
          <w:color w:val="4F81BD" w:themeColor="accent1"/>
          <w:sz w:val="28"/>
          <w:szCs w:val="28"/>
          <w:u w:val="single"/>
        </w:rPr>
        <w:t xml:space="preserve">accepting jurisdiction; the absence of a </w:t>
      </w:r>
      <w:r w:rsidR="00B26EC9">
        <w:rPr>
          <w:color w:val="4F81BD" w:themeColor="accent1"/>
          <w:sz w:val="28"/>
          <w:szCs w:val="28"/>
          <w:u w:val="single"/>
        </w:rPr>
        <w:t xml:space="preserve">particular </w:t>
      </w:r>
      <w:r w:rsidRPr="00EB239D">
        <w:rPr>
          <w:color w:val="4F81BD" w:themeColor="accent1"/>
          <w:sz w:val="28"/>
          <w:szCs w:val="28"/>
          <w:u w:val="single"/>
        </w:rPr>
        <w:t>factor supports</w:t>
      </w:r>
      <w:r w:rsidR="00B26EC9">
        <w:rPr>
          <w:color w:val="4F81BD" w:themeColor="accent1"/>
          <w:sz w:val="28"/>
          <w:szCs w:val="28"/>
          <w:u w:val="single"/>
        </w:rPr>
        <w:t xml:space="preserve"> but does not require</w:t>
      </w:r>
      <w:r w:rsidRPr="003B7172">
        <w:rPr>
          <w:color w:val="4F81BD" w:themeColor="accent1"/>
          <w:sz w:val="28"/>
          <w:szCs w:val="28"/>
          <w:u w:val="single"/>
        </w:rPr>
        <w:t xml:space="preserve"> declining jurisdiction</w:t>
      </w:r>
      <w:r>
        <w:rPr>
          <w:sz w:val="28"/>
          <w:szCs w:val="28"/>
        </w:rPr>
        <w:t xml:space="preserve">. </w:t>
      </w:r>
    </w:p>
    <w:p w14:paraId="4C9DBA8B" w14:textId="232C5731" w:rsidR="00F21D20" w:rsidRPr="00EB239D" w:rsidRDefault="00F21D20" w:rsidP="00F21D20">
      <w:pPr>
        <w:pStyle w:val="Default"/>
        <w:rPr>
          <w:sz w:val="28"/>
          <w:szCs w:val="28"/>
        </w:rPr>
      </w:pPr>
    </w:p>
    <w:p w14:paraId="7719B4CF" w14:textId="766B4C36" w:rsidR="0073770B" w:rsidRPr="00EB239D" w:rsidRDefault="0073770B" w:rsidP="00F21D20">
      <w:pPr>
        <w:pStyle w:val="Default"/>
        <w:rPr>
          <w:sz w:val="28"/>
          <w:szCs w:val="28"/>
        </w:rPr>
      </w:pPr>
      <w:r w:rsidRPr="00EB239D">
        <w:rPr>
          <w:sz w:val="28"/>
          <w:szCs w:val="28"/>
        </w:rPr>
        <w:t xml:space="preserve">[Strike </w:t>
      </w:r>
      <w:r w:rsidR="00787770">
        <w:rPr>
          <w:sz w:val="28"/>
          <w:szCs w:val="28"/>
        </w:rPr>
        <w:t>Rule 11(c)]</w:t>
      </w:r>
    </w:p>
    <w:p w14:paraId="7AEEF9AD" w14:textId="77777777" w:rsidR="00F21D20" w:rsidRPr="00EB239D" w:rsidRDefault="00F21D20" w:rsidP="00F21D20">
      <w:pPr>
        <w:pStyle w:val="Default"/>
        <w:rPr>
          <w:sz w:val="28"/>
          <w:szCs w:val="28"/>
        </w:rPr>
      </w:pPr>
    </w:p>
    <w:p w14:paraId="1980F7F5" w14:textId="2B4A2280" w:rsidR="00787770" w:rsidRPr="00EB239D" w:rsidRDefault="00787770" w:rsidP="00EB239D">
      <w:pPr>
        <w:pStyle w:val="Default"/>
        <w:rPr>
          <w:color w:val="auto"/>
          <w:sz w:val="28"/>
          <w:szCs w:val="28"/>
        </w:rPr>
      </w:pPr>
      <w:r w:rsidRPr="00EB239D">
        <w:rPr>
          <w:b/>
          <w:bCs/>
          <w:i/>
          <w:iCs/>
          <w:strike/>
          <w:color w:val="FF0000"/>
          <w:sz w:val="28"/>
          <w:szCs w:val="28"/>
        </w:rPr>
        <w:t xml:space="preserve"> </w:t>
      </w:r>
      <w:r w:rsidR="00F21D20" w:rsidRPr="00EB239D">
        <w:rPr>
          <w:b/>
          <w:bCs/>
          <w:i/>
          <w:iCs/>
          <w:strike/>
          <w:color w:val="FF0000"/>
          <w:sz w:val="28"/>
          <w:szCs w:val="28"/>
        </w:rPr>
        <w:t>(</w:t>
      </w:r>
      <w:r w:rsidRPr="00EB239D">
        <w:rPr>
          <w:b/>
          <w:bCs/>
          <w:i/>
          <w:iCs/>
          <w:strike/>
          <w:color w:val="FF0000"/>
          <w:sz w:val="28"/>
          <w:szCs w:val="28"/>
        </w:rPr>
        <w:t>1</w:t>
      </w:r>
      <w:r w:rsidR="00F21D20" w:rsidRPr="00EB239D">
        <w:rPr>
          <w:b/>
          <w:bCs/>
          <w:i/>
          <w:iCs/>
          <w:strike/>
          <w:color w:val="FF0000"/>
          <w:sz w:val="28"/>
          <w:szCs w:val="28"/>
        </w:rPr>
        <w:t xml:space="preserve">) </w:t>
      </w:r>
      <w:r w:rsidRPr="00EB239D">
        <w:rPr>
          <w:strike/>
          <w:color w:val="FF0000"/>
          <w:sz w:val="28"/>
          <w:szCs w:val="28"/>
        </w:rPr>
        <w:t>of fact;</w:t>
      </w:r>
      <w:r w:rsidR="00F4781B">
        <w:rPr>
          <w:color w:val="auto"/>
          <w:sz w:val="28"/>
          <w:szCs w:val="28"/>
        </w:rPr>
        <w:t xml:space="preserve"> [incorporated above]</w:t>
      </w:r>
    </w:p>
    <w:p w14:paraId="5FA99475" w14:textId="15F2AA6E" w:rsidR="00787770" w:rsidRDefault="00787770" w:rsidP="00F21D20">
      <w:pPr>
        <w:pStyle w:val="Default"/>
        <w:rPr>
          <w:b/>
          <w:bCs/>
          <w:i/>
          <w:iCs/>
          <w:sz w:val="28"/>
          <w:szCs w:val="28"/>
        </w:rPr>
      </w:pPr>
    </w:p>
    <w:p w14:paraId="5589BDF7" w14:textId="0CEA1972" w:rsidR="00F21D20" w:rsidRPr="00EB239D" w:rsidRDefault="00787770" w:rsidP="00F21D20">
      <w:pPr>
        <w:pStyle w:val="Default"/>
        <w:rPr>
          <w:sz w:val="28"/>
          <w:szCs w:val="28"/>
        </w:rPr>
      </w:pPr>
      <w:r w:rsidRPr="00EB239D">
        <w:rPr>
          <w:b/>
          <w:i/>
          <w:strike/>
          <w:color w:val="FF0000"/>
          <w:sz w:val="28"/>
          <w:szCs w:val="28"/>
        </w:rPr>
        <w:t xml:space="preserve">(2) </w:t>
      </w:r>
      <w:r w:rsidR="00F21D20" w:rsidRPr="00EB239D">
        <w:rPr>
          <w:strike/>
          <w:color w:val="FF0000"/>
          <w:sz w:val="28"/>
          <w:szCs w:val="28"/>
        </w:rPr>
        <w:t>resolved under Rules 12(b)(6) or 56 of the Rules of Civil Procedure, or Rules 29(a)(6) or 79 of the Rules of Family Law Procedure;</w:t>
      </w:r>
      <w:r w:rsidR="00F21D20" w:rsidRPr="00EB239D">
        <w:rPr>
          <w:color w:val="FF0000"/>
          <w:sz w:val="28"/>
          <w:szCs w:val="28"/>
        </w:rPr>
        <w:t xml:space="preserve"> </w:t>
      </w:r>
      <w:r w:rsidR="00F4781B">
        <w:rPr>
          <w:sz w:val="28"/>
          <w:szCs w:val="28"/>
        </w:rPr>
        <w:t>[incorporated above]</w:t>
      </w:r>
    </w:p>
    <w:p w14:paraId="20499A0E" w14:textId="77777777" w:rsidR="00F21D20" w:rsidRPr="00EB239D" w:rsidRDefault="00F21D20" w:rsidP="00F21D20">
      <w:pPr>
        <w:pStyle w:val="Default"/>
        <w:rPr>
          <w:sz w:val="28"/>
          <w:szCs w:val="28"/>
        </w:rPr>
      </w:pPr>
    </w:p>
    <w:p w14:paraId="42A7BF16" w14:textId="3F4EA6E9" w:rsidR="00F21D20" w:rsidRPr="00EB239D" w:rsidRDefault="00F21D20" w:rsidP="00F21D20">
      <w:pPr>
        <w:pStyle w:val="Default"/>
        <w:rPr>
          <w:strike/>
          <w:sz w:val="28"/>
          <w:szCs w:val="28"/>
        </w:rPr>
      </w:pPr>
      <w:r w:rsidRPr="00EB239D">
        <w:rPr>
          <w:b/>
          <w:bCs/>
          <w:i/>
          <w:iCs/>
          <w:strike/>
          <w:color w:val="FF0000"/>
          <w:sz w:val="28"/>
          <w:szCs w:val="28"/>
        </w:rPr>
        <w:t xml:space="preserve">(3) </w:t>
      </w:r>
      <w:r w:rsidRPr="00EB239D">
        <w:rPr>
          <w:strike/>
          <w:color w:val="FF0000"/>
          <w:sz w:val="28"/>
          <w:szCs w:val="28"/>
        </w:rPr>
        <w:t>clearly resolved by settled law;</w:t>
      </w:r>
      <w:r w:rsidRPr="00EB239D">
        <w:rPr>
          <w:color w:val="auto"/>
          <w:sz w:val="28"/>
          <w:szCs w:val="28"/>
        </w:rPr>
        <w:t xml:space="preserve"> </w:t>
      </w:r>
      <w:r w:rsidR="00F4781B" w:rsidRPr="00EB239D">
        <w:rPr>
          <w:color w:val="auto"/>
          <w:sz w:val="28"/>
          <w:szCs w:val="28"/>
        </w:rPr>
        <w:t>[</w:t>
      </w:r>
      <w:r w:rsidR="00504C0A">
        <w:rPr>
          <w:color w:val="auto"/>
          <w:sz w:val="28"/>
          <w:szCs w:val="28"/>
        </w:rPr>
        <w:t>incorporated above</w:t>
      </w:r>
      <w:r w:rsidR="00F4781B">
        <w:rPr>
          <w:color w:val="auto"/>
          <w:sz w:val="28"/>
          <w:szCs w:val="28"/>
        </w:rPr>
        <w:t>]</w:t>
      </w:r>
    </w:p>
    <w:p w14:paraId="385A8B14" w14:textId="77777777" w:rsidR="00F21D20" w:rsidRPr="00EB239D" w:rsidRDefault="00F21D20" w:rsidP="00F21D20">
      <w:pPr>
        <w:pStyle w:val="Default"/>
        <w:rPr>
          <w:sz w:val="28"/>
          <w:szCs w:val="28"/>
        </w:rPr>
      </w:pPr>
    </w:p>
    <w:p w14:paraId="0496612D" w14:textId="5D5F2965" w:rsidR="00F21D20" w:rsidRPr="00EB239D" w:rsidRDefault="00F21D20" w:rsidP="00F21D20">
      <w:pPr>
        <w:pStyle w:val="Default"/>
        <w:rPr>
          <w:color w:val="auto"/>
          <w:sz w:val="28"/>
          <w:szCs w:val="28"/>
        </w:rPr>
      </w:pPr>
      <w:r w:rsidRPr="00EB239D">
        <w:rPr>
          <w:b/>
          <w:bCs/>
          <w:i/>
          <w:iCs/>
          <w:strike/>
          <w:color w:val="FF0000"/>
          <w:sz w:val="28"/>
          <w:szCs w:val="28"/>
        </w:rPr>
        <w:t xml:space="preserve">(4) </w:t>
      </w:r>
      <w:r w:rsidRPr="00EB239D">
        <w:rPr>
          <w:strike/>
          <w:color w:val="FF0000"/>
          <w:sz w:val="28"/>
          <w:szCs w:val="28"/>
        </w:rPr>
        <w:t xml:space="preserve">equally appropriate to address by appeal; or </w:t>
      </w:r>
      <w:r w:rsidR="00F4781B" w:rsidRPr="00EB239D">
        <w:rPr>
          <w:color w:val="auto"/>
          <w:sz w:val="28"/>
          <w:szCs w:val="28"/>
        </w:rPr>
        <w:t xml:space="preserve">[addressed by </w:t>
      </w:r>
      <w:r w:rsidR="00E33328">
        <w:rPr>
          <w:color w:val="auto"/>
          <w:sz w:val="28"/>
          <w:szCs w:val="28"/>
        </w:rPr>
        <w:t>adding</w:t>
      </w:r>
      <w:r w:rsidR="00E33328" w:rsidRPr="00EB239D">
        <w:rPr>
          <w:color w:val="auto"/>
          <w:sz w:val="28"/>
          <w:szCs w:val="28"/>
        </w:rPr>
        <w:t xml:space="preserve"> </w:t>
      </w:r>
      <w:r w:rsidR="00F4781B" w:rsidRPr="00EB239D">
        <w:rPr>
          <w:color w:val="auto"/>
          <w:sz w:val="28"/>
          <w:szCs w:val="28"/>
        </w:rPr>
        <w:t>“adequate</w:t>
      </w:r>
      <w:r w:rsidR="00B00B49">
        <w:rPr>
          <w:color w:val="auto"/>
          <w:sz w:val="28"/>
          <w:szCs w:val="28"/>
        </w:rPr>
        <w:t xml:space="preserve"> remedy</w:t>
      </w:r>
      <w:r w:rsidR="00B65CC0">
        <w:rPr>
          <w:color w:val="auto"/>
          <w:sz w:val="28"/>
          <w:szCs w:val="28"/>
        </w:rPr>
        <w:t>”</w:t>
      </w:r>
      <w:r w:rsidR="00F4781B" w:rsidRPr="00EB239D">
        <w:rPr>
          <w:color w:val="auto"/>
          <w:sz w:val="28"/>
          <w:szCs w:val="28"/>
        </w:rPr>
        <w:t xml:space="preserve"> prefatory language.]</w:t>
      </w:r>
    </w:p>
    <w:p w14:paraId="181AA5D6" w14:textId="77777777" w:rsidR="00F21D20" w:rsidRPr="00EB239D" w:rsidRDefault="00F21D20" w:rsidP="00F21D20">
      <w:pPr>
        <w:pStyle w:val="Default"/>
        <w:rPr>
          <w:sz w:val="28"/>
          <w:szCs w:val="28"/>
        </w:rPr>
      </w:pPr>
    </w:p>
    <w:p w14:paraId="5158B5D8" w14:textId="743BF7E3" w:rsidR="00F21D20" w:rsidRDefault="00F21D20" w:rsidP="00466F30">
      <w:pPr>
        <w:pStyle w:val="Default"/>
        <w:spacing w:after="240"/>
        <w:rPr>
          <w:color w:val="auto"/>
          <w:sz w:val="28"/>
          <w:szCs w:val="28"/>
        </w:rPr>
      </w:pPr>
      <w:r w:rsidRPr="00EB239D">
        <w:rPr>
          <w:b/>
          <w:bCs/>
          <w:i/>
          <w:iCs/>
          <w:strike/>
          <w:color w:val="FF0000"/>
          <w:sz w:val="28"/>
          <w:szCs w:val="28"/>
        </w:rPr>
        <w:lastRenderedPageBreak/>
        <w:t xml:space="preserve">(5) </w:t>
      </w:r>
      <w:r w:rsidRPr="00EB239D">
        <w:rPr>
          <w:strike/>
          <w:color w:val="FF0000"/>
          <w:sz w:val="28"/>
          <w:szCs w:val="28"/>
        </w:rPr>
        <w:t>the resolution of which will not materially advance the efficient management of the case.</w:t>
      </w:r>
      <w:r w:rsidRPr="00EB239D">
        <w:rPr>
          <w:color w:val="FF0000"/>
          <w:sz w:val="28"/>
          <w:szCs w:val="28"/>
        </w:rPr>
        <w:t xml:space="preserve"> </w:t>
      </w:r>
      <w:r w:rsidR="00B26EC9" w:rsidRPr="00EB239D">
        <w:rPr>
          <w:color w:val="auto"/>
          <w:sz w:val="28"/>
          <w:szCs w:val="28"/>
        </w:rPr>
        <w:t>[already addressed above]</w:t>
      </w:r>
    </w:p>
    <w:p w14:paraId="3BA1B15B" w14:textId="6614BB36" w:rsidR="00845E58" w:rsidRPr="00480CEE" w:rsidRDefault="00845E58" w:rsidP="00480CEE">
      <w:pPr>
        <w:pStyle w:val="Default"/>
        <w:spacing w:after="240"/>
        <w:jc w:val="center"/>
        <w:rPr>
          <w:color w:val="auto"/>
          <w:sz w:val="28"/>
          <w:szCs w:val="28"/>
        </w:rPr>
      </w:pPr>
      <w:r w:rsidRPr="00480CEE">
        <w:rPr>
          <w:color w:val="auto"/>
          <w:sz w:val="28"/>
          <w:szCs w:val="28"/>
        </w:rPr>
        <w:t>***</w:t>
      </w:r>
    </w:p>
    <w:p w14:paraId="39B63DF1" w14:textId="55F5F2C6" w:rsidR="00466F30" w:rsidRDefault="00466F30" w:rsidP="00480CEE">
      <w:pPr>
        <w:pStyle w:val="BodyText"/>
        <w:ind w:right="116"/>
        <w:jc w:val="both"/>
        <w:rPr>
          <w:szCs w:val="28"/>
        </w:rPr>
      </w:pPr>
      <w:r>
        <w:rPr>
          <w:szCs w:val="28"/>
        </w:rPr>
        <w:t>To be clear,</w:t>
      </w:r>
      <w:r w:rsidR="00480CEE">
        <w:rPr>
          <w:szCs w:val="28"/>
        </w:rPr>
        <w:t xml:space="preserve"> </w:t>
      </w:r>
      <w:r w:rsidR="003733D2">
        <w:rPr>
          <w:szCs w:val="28"/>
        </w:rPr>
        <w:t>we have more substantive concern about the omission of the “adequate remedy” language and other issues presented in this comment than we do about the factors’ precise language, or whether they are presented as one or two lists.</w:t>
      </w:r>
      <w:r w:rsidR="0025793E">
        <w:rPr>
          <w:szCs w:val="28"/>
        </w:rPr>
        <w:t xml:space="preserve"> But with the expectation that these Rules will be in place for decades, we also wanted to foster discussion regarding whether the Rules’ presentation of the factors might be further optimized. </w:t>
      </w:r>
      <w:r w:rsidR="00636AA1">
        <w:rPr>
          <w:szCs w:val="28"/>
        </w:rPr>
        <w:t xml:space="preserve"> </w:t>
      </w:r>
      <w:r w:rsidR="003733D2">
        <w:rPr>
          <w:szCs w:val="28"/>
        </w:rPr>
        <w:t xml:space="preserve">  </w:t>
      </w:r>
      <w:r w:rsidR="00AE6347">
        <w:rPr>
          <w:szCs w:val="28"/>
        </w:rPr>
        <w:t xml:space="preserve"> </w:t>
      </w:r>
    </w:p>
    <w:p w14:paraId="45B9CCAE" w14:textId="77777777" w:rsidR="009A0525" w:rsidRPr="00075386" w:rsidRDefault="009A0525" w:rsidP="009A0525">
      <w:pPr>
        <w:pStyle w:val="OMCOABriefHeadingLevel3"/>
        <w:rPr>
          <w:sz w:val="28"/>
        </w:rPr>
      </w:pPr>
      <w:r w:rsidRPr="00075386">
        <w:rPr>
          <w:sz w:val="28"/>
        </w:rPr>
        <w:t xml:space="preserve">Overbreadth of proposed Rule 10(e)’s jurisdictional allowance. </w:t>
      </w:r>
    </w:p>
    <w:p w14:paraId="03EE0083" w14:textId="675330A9" w:rsidR="009A0525" w:rsidRPr="00433273" w:rsidRDefault="009A0525" w:rsidP="009A0525">
      <w:pPr>
        <w:pStyle w:val="BodyText"/>
        <w:ind w:left="119" w:right="116" w:firstLine="719"/>
        <w:jc w:val="both"/>
        <w:rPr>
          <w:szCs w:val="28"/>
        </w:rPr>
      </w:pPr>
      <w:r w:rsidRPr="00075386">
        <w:rPr>
          <w:szCs w:val="28"/>
        </w:rPr>
        <w:t xml:space="preserve">The proposed </w:t>
      </w:r>
      <w:r w:rsidR="0070533C">
        <w:rPr>
          <w:szCs w:val="28"/>
        </w:rPr>
        <w:t>R</w:t>
      </w:r>
      <w:r w:rsidRPr="00075386">
        <w:rPr>
          <w:szCs w:val="28"/>
        </w:rPr>
        <w:t>ule provides that “[</w:t>
      </w:r>
      <w:proofErr w:type="spellStart"/>
      <w:r w:rsidRPr="00075386">
        <w:rPr>
          <w:szCs w:val="28"/>
        </w:rPr>
        <w:t>i</w:t>
      </w:r>
      <w:proofErr w:type="spellEnd"/>
      <w:r w:rsidRPr="00075386">
        <w:rPr>
          <w:szCs w:val="28"/>
        </w:rPr>
        <w:t xml:space="preserve">]f the reviewing court lacks jurisdiction over a direct appeal for reasons other than timeliness, the court may—on a party’s request or on its own initiative—treat the appeal as a special action and accept special action jurisdiction.” We question whether this is too broad, given that the court of appeals may lack jurisdiction over an appeal because a party failed to comply with a general requirement other than timeliness. For example, the court of appeals may lack jurisdiction over an appeal if the judgment or order from which the appeal is taken is not final because it is not signed or because it lacks Arizona Rule of Civil Procedure 54(b) or 54(c) language. </w:t>
      </w:r>
      <w:r w:rsidR="00EB239D">
        <w:rPr>
          <w:szCs w:val="28"/>
        </w:rPr>
        <w:t>Or a court m</w:t>
      </w:r>
      <w:r w:rsidR="00BC0BC7">
        <w:rPr>
          <w:szCs w:val="28"/>
        </w:rPr>
        <w:t>a</w:t>
      </w:r>
      <w:r w:rsidR="00EB239D">
        <w:rPr>
          <w:szCs w:val="28"/>
        </w:rPr>
        <w:t xml:space="preserve">y lack jurisdiction because a party has failed to exhaust administrative remedies. </w:t>
      </w:r>
      <w:r w:rsidRPr="00075386">
        <w:rPr>
          <w:szCs w:val="28"/>
        </w:rPr>
        <w:t xml:space="preserve">The rule should not encourage parties to think that they can disregard requirements like </w:t>
      </w:r>
      <w:r w:rsidRPr="00075386">
        <w:rPr>
          <w:szCs w:val="28"/>
        </w:rPr>
        <w:lastRenderedPageBreak/>
        <w:t xml:space="preserve">these by asking that their ineffective appeals be treated </w:t>
      </w:r>
      <w:r w:rsidRPr="00433273">
        <w:rPr>
          <w:szCs w:val="28"/>
        </w:rPr>
        <w:t>as special actions.</w:t>
      </w:r>
      <w:r w:rsidR="00EB239D">
        <w:rPr>
          <w:szCs w:val="28"/>
        </w:rPr>
        <w:t xml:space="preserve"> Rather, </w:t>
      </w:r>
      <w:r w:rsidR="009E7AC7">
        <w:t>p</w:t>
      </w:r>
      <w:r w:rsidR="00EB239D">
        <w:t xml:space="preserve">arties and courts need to have a clear understanding of the scope of a court’s appellate jurisdiction and power. And if something falls outside that scope, then there </w:t>
      </w:r>
      <w:r w:rsidR="009E7AC7">
        <w:t>should</w:t>
      </w:r>
      <w:r w:rsidR="00EB239D">
        <w:t xml:space="preserve"> be a clear procedure and standard by which parties seek and courts grant special action relief when they otherwise would not have appellate jurisdiction. </w:t>
      </w:r>
    </w:p>
    <w:p w14:paraId="6D7EA0B8" w14:textId="075E5E33" w:rsidR="004C35F0" w:rsidRPr="00D9646C" w:rsidRDefault="009A0525" w:rsidP="00D9646C">
      <w:pPr>
        <w:pStyle w:val="BodyText"/>
        <w:ind w:left="119" w:right="116" w:firstLine="719"/>
        <w:jc w:val="both"/>
        <w:rPr>
          <w:szCs w:val="28"/>
        </w:rPr>
      </w:pPr>
      <w:r w:rsidRPr="00433273">
        <w:rPr>
          <w:szCs w:val="28"/>
        </w:rPr>
        <w:t>We would favor limiting language that precludes or discourages such a construction</w:t>
      </w:r>
      <w:r w:rsidR="00553152">
        <w:rPr>
          <w:szCs w:val="28"/>
        </w:rPr>
        <w:t>.</w:t>
      </w:r>
      <w:r w:rsidR="00D45803">
        <w:rPr>
          <w:szCs w:val="28"/>
        </w:rPr>
        <w:t xml:space="preserve"> At a minimum, the </w:t>
      </w:r>
      <w:r w:rsidR="002221F4">
        <w:rPr>
          <w:szCs w:val="28"/>
        </w:rPr>
        <w:t xml:space="preserve">Rule should provide that the </w:t>
      </w:r>
      <w:r w:rsidR="00D45803">
        <w:rPr>
          <w:szCs w:val="28"/>
        </w:rPr>
        <w:t xml:space="preserve">reviewing court </w:t>
      </w:r>
      <w:r w:rsidR="00300566">
        <w:rPr>
          <w:szCs w:val="28"/>
        </w:rPr>
        <w:t>should generally</w:t>
      </w:r>
      <w:r w:rsidR="002221F4">
        <w:rPr>
          <w:szCs w:val="28"/>
        </w:rPr>
        <w:t xml:space="preserve"> give the parties notice and an opportunity to be heard before converting an appeal to </w:t>
      </w:r>
      <w:r w:rsidR="00E33328">
        <w:rPr>
          <w:szCs w:val="28"/>
        </w:rPr>
        <w:t xml:space="preserve">a </w:t>
      </w:r>
      <w:r w:rsidR="002221F4">
        <w:rPr>
          <w:szCs w:val="28"/>
        </w:rPr>
        <w:t xml:space="preserve">special action. </w:t>
      </w:r>
    </w:p>
    <w:p w14:paraId="149CA50E" w14:textId="77777777" w:rsidR="00EB57BC" w:rsidRDefault="00EB57BC" w:rsidP="00EB57BC">
      <w:pPr>
        <w:pStyle w:val="OMCOABriefHeadingLevel3"/>
        <w:rPr>
          <w:sz w:val="28"/>
        </w:rPr>
      </w:pPr>
      <w:r w:rsidRPr="0026031D">
        <w:rPr>
          <w:sz w:val="28"/>
        </w:rPr>
        <w:t>Rule 7(g)</w:t>
      </w:r>
      <w:r>
        <w:rPr>
          <w:sz w:val="28"/>
        </w:rPr>
        <w:t xml:space="preserve">’s unduly negative cast on discovery. </w:t>
      </w:r>
    </w:p>
    <w:p w14:paraId="5874B458" w14:textId="6A03A5A9" w:rsidR="00EB57BC" w:rsidRPr="00572277" w:rsidRDefault="00EB57BC" w:rsidP="00EB57BC">
      <w:pPr>
        <w:pStyle w:val="OMCOABriefBody"/>
        <w:rPr>
          <w:rFonts w:ascii="Times New Roman" w:hAnsi="Times New Roman"/>
        </w:rPr>
      </w:pPr>
      <w:r w:rsidRPr="00223659">
        <w:rPr>
          <w:rFonts w:ascii="Times New Roman" w:hAnsi="Times New Roman"/>
        </w:rPr>
        <w:t xml:space="preserve">We </w:t>
      </w:r>
      <w:r>
        <w:rPr>
          <w:rFonts w:ascii="Times New Roman" w:hAnsi="Times New Roman"/>
        </w:rPr>
        <w:t xml:space="preserve">believe </w:t>
      </w:r>
      <w:r w:rsidRPr="00223659">
        <w:rPr>
          <w:rFonts w:ascii="Times New Roman" w:hAnsi="Times New Roman"/>
        </w:rPr>
        <w:t>the statement that “[d]</w:t>
      </w:r>
      <w:proofErr w:type="spellStart"/>
      <w:r w:rsidRPr="00223659">
        <w:rPr>
          <w:rFonts w:ascii="Times New Roman" w:hAnsi="Times New Roman"/>
        </w:rPr>
        <w:t>iscovery</w:t>
      </w:r>
      <w:proofErr w:type="spellEnd"/>
      <w:r w:rsidRPr="00223659">
        <w:rPr>
          <w:rFonts w:ascii="Times New Roman" w:hAnsi="Times New Roman"/>
        </w:rPr>
        <w:t xml:space="preserve"> is not routinely permitted in special actions” goes too far in discouraging discovery,</w:t>
      </w:r>
      <w:r>
        <w:rPr>
          <w:rFonts w:ascii="Times New Roman" w:hAnsi="Times New Roman"/>
        </w:rPr>
        <w:t xml:space="preserve"> and we question why a matter of such importance should be stated in the negative. There are countless instances in which discovery is appropriate in special actions—for example, in a public records dispute, a party may need to depose a custodian regarding the existence of records. And discovery is often necessary in standing disputes. The Rule can establish that discovery is not available by right without unduly restrictive language. For example, </w:t>
      </w:r>
    </w:p>
    <w:p w14:paraId="2935EB9D" w14:textId="043E2C8A" w:rsidR="00EB57BC" w:rsidRDefault="00EB57BC" w:rsidP="008E0DE1">
      <w:pPr>
        <w:pStyle w:val="OMCOABriefBody"/>
        <w:rPr>
          <w:rFonts w:ascii="Times New Roman" w:hAnsi="Times New Roman"/>
        </w:rPr>
      </w:pPr>
      <w:r>
        <w:rPr>
          <w:rFonts w:ascii="Times New Roman" w:hAnsi="Times New Roman"/>
          <w:b/>
          <w:bCs/>
        </w:rPr>
        <w:t>“</w:t>
      </w:r>
      <w:r w:rsidRPr="00572277">
        <w:rPr>
          <w:rFonts w:ascii="Times New Roman" w:hAnsi="Times New Roman"/>
          <w:b/>
          <w:bCs/>
        </w:rPr>
        <w:t xml:space="preserve">Discovery </w:t>
      </w:r>
      <w:r w:rsidRPr="00523FF8">
        <w:rPr>
          <w:rFonts w:ascii="Times New Roman" w:hAnsi="Times New Roman"/>
          <w:b/>
          <w:bCs/>
          <w:color w:val="4F81BD" w:themeColor="accent1"/>
          <w:u w:val="single"/>
        </w:rPr>
        <w:t xml:space="preserve">Available </w:t>
      </w:r>
      <w:r w:rsidR="008E0DE1">
        <w:rPr>
          <w:rFonts w:ascii="Times New Roman" w:hAnsi="Times New Roman"/>
          <w:b/>
          <w:bCs/>
          <w:color w:val="4F81BD" w:themeColor="accent1"/>
          <w:u w:val="single"/>
        </w:rPr>
        <w:t xml:space="preserve">Based on </w:t>
      </w:r>
      <w:r w:rsidR="00833D45">
        <w:rPr>
          <w:rFonts w:ascii="Times New Roman" w:hAnsi="Times New Roman"/>
          <w:b/>
          <w:bCs/>
          <w:color w:val="4F81BD" w:themeColor="accent1"/>
          <w:u w:val="single"/>
        </w:rPr>
        <w:t xml:space="preserve">Good </w:t>
      </w:r>
      <w:proofErr w:type="spellStart"/>
      <w:r w:rsidR="00833D45">
        <w:rPr>
          <w:rFonts w:ascii="Times New Roman" w:hAnsi="Times New Roman"/>
          <w:b/>
          <w:bCs/>
          <w:color w:val="4F81BD" w:themeColor="accent1"/>
          <w:u w:val="single"/>
        </w:rPr>
        <w:t>Cause</w:t>
      </w:r>
      <w:r w:rsidRPr="00523FF8">
        <w:rPr>
          <w:rFonts w:ascii="Times New Roman" w:hAnsi="Times New Roman"/>
          <w:b/>
          <w:bCs/>
          <w:strike/>
          <w:color w:val="FF0000"/>
        </w:rPr>
        <w:t>Generally</w:t>
      </w:r>
      <w:proofErr w:type="spellEnd"/>
      <w:r w:rsidRPr="00523FF8">
        <w:rPr>
          <w:rFonts w:ascii="Times New Roman" w:hAnsi="Times New Roman"/>
          <w:b/>
          <w:bCs/>
          <w:strike/>
          <w:color w:val="FF0000"/>
        </w:rPr>
        <w:t xml:space="preserve"> Prohibited</w:t>
      </w:r>
      <w:r w:rsidRPr="00572277">
        <w:rPr>
          <w:rFonts w:ascii="Times New Roman" w:hAnsi="Times New Roman"/>
          <w:b/>
          <w:bCs/>
        </w:rPr>
        <w:t xml:space="preserve">. </w:t>
      </w:r>
      <w:r w:rsidRPr="00523FF8">
        <w:rPr>
          <w:rFonts w:ascii="Times New Roman" w:hAnsi="Times New Roman"/>
          <w:strike/>
          <w:color w:val="FF0000"/>
        </w:rPr>
        <w:t>Discovery is not routinely permitted in special actions.</w:t>
      </w:r>
      <w:r w:rsidRPr="00523FF8">
        <w:rPr>
          <w:rFonts w:ascii="Times New Roman" w:hAnsi="Times New Roman"/>
          <w:color w:val="FF0000"/>
        </w:rPr>
        <w:t xml:space="preserve"> </w:t>
      </w:r>
      <w:r w:rsidRPr="00572277">
        <w:rPr>
          <w:rFonts w:ascii="Times New Roman" w:hAnsi="Times New Roman"/>
        </w:rPr>
        <w:t xml:space="preserve">If a special action raises a </w:t>
      </w:r>
      <w:r w:rsidRPr="00572277">
        <w:rPr>
          <w:rFonts w:ascii="Times New Roman" w:hAnsi="Times New Roman"/>
        </w:rPr>
        <w:lastRenderedPageBreak/>
        <w:t xml:space="preserve">material issue of fact, the court may issue special orders </w:t>
      </w:r>
      <w:r w:rsidRPr="00523FF8">
        <w:rPr>
          <w:rFonts w:ascii="Times New Roman" w:hAnsi="Times New Roman"/>
          <w:strike/>
          <w:color w:val="FF0000"/>
        </w:rPr>
        <w:t>concerning</w:t>
      </w:r>
      <w:r w:rsidRPr="00523FF8">
        <w:rPr>
          <w:rFonts w:ascii="Times New Roman" w:hAnsi="Times New Roman"/>
          <w:color w:val="FF0000"/>
        </w:rPr>
        <w:t xml:space="preserve"> </w:t>
      </w:r>
      <w:r w:rsidRPr="00523FF8">
        <w:rPr>
          <w:rFonts w:ascii="Times New Roman" w:hAnsi="Times New Roman"/>
          <w:color w:val="4F81BD" w:themeColor="accent1"/>
          <w:u w:val="single"/>
        </w:rPr>
        <w:t>allowing</w:t>
      </w:r>
      <w:r w:rsidRPr="00523FF8">
        <w:rPr>
          <w:rFonts w:ascii="Times New Roman" w:hAnsi="Times New Roman"/>
          <w:color w:val="4F81BD" w:themeColor="accent1"/>
        </w:rPr>
        <w:t xml:space="preserve"> </w:t>
      </w:r>
      <w:r w:rsidRPr="00572277">
        <w:rPr>
          <w:rFonts w:ascii="Times New Roman" w:hAnsi="Times New Roman"/>
        </w:rPr>
        <w:t>discovery</w:t>
      </w:r>
      <w:r>
        <w:rPr>
          <w:rFonts w:ascii="Times New Roman" w:hAnsi="Times New Roman"/>
        </w:rPr>
        <w:t xml:space="preserve"> </w:t>
      </w:r>
      <w:r w:rsidRPr="00523FF8">
        <w:rPr>
          <w:rFonts w:ascii="Times New Roman" w:hAnsi="Times New Roman"/>
          <w:color w:val="4F81BD" w:themeColor="accent1"/>
          <w:u w:val="single"/>
        </w:rPr>
        <w:t xml:space="preserve">upon a showing of </w:t>
      </w:r>
      <w:r w:rsidR="00833D45">
        <w:rPr>
          <w:rFonts w:ascii="Times New Roman" w:hAnsi="Times New Roman"/>
          <w:color w:val="4F81BD" w:themeColor="accent1"/>
          <w:u w:val="single"/>
        </w:rPr>
        <w:t>good cause</w:t>
      </w:r>
      <w:r w:rsidRPr="00572277">
        <w:rPr>
          <w:rFonts w:ascii="Times New Roman" w:hAnsi="Times New Roman"/>
        </w:rPr>
        <w:t>.</w:t>
      </w:r>
      <w:r>
        <w:rPr>
          <w:rFonts w:ascii="Times New Roman" w:hAnsi="Times New Roman"/>
        </w:rPr>
        <w:t>”</w:t>
      </w:r>
      <w:r w:rsidRPr="00572277">
        <w:rPr>
          <w:rFonts w:ascii="Times New Roman" w:hAnsi="Times New Roman"/>
        </w:rPr>
        <w:t xml:space="preserve"> </w:t>
      </w:r>
    </w:p>
    <w:p w14:paraId="7BE56519" w14:textId="45DD96FD" w:rsidR="003733D2" w:rsidRDefault="003733D2" w:rsidP="003733D2">
      <w:pPr>
        <w:pStyle w:val="OMCOABriefHeadingLevel3"/>
        <w:rPr>
          <w:sz w:val="28"/>
        </w:rPr>
      </w:pPr>
      <w:r>
        <w:rPr>
          <w:sz w:val="28"/>
        </w:rPr>
        <w:t>Rule 15’s inconsisten</w:t>
      </w:r>
      <w:r w:rsidR="00636AA1">
        <w:rPr>
          <w:sz w:val="28"/>
        </w:rPr>
        <w:t>t language regarding a stay’s scope.</w:t>
      </w:r>
    </w:p>
    <w:p w14:paraId="6765D298" w14:textId="4A4253C3" w:rsidR="003733D2" w:rsidRDefault="003733D2" w:rsidP="00701AEB">
      <w:pPr>
        <w:pStyle w:val="OMCOABriefBody"/>
      </w:pPr>
      <w:r>
        <w:rPr>
          <w:rFonts w:ascii="Times New Roman" w:hAnsi="Times New Roman"/>
        </w:rPr>
        <w:t xml:space="preserve">Rules 15(a) and (b) refer to a “stay [of] </w:t>
      </w:r>
      <w:r w:rsidRPr="00300C94">
        <w:rPr>
          <w:rFonts w:ascii="Times New Roman" w:hAnsi="Times New Roman"/>
          <w:i/>
        </w:rPr>
        <w:t>the decision</w:t>
      </w:r>
      <w:r>
        <w:rPr>
          <w:rFonts w:ascii="Times New Roman" w:hAnsi="Times New Roman"/>
        </w:rPr>
        <w:t xml:space="preserve"> challenged by special action.” (Emphasis added.) </w:t>
      </w:r>
      <w:r w:rsidRPr="00EB57BC">
        <w:rPr>
          <w:rFonts w:ascii="Times New Roman" w:hAnsi="Times New Roman"/>
        </w:rPr>
        <w:t>Rule 15(d)</w:t>
      </w:r>
      <w:r>
        <w:rPr>
          <w:rFonts w:ascii="Times New Roman" w:hAnsi="Times New Roman"/>
        </w:rPr>
        <w:t>, however,</w:t>
      </w:r>
      <w:r w:rsidRPr="00EB57BC">
        <w:rPr>
          <w:rFonts w:ascii="Times New Roman" w:hAnsi="Times New Roman"/>
        </w:rPr>
        <w:t xml:space="preserve"> provides that “</w:t>
      </w:r>
      <w:r>
        <w:rPr>
          <w:rFonts w:ascii="Times New Roman" w:hAnsi="Times New Roman"/>
        </w:rPr>
        <w:t xml:space="preserve">[t]he </w:t>
      </w:r>
      <w:r w:rsidRPr="00EB57BC">
        <w:rPr>
          <w:rFonts w:ascii="Times New Roman" w:hAnsi="Times New Roman"/>
        </w:rPr>
        <w:t>reviewing court may issue a stay on its own initiative</w:t>
      </w:r>
      <w:r>
        <w:rPr>
          <w:rFonts w:ascii="Times New Roman" w:hAnsi="Times New Roman"/>
        </w:rPr>
        <w:t>,</w:t>
      </w:r>
      <w:r w:rsidRPr="00EB57BC">
        <w:rPr>
          <w:rFonts w:ascii="Times New Roman" w:hAnsi="Times New Roman"/>
        </w:rPr>
        <w:t>”</w:t>
      </w:r>
      <w:r>
        <w:rPr>
          <w:rFonts w:ascii="Times New Roman" w:hAnsi="Times New Roman"/>
        </w:rPr>
        <w:t xml:space="preserve"> without the limiting reference to the “decision” being challenged.</w:t>
      </w:r>
      <w:r w:rsidRPr="00EB57BC">
        <w:rPr>
          <w:rFonts w:ascii="Times New Roman" w:hAnsi="Times New Roman"/>
        </w:rPr>
        <w:t xml:space="preserve"> </w:t>
      </w:r>
      <w:r>
        <w:rPr>
          <w:rFonts w:ascii="Times New Roman" w:hAnsi="Times New Roman"/>
        </w:rPr>
        <w:t>While this limitation may be implied contextually, a party could try to exploit this Rule by asking</w:t>
      </w:r>
      <w:r w:rsidRPr="00E40CFA">
        <w:rPr>
          <w:rFonts w:ascii="Times New Roman" w:hAnsi="Times New Roman"/>
        </w:rPr>
        <w:t xml:space="preserve"> the reviewing court to stay all proceedings before the lower court.  </w:t>
      </w:r>
      <w:r>
        <w:rPr>
          <w:rFonts w:ascii="Times New Roman" w:hAnsi="Times New Roman"/>
        </w:rPr>
        <w:t xml:space="preserve">We would foreclose this by revising as follows: </w:t>
      </w:r>
      <w:r w:rsidRPr="00987364">
        <w:rPr>
          <w:rFonts w:ascii="Times New Roman" w:hAnsi="Times New Roman"/>
        </w:rPr>
        <w:t>“</w:t>
      </w:r>
      <w:r>
        <w:rPr>
          <w:rFonts w:ascii="Times New Roman" w:hAnsi="Times New Roman"/>
        </w:rPr>
        <w:t xml:space="preserve">The </w:t>
      </w:r>
      <w:r w:rsidRPr="00987364">
        <w:rPr>
          <w:rFonts w:ascii="Times New Roman" w:hAnsi="Times New Roman"/>
        </w:rPr>
        <w:t xml:space="preserve">reviewing court may issue a stay </w:t>
      </w:r>
      <w:r w:rsidRPr="008E0DE1">
        <w:rPr>
          <w:rFonts w:ascii="Times New Roman" w:hAnsi="Times New Roman"/>
          <w:color w:val="4F81BD" w:themeColor="accent1"/>
          <w:u w:val="single"/>
        </w:rPr>
        <w:t>of the decision challenged by special action</w:t>
      </w:r>
      <w:r w:rsidRPr="00987364">
        <w:rPr>
          <w:rFonts w:ascii="Times New Roman" w:hAnsi="Times New Roman"/>
        </w:rPr>
        <w:t xml:space="preserve"> on its own initiative.” </w:t>
      </w:r>
      <w:r>
        <w:rPr>
          <w:rFonts w:ascii="Times New Roman" w:hAnsi="Times New Roman"/>
        </w:rPr>
        <w:t xml:space="preserve">Alternatively (or additionally), the Rules could provide this clarifying guidance in a comment to Rule 15. </w:t>
      </w:r>
    </w:p>
    <w:p w14:paraId="484D1265" w14:textId="42ABCF42" w:rsidR="003733D2" w:rsidRPr="002526C0" w:rsidRDefault="003733D2" w:rsidP="003733D2">
      <w:pPr>
        <w:pStyle w:val="BodyText"/>
        <w:jc w:val="both"/>
      </w:pPr>
      <w:r>
        <w:t>Similarly, Rule 15(h) could be read to contemplate that if a reviewing court issues a stay, it entirely divests the lower court of jurisdiction. We would revise it to reflect that in special actions, stays will usually be partial stays, as follows:</w:t>
      </w:r>
    </w:p>
    <w:p w14:paraId="4FC78C39" w14:textId="77777777" w:rsidR="003733D2" w:rsidRDefault="003733D2" w:rsidP="003733D2">
      <w:pPr>
        <w:pStyle w:val="BodyText"/>
        <w:jc w:val="both"/>
      </w:pPr>
      <w:r>
        <w:rPr>
          <w:bCs/>
        </w:rPr>
        <w:t>“</w:t>
      </w:r>
      <w:r w:rsidRPr="002526C0">
        <w:rPr>
          <w:b/>
          <w:bCs/>
        </w:rPr>
        <w:t xml:space="preserve">Continued Jurisdiction. </w:t>
      </w:r>
      <w:r w:rsidRPr="002526C0">
        <w:t xml:space="preserve">Unless the reviewing court issues a stay, the court from which special action relief is sought retains jurisdiction over the case, including those matters as to which relief is sought. </w:t>
      </w:r>
      <w:r w:rsidRPr="00162AF7">
        <w:rPr>
          <w:color w:val="4F81BD" w:themeColor="accent1"/>
          <w:u w:val="single"/>
        </w:rPr>
        <w:t xml:space="preserve">If the reviewing court issues a stay, the lower court is </w:t>
      </w:r>
      <w:r>
        <w:rPr>
          <w:color w:val="4F81BD" w:themeColor="accent1"/>
          <w:u w:val="single"/>
        </w:rPr>
        <w:t xml:space="preserve">generally </w:t>
      </w:r>
      <w:r w:rsidRPr="00162AF7">
        <w:rPr>
          <w:color w:val="4F81BD" w:themeColor="accent1"/>
          <w:u w:val="single"/>
        </w:rPr>
        <w:t>divested of jurisdiction only with respect to those matters for which the special action seeks relief.</w:t>
      </w:r>
      <w:r>
        <w:t>”</w:t>
      </w:r>
    </w:p>
    <w:p w14:paraId="0EC0198C" w14:textId="2701F0EE" w:rsidR="009A0525" w:rsidRPr="00433273" w:rsidRDefault="009A0525" w:rsidP="009A0525">
      <w:pPr>
        <w:pStyle w:val="OMCOABriefHeadingLevel2"/>
        <w:rPr>
          <w:sz w:val="28"/>
        </w:rPr>
      </w:pPr>
      <w:r w:rsidRPr="00433273">
        <w:rPr>
          <w:sz w:val="28"/>
        </w:rPr>
        <w:lastRenderedPageBreak/>
        <w:t>Additional substantive comments</w:t>
      </w:r>
      <w:r w:rsidR="00D9646C">
        <w:rPr>
          <w:sz w:val="28"/>
        </w:rPr>
        <w:t>.</w:t>
      </w:r>
    </w:p>
    <w:p w14:paraId="6FADC2F2" w14:textId="6EE9A49D" w:rsidR="00075386" w:rsidRPr="0026031D" w:rsidRDefault="00075386" w:rsidP="00075386">
      <w:pPr>
        <w:pStyle w:val="OMCOABriefHeadingLevel3"/>
        <w:rPr>
          <w:sz w:val="28"/>
        </w:rPr>
      </w:pPr>
      <w:r w:rsidRPr="0026031D">
        <w:rPr>
          <w:sz w:val="28"/>
        </w:rPr>
        <w:t>Rule 5</w:t>
      </w:r>
      <w:r w:rsidR="00D80AE1">
        <w:rPr>
          <w:sz w:val="28"/>
        </w:rPr>
        <w:t>(a)(2)</w:t>
      </w:r>
    </w:p>
    <w:p w14:paraId="6DCE5184" w14:textId="1F166DF2" w:rsidR="00075386" w:rsidRDefault="00075386" w:rsidP="00800401">
      <w:pPr>
        <w:pStyle w:val="BodyText"/>
        <w:jc w:val="both"/>
        <w:rPr>
          <w:szCs w:val="28"/>
        </w:rPr>
      </w:pPr>
      <w:r w:rsidRPr="0026031D">
        <w:rPr>
          <w:szCs w:val="28"/>
        </w:rPr>
        <w:t>Proposed Rule 5(a)(2) provides that the plaintiff must name</w:t>
      </w:r>
      <w:r w:rsidR="007B02BA" w:rsidRPr="0026031D">
        <w:rPr>
          <w:szCs w:val="28"/>
        </w:rPr>
        <w:t xml:space="preserve"> “as defendants all other interested parties.”</w:t>
      </w:r>
      <w:r w:rsidR="009627EF">
        <w:rPr>
          <w:szCs w:val="28"/>
        </w:rPr>
        <w:t xml:space="preserve"> </w:t>
      </w:r>
      <w:r w:rsidR="00FE6ED5">
        <w:rPr>
          <w:szCs w:val="28"/>
        </w:rPr>
        <w:t xml:space="preserve">We question whether the term “interested” </w:t>
      </w:r>
      <w:r w:rsidR="00D80AE1">
        <w:rPr>
          <w:szCs w:val="28"/>
        </w:rPr>
        <w:t xml:space="preserve">is </w:t>
      </w:r>
      <w:r w:rsidR="00FE6ED5">
        <w:rPr>
          <w:szCs w:val="28"/>
        </w:rPr>
        <w:t>t</w:t>
      </w:r>
      <w:r w:rsidR="001A42CF">
        <w:rPr>
          <w:szCs w:val="28"/>
        </w:rPr>
        <w:t>o</w:t>
      </w:r>
      <w:r w:rsidR="00FE6ED5">
        <w:rPr>
          <w:szCs w:val="28"/>
        </w:rPr>
        <w:t>o broad here</w:t>
      </w:r>
      <w:r w:rsidR="007301E7">
        <w:rPr>
          <w:szCs w:val="28"/>
        </w:rPr>
        <w:t>,</w:t>
      </w:r>
      <w:r w:rsidR="00D80AE1">
        <w:rPr>
          <w:szCs w:val="28"/>
        </w:rPr>
        <w:t xml:space="preserve"> </w:t>
      </w:r>
      <w:r w:rsidR="007301E7">
        <w:rPr>
          <w:szCs w:val="28"/>
        </w:rPr>
        <w:t>insofar as</w:t>
      </w:r>
      <w:r w:rsidR="00D80AE1">
        <w:rPr>
          <w:szCs w:val="28"/>
        </w:rPr>
        <w:t xml:space="preserve"> it</w:t>
      </w:r>
      <w:r w:rsidR="00190504">
        <w:rPr>
          <w:szCs w:val="28"/>
        </w:rPr>
        <w:t xml:space="preserve"> </w:t>
      </w:r>
      <w:r w:rsidR="00223659">
        <w:rPr>
          <w:szCs w:val="28"/>
        </w:rPr>
        <w:t>seems much broader than a</w:t>
      </w:r>
      <w:r w:rsidR="00D13627">
        <w:rPr>
          <w:szCs w:val="28"/>
        </w:rPr>
        <w:t xml:space="preserve">n Arizona Rule of Civil Procedure </w:t>
      </w:r>
      <w:r w:rsidR="00223659">
        <w:rPr>
          <w:szCs w:val="28"/>
        </w:rPr>
        <w:t>19 required party.</w:t>
      </w:r>
      <w:r w:rsidR="001F6CCB">
        <w:rPr>
          <w:szCs w:val="28"/>
        </w:rPr>
        <w:t xml:space="preserve"> Incorporating </w:t>
      </w:r>
      <w:r w:rsidR="00B5236D">
        <w:rPr>
          <w:szCs w:val="28"/>
        </w:rPr>
        <w:t>Arizona Rule of Civil Procedure</w:t>
      </w:r>
      <w:r w:rsidR="00B5236D">
        <w:rPr>
          <w:szCs w:val="28"/>
        </w:rPr>
        <w:t xml:space="preserve"> </w:t>
      </w:r>
      <w:r w:rsidR="001F6CCB">
        <w:rPr>
          <w:szCs w:val="28"/>
        </w:rPr>
        <w:t xml:space="preserve">19’s standard—i.e., </w:t>
      </w:r>
      <w:r w:rsidR="00EB57BC">
        <w:rPr>
          <w:szCs w:val="28"/>
        </w:rPr>
        <w:t xml:space="preserve">stating that </w:t>
      </w:r>
      <w:r w:rsidR="001F6CCB">
        <w:rPr>
          <w:szCs w:val="28"/>
        </w:rPr>
        <w:t xml:space="preserve">the complaint “must also name as defendants all other interested parties </w:t>
      </w:r>
      <w:r w:rsidR="001F6CCB" w:rsidRPr="003B7172">
        <w:rPr>
          <w:color w:val="4F81BD" w:themeColor="accent1"/>
          <w:szCs w:val="28"/>
          <w:u w:val="single"/>
        </w:rPr>
        <w:t>in whose absence the court cannot afford complete relief</w:t>
      </w:r>
      <w:r w:rsidR="001F6CCB">
        <w:rPr>
          <w:szCs w:val="28"/>
        </w:rPr>
        <w:t>”</w:t>
      </w:r>
      <w:r w:rsidR="00495202">
        <w:rPr>
          <w:szCs w:val="28"/>
        </w:rPr>
        <w:t xml:space="preserve">—would address this. </w:t>
      </w:r>
      <w:r w:rsidR="00223659">
        <w:rPr>
          <w:szCs w:val="28"/>
        </w:rPr>
        <w:t xml:space="preserve"> </w:t>
      </w:r>
      <w:r w:rsidR="00190504">
        <w:rPr>
          <w:szCs w:val="28"/>
        </w:rPr>
        <w:t xml:space="preserve"> </w:t>
      </w:r>
    </w:p>
    <w:p w14:paraId="17B126AE" w14:textId="3DC53BB6" w:rsidR="001F6CCB" w:rsidRPr="003B7172" w:rsidRDefault="001F6CCB" w:rsidP="003B7172">
      <w:pPr>
        <w:pStyle w:val="OMCOABriefHeadingLevel3"/>
        <w:rPr>
          <w:sz w:val="28"/>
        </w:rPr>
      </w:pPr>
      <w:r w:rsidRPr="003B7172">
        <w:rPr>
          <w:sz w:val="28"/>
        </w:rPr>
        <w:t>Rule 5(b)(2)</w:t>
      </w:r>
    </w:p>
    <w:p w14:paraId="57031837" w14:textId="63B76456" w:rsidR="00D716D2" w:rsidRPr="00D716D2" w:rsidRDefault="001F6CCB" w:rsidP="00800401">
      <w:pPr>
        <w:pStyle w:val="BodyText"/>
        <w:jc w:val="both"/>
      </w:pPr>
      <w:r>
        <w:rPr>
          <w:szCs w:val="28"/>
        </w:rPr>
        <w:t xml:space="preserve">Proposed Rule 5(b)(2) provides </w:t>
      </w:r>
      <w:r w:rsidR="00450A50">
        <w:rPr>
          <w:szCs w:val="28"/>
        </w:rPr>
        <w:t xml:space="preserve">that the “petition in an appellate special action must name as respondents all other parties in the case.” </w:t>
      </w:r>
      <w:r w:rsidR="004B18CA">
        <w:rPr>
          <w:szCs w:val="28"/>
        </w:rPr>
        <w:t xml:space="preserve">A petitioner should certainly provide notice to all parties, but naming </w:t>
      </w:r>
      <w:proofErr w:type="spellStart"/>
      <w:r w:rsidR="004B18CA">
        <w:rPr>
          <w:szCs w:val="28"/>
        </w:rPr>
        <w:t>nonadverse</w:t>
      </w:r>
      <w:proofErr w:type="spellEnd"/>
      <w:r w:rsidR="004B18CA">
        <w:rPr>
          <w:szCs w:val="28"/>
        </w:rPr>
        <w:t xml:space="preserve"> parties as respondents is bound to introduce senseless confusion. For example, why should a defendant need to name a codefendant as a respondent? Or if a defendant </w:t>
      </w:r>
      <w:r w:rsidR="00D716D2">
        <w:rPr>
          <w:szCs w:val="28"/>
        </w:rPr>
        <w:t>and codefendant become adverse on an issue, why should the defendant need to name the plaintiff? We would revise this along the following lines: “</w:t>
      </w:r>
      <w:r w:rsidR="00D716D2" w:rsidRPr="00D716D2">
        <w:t>The petition</w:t>
      </w:r>
      <w:r w:rsidR="00D716D2" w:rsidRPr="00D716D2">
        <w:rPr>
          <w:color w:val="4F81BD" w:themeColor="accent1"/>
          <w:u w:val="single"/>
        </w:rPr>
        <w:t>er</w:t>
      </w:r>
      <w:r w:rsidR="00D716D2" w:rsidRPr="00D716D2">
        <w:t xml:space="preserve"> in an appellate special action must </w:t>
      </w:r>
      <w:r w:rsidR="00D716D2" w:rsidRPr="00D716D2">
        <w:rPr>
          <w:color w:val="4F81BD" w:themeColor="accent1"/>
          <w:u w:val="single"/>
        </w:rPr>
        <w:t>provide notice of the special action to all parties</w:t>
      </w:r>
      <w:r w:rsidR="00D716D2" w:rsidRPr="00D716D2">
        <w:rPr>
          <w:color w:val="4F81BD" w:themeColor="accent1"/>
        </w:rPr>
        <w:t xml:space="preserve"> </w:t>
      </w:r>
      <w:r w:rsidR="00D716D2">
        <w:t xml:space="preserve">and </w:t>
      </w:r>
      <w:r w:rsidR="00D716D2" w:rsidRPr="00D716D2">
        <w:t xml:space="preserve">name as respondents all </w:t>
      </w:r>
      <w:r w:rsidR="00D716D2" w:rsidRPr="00D716D2">
        <w:rPr>
          <w:strike/>
          <w:color w:val="FF0000"/>
        </w:rPr>
        <w:t>other</w:t>
      </w:r>
      <w:r w:rsidR="00D716D2" w:rsidRPr="00D716D2">
        <w:rPr>
          <w:color w:val="FF0000"/>
        </w:rPr>
        <w:t xml:space="preserve"> </w:t>
      </w:r>
      <w:r w:rsidR="00D716D2" w:rsidRPr="00D716D2">
        <w:t xml:space="preserve">parties </w:t>
      </w:r>
      <w:r w:rsidR="00D716D2" w:rsidRPr="00D716D2">
        <w:rPr>
          <w:color w:val="4F81BD" w:themeColor="accent1"/>
          <w:u w:val="single"/>
        </w:rPr>
        <w:t xml:space="preserve">who are adverse with respect to the </w:t>
      </w:r>
      <w:r w:rsidR="00D716D2">
        <w:rPr>
          <w:color w:val="4F81BD" w:themeColor="accent1"/>
          <w:u w:val="single"/>
        </w:rPr>
        <w:t>matter</w:t>
      </w:r>
      <w:r w:rsidR="00D716D2" w:rsidRPr="00D716D2">
        <w:rPr>
          <w:color w:val="4F81BD" w:themeColor="accent1"/>
          <w:u w:val="single"/>
        </w:rPr>
        <w:t xml:space="preserve"> subject to the special action</w:t>
      </w:r>
      <w:r w:rsidR="00D716D2">
        <w:t xml:space="preserve"> </w:t>
      </w:r>
      <w:r w:rsidR="00D716D2" w:rsidRPr="00D716D2">
        <w:rPr>
          <w:strike/>
          <w:color w:val="FF0000"/>
        </w:rPr>
        <w:t>in the case</w:t>
      </w:r>
      <w:r w:rsidR="00D716D2">
        <w:t>.”</w:t>
      </w:r>
      <w:r w:rsidR="00D716D2" w:rsidRPr="00D716D2">
        <w:t xml:space="preserve"> </w:t>
      </w:r>
    </w:p>
    <w:p w14:paraId="24DEBBA6" w14:textId="7FF5DC4A" w:rsidR="00B36B46" w:rsidRDefault="00B36B46" w:rsidP="00701AEB">
      <w:pPr>
        <w:pStyle w:val="OMCOABriefHeadingLevel3"/>
      </w:pPr>
      <w:r w:rsidRPr="00433273">
        <w:rPr>
          <w:sz w:val="28"/>
        </w:rPr>
        <w:lastRenderedPageBreak/>
        <w:t>Rule 6</w:t>
      </w:r>
      <w:r>
        <w:rPr>
          <w:sz w:val="28"/>
        </w:rPr>
        <w:t>(a)</w:t>
      </w:r>
      <w:r w:rsidRPr="00433273">
        <w:rPr>
          <w:sz w:val="28"/>
        </w:rPr>
        <w:t xml:space="preserve">’s </w:t>
      </w:r>
      <w:r>
        <w:rPr>
          <w:sz w:val="28"/>
        </w:rPr>
        <w:t>potentially conflicting venue provisions.</w:t>
      </w:r>
    </w:p>
    <w:p w14:paraId="0FD1A4F3" w14:textId="0CC540A0" w:rsidR="00B36B46" w:rsidRDefault="00B36B46" w:rsidP="00B36B46">
      <w:pPr>
        <w:pStyle w:val="BodyText"/>
        <w:jc w:val="both"/>
      </w:pPr>
      <w:r>
        <w:t>Rule 6(a)(1) provides that “[a]</w:t>
      </w:r>
      <w:r w:rsidRPr="00676546">
        <w:t xml:space="preserve">n original special action in the Superior Court </w:t>
      </w:r>
      <w:r w:rsidRPr="00AE3BE7">
        <w:t>must be brought in</w:t>
      </w:r>
      <w:r w:rsidRPr="00C71AC9">
        <w:rPr>
          <w:i/>
        </w:rPr>
        <w:t xml:space="preserve"> the county where the body, officer, or person has decided</w:t>
      </w:r>
      <w:r w:rsidRPr="00193049">
        <w:t>, or should have decided, the matter</w:t>
      </w:r>
      <w:r w:rsidRPr="00676546">
        <w:t xml:space="preserve"> that is the subject of the special action.</w:t>
      </w:r>
      <w:r>
        <w:t>” (Emphasis added.) Rule 6(a)(2) establishes a slightly different rule for State officers and bodies. Rule 6(a)(3) then provides in part that “[a]</w:t>
      </w:r>
      <w:r w:rsidRPr="00676546">
        <w:t xml:space="preserve">n original special action </w:t>
      </w:r>
      <w:r w:rsidRPr="00193049">
        <w:t xml:space="preserve">involving any public officer or body other than a state officer or body, or a special action involving a private entity, must be filed in </w:t>
      </w:r>
      <w:r w:rsidRPr="005A392A">
        <w:rPr>
          <w:i/>
        </w:rPr>
        <w:t>the county of the principal place of business of such officer, body, or entity</w:t>
      </w:r>
      <w:r w:rsidRPr="00676546">
        <w:t>.</w:t>
      </w:r>
      <w:r>
        <w:t>” (Emphasis added.)</w:t>
      </w:r>
    </w:p>
    <w:p w14:paraId="78B1C95A" w14:textId="0F166ACA" w:rsidR="00B36B46" w:rsidRDefault="00B36B46" w:rsidP="00B36B46">
      <w:pPr>
        <w:pStyle w:val="BodyText"/>
        <w:jc w:val="both"/>
      </w:pPr>
      <w:r>
        <w:t>Our concern is that the rule does not make clear where venue is supposed to lie when two or more of these provisions apply. For example, if a public body decided a matter in Cochise County, but its principal place of business is in Pima County, the venue provisions of Rules 6(a)(1) and 6(a)(3) would conflict.</w:t>
      </w:r>
      <w:r>
        <w:rPr>
          <w:rStyle w:val="FootnoteReference"/>
        </w:rPr>
        <w:footnoteReference w:id="1"/>
      </w:r>
      <w:r>
        <w:t xml:space="preserve"> Such conflicts may be rare (and may exist under current Rule 4), but they are still worth avoiding.   </w:t>
      </w:r>
    </w:p>
    <w:p w14:paraId="578A584F" w14:textId="79E1CF0E" w:rsidR="00B36B46" w:rsidRDefault="00B36B46" w:rsidP="00B36B46">
      <w:pPr>
        <w:pStyle w:val="BodyText"/>
        <w:jc w:val="both"/>
      </w:pPr>
      <w:r>
        <w:t xml:space="preserve">One option would be to state (1) the general venue rule in Rule 6(a)(1); (2) the rule for State officers or bodies in Rule 6(a)(2); and (3) the rule for actions involving a private entity in Rule 6(a)(3). </w:t>
      </w:r>
    </w:p>
    <w:p w14:paraId="247B1142" w14:textId="2C01AE59" w:rsidR="000D666B" w:rsidRDefault="000D666B" w:rsidP="007B02BA">
      <w:pPr>
        <w:pStyle w:val="OMCOABriefHeadingLevel3"/>
        <w:rPr>
          <w:sz w:val="28"/>
        </w:rPr>
      </w:pPr>
      <w:r>
        <w:rPr>
          <w:sz w:val="28"/>
        </w:rPr>
        <w:lastRenderedPageBreak/>
        <w:t>Rule 7(f)</w:t>
      </w:r>
    </w:p>
    <w:p w14:paraId="07A38B20" w14:textId="3A5F81D1" w:rsidR="000D666B" w:rsidRPr="00EC13AE" w:rsidRDefault="000D666B" w:rsidP="000D666B">
      <w:pPr>
        <w:pStyle w:val="OMCOABriefBody"/>
        <w:rPr>
          <w:rFonts w:ascii="Times New Roman" w:hAnsi="Times New Roman"/>
        </w:rPr>
      </w:pPr>
      <w:r w:rsidRPr="00EC13AE">
        <w:rPr>
          <w:rFonts w:ascii="Times New Roman" w:hAnsi="Times New Roman"/>
        </w:rPr>
        <w:t>The requirement that</w:t>
      </w:r>
      <w:r w:rsidR="0018468E">
        <w:rPr>
          <w:rFonts w:ascii="Times New Roman" w:hAnsi="Times New Roman"/>
        </w:rPr>
        <w:t xml:space="preserve"> a</w:t>
      </w:r>
      <w:r w:rsidRPr="00EC13AE">
        <w:rPr>
          <w:rFonts w:ascii="Times New Roman" w:hAnsi="Times New Roman"/>
        </w:rPr>
        <w:t xml:space="preserve"> court </w:t>
      </w:r>
      <w:r w:rsidR="0071578A" w:rsidRPr="00EC13AE">
        <w:rPr>
          <w:rFonts w:ascii="Times New Roman" w:hAnsi="Times New Roman"/>
        </w:rPr>
        <w:t>must</w:t>
      </w:r>
      <w:r w:rsidRPr="00EC13AE">
        <w:rPr>
          <w:rFonts w:ascii="Times New Roman" w:hAnsi="Times New Roman"/>
        </w:rPr>
        <w:t xml:space="preserve"> </w:t>
      </w:r>
      <w:r w:rsidR="000B39C5" w:rsidRPr="00EC13AE">
        <w:rPr>
          <w:rFonts w:ascii="Times New Roman" w:hAnsi="Times New Roman"/>
        </w:rPr>
        <w:t>schedule</w:t>
      </w:r>
      <w:r w:rsidRPr="00EC13AE">
        <w:rPr>
          <w:rFonts w:ascii="Times New Roman" w:hAnsi="Times New Roman"/>
        </w:rPr>
        <w:t xml:space="preserve"> a “speedy hearing date” “[a]s soon as practicable, but no later than 30 days after any defendant files an answer or other” response is arguably ambiguous as to whether the 30-day limit applies to the </w:t>
      </w:r>
      <w:r w:rsidRPr="00EC13AE">
        <w:rPr>
          <w:rFonts w:ascii="Times New Roman" w:hAnsi="Times New Roman"/>
          <w:i/>
        </w:rPr>
        <w:t>setting</w:t>
      </w:r>
      <w:r w:rsidRPr="00EC13AE">
        <w:rPr>
          <w:rFonts w:ascii="Times New Roman" w:hAnsi="Times New Roman"/>
        </w:rPr>
        <w:t xml:space="preserve"> of a hearing or to the hearing itself. </w:t>
      </w:r>
      <w:r w:rsidR="005A5EB4" w:rsidRPr="00EC13AE">
        <w:rPr>
          <w:rFonts w:ascii="Times New Roman" w:hAnsi="Times New Roman"/>
        </w:rPr>
        <w:t>If the</w:t>
      </w:r>
      <w:r w:rsidR="00912CFE" w:rsidRPr="00EC13AE">
        <w:rPr>
          <w:rFonts w:ascii="Times New Roman" w:hAnsi="Times New Roman"/>
        </w:rPr>
        <w:t xml:space="preserve"> Task Force intended the</w:t>
      </w:r>
      <w:r w:rsidR="005A5EB4" w:rsidRPr="00EC13AE">
        <w:rPr>
          <w:rFonts w:ascii="Times New Roman" w:hAnsi="Times New Roman"/>
        </w:rPr>
        <w:t xml:space="preserve"> latter, this sentence can be rewritten to eliminate ambiguity (</w:t>
      </w:r>
      <w:r w:rsidR="00D13627">
        <w:rPr>
          <w:rFonts w:ascii="Times New Roman" w:hAnsi="Times New Roman"/>
        </w:rPr>
        <w:t xml:space="preserve">e.g., </w:t>
      </w:r>
      <w:r w:rsidR="005A5EB4" w:rsidRPr="00EC13AE">
        <w:rPr>
          <w:rFonts w:ascii="Times New Roman" w:hAnsi="Times New Roman"/>
        </w:rPr>
        <w:t>“The court must hold a hearing as soon as practicable, but no later than 30 days after any defendant files an answer . . .”); if</w:t>
      </w:r>
      <w:r w:rsidR="0071578A" w:rsidRPr="00EC13AE">
        <w:rPr>
          <w:rFonts w:ascii="Times New Roman" w:hAnsi="Times New Roman"/>
        </w:rPr>
        <w:t xml:space="preserve"> </w:t>
      </w:r>
      <w:r w:rsidR="00912CFE" w:rsidRPr="00EC13AE">
        <w:rPr>
          <w:rFonts w:ascii="Times New Roman" w:hAnsi="Times New Roman"/>
        </w:rPr>
        <w:t xml:space="preserve">it intended the former, </w:t>
      </w:r>
      <w:r w:rsidR="00EC13AE">
        <w:rPr>
          <w:rFonts w:ascii="Times New Roman" w:hAnsi="Times New Roman"/>
        </w:rPr>
        <w:t>it can also be revised for clarity</w:t>
      </w:r>
      <w:r w:rsidR="00FE6ED5">
        <w:rPr>
          <w:rFonts w:ascii="Times New Roman" w:hAnsi="Times New Roman"/>
        </w:rPr>
        <w:t>.</w:t>
      </w:r>
      <w:r w:rsidR="00EC13AE">
        <w:rPr>
          <w:rFonts w:ascii="Times New Roman" w:hAnsi="Times New Roman"/>
        </w:rPr>
        <w:t xml:space="preserve"> </w:t>
      </w:r>
    </w:p>
    <w:p w14:paraId="56AFE490" w14:textId="07AA9FFE" w:rsidR="00572277" w:rsidRPr="00223659" w:rsidRDefault="0071578A" w:rsidP="008E0DE1">
      <w:pPr>
        <w:pStyle w:val="OMCOABriefBody"/>
        <w:rPr>
          <w:rFonts w:ascii="Times New Roman" w:hAnsi="Times New Roman"/>
        </w:rPr>
      </w:pPr>
      <w:r w:rsidRPr="00EC13AE">
        <w:rPr>
          <w:rFonts w:ascii="Times New Roman" w:hAnsi="Times New Roman"/>
        </w:rPr>
        <w:t xml:space="preserve">Additionally, </w:t>
      </w:r>
      <w:r w:rsidR="00A73B40" w:rsidRPr="00EC13AE">
        <w:rPr>
          <w:rFonts w:ascii="Times New Roman" w:hAnsi="Times New Roman"/>
        </w:rPr>
        <w:t>the Task Force explained (</w:t>
      </w:r>
      <w:r w:rsidR="00A31DC3" w:rsidRPr="00EC13AE">
        <w:rPr>
          <w:rFonts w:ascii="Times New Roman" w:hAnsi="Times New Roman"/>
        </w:rPr>
        <w:t>Appendix C</w:t>
      </w:r>
      <w:r w:rsidR="00A73B40" w:rsidRPr="00EC13AE">
        <w:rPr>
          <w:rFonts w:ascii="Times New Roman" w:hAnsi="Times New Roman"/>
        </w:rPr>
        <w:t xml:space="preserve"> at 9) that it </w:t>
      </w:r>
      <w:r w:rsidR="00912CFE" w:rsidRPr="00EC13AE">
        <w:rPr>
          <w:rFonts w:ascii="Times New Roman" w:hAnsi="Times New Roman"/>
        </w:rPr>
        <w:t>replaced</w:t>
      </w:r>
      <w:r w:rsidR="00A73B40" w:rsidRPr="00EC13AE">
        <w:rPr>
          <w:rFonts w:ascii="Times New Roman" w:hAnsi="Times New Roman"/>
        </w:rPr>
        <w:t xml:space="preserve"> the phrase “speedy return date” </w:t>
      </w:r>
      <w:r w:rsidR="00912CFE" w:rsidRPr="00EC13AE">
        <w:rPr>
          <w:rFonts w:ascii="Times New Roman" w:hAnsi="Times New Roman"/>
        </w:rPr>
        <w:t>with</w:t>
      </w:r>
      <w:r w:rsidR="00A73B40" w:rsidRPr="00EC13AE">
        <w:rPr>
          <w:rFonts w:ascii="Times New Roman" w:hAnsi="Times New Roman"/>
        </w:rPr>
        <w:t xml:space="preserve"> “expedited response date” to avoid a connotation of “hurriedly” or “in a rush.” </w:t>
      </w:r>
      <w:r w:rsidR="007504DE">
        <w:rPr>
          <w:rFonts w:ascii="Times New Roman" w:hAnsi="Times New Roman"/>
        </w:rPr>
        <w:t>The phrase</w:t>
      </w:r>
      <w:r w:rsidR="00A31DC3" w:rsidRPr="00EC13AE">
        <w:rPr>
          <w:rFonts w:ascii="Times New Roman" w:hAnsi="Times New Roman"/>
        </w:rPr>
        <w:t xml:space="preserve"> “speedy hearing date” </w:t>
      </w:r>
      <w:r w:rsidR="007504DE">
        <w:rPr>
          <w:rFonts w:ascii="Times New Roman" w:hAnsi="Times New Roman"/>
        </w:rPr>
        <w:t>has a similar connotation, and it may also be superfluous if the 30-day requirement applies to the hearing itself</w:t>
      </w:r>
      <w:r w:rsidR="00125C5A">
        <w:rPr>
          <w:rFonts w:ascii="Times New Roman" w:hAnsi="Times New Roman"/>
        </w:rPr>
        <w:t xml:space="preserve">. </w:t>
      </w:r>
    </w:p>
    <w:p w14:paraId="5BA30CB6" w14:textId="1E1AA663" w:rsidR="0026031D" w:rsidRPr="00E97110" w:rsidRDefault="0026031D" w:rsidP="0026031D">
      <w:pPr>
        <w:pStyle w:val="OMCOABriefHeadingLevel3"/>
        <w:rPr>
          <w:sz w:val="28"/>
        </w:rPr>
      </w:pPr>
      <w:r w:rsidRPr="00E97110">
        <w:rPr>
          <w:sz w:val="28"/>
        </w:rPr>
        <w:t>Rule 11(c)(2)</w:t>
      </w:r>
    </w:p>
    <w:p w14:paraId="628CD8E4" w14:textId="66D13967" w:rsidR="0026031D" w:rsidRPr="00E97110" w:rsidRDefault="00523FF8" w:rsidP="0026031D">
      <w:pPr>
        <w:pStyle w:val="OMCOABriefBody"/>
        <w:rPr>
          <w:rFonts w:ascii="Times New Roman" w:hAnsi="Times New Roman"/>
        </w:rPr>
      </w:pPr>
      <w:r>
        <w:rPr>
          <w:rFonts w:ascii="Times New Roman" w:hAnsi="Times New Roman"/>
        </w:rPr>
        <w:t>While motions under</w:t>
      </w:r>
      <w:r w:rsidR="0026031D" w:rsidRPr="00E97110">
        <w:rPr>
          <w:rFonts w:ascii="Times New Roman" w:hAnsi="Times New Roman"/>
        </w:rPr>
        <w:t xml:space="preserve"> </w:t>
      </w:r>
      <w:r w:rsidR="007504DE">
        <w:rPr>
          <w:rFonts w:ascii="Times New Roman" w:hAnsi="Times New Roman"/>
        </w:rPr>
        <w:t>Arizona Rule of Civil Procedure</w:t>
      </w:r>
      <w:r w:rsidR="0026031D" w:rsidRPr="00E97110">
        <w:rPr>
          <w:rFonts w:ascii="Times New Roman" w:hAnsi="Times New Roman"/>
        </w:rPr>
        <w:t xml:space="preserve"> </w:t>
      </w:r>
      <w:r w:rsidR="00E97110" w:rsidRPr="00E97110">
        <w:rPr>
          <w:rFonts w:ascii="Times New Roman" w:hAnsi="Times New Roman"/>
        </w:rPr>
        <w:t>12</w:t>
      </w:r>
      <w:r>
        <w:rPr>
          <w:rFonts w:ascii="Times New Roman" w:hAnsi="Times New Roman"/>
        </w:rPr>
        <w:t>(c)</w:t>
      </w:r>
      <w:r w:rsidR="00815126">
        <w:rPr>
          <w:rFonts w:ascii="Times New Roman" w:hAnsi="Times New Roman"/>
        </w:rPr>
        <w:t xml:space="preserve"> might be less common than other dispositive motions, we don’t see a reasoned basis to omit it here. We would therefore reference </w:t>
      </w:r>
      <w:r w:rsidR="00B36B46">
        <w:rPr>
          <w:rFonts w:ascii="Times New Roman" w:hAnsi="Times New Roman"/>
        </w:rPr>
        <w:t xml:space="preserve">Arizona Rule of Civil Procedure </w:t>
      </w:r>
      <w:r w:rsidR="00815126">
        <w:rPr>
          <w:rFonts w:ascii="Times New Roman" w:hAnsi="Times New Roman"/>
        </w:rPr>
        <w:t>12(c), alongside 12</w:t>
      </w:r>
      <w:r w:rsidR="00E97110" w:rsidRPr="00E97110">
        <w:rPr>
          <w:rFonts w:ascii="Times New Roman" w:hAnsi="Times New Roman"/>
        </w:rPr>
        <w:t>(b)(6)</w:t>
      </w:r>
      <w:r w:rsidR="00815126">
        <w:rPr>
          <w:rFonts w:ascii="Times New Roman" w:hAnsi="Times New Roman"/>
        </w:rPr>
        <w:t xml:space="preserve"> and 56.</w:t>
      </w:r>
      <w:r w:rsidR="00C71AC9">
        <w:rPr>
          <w:rFonts w:ascii="Times New Roman" w:hAnsi="Times New Roman"/>
        </w:rPr>
        <w:t xml:space="preserve"> (</w:t>
      </w:r>
      <w:r w:rsidR="00D958EB">
        <w:rPr>
          <w:rFonts w:ascii="Times New Roman" w:hAnsi="Times New Roman"/>
        </w:rPr>
        <w:t>W</w:t>
      </w:r>
      <w:r w:rsidR="00C71AC9">
        <w:rPr>
          <w:rFonts w:ascii="Times New Roman" w:hAnsi="Times New Roman"/>
        </w:rPr>
        <w:t xml:space="preserve">e’ve incorporated this </w:t>
      </w:r>
      <w:r w:rsidR="006812B7">
        <w:rPr>
          <w:rFonts w:ascii="Times New Roman" w:hAnsi="Times New Roman"/>
        </w:rPr>
        <w:t xml:space="preserve">suggestion </w:t>
      </w:r>
      <w:r w:rsidR="00C71AC9">
        <w:rPr>
          <w:rFonts w:ascii="Times New Roman" w:hAnsi="Times New Roman"/>
        </w:rPr>
        <w:t xml:space="preserve">into </w:t>
      </w:r>
      <w:r w:rsidR="00D958EB">
        <w:rPr>
          <w:rFonts w:ascii="Times New Roman" w:hAnsi="Times New Roman"/>
        </w:rPr>
        <w:t xml:space="preserve">revised </w:t>
      </w:r>
      <w:r w:rsidR="00C71AC9">
        <w:rPr>
          <w:rFonts w:ascii="Times New Roman" w:hAnsi="Times New Roman"/>
        </w:rPr>
        <w:t xml:space="preserve">Rule </w:t>
      </w:r>
      <w:r w:rsidR="006812B7">
        <w:rPr>
          <w:rFonts w:ascii="Times New Roman" w:hAnsi="Times New Roman"/>
        </w:rPr>
        <w:t>11(b)(8) in our illustrative revision</w:t>
      </w:r>
      <w:r w:rsidR="00D958EB">
        <w:rPr>
          <w:rFonts w:ascii="Times New Roman" w:hAnsi="Times New Roman"/>
        </w:rPr>
        <w:t xml:space="preserve"> above</w:t>
      </w:r>
      <w:r w:rsidR="006812B7">
        <w:rPr>
          <w:rFonts w:ascii="Times New Roman" w:hAnsi="Times New Roman"/>
        </w:rPr>
        <w:t>.)</w:t>
      </w:r>
      <w:r w:rsidR="00C71AC9">
        <w:rPr>
          <w:rFonts w:ascii="Times New Roman" w:hAnsi="Times New Roman"/>
        </w:rPr>
        <w:t xml:space="preserve">   </w:t>
      </w:r>
    </w:p>
    <w:p w14:paraId="7C8B847C" w14:textId="5F04D936" w:rsidR="00E97110" w:rsidRPr="00E97110" w:rsidRDefault="00E97110" w:rsidP="00E97110">
      <w:pPr>
        <w:pStyle w:val="OMCOABriefHeadingLevel3"/>
        <w:rPr>
          <w:sz w:val="28"/>
        </w:rPr>
      </w:pPr>
      <w:r w:rsidRPr="00E97110">
        <w:rPr>
          <w:sz w:val="28"/>
        </w:rPr>
        <w:lastRenderedPageBreak/>
        <w:t>Rule 12</w:t>
      </w:r>
      <w:r>
        <w:rPr>
          <w:sz w:val="28"/>
        </w:rPr>
        <w:t>(b)</w:t>
      </w:r>
    </w:p>
    <w:p w14:paraId="6E6CF428" w14:textId="23EAA0A0" w:rsidR="00E97110" w:rsidRPr="00BC4C91" w:rsidRDefault="006546B9" w:rsidP="006546B9">
      <w:pPr>
        <w:pStyle w:val="BodyText"/>
        <w:rPr>
          <w:szCs w:val="28"/>
        </w:rPr>
      </w:pPr>
      <w:r>
        <w:t>The reference to a “</w:t>
      </w:r>
      <w:r w:rsidRPr="00BC4C91">
        <w:rPr>
          <w:szCs w:val="28"/>
        </w:rPr>
        <w:t xml:space="preserve">writing submitted by a party . . .” seems extraneous. We would revise as follows: “The certification may be in the court’s written decision, a transcript of a proceeding, or a separate </w:t>
      </w:r>
      <w:r w:rsidRPr="00BC4C91">
        <w:rPr>
          <w:strike/>
          <w:color w:val="FF0000"/>
          <w:szCs w:val="28"/>
        </w:rPr>
        <w:t>writing submitted by a party and approved</w:t>
      </w:r>
      <w:r w:rsidRPr="00BC4C91">
        <w:rPr>
          <w:strike/>
          <w:szCs w:val="28"/>
        </w:rPr>
        <w:t xml:space="preserve"> </w:t>
      </w:r>
      <w:r w:rsidRPr="00BC4C91">
        <w:rPr>
          <w:color w:val="4BACC6" w:themeColor="accent5"/>
          <w:szCs w:val="28"/>
          <w:u w:val="single"/>
        </w:rPr>
        <w:t>order issued</w:t>
      </w:r>
      <w:r w:rsidRPr="00BC4C91">
        <w:rPr>
          <w:szCs w:val="28"/>
        </w:rPr>
        <w:t xml:space="preserve"> by the court. </w:t>
      </w:r>
      <w:r w:rsidR="00815126">
        <w:rPr>
          <w:szCs w:val="28"/>
        </w:rPr>
        <w:t xml:space="preserve">Alternatively, this Rule might be simplified further by simply stating: “The Court </w:t>
      </w:r>
      <w:r w:rsidR="004F60A5">
        <w:rPr>
          <w:szCs w:val="28"/>
        </w:rPr>
        <w:t>certification must be on the record, whether in a written decision, order, or transcript.”</w:t>
      </w:r>
    </w:p>
    <w:p w14:paraId="227C7D52" w14:textId="2AFDF75A" w:rsidR="006546B9" w:rsidRPr="00BC4C91" w:rsidRDefault="006546B9" w:rsidP="006546B9">
      <w:pPr>
        <w:pStyle w:val="OMCOABriefHeadingLevel3"/>
        <w:rPr>
          <w:sz w:val="28"/>
        </w:rPr>
      </w:pPr>
      <w:r w:rsidRPr="00BC4C91">
        <w:rPr>
          <w:sz w:val="28"/>
        </w:rPr>
        <w:t>Rule 13(d)(3)</w:t>
      </w:r>
    </w:p>
    <w:p w14:paraId="3C70F2E7" w14:textId="14754A90" w:rsidR="00BC4C91" w:rsidRPr="0082624D" w:rsidRDefault="00B36B46" w:rsidP="00B36B46">
      <w:pPr>
        <w:pStyle w:val="OMCOABriefBody"/>
        <w:rPr>
          <w:rFonts w:ascii="Times New Roman" w:hAnsi="Times New Roman"/>
        </w:rPr>
      </w:pPr>
      <w:r>
        <w:rPr>
          <w:rFonts w:ascii="Times New Roman" w:hAnsi="Times New Roman"/>
        </w:rPr>
        <w:t>The proposed rule states that “[a]</w:t>
      </w:r>
      <w:r w:rsidRPr="00B36B46">
        <w:rPr>
          <w:rFonts w:ascii="Times New Roman" w:hAnsi="Times New Roman"/>
        </w:rPr>
        <w:t xml:space="preserve"> response should include a statement of any facts that are not</w:t>
      </w:r>
      <w:r>
        <w:rPr>
          <w:rFonts w:ascii="Times New Roman" w:hAnsi="Times New Roman"/>
        </w:rPr>
        <w:t xml:space="preserve"> </w:t>
      </w:r>
      <w:r w:rsidRPr="00B36B46">
        <w:rPr>
          <w:rFonts w:ascii="Times New Roman" w:hAnsi="Times New Roman"/>
        </w:rPr>
        <w:t>contained in the petition</w:t>
      </w:r>
      <w:r>
        <w:rPr>
          <w:rFonts w:ascii="Times New Roman" w:hAnsi="Times New Roman"/>
        </w:rPr>
        <w:t xml:space="preserve">.”  </w:t>
      </w:r>
      <w:r w:rsidR="00BC4C91" w:rsidRPr="00BC4C91">
        <w:rPr>
          <w:rFonts w:ascii="Times New Roman" w:hAnsi="Times New Roman"/>
        </w:rPr>
        <w:t xml:space="preserve">We </w:t>
      </w:r>
      <w:r w:rsidR="00BC4C91" w:rsidRPr="0082624D">
        <w:rPr>
          <w:rFonts w:ascii="Times New Roman" w:hAnsi="Times New Roman"/>
        </w:rPr>
        <w:t>would qualify the reference to “</w:t>
      </w:r>
      <w:r>
        <w:rPr>
          <w:rFonts w:ascii="Times New Roman" w:hAnsi="Times New Roman"/>
        </w:rPr>
        <w:t xml:space="preserve">any </w:t>
      </w:r>
      <w:r w:rsidR="00BC4C91" w:rsidRPr="0082624D">
        <w:rPr>
          <w:rFonts w:ascii="Times New Roman" w:hAnsi="Times New Roman"/>
        </w:rPr>
        <w:t xml:space="preserve">facts” to discourage the inclusion of immaterial and extraneous facts—i.e., “A response should include a statement of any </w:t>
      </w:r>
      <w:r w:rsidR="00BC4C91" w:rsidRPr="00E057F2">
        <w:rPr>
          <w:rFonts w:ascii="Times New Roman" w:hAnsi="Times New Roman"/>
          <w:color w:val="4F81BD" w:themeColor="accent1"/>
        </w:rPr>
        <w:t>[</w:t>
      </w:r>
      <w:r w:rsidR="00BC4C91" w:rsidRPr="00E057F2">
        <w:rPr>
          <w:rFonts w:ascii="Times New Roman" w:hAnsi="Times New Roman"/>
          <w:color w:val="4F81BD" w:themeColor="accent1"/>
          <w:u w:val="single"/>
        </w:rPr>
        <w:t>necessary</w:t>
      </w:r>
      <w:r w:rsidR="00BC4C91" w:rsidRPr="00E057F2">
        <w:rPr>
          <w:rFonts w:ascii="Times New Roman" w:hAnsi="Times New Roman"/>
          <w:color w:val="4F81BD" w:themeColor="accent1"/>
        </w:rPr>
        <w:t>/</w:t>
      </w:r>
      <w:r w:rsidR="00BC4C91" w:rsidRPr="00E057F2">
        <w:rPr>
          <w:rFonts w:ascii="Times New Roman" w:hAnsi="Times New Roman"/>
          <w:color w:val="4F81BD" w:themeColor="accent1"/>
          <w:u w:val="single"/>
        </w:rPr>
        <w:t>material</w:t>
      </w:r>
      <w:r w:rsidR="00BC4C91" w:rsidRPr="00E057F2">
        <w:rPr>
          <w:rFonts w:ascii="Times New Roman" w:hAnsi="Times New Roman"/>
          <w:color w:val="4F81BD" w:themeColor="accent1"/>
        </w:rPr>
        <w:t xml:space="preserve">] </w:t>
      </w:r>
      <w:r w:rsidR="00BC4C91" w:rsidRPr="0082624D">
        <w:rPr>
          <w:rFonts w:ascii="Times New Roman" w:hAnsi="Times New Roman"/>
        </w:rPr>
        <w:t>facts that are not contained in the petition . . .”</w:t>
      </w:r>
    </w:p>
    <w:p w14:paraId="5EA9D894" w14:textId="6C070D56" w:rsidR="0082624D" w:rsidRPr="0082624D" w:rsidRDefault="0082624D" w:rsidP="0082624D">
      <w:pPr>
        <w:pStyle w:val="OMCOABriefHeadingLevel3"/>
        <w:rPr>
          <w:sz w:val="28"/>
        </w:rPr>
      </w:pPr>
      <w:r w:rsidRPr="0082624D">
        <w:rPr>
          <w:sz w:val="28"/>
        </w:rPr>
        <w:t>Rule 13(</w:t>
      </w:r>
      <w:proofErr w:type="spellStart"/>
      <w:r w:rsidRPr="0082624D">
        <w:rPr>
          <w:sz w:val="28"/>
        </w:rPr>
        <w:t>i</w:t>
      </w:r>
      <w:proofErr w:type="spellEnd"/>
      <w:r w:rsidRPr="0082624D">
        <w:rPr>
          <w:sz w:val="28"/>
        </w:rPr>
        <w:t>)</w:t>
      </w:r>
    </w:p>
    <w:p w14:paraId="09756EEB" w14:textId="7A510960" w:rsidR="004F60A5" w:rsidRPr="004F60A5" w:rsidRDefault="0082624D" w:rsidP="008E0DE1">
      <w:pPr>
        <w:pStyle w:val="OMCOABriefBody"/>
        <w:rPr>
          <w:rFonts w:ascii="Times New Roman" w:hAnsi="Times New Roman"/>
        </w:rPr>
      </w:pPr>
      <w:r w:rsidRPr="0082624D">
        <w:rPr>
          <w:rFonts w:ascii="Times New Roman" w:hAnsi="Times New Roman"/>
        </w:rPr>
        <w:t>This rule appea</w:t>
      </w:r>
      <w:r>
        <w:rPr>
          <w:rFonts w:ascii="Times New Roman" w:hAnsi="Times New Roman"/>
        </w:rPr>
        <w:t xml:space="preserve">rs to address only amicus briefs </w:t>
      </w:r>
      <w:r w:rsidR="004B3E9B">
        <w:rPr>
          <w:rFonts w:ascii="Times New Roman" w:hAnsi="Times New Roman"/>
        </w:rPr>
        <w:t xml:space="preserve">concerning </w:t>
      </w:r>
      <w:r>
        <w:rPr>
          <w:rFonts w:ascii="Times New Roman" w:hAnsi="Times New Roman"/>
        </w:rPr>
        <w:t>the petition, with no allowance for later amicus briefs</w:t>
      </w:r>
      <w:r w:rsidR="00EC4275">
        <w:rPr>
          <w:rFonts w:ascii="Times New Roman" w:hAnsi="Times New Roman"/>
        </w:rPr>
        <w:t xml:space="preserve">. </w:t>
      </w:r>
      <w:r w:rsidR="004B3E9B">
        <w:rPr>
          <w:rFonts w:ascii="Times New Roman" w:hAnsi="Times New Roman"/>
        </w:rPr>
        <w:t>To the extent the Task Force’s intent is not to preclude later amicus briefs (which we would not favor),</w:t>
      </w:r>
      <w:r w:rsidR="008539FD">
        <w:rPr>
          <w:rFonts w:ascii="Times New Roman" w:hAnsi="Times New Roman"/>
        </w:rPr>
        <w:t xml:space="preserve"> we believe that the rule should provide further guidance on amicus procedure. </w:t>
      </w:r>
      <w:r w:rsidR="004B3E9B">
        <w:rPr>
          <w:rFonts w:ascii="Times New Roman" w:hAnsi="Times New Roman"/>
        </w:rPr>
        <w:t xml:space="preserve"> </w:t>
      </w:r>
      <w:r w:rsidR="004F60A5">
        <w:rPr>
          <w:rFonts w:ascii="Times New Roman" w:hAnsi="Times New Roman"/>
        </w:rPr>
        <w:t xml:space="preserve">For example, </w:t>
      </w:r>
    </w:p>
    <w:p w14:paraId="1E71E754" w14:textId="46676C97" w:rsidR="0082624D" w:rsidRDefault="004F60A5" w:rsidP="00E54063">
      <w:pPr>
        <w:pStyle w:val="OMCOABriefBody"/>
        <w:rPr>
          <w:rFonts w:ascii="Times New Roman" w:hAnsi="Times New Roman"/>
        </w:rPr>
      </w:pPr>
      <w:r>
        <w:rPr>
          <w:rFonts w:ascii="Times New Roman" w:hAnsi="Times New Roman"/>
        </w:rPr>
        <w:t>“</w:t>
      </w:r>
      <w:r w:rsidRPr="004F60A5">
        <w:rPr>
          <w:rFonts w:ascii="Times New Roman" w:hAnsi="Times New Roman"/>
        </w:rPr>
        <w:t>Amicus curiae briefs must be filed as expeditiously as possible after the petition for special action</w:t>
      </w:r>
      <w:r w:rsidR="00E54063">
        <w:rPr>
          <w:rFonts w:ascii="Times New Roman" w:hAnsi="Times New Roman"/>
        </w:rPr>
        <w:t xml:space="preserve"> </w:t>
      </w:r>
      <w:r w:rsidR="00E54063" w:rsidRPr="00E54063">
        <w:rPr>
          <w:rFonts w:ascii="Times New Roman" w:hAnsi="Times New Roman"/>
          <w:color w:val="4F81BD" w:themeColor="accent1"/>
          <w:u w:val="single"/>
        </w:rPr>
        <w:t xml:space="preserve">or </w:t>
      </w:r>
      <w:r w:rsidR="002243D3">
        <w:rPr>
          <w:rFonts w:ascii="Times New Roman" w:hAnsi="Times New Roman"/>
          <w:color w:val="4F81BD" w:themeColor="accent1"/>
          <w:u w:val="single"/>
        </w:rPr>
        <w:t xml:space="preserve">other brief </w:t>
      </w:r>
      <w:r w:rsidRPr="004F60A5">
        <w:rPr>
          <w:rFonts w:ascii="Times New Roman" w:hAnsi="Times New Roman"/>
        </w:rPr>
        <w:t>is filed</w:t>
      </w:r>
      <w:r w:rsidR="00E54063" w:rsidRPr="00E54063">
        <w:rPr>
          <w:rFonts w:ascii="Times New Roman" w:hAnsi="Times New Roman"/>
          <w:color w:val="4F81BD" w:themeColor="accent1"/>
          <w:u w:val="single"/>
        </w:rPr>
        <w:t>, or as otherwise ordered by the court</w:t>
      </w:r>
      <w:r w:rsidRPr="004F60A5">
        <w:rPr>
          <w:rFonts w:ascii="Times New Roman" w:hAnsi="Times New Roman"/>
        </w:rPr>
        <w:t>.</w:t>
      </w:r>
      <w:r w:rsidR="00E54063">
        <w:rPr>
          <w:rFonts w:ascii="Times New Roman" w:hAnsi="Times New Roman"/>
        </w:rPr>
        <w:t xml:space="preserve">” </w:t>
      </w:r>
      <w:r w:rsidRPr="004F60A5">
        <w:rPr>
          <w:rFonts w:ascii="Times New Roman" w:hAnsi="Times New Roman"/>
        </w:rPr>
        <w:t xml:space="preserve"> </w:t>
      </w:r>
    </w:p>
    <w:p w14:paraId="05AC16C9" w14:textId="541F82E1" w:rsidR="009A0525" w:rsidRPr="0082624D" w:rsidRDefault="00AA7F14" w:rsidP="009A0525">
      <w:pPr>
        <w:pStyle w:val="OMCOABriefHeadingLevel2"/>
        <w:rPr>
          <w:sz w:val="28"/>
        </w:rPr>
      </w:pPr>
      <w:r>
        <w:rPr>
          <w:sz w:val="28"/>
        </w:rPr>
        <w:lastRenderedPageBreak/>
        <w:t xml:space="preserve">Comments pertaining to clarity and stylistic matters. </w:t>
      </w:r>
      <w:r w:rsidR="007B7DEA">
        <w:rPr>
          <w:sz w:val="28"/>
        </w:rPr>
        <w:t xml:space="preserve"> </w:t>
      </w:r>
    </w:p>
    <w:p w14:paraId="075D836D" w14:textId="5007484C" w:rsidR="0000417F" w:rsidRDefault="0000417F" w:rsidP="00BC4C91">
      <w:pPr>
        <w:pStyle w:val="OMCOABriefHeadingLevel3"/>
        <w:rPr>
          <w:sz w:val="28"/>
        </w:rPr>
      </w:pPr>
      <w:r>
        <w:rPr>
          <w:sz w:val="28"/>
        </w:rPr>
        <w:t>Rule 1(d)</w:t>
      </w:r>
    </w:p>
    <w:p w14:paraId="5D1DD9DC" w14:textId="41DE790F" w:rsidR="00F364E2" w:rsidRDefault="00F364E2" w:rsidP="0000417F">
      <w:pPr>
        <w:pStyle w:val="OMCOABriefBody"/>
        <w:rPr>
          <w:rFonts w:ascii="Times New Roman" w:hAnsi="Times New Roman"/>
        </w:rPr>
      </w:pPr>
      <w:r>
        <w:rPr>
          <w:rFonts w:ascii="Times New Roman" w:hAnsi="Times New Roman"/>
        </w:rPr>
        <w:t>Improve awkward phrasing:</w:t>
      </w:r>
      <w:r w:rsidRPr="00B60E44">
        <w:rPr>
          <w:rFonts w:ascii="Times New Roman" w:hAnsi="Times New Roman"/>
        </w:rPr>
        <w:t xml:space="preserve"> </w:t>
      </w:r>
    </w:p>
    <w:p w14:paraId="23347BB4" w14:textId="3D075392" w:rsidR="0000417F" w:rsidRPr="00B60E44" w:rsidRDefault="00B60E44" w:rsidP="0000417F">
      <w:pPr>
        <w:pStyle w:val="OMCOABriefBody"/>
        <w:rPr>
          <w:rFonts w:ascii="Times New Roman" w:hAnsi="Times New Roman"/>
        </w:rPr>
      </w:pPr>
      <w:r w:rsidRPr="00B60E44">
        <w:rPr>
          <w:rFonts w:ascii="Times New Roman" w:hAnsi="Times New Roman"/>
        </w:rPr>
        <w:t xml:space="preserve">“Rules 6(a) and, except </w:t>
      </w:r>
      <w:r w:rsidR="00F364E2" w:rsidRPr="00F364E2">
        <w:rPr>
          <w:rFonts w:ascii="Times New Roman" w:hAnsi="Times New Roman"/>
          <w:color w:val="4F81BD" w:themeColor="accent1"/>
          <w:u w:val="single"/>
        </w:rPr>
        <w:t>with respect to</w:t>
      </w:r>
      <w:r w:rsidR="00F364E2" w:rsidRPr="00F364E2">
        <w:rPr>
          <w:rFonts w:ascii="Times New Roman" w:hAnsi="Times New Roman"/>
          <w:color w:val="4F81BD" w:themeColor="accent1"/>
        </w:rPr>
        <w:t xml:space="preserve"> </w:t>
      </w:r>
      <w:r w:rsidRPr="00B60E44">
        <w:rPr>
          <w:rFonts w:ascii="Times New Roman" w:hAnsi="Times New Roman"/>
        </w:rPr>
        <w:t>electronically served documents, 6(c) of the Rules of Civil Procedure govern the computation of any time period set by these Rules, a court order, or an applicable statute.”</w:t>
      </w:r>
    </w:p>
    <w:p w14:paraId="6C1ACAC6" w14:textId="2EEBD935" w:rsidR="00B60E44" w:rsidRDefault="00B60E44" w:rsidP="00BC4C91">
      <w:pPr>
        <w:pStyle w:val="OMCOABriefHeadingLevel3"/>
        <w:rPr>
          <w:sz w:val="28"/>
        </w:rPr>
      </w:pPr>
      <w:r>
        <w:rPr>
          <w:sz w:val="28"/>
        </w:rPr>
        <w:t>Rule 2(c)</w:t>
      </w:r>
    </w:p>
    <w:p w14:paraId="5118FCFB" w14:textId="6A0B8C17" w:rsidR="00B60E44" w:rsidRDefault="00B60E44" w:rsidP="00B60E44">
      <w:pPr>
        <w:pStyle w:val="OMCOABriefBody"/>
        <w:rPr>
          <w:rFonts w:ascii="Times New Roman" w:hAnsi="Times New Roman"/>
        </w:rPr>
      </w:pPr>
      <w:r>
        <w:rPr>
          <w:rFonts w:ascii="Times New Roman" w:hAnsi="Times New Roman"/>
        </w:rPr>
        <w:t>With the current special action rules having been in place for fifty years, does the immediacy suggested by “</w:t>
      </w:r>
      <w:r w:rsidRPr="00F6248E">
        <w:rPr>
          <w:rFonts w:ascii="Times New Roman" w:hAnsi="Times New Roman"/>
          <w:i/>
        </w:rPr>
        <w:t>no longer</w:t>
      </w:r>
      <w:r w:rsidR="00D80AE1">
        <w:rPr>
          <w:rFonts w:ascii="Times New Roman" w:hAnsi="Times New Roman"/>
        </w:rPr>
        <w:t xml:space="preserve"> be designated</w:t>
      </w:r>
      <w:r w:rsidR="005F3401">
        <w:rPr>
          <w:rFonts w:ascii="Times New Roman" w:hAnsi="Times New Roman"/>
        </w:rPr>
        <w:t xml:space="preserve"> . . .</w:t>
      </w:r>
      <w:r>
        <w:rPr>
          <w:rFonts w:ascii="Times New Roman" w:hAnsi="Times New Roman"/>
        </w:rPr>
        <w:t xml:space="preserve">” add anything of value? </w:t>
      </w:r>
      <w:r w:rsidR="00F364E2">
        <w:rPr>
          <w:rFonts w:ascii="Times New Roman" w:hAnsi="Times New Roman"/>
        </w:rPr>
        <w:t>Consider:</w:t>
      </w:r>
    </w:p>
    <w:p w14:paraId="28F880ED" w14:textId="402A85D9" w:rsidR="00B60E44" w:rsidRPr="00B60E44" w:rsidRDefault="00B60E44" w:rsidP="00B60E44">
      <w:pPr>
        <w:pStyle w:val="OMCOABriefBody"/>
        <w:rPr>
          <w:rFonts w:ascii="Times New Roman" w:hAnsi="Times New Roman"/>
        </w:rPr>
      </w:pPr>
      <w:r>
        <w:rPr>
          <w:rFonts w:ascii="Times New Roman" w:hAnsi="Times New Roman"/>
        </w:rPr>
        <w:t>“</w:t>
      </w:r>
      <w:r w:rsidRPr="00B60E44">
        <w:rPr>
          <w:rFonts w:ascii="Times New Roman" w:hAnsi="Times New Roman"/>
        </w:rPr>
        <w:t xml:space="preserve">The writs of certiorari, mandamus, or prohibition by which parties formerly obtained relief in proceedings are </w:t>
      </w:r>
      <w:r w:rsidRPr="00D80AE1">
        <w:rPr>
          <w:rFonts w:ascii="Times New Roman" w:hAnsi="Times New Roman"/>
        </w:rPr>
        <w:t xml:space="preserve">now </w:t>
      </w:r>
      <w:r w:rsidRPr="00B60E44">
        <w:rPr>
          <w:rFonts w:ascii="Times New Roman" w:hAnsi="Times New Roman"/>
        </w:rPr>
        <w:t xml:space="preserve">called special actions. Special action proceedings should </w:t>
      </w:r>
      <w:r w:rsidRPr="00B60E44">
        <w:rPr>
          <w:rFonts w:ascii="Times New Roman" w:hAnsi="Times New Roman"/>
          <w:strike/>
          <w:color w:val="FF0000"/>
        </w:rPr>
        <w:t>no longer</w:t>
      </w:r>
      <w:r w:rsidRPr="00B60E44">
        <w:rPr>
          <w:rFonts w:ascii="Times New Roman" w:hAnsi="Times New Roman"/>
          <w:color w:val="FF0000"/>
        </w:rPr>
        <w:t xml:space="preserve"> </w:t>
      </w:r>
      <w:r w:rsidRPr="00B60E44">
        <w:rPr>
          <w:rFonts w:ascii="Times New Roman" w:hAnsi="Times New Roman"/>
          <w:color w:val="4BACC6" w:themeColor="accent5"/>
          <w:u w:val="single"/>
        </w:rPr>
        <w:t>not</w:t>
      </w:r>
      <w:r w:rsidRPr="00B60E44">
        <w:rPr>
          <w:rFonts w:ascii="Times New Roman" w:hAnsi="Times New Roman"/>
          <w:color w:val="4BACC6" w:themeColor="accent5"/>
        </w:rPr>
        <w:t xml:space="preserve"> </w:t>
      </w:r>
      <w:r w:rsidRPr="00B60E44">
        <w:rPr>
          <w:rFonts w:ascii="Times New Roman" w:hAnsi="Times New Roman"/>
        </w:rPr>
        <w:t>be designated as proceedings for certiorari, mandamus, or prohibition.</w:t>
      </w:r>
      <w:r>
        <w:rPr>
          <w:rFonts w:ascii="Times New Roman" w:hAnsi="Times New Roman"/>
        </w:rPr>
        <w:t>”</w:t>
      </w:r>
    </w:p>
    <w:p w14:paraId="4AFA8759" w14:textId="34FE672D" w:rsidR="001438EA" w:rsidRDefault="001438EA" w:rsidP="00BC4C91">
      <w:pPr>
        <w:pStyle w:val="OMCOABriefHeadingLevel3"/>
        <w:rPr>
          <w:sz w:val="28"/>
        </w:rPr>
      </w:pPr>
      <w:r>
        <w:rPr>
          <w:sz w:val="28"/>
        </w:rPr>
        <w:t>Rule 3</w:t>
      </w:r>
    </w:p>
    <w:p w14:paraId="5A516F46" w14:textId="18E8345E" w:rsidR="001802FE" w:rsidRDefault="001802FE" w:rsidP="001438EA">
      <w:pPr>
        <w:pStyle w:val="OMCOABriefBody"/>
        <w:rPr>
          <w:rFonts w:ascii="Times New Roman" w:hAnsi="Times New Roman"/>
        </w:rPr>
      </w:pPr>
      <w:r>
        <w:rPr>
          <w:rFonts w:ascii="Times New Roman" w:hAnsi="Times New Roman"/>
        </w:rPr>
        <w:t xml:space="preserve">Consider </w:t>
      </w:r>
      <w:r w:rsidR="002E4BA6">
        <w:rPr>
          <w:rFonts w:ascii="Times New Roman" w:hAnsi="Times New Roman"/>
        </w:rPr>
        <w:t>revising for brevity</w:t>
      </w:r>
      <w:r w:rsidR="00514747">
        <w:rPr>
          <w:rFonts w:ascii="Times New Roman" w:hAnsi="Times New Roman"/>
        </w:rPr>
        <w:t xml:space="preserve"> and to eliminate awkward phrasing</w:t>
      </w:r>
      <w:r w:rsidR="002E4BA6">
        <w:rPr>
          <w:rFonts w:ascii="Times New Roman" w:hAnsi="Times New Roman"/>
        </w:rPr>
        <w:t xml:space="preserve">: </w:t>
      </w:r>
      <w:r>
        <w:rPr>
          <w:rFonts w:ascii="Times New Roman" w:hAnsi="Times New Roman"/>
        </w:rPr>
        <w:t xml:space="preserve"> </w:t>
      </w:r>
    </w:p>
    <w:p w14:paraId="1EC8F541" w14:textId="282B6E80" w:rsidR="001438EA" w:rsidRPr="00AA7F14" w:rsidRDefault="00AA7F14" w:rsidP="001438EA">
      <w:pPr>
        <w:pStyle w:val="OMCOABriefBody"/>
        <w:rPr>
          <w:rFonts w:ascii="Times New Roman" w:hAnsi="Times New Roman"/>
        </w:rPr>
      </w:pPr>
      <w:r w:rsidRPr="00AA7F14">
        <w:rPr>
          <w:rFonts w:ascii="Times New Roman" w:hAnsi="Times New Roman"/>
        </w:rPr>
        <w:t>“</w:t>
      </w:r>
      <w:r w:rsidR="001438EA" w:rsidRPr="00AA7F14">
        <w:rPr>
          <w:rFonts w:ascii="Times New Roman" w:hAnsi="Times New Roman"/>
        </w:rPr>
        <w:t>If a</w:t>
      </w:r>
      <w:r w:rsidR="001438EA" w:rsidRPr="00AA7F14">
        <w:rPr>
          <w:rFonts w:ascii="Times New Roman" w:hAnsi="Times New Roman"/>
          <w:strike/>
          <w:color w:val="FF0000"/>
        </w:rPr>
        <w:t>ny</w:t>
      </w:r>
      <w:r w:rsidR="001438EA" w:rsidRPr="00AA7F14">
        <w:rPr>
          <w:rFonts w:ascii="Times New Roman" w:hAnsi="Times New Roman"/>
        </w:rPr>
        <w:t xml:space="preserve"> statute</w:t>
      </w:r>
      <w:r w:rsidR="001438EA" w:rsidRPr="00AA7F14">
        <w:rPr>
          <w:rFonts w:ascii="Times New Roman" w:hAnsi="Times New Roman"/>
          <w:strike/>
          <w:color w:val="FF0000"/>
        </w:rPr>
        <w:t>, other than those</w:t>
      </w:r>
      <w:r w:rsidR="001438EA" w:rsidRPr="00AA7F14">
        <w:rPr>
          <w:rFonts w:ascii="Times New Roman" w:hAnsi="Times New Roman"/>
          <w:color w:val="FF0000"/>
        </w:rPr>
        <w:t xml:space="preserve"> </w:t>
      </w:r>
      <w:r w:rsidR="009A2974" w:rsidRPr="00514747">
        <w:rPr>
          <w:rFonts w:ascii="Times New Roman" w:hAnsi="Times New Roman"/>
          <w:color w:val="4F81BD" w:themeColor="accent1"/>
          <w:u w:val="single"/>
        </w:rPr>
        <w:t>that is not</w:t>
      </w:r>
      <w:r w:rsidR="009A2974" w:rsidRPr="00514747">
        <w:rPr>
          <w:rFonts w:ascii="Times New Roman" w:hAnsi="Times New Roman"/>
          <w:color w:val="4F81BD" w:themeColor="accent1"/>
        </w:rPr>
        <w:t xml:space="preserve"> </w:t>
      </w:r>
      <w:r w:rsidR="001438EA" w:rsidRPr="00AA7F14">
        <w:rPr>
          <w:rFonts w:ascii="Times New Roman" w:hAnsi="Times New Roman"/>
        </w:rPr>
        <w:t>listed in Rule 2(c)</w:t>
      </w:r>
      <w:r w:rsidR="001438EA" w:rsidRPr="00AA7F14">
        <w:rPr>
          <w:rFonts w:ascii="Times New Roman" w:hAnsi="Times New Roman"/>
          <w:strike/>
          <w:color w:val="FF0000"/>
        </w:rPr>
        <w:t>,</w:t>
      </w:r>
      <w:r w:rsidR="001438EA" w:rsidRPr="00AA7F14">
        <w:rPr>
          <w:rFonts w:ascii="Times New Roman" w:hAnsi="Times New Roman"/>
        </w:rPr>
        <w:t xml:space="preserve"> authorizes filing a special action, or an action for a writ of certiorari, mandamus, or prohibition, that action is</w:t>
      </w:r>
      <w:r w:rsidR="00514747">
        <w:rPr>
          <w:rFonts w:ascii="Times New Roman" w:hAnsi="Times New Roman"/>
        </w:rPr>
        <w:t xml:space="preserve"> </w:t>
      </w:r>
      <w:r w:rsidR="00514747" w:rsidRPr="00514747">
        <w:rPr>
          <w:rFonts w:ascii="Times New Roman" w:hAnsi="Times New Roman"/>
          <w:color w:val="4F81BD" w:themeColor="accent1"/>
          <w:u w:val="single"/>
        </w:rPr>
        <w:t>[known as]</w:t>
      </w:r>
      <w:r w:rsidR="001438EA" w:rsidRPr="00514747">
        <w:rPr>
          <w:rFonts w:ascii="Times New Roman" w:hAnsi="Times New Roman"/>
          <w:color w:val="4F81BD" w:themeColor="accent1"/>
        </w:rPr>
        <w:t xml:space="preserve"> </w:t>
      </w:r>
      <w:r w:rsidR="001438EA" w:rsidRPr="00AA7F14">
        <w:rPr>
          <w:rFonts w:ascii="Times New Roman" w:hAnsi="Times New Roman"/>
        </w:rPr>
        <w:t xml:space="preserve">a </w:t>
      </w:r>
      <w:r w:rsidR="002E4BA6" w:rsidRPr="002E4BA6">
        <w:rPr>
          <w:rFonts w:ascii="Times New Roman" w:hAnsi="Times New Roman"/>
          <w:color w:val="4F81BD" w:themeColor="accent1"/>
          <w:u w:val="single"/>
        </w:rPr>
        <w:t>statutory</w:t>
      </w:r>
      <w:r w:rsidR="002E4BA6" w:rsidRPr="002E4BA6">
        <w:rPr>
          <w:rFonts w:ascii="Times New Roman" w:hAnsi="Times New Roman"/>
          <w:color w:val="4F81BD" w:themeColor="accent1"/>
        </w:rPr>
        <w:t xml:space="preserve"> </w:t>
      </w:r>
      <w:r w:rsidR="001438EA" w:rsidRPr="00AA7F14">
        <w:rPr>
          <w:rFonts w:ascii="Times New Roman" w:hAnsi="Times New Roman"/>
        </w:rPr>
        <w:t xml:space="preserve">special action. </w:t>
      </w:r>
      <w:r w:rsidR="001438EA" w:rsidRPr="002E4BA6">
        <w:rPr>
          <w:rFonts w:ascii="Times New Roman" w:hAnsi="Times New Roman"/>
          <w:strike/>
          <w:color w:val="FF0000"/>
        </w:rPr>
        <w:t>These special actions, known as</w:t>
      </w:r>
      <w:r w:rsidR="001438EA" w:rsidRPr="002E4BA6">
        <w:rPr>
          <w:rFonts w:ascii="Times New Roman" w:hAnsi="Times New Roman"/>
          <w:color w:val="FF0000"/>
        </w:rPr>
        <w:t xml:space="preserve"> </w:t>
      </w:r>
      <w:r w:rsidR="001438EA" w:rsidRPr="002E4BA6">
        <w:rPr>
          <w:rFonts w:ascii="Times New Roman" w:hAnsi="Times New Roman"/>
          <w:strike/>
          <w:color w:val="FF0000"/>
        </w:rPr>
        <w:t>s</w:t>
      </w:r>
      <w:r w:rsidR="002E4BA6" w:rsidRPr="002E4BA6">
        <w:rPr>
          <w:rFonts w:ascii="Times New Roman" w:hAnsi="Times New Roman"/>
          <w:color w:val="4F81BD" w:themeColor="accent1"/>
          <w:u w:val="single"/>
        </w:rPr>
        <w:t>S</w:t>
      </w:r>
      <w:r w:rsidR="001438EA" w:rsidRPr="00AA7F14">
        <w:rPr>
          <w:rFonts w:ascii="Times New Roman" w:hAnsi="Times New Roman"/>
        </w:rPr>
        <w:t>tatutory special actions</w:t>
      </w:r>
      <w:r w:rsidR="001438EA" w:rsidRPr="002E4BA6">
        <w:rPr>
          <w:rFonts w:ascii="Times New Roman" w:hAnsi="Times New Roman"/>
          <w:strike/>
          <w:color w:val="FF0000"/>
        </w:rPr>
        <w:t>,</w:t>
      </w:r>
      <w:r w:rsidR="001438EA" w:rsidRPr="00AA7F14">
        <w:rPr>
          <w:rFonts w:ascii="Times New Roman" w:hAnsi="Times New Roman"/>
        </w:rPr>
        <w:t xml:space="preserve"> may be either original or appellate special actions.</w:t>
      </w:r>
      <w:r w:rsidRPr="00AA7F14">
        <w:rPr>
          <w:rFonts w:ascii="Times New Roman" w:hAnsi="Times New Roman"/>
        </w:rPr>
        <w:t>”</w:t>
      </w:r>
    </w:p>
    <w:p w14:paraId="35F2C8C7" w14:textId="61893420" w:rsidR="009A0525" w:rsidRPr="00BC4C91" w:rsidRDefault="00BC4C91" w:rsidP="00BC4C91">
      <w:pPr>
        <w:pStyle w:val="OMCOABriefHeadingLevel3"/>
        <w:rPr>
          <w:sz w:val="28"/>
        </w:rPr>
      </w:pPr>
      <w:r w:rsidRPr="00BC4C91">
        <w:rPr>
          <w:sz w:val="28"/>
        </w:rPr>
        <w:lastRenderedPageBreak/>
        <w:t>Rule 13(g)(1)</w:t>
      </w:r>
    </w:p>
    <w:p w14:paraId="20AC496E" w14:textId="24382F07" w:rsidR="00B60E44" w:rsidRDefault="00B60E44" w:rsidP="00BC4C91">
      <w:pPr>
        <w:pStyle w:val="OMCOABriefBody"/>
        <w:rPr>
          <w:rFonts w:ascii="Times New Roman" w:hAnsi="Times New Roman"/>
        </w:rPr>
      </w:pPr>
      <w:r>
        <w:rPr>
          <w:rFonts w:ascii="Times New Roman" w:hAnsi="Times New Roman"/>
        </w:rPr>
        <w:t>Fix s</w:t>
      </w:r>
      <w:r w:rsidR="00BC4C91">
        <w:rPr>
          <w:rFonts w:ascii="Times New Roman" w:hAnsi="Times New Roman"/>
        </w:rPr>
        <w:t>ubject-verb agreement</w:t>
      </w:r>
      <w:r w:rsidR="00514747">
        <w:rPr>
          <w:rFonts w:ascii="Times New Roman" w:hAnsi="Times New Roman"/>
        </w:rPr>
        <w:t>:</w:t>
      </w:r>
    </w:p>
    <w:p w14:paraId="2355E01C" w14:textId="7D7EA087" w:rsidR="00BC4C91" w:rsidRDefault="00BC4C91" w:rsidP="00BC4C91">
      <w:pPr>
        <w:pStyle w:val="OMCOABriefBody"/>
        <w:rPr>
          <w:rFonts w:ascii="Times New Roman" w:hAnsi="Times New Roman"/>
        </w:rPr>
      </w:pPr>
      <w:r>
        <w:rPr>
          <w:rFonts w:ascii="Times New Roman" w:hAnsi="Times New Roman"/>
        </w:rPr>
        <w:t>“</w:t>
      </w:r>
      <w:r w:rsidRPr="00FC7219">
        <w:rPr>
          <w:rFonts w:ascii="Times New Roman" w:hAnsi="Times New Roman"/>
        </w:rPr>
        <w:t>petitio</w:t>
      </w:r>
      <w:r w:rsidR="0082624D">
        <w:rPr>
          <w:rFonts w:ascii="Times New Roman" w:hAnsi="Times New Roman"/>
        </w:rPr>
        <w:t>ns</w:t>
      </w:r>
      <w:r w:rsidRPr="00FC7219">
        <w:rPr>
          <w:rFonts w:ascii="Times New Roman" w:hAnsi="Times New Roman"/>
        </w:rPr>
        <w:t xml:space="preserve"> and respons</w:t>
      </w:r>
      <w:r w:rsidR="0082624D">
        <w:rPr>
          <w:rFonts w:ascii="Times New Roman" w:hAnsi="Times New Roman"/>
        </w:rPr>
        <w:t>es</w:t>
      </w:r>
      <w:r w:rsidRPr="00FC7219">
        <w:rPr>
          <w:rFonts w:ascii="Times New Roman" w:hAnsi="Times New Roman"/>
        </w:rPr>
        <w:t xml:space="preserve"> must not exceed 10,500 words excluding </w:t>
      </w:r>
      <w:proofErr w:type="spellStart"/>
      <w:r w:rsidRPr="0082624D">
        <w:rPr>
          <w:rFonts w:ascii="Times New Roman" w:hAnsi="Times New Roman"/>
          <w:strike/>
          <w:color w:val="FF0000"/>
        </w:rPr>
        <w:t>its</w:t>
      </w:r>
      <w:proofErr w:type="spellEnd"/>
      <w:r w:rsidR="0082624D" w:rsidRPr="0082624D">
        <w:rPr>
          <w:rFonts w:ascii="Times New Roman" w:hAnsi="Times New Roman"/>
          <w:color w:val="FF0000"/>
        </w:rPr>
        <w:t xml:space="preserve"> </w:t>
      </w:r>
      <w:r w:rsidR="0082624D" w:rsidRPr="0082624D">
        <w:rPr>
          <w:rFonts w:ascii="Times New Roman" w:hAnsi="Times New Roman"/>
          <w:color w:val="4BACC6" w:themeColor="accent5"/>
          <w:u w:val="single"/>
        </w:rPr>
        <w:t>their</w:t>
      </w:r>
      <w:r w:rsidRPr="0082624D">
        <w:rPr>
          <w:rFonts w:ascii="Times New Roman" w:hAnsi="Times New Roman"/>
          <w:color w:val="4BACC6" w:themeColor="accent5"/>
        </w:rPr>
        <w:t xml:space="preserve"> </w:t>
      </w:r>
      <w:r w:rsidRPr="00FC7219">
        <w:rPr>
          <w:rFonts w:ascii="Times New Roman" w:hAnsi="Times New Roman"/>
        </w:rPr>
        <w:t>cover page</w:t>
      </w:r>
      <w:r w:rsidR="0082624D" w:rsidRPr="0082624D">
        <w:rPr>
          <w:rFonts w:ascii="Times New Roman" w:hAnsi="Times New Roman"/>
          <w:color w:val="4BACC6" w:themeColor="accent5"/>
          <w:u w:val="single"/>
        </w:rPr>
        <w:t>s</w:t>
      </w:r>
      <w:r w:rsidR="00BC0BC7" w:rsidRPr="00CF1075">
        <w:rPr>
          <w:rFonts w:ascii="Times New Roman" w:hAnsi="Times New Roman"/>
        </w:rPr>
        <w:t>,</w:t>
      </w:r>
      <w:r w:rsidR="0082624D">
        <w:rPr>
          <w:rFonts w:ascii="Times New Roman" w:hAnsi="Times New Roman"/>
          <w:color w:val="4BACC6" w:themeColor="accent5"/>
        </w:rPr>
        <w:t xml:space="preserve"> </w:t>
      </w:r>
      <w:r w:rsidR="0082624D" w:rsidRPr="00FC7219">
        <w:rPr>
          <w:rFonts w:ascii="Times New Roman" w:hAnsi="Times New Roman"/>
        </w:rPr>
        <w:t>caption</w:t>
      </w:r>
      <w:r w:rsidR="0082624D" w:rsidRPr="0082624D">
        <w:rPr>
          <w:rFonts w:ascii="Times New Roman" w:hAnsi="Times New Roman"/>
          <w:color w:val="4BACC6" w:themeColor="accent5"/>
          <w:u w:val="single"/>
        </w:rPr>
        <w:t>s</w:t>
      </w:r>
      <w:r w:rsidR="0082624D" w:rsidRPr="00FC7219">
        <w:rPr>
          <w:rFonts w:ascii="Times New Roman" w:hAnsi="Times New Roman"/>
        </w:rPr>
        <w:t>, date and signature blocks, table of contents and citations, and certificates of service and compliance</w:t>
      </w:r>
      <w:r>
        <w:rPr>
          <w:rFonts w:ascii="Times New Roman" w:hAnsi="Times New Roman"/>
        </w:rPr>
        <w:t xml:space="preserve"> . . .”</w:t>
      </w:r>
    </w:p>
    <w:p w14:paraId="188E7A54" w14:textId="77777777" w:rsidR="00A14A19" w:rsidRPr="00B47BDA" w:rsidRDefault="00A14A19" w:rsidP="00A14A19">
      <w:pPr>
        <w:pStyle w:val="OMCOABriefHeadingLevel3"/>
        <w:rPr>
          <w:sz w:val="28"/>
        </w:rPr>
      </w:pPr>
      <w:r w:rsidRPr="00B47BDA">
        <w:rPr>
          <w:sz w:val="28"/>
        </w:rPr>
        <w:t>Rule 18(a)(1)</w:t>
      </w:r>
    </w:p>
    <w:p w14:paraId="3E0BB1DB" w14:textId="0E9B1266" w:rsidR="001802FE" w:rsidRDefault="001802FE" w:rsidP="00A14A19">
      <w:pPr>
        <w:pStyle w:val="BodyText"/>
      </w:pPr>
      <w:r w:rsidRPr="001802FE">
        <w:t>Per a Westlaw search, Arizona statutes and court rules appear to alternate between the formulations “request [a/the] court to</w:t>
      </w:r>
      <w:r w:rsidR="00391BC7">
        <w:t xml:space="preserve"> </w:t>
      </w:r>
      <w:r w:rsidR="001A36B9">
        <w:t>. . .</w:t>
      </w:r>
      <w:r w:rsidRPr="001802FE">
        <w:t>” and “request that [a/the] court</w:t>
      </w:r>
      <w:r w:rsidR="00391BC7">
        <w:t xml:space="preserve"> </w:t>
      </w:r>
      <w:r w:rsidR="001A36B9">
        <w:t>. . .</w:t>
      </w:r>
      <w:r w:rsidRPr="001802FE">
        <w:t xml:space="preserve">” in roughly equal proportion. </w:t>
      </w:r>
      <w:r w:rsidR="00391BC7">
        <w:t>We find the latter more natural</w:t>
      </w:r>
      <w:r w:rsidR="00514747">
        <w:t xml:space="preserve"> and approachable:</w:t>
      </w:r>
    </w:p>
    <w:p w14:paraId="7C16FA55" w14:textId="1C6D9B5F" w:rsidR="00A14A19" w:rsidRDefault="00A14A19" w:rsidP="001802FE">
      <w:pPr>
        <w:pStyle w:val="BodyText"/>
      </w:pPr>
      <w:r>
        <w:t>“A motion for reconsideration request</w:t>
      </w:r>
      <w:r w:rsidRPr="00B47BDA">
        <w:rPr>
          <w:color w:val="4F81BD" w:themeColor="accent1"/>
          <w:u w:val="single"/>
        </w:rPr>
        <w:t>s</w:t>
      </w:r>
      <w:r>
        <w:t xml:space="preserve"> </w:t>
      </w:r>
      <w:r w:rsidRPr="00B47BDA">
        <w:rPr>
          <w:color w:val="4F81BD" w:themeColor="accent1"/>
          <w:u w:val="single"/>
        </w:rPr>
        <w:t>that</w:t>
      </w:r>
      <w:r w:rsidRPr="00B47BDA">
        <w:rPr>
          <w:color w:val="4F81BD" w:themeColor="accent1"/>
        </w:rPr>
        <w:t xml:space="preserve"> </w:t>
      </w:r>
      <w:r>
        <w:t xml:space="preserve">the court </w:t>
      </w:r>
      <w:r w:rsidRPr="00B47BDA">
        <w:rPr>
          <w:strike/>
          <w:color w:val="FF0000"/>
        </w:rPr>
        <w:t>to</w:t>
      </w:r>
      <w:r w:rsidRPr="00B47BDA">
        <w:rPr>
          <w:color w:val="FF0000"/>
        </w:rPr>
        <w:t xml:space="preserve"> </w:t>
      </w:r>
      <w:r>
        <w:t>consider whether its decision . . .”</w:t>
      </w:r>
    </w:p>
    <w:p w14:paraId="0FC74133" w14:textId="6402FFD6" w:rsidR="009A0525" w:rsidRDefault="009A0525" w:rsidP="00CF1075">
      <w:pPr>
        <w:pStyle w:val="BodyText"/>
        <w:ind w:left="839"/>
        <w:jc w:val="both"/>
        <w:rPr>
          <w:sz w:val="27"/>
        </w:rPr>
      </w:pPr>
      <w:r w:rsidRPr="00075386">
        <w:rPr>
          <w:szCs w:val="28"/>
        </w:rPr>
        <w:t>Respectfully submitted</w:t>
      </w:r>
      <w:r w:rsidRPr="00075386">
        <w:rPr>
          <w:spacing w:val="3"/>
          <w:szCs w:val="28"/>
        </w:rPr>
        <w:t xml:space="preserve"> </w:t>
      </w:r>
      <w:r w:rsidRPr="00075386">
        <w:rPr>
          <w:szCs w:val="28"/>
        </w:rPr>
        <w:t>this</w:t>
      </w:r>
      <w:r w:rsidRPr="00075386">
        <w:rPr>
          <w:spacing w:val="2"/>
          <w:szCs w:val="28"/>
        </w:rPr>
        <w:t xml:space="preserve"> </w:t>
      </w:r>
      <w:r w:rsidR="00B36B46">
        <w:rPr>
          <w:szCs w:val="28"/>
        </w:rPr>
        <w:t>1</w:t>
      </w:r>
      <w:r w:rsidR="00B36B46" w:rsidRPr="00CF1075">
        <w:rPr>
          <w:szCs w:val="28"/>
        </w:rPr>
        <w:t>7</w:t>
      </w:r>
      <w:r w:rsidR="00B36B46" w:rsidRPr="00075386">
        <w:rPr>
          <w:szCs w:val="28"/>
          <w:vertAlign w:val="superscript"/>
        </w:rPr>
        <w:t>th</w:t>
      </w:r>
      <w:r w:rsidR="00B36B46" w:rsidRPr="00075386">
        <w:rPr>
          <w:spacing w:val="2"/>
          <w:szCs w:val="28"/>
        </w:rPr>
        <w:t xml:space="preserve"> </w:t>
      </w:r>
      <w:r w:rsidRPr="00075386">
        <w:rPr>
          <w:szCs w:val="28"/>
        </w:rPr>
        <w:t>day of</w:t>
      </w:r>
      <w:r w:rsidRPr="00075386">
        <w:rPr>
          <w:spacing w:val="1"/>
          <w:szCs w:val="28"/>
        </w:rPr>
        <w:t xml:space="preserve"> </w:t>
      </w:r>
      <w:r w:rsidR="00915124">
        <w:rPr>
          <w:szCs w:val="28"/>
        </w:rPr>
        <w:t>May</w:t>
      </w:r>
      <w:r w:rsidRPr="00075386">
        <w:rPr>
          <w:spacing w:val="4"/>
          <w:szCs w:val="28"/>
        </w:rPr>
        <w:t xml:space="preserve"> </w:t>
      </w:r>
      <w:r w:rsidRPr="00075386">
        <w:rPr>
          <w:spacing w:val="-2"/>
          <w:szCs w:val="28"/>
        </w:rPr>
        <w:t>2024.</w:t>
      </w:r>
    </w:p>
    <w:p w14:paraId="6A1CF85F" w14:textId="32BD0D6F" w:rsidR="009A0525" w:rsidRPr="005374E1" w:rsidRDefault="009A0525" w:rsidP="00193049">
      <w:pPr>
        <w:ind w:left="4140" w:right="1620"/>
        <w:rPr>
          <w:rFonts w:ascii="Times New Roman" w:hAnsi="Times New Roman" w:cs="Times New Roman"/>
        </w:rPr>
      </w:pPr>
      <w:r w:rsidRPr="005374E1">
        <w:rPr>
          <w:rFonts w:ascii="Times New Roman" w:hAnsi="Times New Roman" w:cs="Times New Roman"/>
        </w:rPr>
        <w:t xml:space="preserve">By: </w:t>
      </w:r>
      <w:r w:rsidRPr="005374E1">
        <w:rPr>
          <w:rFonts w:ascii="Times New Roman" w:hAnsi="Times New Roman" w:cs="Times New Roman"/>
          <w:u w:val="single"/>
        </w:rPr>
        <w:t xml:space="preserve">/s/ </w:t>
      </w:r>
      <w:r w:rsidR="00193049">
        <w:rPr>
          <w:rFonts w:ascii="Times New Roman" w:hAnsi="Times New Roman" w:cs="Times New Roman"/>
          <w:u w:val="single"/>
        </w:rPr>
        <w:t>Clinten N. Garrett</w:t>
      </w:r>
      <w:r w:rsidR="00193049" w:rsidRPr="005374E1">
        <w:rPr>
          <w:rFonts w:ascii="Times New Roman" w:hAnsi="Times New Roman" w:cs="Times New Roman"/>
        </w:rPr>
        <w:t xml:space="preserve"> </w:t>
      </w:r>
    </w:p>
    <w:p w14:paraId="448DFED0" w14:textId="77777777" w:rsidR="005374E1" w:rsidRPr="005374E1" w:rsidRDefault="005374E1" w:rsidP="005374E1">
      <w:pPr>
        <w:spacing w:before="100" w:beforeAutospacing="1"/>
        <w:ind w:left="4140"/>
        <w:rPr>
          <w:rFonts w:ascii="Times New Roman" w:hAnsi="Times New Roman" w:cs="Times New Roman"/>
          <w:szCs w:val="26"/>
        </w:rPr>
      </w:pPr>
      <w:r w:rsidRPr="005374E1">
        <w:rPr>
          <w:rFonts w:ascii="Times New Roman" w:hAnsi="Times New Roman" w:cs="Times New Roman"/>
          <w:szCs w:val="26"/>
        </w:rPr>
        <w:t>Joshua D. Bendor (Bar No. 031908)</w:t>
      </w:r>
    </w:p>
    <w:p w14:paraId="2C75E49E"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szCs w:val="26"/>
        </w:rPr>
        <w:t>Clinten N. Garrett (Bar No. 022457)</w:t>
      </w:r>
    </w:p>
    <w:p w14:paraId="41D05192"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bCs/>
          <w:szCs w:val="26"/>
        </w:rPr>
        <w:t>Office of the Arizona Attorney General</w:t>
      </w:r>
      <w:r w:rsidRPr="005374E1">
        <w:rPr>
          <w:rFonts w:ascii="Times New Roman" w:hAnsi="Times New Roman" w:cs="Times New Roman"/>
          <w:bCs/>
          <w:szCs w:val="26"/>
        </w:rPr>
        <w:br/>
        <w:t>2005 N. Central Avenue</w:t>
      </w:r>
    </w:p>
    <w:p w14:paraId="6FD63583" w14:textId="77777777" w:rsidR="005374E1" w:rsidRPr="005374E1" w:rsidRDefault="005374E1" w:rsidP="005374E1">
      <w:pPr>
        <w:ind w:left="4140"/>
        <w:rPr>
          <w:rFonts w:ascii="Times New Roman" w:hAnsi="Times New Roman" w:cs="Times New Roman"/>
          <w:bCs/>
          <w:szCs w:val="26"/>
        </w:rPr>
      </w:pPr>
      <w:r w:rsidRPr="005374E1">
        <w:rPr>
          <w:rFonts w:ascii="Times New Roman" w:hAnsi="Times New Roman" w:cs="Times New Roman"/>
          <w:bCs/>
          <w:szCs w:val="26"/>
        </w:rPr>
        <w:t>Phoenix, AZ 85004-1592</w:t>
      </w:r>
    </w:p>
    <w:p w14:paraId="07CFDCE0"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szCs w:val="26"/>
        </w:rPr>
        <w:t>(602) 542-3333</w:t>
      </w:r>
    </w:p>
    <w:p w14:paraId="4C5941A2" w14:textId="77777777" w:rsidR="005374E1" w:rsidRPr="005374E1" w:rsidRDefault="005374E1" w:rsidP="005374E1">
      <w:pPr>
        <w:ind w:left="4140"/>
        <w:rPr>
          <w:rFonts w:ascii="Times New Roman" w:hAnsi="Times New Roman" w:cs="Times New Roman"/>
          <w:bCs/>
          <w:szCs w:val="26"/>
        </w:rPr>
      </w:pPr>
      <w:r w:rsidRPr="005374E1">
        <w:rPr>
          <w:rFonts w:ascii="Times New Roman" w:hAnsi="Times New Roman" w:cs="Times New Roman"/>
          <w:bCs/>
          <w:szCs w:val="26"/>
        </w:rPr>
        <w:t>Joshua.Bendor@azag.gov</w:t>
      </w:r>
    </w:p>
    <w:p w14:paraId="532F818C" w14:textId="77777777" w:rsidR="005374E1" w:rsidRPr="005374E1" w:rsidRDefault="005374E1" w:rsidP="005374E1">
      <w:pPr>
        <w:ind w:left="4140"/>
        <w:rPr>
          <w:rFonts w:ascii="Times New Roman" w:hAnsi="Times New Roman" w:cs="Times New Roman"/>
          <w:color w:val="0000FF" w:themeColor="hyperlink"/>
        </w:rPr>
      </w:pPr>
      <w:r w:rsidRPr="005374E1">
        <w:rPr>
          <w:rFonts w:ascii="Times New Roman" w:hAnsi="Times New Roman" w:cs="Times New Roman"/>
        </w:rPr>
        <w:t>Clinten.Garrett@azag.gov</w:t>
      </w:r>
    </w:p>
    <w:p w14:paraId="6089AD47" w14:textId="77777777" w:rsidR="005374E1" w:rsidRPr="005374E1" w:rsidRDefault="005374E1" w:rsidP="005374E1">
      <w:pPr>
        <w:ind w:left="4140"/>
        <w:rPr>
          <w:rFonts w:ascii="Times New Roman" w:hAnsi="Times New Roman" w:cs="Times New Roman"/>
        </w:rPr>
      </w:pPr>
      <w:r w:rsidRPr="005374E1">
        <w:rPr>
          <w:rFonts w:ascii="Times New Roman" w:hAnsi="Times New Roman" w:cs="Times New Roman"/>
        </w:rPr>
        <w:t xml:space="preserve">ACL@azag.gov </w:t>
      </w:r>
    </w:p>
    <w:p w14:paraId="06A89CDB" w14:textId="467F2B54" w:rsidR="00EE5D83" w:rsidRPr="00D57284" w:rsidRDefault="00EE5D83" w:rsidP="00D57284">
      <w:pPr>
        <w:pStyle w:val="OMCOABriefBody"/>
        <w:spacing w:after="240" w:line="240" w:lineRule="auto"/>
        <w:ind w:firstLine="0"/>
        <w:rPr>
          <w:rFonts w:ascii="Times New Roman" w:hAnsi="Times New Roman"/>
          <w:sz w:val="26"/>
          <w:szCs w:val="26"/>
        </w:rPr>
      </w:pPr>
    </w:p>
    <w:sectPr w:rsidR="00EE5D83" w:rsidRPr="00D57284" w:rsidSect="00E125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C219E5" w16cex:dateUtc="2024-05-14T14:26:00Z"/>
  <w16cex:commentExtensible w16cex:durableId="5CBB0443" w16cex:dateUtc="2024-05-14T15:41:00Z"/>
  <w16cex:commentExtensible w16cex:durableId="511A0E03" w16cex:dateUtc="2024-05-14T15:54:00Z"/>
  <w16cex:commentExtensible w16cex:durableId="7474F1F9" w16cex:dateUtc="2024-05-14T15:58:00Z"/>
  <w16cex:commentExtensible w16cex:durableId="06243354" w16cex:dateUtc="2024-05-14T16:02:00Z"/>
  <w16cex:commentExtensible w16cex:durableId="2160AE95" w16cex:dateUtc="2024-05-14T21:03:00Z"/>
  <w16cex:commentExtensible w16cex:durableId="6A67AF87" w16cex:dateUtc="2024-05-15T12:03:00Z"/>
  <w16cex:commentExtensible w16cex:durableId="4D0F9750" w16cex:dateUtc="2024-05-15T12:06:00Z"/>
  <w16cex:commentExtensible w16cex:durableId="7F29BB85" w16cex:dateUtc="2024-05-14T21:26:00Z"/>
  <w16cex:commentExtensible w16cex:durableId="32C64D6F" w16cex:dateUtc="2024-05-15T02:02:00Z"/>
  <w16cex:commentExtensible w16cex:durableId="2D945C6D" w16cex:dateUtc="2024-05-15T02:13:00Z"/>
  <w16cex:commentExtensible w16cex:durableId="3148F276" w16cex:dateUtc="2024-05-15T02:19:00Z"/>
  <w16cex:commentExtensible w16cex:durableId="02C5AD94" w16cex:dateUtc="2024-05-15T02:20:00Z"/>
  <w16cex:commentExtensible w16cex:durableId="47D68FAC" w16cex:dateUtc="2024-05-15T02:21:00Z"/>
  <w16cex:commentExtensible w16cex:durableId="205F1C56" w16cex:dateUtc="2024-05-15T02:24:00Z"/>
  <w16cex:commentExtensible w16cex:durableId="723D7346" w16cex:dateUtc="2024-05-15T02:57:00Z"/>
  <w16cex:commentExtensible w16cex:durableId="5D35917D" w16cex:dateUtc="2024-05-15T02:59:00Z"/>
  <w16cex:commentExtensible w16cex:durableId="4C4F30F5" w16cex:dateUtc="2024-05-15T03:03:00Z"/>
  <w16cex:commentExtensible w16cex:durableId="6FBE2F16" w16cex:dateUtc="2024-05-15T03:06:00Z"/>
  <w16cex:commentExtensible w16cex:durableId="00D126F1" w16cex:dateUtc="2024-05-15T03:08:00Z"/>
  <w16cex:commentExtensible w16cex:durableId="1265BF5E" w16cex:dateUtc="2024-05-15T03:15:00Z"/>
  <w16cex:commentExtensible w16cex:durableId="436491F9" w16cex:dateUtc="2024-05-15T03:17:00Z"/>
  <w16cex:commentExtensible w16cex:durableId="6FC17CFC" w16cex:dateUtc="2024-05-15T03:19:00Z"/>
  <w16cex:commentExtensible w16cex:durableId="7E66A32E" w16cex:dateUtc="2024-05-15T03:22:00Z"/>
  <w16cex:commentExtensible w16cex:durableId="4411ACF0" w16cex:dateUtc="2024-05-15T03:24:00Z"/>
  <w16cex:commentExtensible w16cex:durableId="7F51CFF7" w16cex:dateUtc="2024-05-15T03:27:00Z"/>
  <w16cex:commentExtensible w16cex:durableId="054CA243" w16cex:dateUtc="2024-05-15T03:32:00Z"/>
  <w16cex:commentExtensible w16cex:durableId="0E0F3BEB" w16cex:dateUtc="2024-05-15T0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D864" w14:textId="77777777" w:rsidR="00A93D41" w:rsidRDefault="00A93D41" w:rsidP="00E1253B">
      <w:r>
        <w:separator/>
      </w:r>
    </w:p>
  </w:endnote>
  <w:endnote w:type="continuationSeparator" w:id="0">
    <w:p w14:paraId="3DF46699" w14:textId="77777777" w:rsidR="00A93D41" w:rsidRDefault="00A93D41" w:rsidP="00E1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6B42" w14:textId="77777777" w:rsidR="00800401" w:rsidRDefault="0080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23B5" w14:textId="77777777" w:rsidR="00915124" w:rsidRPr="00B96578" w:rsidRDefault="00915124" w:rsidP="00E1253B">
    <w:pPr>
      <w:pStyle w:val="Footer"/>
      <w:jc w:val="center"/>
      <w:rPr>
        <w:rFonts w:ascii="Times New Roman" w:hAnsi="Times New Roman" w:cs="Times New Roman"/>
      </w:rPr>
    </w:pPr>
    <w:r w:rsidRPr="00B96578">
      <w:rPr>
        <w:rFonts w:ascii="Times New Roman" w:hAnsi="Times New Roman" w:cs="Times New Roman"/>
      </w:rPr>
      <w:fldChar w:fldCharType="begin"/>
    </w:r>
    <w:r w:rsidRPr="00B96578">
      <w:rPr>
        <w:rFonts w:ascii="Times New Roman" w:hAnsi="Times New Roman" w:cs="Times New Roman"/>
      </w:rPr>
      <w:instrText xml:space="preserve"> PAGE   \* MERGEFORMAT </w:instrText>
    </w:r>
    <w:r w:rsidRPr="00B96578">
      <w:rPr>
        <w:rFonts w:ascii="Times New Roman" w:hAnsi="Times New Roman" w:cs="Times New Roman"/>
      </w:rPr>
      <w:fldChar w:fldCharType="separate"/>
    </w:r>
    <w:r w:rsidR="00177E6A" w:rsidRPr="00B96578">
      <w:rPr>
        <w:rFonts w:ascii="Times New Roman" w:hAnsi="Times New Roman" w:cs="Times New Roman"/>
        <w:noProof/>
      </w:rPr>
      <w:t>2</w:t>
    </w:r>
    <w:r w:rsidRPr="00B96578">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7A7C" w14:textId="77777777" w:rsidR="00800401" w:rsidRDefault="0080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1739" w14:textId="77777777" w:rsidR="00A93D41" w:rsidRDefault="00A93D41" w:rsidP="00E1253B">
      <w:r>
        <w:separator/>
      </w:r>
    </w:p>
  </w:footnote>
  <w:footnote w:type="continuationSeparator" w:id="0">
    <w:p w14:paraId="0A411792" w14:textId="77777777" w:rsidR="00A93D41" w:rsidRDefault="00A93D41" w:rsidP="00E1253B">
      <w:r>
        <w:continuationSeparator/>
      </w:r>
    </w:p>
  </w:footnote>
  <w:footnote w:id="1">
    <w:p w14:paraId="5E37E60B" w14:textId="77777777" w:rsidR="00B36B46" w:rsidRPr="00800401" w:rsidRDefault="00B36B46" w:rsidP="00B36B46">
      <w:pPr>
        <w:pStyle w:val="FootnoteText"/>
        <w:rPr>
          <w:rFonts w:ascii="Times New Roman" w:hAnsi="Times New Roman" w:cs="Times New Roman"/>
          <w:szCs w:val="28"/>
        </w:rPr>
      </w:pPr>
      <w:r w:rsidRPr="00800401">
        <w:rPr>
          <w:rStyle w:val="FootnoteReference"/>
          <w:rFonts w:ascii="Times New Roman" w:hAnsi="Times New Roman" w:cs="Times New Roman"/>
          <w:szCs w:val="28"/>
        </w:rPr>
        <w:footnoteRef/>
      </w:r>
      <w:r w:rsidRPr="00800401">
        <w:rPr>
          <w:rFonts w:ascii="Times New Roman" w:hAnsi="Times New Roman" w:cs="Times New Roman"/>
          <w:szCs w:val="28"/>
        </w:rPr>
        <w:t xml:space="preserve"> There are also possible conflicts between Rules 6(a)(1) and 6(a)(2), although these could probably be readily resolved by relying on the more specific rule, 6(a)(2).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9277" w14:textId="77777777" w:rsidR="00800401" w:rsidRDefault="00800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9F2D" w14:textId="77777777" w:rsidR="00800401" w:rsidRDefault="00800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1E4A" w14:textId="77777777" w:rsidR="00800401" w:rsidRDefault="00800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C6EF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009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82B7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6289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2C4F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9A7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8A9E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45E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C688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CAD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442DE"/>
    <w:multiLevelType w:val="hybridMultilevel"/>
    <w:tmpl w:val="1F125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86E4D"/>
    <w:multiLevelType w:val="hybridMultilevel"/>
    <w:tmpl w:val="2F04F618"/>
    <w:lvl w:ilvl="0" w:tplc="1B108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A3AC7"/>
    <w:multiLevelType w:val="hybridMultilevel"/>
    <w:tmpl w:val="52260F56"/>
    <w:lvl w:ilvl="0" w:tplc="1C4CF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830F2"/>
    <w:multiLevelType w:val="multilevel"/>
    <w:tmpl w:val="20106230"/>
    <w:lvl w:ilvl="0">
      <w:start w:val="1"/>
      <w:numFmt w:val="upperRoman"/>
      <w:pStyle w:val="AGLevel1"/>
      <w:lvlText w:val="%1."/>
      <w:lvlJc w:val="left"/>
      <w:pPr>
        <w:tabs>
          <w:tab w:val="num" w:pos="720"/>
        </w:tabs>
        <w:ind w:left="720" w:hanging="720"/>
      </w:pPr>
      <w:rPr>
        <w:rFonts w:hint="default"/>
      </w:rPr>
    </w:lvl>
    <w:lvl w:ilvl="1">
      <w:start w:val="1"/>
      <w:numFmt w:val="upperLetter"/>
      <w:pStyle w:val="AGLevel2"/>
      <w:lvlText w:val="%2."/>
      <w:lvlJc w:val="left"/>
      <w:pPr>
        <w:tabs>
          <w:tab w:val="num" w:pos="1440"/>
        </w:tabs>
        <w:ind w:left="1440" w:hanging="720"/>
      </w:pPr>
      <w:rPr>
        <w:rFonts w:hint="default"/>
      </w:rPr>
    </w:lvl>
    <w:lvl w:ilvl="2">
      <w:start w:val="1"/>
      <w:numFmt w:val="decimal"/>
      <w:pStyle w:val="AGLevel3"/>
      <w:lvlText w:val="%3."/>
      <w:lvlJc w:val="left"/>
      <w:pPr>
        <w:tabs>
          <w:tab w:val="num" w:pos="2160"/>
        </w:tabs>
        <w:ind w:left="2160" w:hanging="720"/>
      </w:pPr>
      <w:rPr>
        <w:rFonts w:hint="default"/>
      </w:rPr>
    </w:lvl>
    <w:lvl w:ilvl="3">
      <w:start w:val="1"/>
      <w:numFmt w:val="lowerLetter"/>
      <w:pStyle w:val="AGLevel4"/>
      <w:lvlText w:val="%4."/>
      <w:lvlJc w:val="left"/>
      <w:pPr>
        <w:tabs>
          <w:tab w:val="num" w:pos="2880"/>
        </w:tabs>
        <w:ind w:left="2880" w:hanging="720"/>
      </w:pPr>
      <w:rPr>
        <w:rFonts w:hint="default"/>
      </w:rPr>
    </w:lvl>
    <w:lvl w:ilvl="4">
      <w:start w:val="1"/>
      <w:numFmt w:val="decimal"/>
      <w:pStyle w:val="AGLevel5"/>
      <w:lvlText w:val="%5)"/>
      <w:lvlJc w:val="left"/>
      <w:pPr>
        <w:tabs>
          <w:tab w:val="num" w:pos="3600"/>
        </w:tabs>
        <w:ind w:left="3600" w:hanging="720"/>
      </w:pPr>
      <w:rPr>
        <w:rFonts w:hint="default"/>
      </w:rPr>
    </w:lvl>
    <w:lvl w:ilvl="5">
      <w:start w:val="1"/>
      <w:numFmt w:val="lowerRoman"/>
      <w:pStyle w:val="AGLevel6"/>
      <w:lvlText w:val="(%6)"/>
      <w:lvlJc w:val="left"/>
      <w:pPr>
        <w:tabs>
          <w:tab w:val="num" w:pos="4320"/>
        </w:tabs>
        <w:ind w:left="4320" w:hanging="720"/>
      </w:pPr>
      <w:rPr>
        <w:rFonts w:hint="default"/>
      </w:rPr>
    </w:lvl>
    <w:lvl w:ilvl="6">
      <w:start w:val="1"/>
      <w:numFmt w:val="decimal"/>
      <w:pStyle w:val="AGLevel7"/>
      <w:lvlText w:val="%7."/>
      <w:lvlJc w:val="left"/>
      <w:pPr>
        <w:tabs>
          <w:tab w:val="num" w:pos="5760"/>
        </w:tabs>
        <w:ind w:left="5760" w:hanging="720"/>
      </w:pPr>
      <w:rPr>
        <w:rFonts w:hint="default"/>
      </w:rPr>
    </w:lvl>
    <w:lvl w:ilvl="7">
      <w:start w:val="1"/>
      <w:numFmt w:val="lowerLetter"/>
      <w:pStyle w:val="AGLevel8"/>
      <w:lvlText w:val="%8."/>
      <w:lvlJc w:val="left"/>
      <w:pPr>
        <w:tabs>
          <w:tab w:val="num" w:pos="6480"/>
        </w:tabs>
        <w:ind w:left="6480" w:hanging="720"/>
      </w:pPr>
      <w:rPr>
        <w:rFonts w:hint="default"/>
      </w:rPr>
    </w:lvl>
    <w:lvl w:ilvl="8">
      <w:start w:val="1"/>
      <w:numFmt w:val="lowerRoman"/>
      <w:pStyle w:val="AGLevel9"/>
      <w:lvlText w:val="%9."/>
      <w:lvlJc w:val="left"/>
      <w:pPr>
        <w:tabs>
          <w:tab w:val="num" w:pos="7200"/>
        </w:tabs>
        <w:ind w:left="7200" w:hanging="720"/>
      </w:pPr>
      <w:rPr>
        <w:rFonts w:hint="default"/>
      </w:rPr>
    </w:lvl>
  </w:abstractNum>
  <w:abstractNum w:abstractNumId="14" w15:restartNumberingAfterBreak="0">
    <w:nsid w:val="29D51405"/>
    <w:multiLevelType w:val="hybridMultilevel"/>
    <w:tmpl w:val="169E28CE"/>
    <w:lvl w:ilvl="0" w:tplc="EF60C04A">
      <w:start w:val="1"/>
      <w:numFmt w:val="bullet"/>
      <w:pStyle w:val="OMCOABrief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95C6F"/>
    <w:multiLevelType w:val="hybridMultilevel"/>
    <w:tmpl w:val="0850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F57E8"/>
    <w:multiLevelType w:val="hybridMultilevel"/>
    <w:tmpl w:val="D8445662"/>
    <w:lvl w:ilvl="0" w:tplc="D6C26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E3599"/>
    <w:multiLevelType w:val="hybridMultilevel"/>
    <w:tmpl w:val="5A525F5C"/>
    <w:lvl w:ilvl="0" w:tplc="0B04D88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E3768"/>
    <w:multiLevelType w:val="hybridMultilevel"/>
    <w:tmpl w:val="90741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B4DD8"/>
    <w:multiLevelType w:val="hybridMultilevel"/>
    <w:tmpl w:val="BBD2117A"/>
    <w:lvl w:ilvl="0" w:tplc="D35CFAD4">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1890" w:hanging="180"/>
      </w:pPr>
    </w:lvl>
    <w:lvl w:ilvl="3" w:tplc="04090019">
      <w:start w:val="1"/>
      <w:numFmt w:val="lowerLetter"/>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A2706D3"/>
    <w:multiLevelType w:val="hybridMultilevel"/>
    <w:tmpl w:val="21FC16F8"/>
    <w:lvl w:ilvl="0" w:tplc="D35CFAD4">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1890" w:hanging="180"/>
      </w:pPr>
    </w:lvl>
    <w:lvl w:ilvl="3" w:tplc="04090019">
      <w:start w:val="1"/>
      <w:numFmt w:val="lowerLetter"/>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87E2A6F"/>
    <w:multiLevelType w:val="multilevel"/>
    <w:tmpl w:val="54D877F2"/>
    <w:name w:val="COA List"/>
    <w:lvl w:ilvl="0">
      <w:start w:val="1"/>
      <w:numFmt w:val="upperRoman"/>
      <w:pStyle w:val="OMCOABriefHeadingLevel2"/>
      <w:lvlText w:val="%1."/>
      <w:lvlJc w:val="left"/>
      <w:pPr>
        <w:ind w:left="720" w:hanging="720"/>
      </w:pPr>
      <w:rPr>
        <w:rFonts w:hint="default"/>
        <w:b/>
        <w:i w:val="0"/>
      </w:rPr>
    </w:lvl>
    <w:lvl w:ilvl="1">
      <w:start w:val="1"/>
      <w:numFmt w:val="upperLetter"/>
      <w:pStyle w:val="OMCOABriefHeadingLevel3"/>
      <w:lvlText w:val="%2."/>
      <w:lvlJc w:val="left"/>
      <w:pPr>
        <w:ind w:left="1440" w:hanging="720"/>
      </w:pPr>
      <w:rPr>
        <w:rFonts w:hint="default"/>
        <w:b/>
        <w:i w:val="0"/>
      </w:rPr>
    </w:lvl>
    <w:lvl w:ilvl="2">
      <w:start w:val="1"/>
      <w:numFmt w:val="decimal"/>
      <w:pStyle w:val="OMCOABriefHeadingLevel4"/>
      <w:lvlText w:val="%3."/>
      <w:lvlJc w:val="left"/>
      <w:pPr>
        <w:tabs>
          <w:tab w:val="num" w:pos="1440"/>
        </w:tabs>
        <w:ind w:left="2160" w:hanging="720"/>
      </w:pPr>
      <w:rPr>
        <w:rFonts w:hint="default"/>
        <w:b/>
        <w:i w:val="0"/>
      </w:rPr>
    </w:lvl>
    <w:lvl w:ilvl="3">
      <w:start w:val="1"/>
      <w:numFmt w:val="lowerLetter"/>
      <w:pStyle w:val="OMCOABriefHeadingLevel5"/>
      <w:lvlText w:val="(%4)"/>
      <w:lvlJc w:val="left"/>
      <w:pPr>
        <w:tabs>
          <w:tab w:val="num" w:pos="2160"/>
        </w:tabs>
        <w:ind w:left="2880" w:hanging="720"/>
      </w:pPr>
      <w:rPr>
        <w:rFonts w:hint="default"/>
        <w:b/>
        <w:i w:val="0"/>
      </w:rPr>
    </w:lvl>
    <w:lvl w:ilvl="4">
      <w:start w:val="1"/>
      <w:numFmt w:val="lowerRoman"/>
      <w:pStyle w:val="OMCOABriefHeadingLevel6"/>
      <w:lvlText w:val="%5."/>
      <w:lvlJc w:val="left"/>
      <w:pPr>
        <w:tabs>
          <w:tab w:val="num" w:pos="2880"/>
        </w:tabs>
        <w:ind w:left="3600" w:hanging="72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9F0E2E"/>
    <w:multiLevelType w:val="multilevel"/>
    <w:tmpl w:val="9D22C6F0"/>
    <w:lvl w:ilvl="0">
      <w:start w:val="1"/>
      <w:numFmt w:val="decimal"/>
      <w:pStyle w:val="OMCOABriefIssues"/>
      <w:lvlText w:val="%1."/>
      <w:lvlJc w:val="left"/>
      <w:pPr>
        <w:ind w:left="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595F4BD0"/>
    <w:multiLevelType w:val="hybridMultilevel"/>
    <w:tmpl w:val="3EDE2246"/>
    <w:lvl w:ilvl="0" w:tplc="4CCCA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B0C0B"/>
    <w:multiLevelType w:val="hybridMultilevel"/>
    <w:tmpl w:val="7534B6BC"/>
    <w:lvl w:ilvl="0" w:tplc="DFAA3178">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B3EC1"/>
    <w:multiLevelType w:val="hybridMultilevel"/>
    <w:tmpl w:val="88AA8BB8"/>
    <w:lvl w:ilvl="0" w:tplc="7DE0666A">
      <w:start w:val="1"/>
      <w:numFmt w:val="decimal"/>
      <w:lvlText w:val="(%1)"/>
      <w:lvlJc w:val="left"/>
      <w:pPr>
        <w:ind w:left="750" w:hanging="39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92F7B"/>
    <w:multiLevelType w:val="hybridMultilevel"/>
    <w:tmpl w:val="71D4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F169C"/>
    <w:multiLevelType w:val="hybridMultilevel"/>
    <w:tmpl w:val="14F8B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2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9"/>
  </w:num>
  <w:num w:numId="20">
    <w:abstractNumId w:val="20"/>
  </w:num>
  <w:num w:numId="21">
    <w:abstractNumId w:val="26"/>
  </w:num>
  <w:num w:numId="22">
    <w:abstractNumId w:val="1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18"/>
  </w:num>
  <w:num w:numId="27">
    <w:abstractNumId w:val="24"/>
  </w:num>
  <w:num w:numId="28">
    <w:abstractNumId w:val="17"/>
  </w:num>
  <w:num w:numId="29">
    <w:abstractNumId w:val="25"/>
  </w:num>
  <w:num w:numId="30">
    <w:abstractNumId w:val="16"/>
  </w:num>
  <w:num w:numId="31">
    <w:abstractNumId w:val="15"/>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CE"/>
    <w:rsid w:val="00001E82"/>
    <w:rsid w:val="00002437"/>
    <w:rsid w:val="0000417F"/>
    <w:rsid w:val="000044BB"/>
    <w:rsid w:val="00004BE9"/>
    <w:rsid w:val="00004DD3"/>
    <w:rsid w:val="00005101"/>
    <w:rsid w:val="00007043"/>
    <w:rsid w:val="00010B9B"/>
    <w:rsid w:val="000112BF"/>
    <w:rsid w:val="00014024"/>
    <w:rsid w:val="000153DE"/>
    <w:rsid w:val="00017160"/>
    <w:rsid w:val="000178BF"/>
    <w:rsid w:val="000206DB"/>
    <w:rsid w:val="00027E56"/>
    <w:rsid w:val="000317CB"/>
    <w:rsid w:val="00032BBE"/>
    <w:rsid w:val="0003307C"/>
    <w:rsid w:val="0003351F"/>
    <w:rsid w:val="0003546D"/>
    <w:rsid w:val="000400FC"/>
    <w:rsid w:val="000443CE"/>
    <w:rsid w:val="00045F8C"/>
    <w:rsid w:val="00046AD1"/>
    <w:rsid w:val="00046DB8"/>
    <w:rsid w:val="00047227"/>
    <w:rsid w:val="00047F1F"/>
    <w:rsid w:val="00053C6E"/>
    <w:rsid w:val="00055D74"/>
    <w:rsid w:val="00056E56"/>
    <w:rsid w:val="00057999"/>
    <w:rsid w:val="000600B4"/>
    <w:rsid w:val="00060E85"/>
    <w:rsid w:val="00060FC7"/>
    <w:rsid w:val="00061CCC"/>
    <w:rsid w:val="00062053"/>
    <w:rsid w:val="000627F0"/>
    <w:rsid w:val="00065174"/>
    <w:rsid w:val="000663CD"/>
    <w:rsid w:val="00067028"/>
    <w:rsid w:val="000675D4"/>
    <w:rsid w:val="00067C2A"/>
    <w:rsid w:val="00070C06"/>
    <w:rsid w:val="00071D8D"/>
    <w:rsid w:val="00073328"/>
    <w:rsid w:val="00073F1E"/>
    <w:rsid w:val="000747AF"/>
    <w:rsid w:val="00074F00"/>
    <w:rsid w:val="00075386"/>
    <w:rsid w:val="000802E2"/>
    <w:rsid w:val="000811F0"/>
    <w:rsid w:val="000813F1"/>
    <w:rsid w:val="000825F1"/>
    <w:rsid w:val="00083861"/>
    <w:rsid w:val="000850AB"/>
    <w:rsid w:val="00086CCA"/>
    <w:rsid w:val="00087ACD"/>
    <w:rsid w:val="0009172F"/>
    <w:rsid w:val="00093E54"/>
    <w:rsid w:val="0009503C"/>
    <w:rsid w:val="00095FA5"/>
    <w:rsid w:val="000961B8"/>
    <w:rsid w:val="00097822"/>
    <w:rsid w:val="000A1122"/>
    <w:rsid w:val="000A1A72"/>
    <w:rsid w:val="000A2623"/>
    <w:rsid w:val="000A2B84"/>
    <w:rsid w:val="000A4BBA"/>
    <w:rsid w:val="000A6602"/>
    <w:rsid w:val="000A7D80"/>
    <w:rsid w:val="000B03D8"/>
    <w:rsid w:val="000B39C5"/>
    <w:rsid w:val="000B43D4"/>
    <w:rsid w:val="000B4D7B"/>
    <w:rsid w:val="000B5013"/>
    <w:rsid w:val="000B6A60"/>
    <w:rsid w:val="000C0556"/>
    <w:rsid w:val="000C0CFF"/>
    <w:rsid w:val="000C2FFA"/>
    <w:rsid w:val="000C3383"/>
    <w:rsid w:val="000C5499"/>
    <w:rsid w:val="000C63AC"/>
    <w:rsid w:val="000C6AFB"/>
    <w:rsid w:val="000C7DC9"/>
    <w:rsid w:val="000D1D7D"/>
    <w:rsid w:val="000D271B"/>
    <w:rsid w:val="000D2916"/>
    <w:rsid w:val="000D3489"/>
    <w:rsid w:val="000D3C43"/>
    <w:rsid w:val="000D666B"/>
    <w:rsid w:val="000D68E2"/>
    <w:rsid w:val="000D6A5C"/>
    <w:rsid w:val="000D6F6B"/>
    <w:rsid w:val="000E0999"/>
    <w:rsid w:val="000E4072"/>
    <w:rsid w:val="000E45BF"/>
    <w:rsid w:val="000E4DFF"/>
    <w:rsid w:val="000E55F2"/>
    <w:rsid w:val="000E6848"/>
    <w:rsid w:val="000E7300"/>
    <w:rsid w:val="000F0779"/>
    <w:rsid w:val="000F1D15"/>
    <w:rsid w:val="000F51FB"/>
    <w:rsid w:val="000F65AB"/>
    <w:rsid w:val="000F793A"/>
    <w:rsid w:val="000F7BE3"/>
    <w:rsid w:val="00101010"/>
    <w:rsid w:val="00102094"/>
    <w:rsid w:val="00102A5D"/>
    <w:rsid w:val="001045AB"/>
    <w:rsid w:val="00105848"/>
    <w:rsid w:val="00106637"/>
    <w:rsid w:val="00111847"/>
    <w:rsid w:val="001127A1"/>
    <w:rsid w:val="0011583C"/>
    <w:rsid w:val="00120938"/>
    <w:rsid w:val="00121EC7"/>
    <w:rsid w:val="00123B4B"/>
    <w:rsid w:val="00124227"/>
    <w:rsid w:val="00125C5A"/>
    <w:rsid w:val="001266B3"/>
    <w:rsid w:val="00127D05"/>
    <w:rsid w:val="00131672"/>
    <w:rsid w:val="00133187"/>
    <w:rsid w:val="00141B01"/>
    <w:rsid w:val="001438EA"/>
    <w:rsid w:val="00144195"/>
    <w:rsid w:val="00150A73"/>
    <w:rsid w:val="00153541"/>
    <w:rsid w:val="00155EF3"/>
    <w:rsid w:val="001574BB"/>
    <w:rsid w:val="001575B0"/>
    <w:rsid w:val="001600C2"/>
    <w:rsid w:val="00160BDE"/>
    <w:rsid w:val="001620CD"/>
    <w:rsid w:val="00162AF7"/>
    <w:rsid w:val="00165BAC"/>
    <w:rsid w:val="00165CDD"/>
    <w:rsid w:val="00173065"/>
    <w:rsid w:val="00173253"/>
    <w:rsid w:val="00175762"/>
    <w:rsid w:val="00177095"/>
    <w:rsid w:val="00177CE2"/>
    <w:rsid w:val="00177E6A"/>
    <w:rsid w:val="001802FE"/>
    <w:rsid w:val="00181C07"/>
    <w:rsid w:val="00183EE2"/>
    <w:rsid w:val="0018468E"/>
    <w:rsid w:val="00190504"/>
    <w:rsid w:val="001907F1"/>
    <w:rsid w:val="00191C19"/>
    <w:rsid w:val="00193049"/>
    <w:rsid w:val="0019496D"/>
    <w:rsid w:val="00195AAC"/>
    <w:rsid w:val="00196D45"/>
    <w:rsid w:val="001A1361"/>
    <w:rsid w:val="001A13F4"/>
    <w:rsid w:val="001A16E3"/>
    <w:rsid w:val="001A1AB4"/>
    <w:rsid w:val="001A36B9"/>
    <w:rsid w:val="001A42CF"/>
    <w:rsid w:val="001A4800"/>
    <w:rsid w:val="001A67E0"/>
    <w:rsid w:val="001A7E7D"/>
    <w:rsid w:val="001B146A"/>
    <w:rsid w:val="001B2FBE"/>
    <w:rsid w:val="001B36B2"/>
    <w:rsid w:val="001B4639"/>
    <w:rsid w:val="001B4F9C"/>
    <w:rsid w:val="001B5BCA"/>
    <w:rsid w:val="001B5D36"/>
    <w:rsid w:val="001C0649"/>
    <w:rsid w:val="001C0EF3"/>
    <w:rsid w:val="001C2885"/>
    <w:rsid w:val="001C72F0"/>
    <w:rsid w:val="001D29C5"/>
    <w:rsid w:val="001D2BF2"/>
    <w:rsid w:val="001D3A73"/>
    <w:rsid w:val="001D3C8E"/>
    <w:rsid w:val="001D3E9E"/>
    <w:rsid w:val="001D3FB3"/>
    <w:rsid w:val="001D4E53"/>
    <w:rsid w:val="001D6956"/>
    <w:rsid w:val="001D740A"/>
    <w:rsid w:val="001E14B9"/>
    <w:rsid w:val="001E5571"/>
    <w:rsid w:val="001E69E1"/>
    <w:rsid w:val="001E75D7"/>
    <w:rsid w:val="001F3325"/>
    <w:rsid w:val="001F6CCB"/>
    <w:rsid w:val="001F6CF5"/>
    <w:rsid w:val="001F7B57"/>
    <w:rsid w:val="00200A90"/>
    <w:rsid w:val="00202B65"/>
    <w:rsid w:val="00202F8E"/>
    <w:rsid w:val="00204393"/>
    <w:rsid w:val="0020475A"/>
    <w:rsid w:val="00204BD0"/>
    <w:rsid w:val="00206311"/>
    <w:rsid w:val="002073F8"/>
    <w:rsid w:val="00210F85"/>
    <w:rsid w:val="00211676"/>
    <w:rsid w:val="00213313"/>
    <w:rsid w:val="00213FDA"/>
    <w:rsid w:val="00214296"/>
    <w:rsid w:val="002143FD"/>
    <w:rsid w:val="00217FA0"/>
    <w:rsid w:val="002221F4"/>
    <w:rsid w:val="00223659"/>
    <w:rsid w:val="002243D3"/>
    <w:rsid w:val="00225FEF"/>
    <w:rsid w:val="0022601B"/>
    <w:rsid w:val="00226896"/>
    <w:rsid w:val="00226C9B"/>
    <w:rsid w:val="002279AB"/>
    <w:rsid w:val="002316B5"/>
    <w:rsid w:val="00237F22"/>
    <w:rsid w:val="00242428"/>
    <w:rsid w:val="0024264C"/>
    <w:rsid w:val="002445E9"/>
    <w:rsid w:val="002458C7"/>
    <w:rsid w:val="00246463"/>
    <w:rsid w:val="00251229"/>
    <w:rsid w:val="002526C0"/>
    <w:rsid w:val="00253866"/>
    <w:rsid w:val="00256BE5"/>
    <w:rsid w:val="0025793E"/>
    <w:rsid w:val="0026031D"/>
    <w:rsid w:val="002615F3"/>
    <w:rsid w:val="002618E3"/>
    <w:rsid w:val="00262330"/>
    <w:rsid w:val="002627C3"/>
    <w:rsid w:val="00263596"/>
    <w:rsid w:val="00264417"/>
    <w:rsid w:val="0026467B"/>
    <w:rsid w:val="00264D05"/>
    <w:rsid w:val="00266446"/>
    <w:rsid w:val="00266879"/>
    <w:rsid w:val="00266CF8"/>
    <w:rsid w:val="00272A6B"/>
    <w:rsid w:val="00272A76"/>
    <w:rsid w:val="00272BBA"/>
    <w:rsid w:val="00273709"/>
    <w:rsid w:val="0027686E"/>
    <w:rsid w:val="00280FA6"/>
    <w:rsid w:val="00281C9D"/>
    <w:rsid w:val="00281FD5"/>
    <w:rsid w:val="002842B2"/>
    <w:rsid w:val="002845A0"/>
    <w:rsid w:val="00284788"/>
    <w:rsid w:val="002857B9"/>
    <w:rsid w:val="00286C99"/>
    <w:rsid w:val="00287408"/>
    <w:rsid w:val="00287A4A"/>
    <w:rsid w:val="00287CBE"/>
    <w:rsid w:val="00290CE5"/>
    <w:rsid w:val="00291404"/>
    <w:rsid w:val="002915F0"/>
    <w:rsid w:val="00292F28"/>
    <w:rsid w:val="002930E5"/>
    <w:rsid w:val="00294CC0"/>
    <w:rsid w:val="002958BE"/>
    <w:rsid w:val="002A0E7A"/>
    <w:rsid w:val="002A1417"/>
    <w:rsid w:val="002A1427"/>
    <w:rsid w:val="002A2640"/>
    <w:rsid w:val="002A68D5"/>
    <w:rsid w:val="002A6D00"/>
    <w:rsid w:val="002B008A"/>
    <w:rsid w:val="002B4332"/>
    <w:rsid w:val="002B4B6A"/>
    <w:rsid w:val="002B5060"/>
    <w:rsid w:val="002B5F0F"/>
    <w:rsid w:val="002C3439"/>
    <w:rsid w:val="002C5537"/>
    <w:rsid w:val="002C6A56"/>
    <w:rsid w:val="002C72F1"/>
    <w:rsid w:val="002D3DC8"/>
    <w:rsid w:val="002D3E17"/>
    <w:rsid w:val="002D4005"/>
    <w:rsid w:val="002D4347"/>
    <w:rsid w:val="002D4A7B"/>
    <w:rsid w:val="002D5BD8"/>
    <w:rsid w:val="002D7189"/>
    <w:rsid w:val="002E175E"/>
    <w:rsid w:val="002E1C1F"/>
    <w:rsid w:val="002E1E42"/>
    <w:rsid w:val="002E2335"/>
    <w:rsid w:val="002E2BC9"/>
    <w:rsid w:val="002E2F6C"/>
    <w:rsid w:val="002E30CE"/>
    <w:rsid w:val="002E37F6"/>
    <w:rsid w:val="002E4009"/>
    <w:rsid w:val="002E439B"/>
    <w:rsid w:val="002E4BA6"/>
    <w:rsid w:val="002E6CE6"/>
    <w:rsid w:val="002F122C"/>
    <w:rsid w:val="002F357F"/>
    <w:rsid w:val="002F3B36"/>
    <w:rsid w:val="002F488C"/>
    <w:rsid w:val="002F4E60"/>
    <w:rsid w:val="002F69DC"/>
    <w:rsid w:val="00300566"/>
    <w:rsid w:val="0030356A"/>
    <w:rsid w:val="003059A2"/>
    <w:rsid w:val="00310C4C"/>
    <w:rsid w:val="00310E78"/>
    <w:rsid w:val="00312DB4"/>
    <w:rsid w:val="00313564"/>
    <w:rsid w:val="00313A46"/>
    <w:rsid w:val="00314431"/>
    <w:rsid w:val="003155AD"/>
    <w:rsid w:val="003156FB"/>
    <w:rsid w:val="00320AD1"/>
    <w:rsid w:val="00320B0F"/>
    <w:rsid w:val="00327007"/>
    <w:rsid w:val="003301D0"/>
    <w:rsid w:val="00331084"/>
    <w:rsid w:val="00332C26"/>
    <w:rsid w:val="00333656"/>
    <w:rsid w:val="003344A1"/>
    <w:rsid w:val="00335CF1"/>
    <w:rsid w:val="00336393"/>
    <w:rsid w:val="0034434B"/>
    <w:rsid w:val="003458E4"/>
    <w:rsid w:val="003461BD"/>
    <w:rsid w:val="0034782F"/>
    <w:rsid w:val="00352D36"/>
    <w:rsid w:val="00355FAF"/>
    <w:rsid w:val="003565EC"/>
    <w:rsid w:val="00357614"/>
    <w:rsid w:val="003603D3"/>
    <w:rsid w:val="00360B25"/>
    <w:rsid w:val="00362C89"/>
    <w:rsid w:val="00362FA3"/>
    <w:rsid w:val="00363441"/>
    <w:rsid w:val="003641D9"/>
    <w:rsid w:val="0036540B"/>
    <w:rsid w:val="00365D81"/>
    <w:rsid w:val="003703FF"/>
    <w:rsid w:val="00370A4C"/>
    <w:rsid w:val="00370C99"/>
    <w:rsid w:val="003733D2"/>
    <w:rsid w:val="00374514"/>
    <w:rsid w:val="00374848"/>
    <w:rsid w:val="00376123"/>
    <w:rsid w:val="00377203"/>
    <w:rsid w:val="00377302"/>
    <w:rsid w:val="00383011"/>
    <w:rsid w:val="00384A3F"/>
    <w:rsid w:val="0038500E"/>
    <w:rsid w:val="00386AC1"/>
    <w:rsid w:val="00391BC7"/>
    <w:rsid w:val="003922ED"/>
    <w:rsid w:val="00397B3E"/>
    <w:rsid w:val="003A00E7"/>
    <w:rsid w:val="003A19BF"/>
    <w:rsid w:val="003A1AD6"/>
    <w:rsid w:val="003A1E04"/>
    <w:rsid w:val="003A39B7"/>
    <w:rsid w:val="003A496F"/>
    <w:rsid w:val="003A6C04"/>
    <w:rsid w:val="003A7FE1"/>
    <w:rsid w:val="003B00C0"/>
    <w:rsid w:val="003B0112"/>
    <w:rsid w:val="003B05DC"/>
    <w:rsid w:val="003B1BA4"/>
    <w:rsid w:val="003B42A3"/>
    <w:rsid w:val="003B4690"/>
    <w:rsid w:val="003B5754"/>
    <w:rsid w:val="003B5AC7"/>
    <w:rsid w:val="003B7172"/>
    <w:rsid w:val="003C20DD"/>
    <w:rsid w:val="003C334D"/>
    <w:rsid w:val="003C5250"/>
    <w:rsid w:val="003D1BE8"/>
    <w:rsid w:val="003D25C9"/>
    <w:rsid w:val="003D268A"/>
    <w:rsid w:val="003D4BCC"/>
    <w:rsid w:val="003D4D5E"/>
    <w:rsid w:val="003D4D7B"/>
    <w:rsid w:val="003D733A"/>
    <w:rsid w:val="003E090A"/>
    <w:rsid w:val="003E1314"/>
    <w:rsid w:val="003E1389"/>
    <w:rsid w:val="003E2002"/>
    <w:rsid w:val="003E20CE"/>
    <w:rsid w:val="003E3575"/>
    <w:rsid w:val="003E41F6"/>
    <w:rsid w:val="003E449B"/>
    <w:rsid w:val="003E4613"/>
    <w:rsid w:val="003E4CF8"/>
    <w:rsid w:val="003E59D5"/>
    <w:rsid w:val="003E679D"/>
    <w:rsid w:val="003E6C80"/>
    <w:rsid w:val="003E6EBE"/>
    <w:rsid w:val="003E745E"/>
    <w:rsid w:val="003F003A"/>
    <w:rsid w:val="003F2170"/>
    <w:rsid w:val="003F3DA5"/>
    <w:rsid w:val="003F77B5"/>
    <w:rsid w:val="004015C8"/>
    <w:rsid w:val="00401637"/>
    <w:rsid w:val="004018F1"/>
    <w:rsid w:val="0040355D"/>
    <w:rsid w:val="00403D7C"/>
    <w:rsid w:val="00403E13"/>
    <w:rsid w:val="00405951"/>
    <w:rsid w:val="00405BE8"/>
    <w:rsid w:val="00407272"/>
    <w:rsid w:val="00411EE0"/>
    <w:rsid w:val="004139D9"/>
    <w:rsid w:val="004145FF"/>
    <w:rsid w:val="004173F2"/>
    <w:rsid w:val="00420DD1"/>
    <w:rsid w:val="00422D40"/>
    <w:rsid w:val="00423E61"/>
    <w:rsid w:val="00425900"/>
    <w:rsid w:val="00425F9F"/>
    <w:rsid w:val="00427833"/>
    <w:rsid w:val="00427C70"/>
    <w:rsid w:val="00431204"/>
    <w:rsid w:val="00431769"/>
    <w:rsid w:val="00431A25"/>
    <w:rsid w:val="00433273"/>
    <w:rsid w:val="0043403C"/>
    <w:rsid w:val="00434301"/>
    <w:rsid w:val="00435862"/>
    <w:rsid w:val="0044139C"/>
    <w:rsid w:val="00441580"/>
    <w:rsid w:val="00441752"/>
    <w:rsid w:val="00443269"/>
    <w:rsid w:val="004445DE"/>
    <w:rsid w:val="00444F60"/>
    <w:rsid w:val="004459D4"/>
    <w:rsid w:val="004463CA"/>
    <w:rsid w:val="004463FC"/>
    <w:rsid w:val="00446A69"/>
    <w:rsid w:val="00446D48"/>
    <w:rsid w:val="00446D52"/>
    <w:rsid w:val="00450A50"/>
    <w:rsid w:val="00452248"/>
    <w:rsid w:val="00452648"/>
    <w:rsid w:val="00453C5C"/>
    <w:rsid w:val="00453E11"/>
    <w:rsid w:val="00454F04"/>
    <w:rsid w:val="00457251"/>
    <w:rsid w:val="00457584"/>
    <w:rsid w:val="004577AD"/>
    <w:rsid w:val="004577B3"/>
    <w:rsid w:val="00457E08"/>
    <w:rsid w:val="00460935"/>
    <w:rsid w:val="00460D40"/>
    <w:rsid w:val="00461FC9"/>
    <w:rsid w:val="00462D6C"/>
    <w:rsid w:val="00462F87"/>
    <w:rsid w:val="00466790"/>
    <w:rsid w:val="00466F30"/>
    <w:rsid w:val="00471C8F"/>
    <w:rsid w:val="00471F74"/>
    <w:rsid w:val="00472400"/>
    <w:rsid w:val="004726E4"/>
    <w:rsid w:val="0047309F"/>
    <w:rsid w:val="00473EB3"/>
    <w:rsid w:val="00476EDB"/>
    <w:rsid w:val="00480CEE"/>
    <w:rsid w:val="004819E9"/>
    <w:rsid w:val="004836D9"/>
    <w:rsid w:val="00484340"/>
    <w:rsid w:val="00485C11"/>
    <w:rsid w:val="00485EC0"/>
    <w:rsid w:val="004868F9"/>
    <w:rsid w:val="004923B2"/>
    <w:rsid w:val="00495202"/>
    <w:rsid w:val="00495C35"/>
    <w:rsid w:val="004A0978"/>
    <w:rsid w:val="004A4B6A"/>
    <w:rsid w:val="004A6382"/>
    <w:rsid w:val="004A74CF"/>
    <w:rsid w:val="004B0ADE"/>
    <w:rsid w:val="004B18CA"/>
    <w:rsid w:val="004B26B5"/>
    <w:rsid w:val="004B2DFF"/>
    <w:rsid w:val="004B351E"/>
    <w:rsid w:val="004B3E9B"/>
    <w:rsid w:val="004B787D"/>
    <w:rsid w:val="004C0725"/>
    <w:rsid w:val="004C19A4"/>
    <w:rsid w:val="004C2171"/>
    <w:rsid w:val="004C35F0"/>
    <w:rsid w:val="004C3645"/>
    <w:rsid w:val="004C3FEB"/>
    <w:rsid w:val="004C5861"/>
    <w:rsid w:val="004C5D4B"/>
    <w:rsid w:val="004D1B01"/>
    <w:rsid w:val="004D48CF"/>
    <w:rsid w:val="004D5749"/>
    <w:rsid w:val="004D6D92"/>
    <w:rsid w:val="004D7A8F"/>
    <w:rsid w:val="004E02CA"/>
    <w:rsid w:val="004E0CC4"/>
    <w:rsid w:val="004E131B"/>
    <w:rsid w:val="004E4307"/>
    <w:rsid w:val="004E5D40"/>
    <w:rsid w:val="004E68AB"/>
    <w:rsid w:val="004E71FE"/>
    <w:rsid w:val="004F0076"/>
    <w:rsid w:val="004F1325"/>
    <w:rsid w:val="004F48D2"/>
    <w:rsid w:val="004F48F9"/>
    <w:rsid w:val="004F5867"/>
    <w:rsid w:val="004F60A5"/>
    <w:rsid w:val="00500136"/>
    <w:rsid w:val="00502371"/>
    <w:rsid w:val="00502623"/>
    <w:rsid w:val="00504C0A"/>
    <w:rsid w:val="00504FDC"/>
    <w:rsid w:val="005076CE"/>
    <w:rsid w:val="005079FA"/>
    <w:rsid w:val="00510851"/>
    <w:rsid w:val="00511AC4"/>
    <w:rsid w:val="0051354C"/>
    <w:rsid w:val="00514747"/>
    <w:rsid w:val="00514B09"/>
    <w:rsid w:val="00520B1C"/>
    <w:rsid w:val="005222FE"/>
    <w:rsid w:val="00523701"/>
    <w:rsid w:val="00523FF8"/>
    <w:rsid w:val="0052490C"/>
    <w:rsid w:val="0053080E"/>
    <w:rsid w:val="00531630"/>
    <w:rsid w:val="00532045"/>
    <w:rsid w:val="00532174"/>
    <w:rsid w:val="0053449A"/>
    <w:rsid w:val="00535A4F"/>
    <w:rsid w:val="00536AB1"/>
    <w:rsid w:val="005374E1"/>
    <w:rsid w:val="005403B7"/>
    <w:rsid w:val="00540724"/>
    <w:rsid w:val="00540A8C"/>
    <w:rsid w:val="00543F1A"/>
    <w:rsid w:val="00545182"/>
    <w:rsid w:val="00545ADB"/>
    <w:rsid w:val="00547C73"/>
    <w:rsid w:val="005503B0"/>
    <w:rsid w:val="005524DB"/>
    <w:rsid w:val="00553152"/>
    <w:rsid w:val="0055327D"/>
    <w:rsid w:val="005539EA"/>
    <w:rsid w:val="005551C1"/>
    <w:rsid w:val="0055559B"/>
    <w:rsid w:val="0055725F"/>
    <w:rsid w:val="005609C2"/>
    <w:rsid w:val="00561297"/>
    <w:rsid w:val="0056688A"/>
    <w:rsid w:val="00567DDB"/>
    <w:rsid w:val="00570118"/>
    <w:rsid w:val="00570C10"/>
    <w:rsid w:val="00570FC4"/>
    <w:rsid w:val="00571227"/>
    <w:rsid w:val="00572277"/>
    <w:rsid w:val="005731E5"/>
    <w:rsid w:val="005735D4"/>
    <w:rsid w:val="00573816"/>
    <w:rsid w:val="00573D2F"/>
    <w:rsid w:val="005764E6"/>
    <w:rsid w:val="00580DE1"/>
    <w:rsid w:val="005815AD"/>
    <w:rsid w:val="00582997"/>
    <w:rsid w:val="005836FE"/>
    <w:rsid w:val="0058562E"/>
    <w:rsid w:val="00587293"/>
    <w:rsid w:val="00587971"/>
    <w:rsid w:val="005909B2"/>
    <w:rsid w:val="00593327"/>
    <w:rsid w:val="00596603"/>
    <w:rsid w:val="005A08E1"/>
    <w:rsid w:val="005A1ACA"/>
    <w:rsid w:val="005A2063"/>
    <w:rsid w:val="005A21A9"/>
    <w:rsid w:val="005A2E96"/>
    <w:rsid w:val="005A392A"/>
    <w:rsid w:val="005A4063"/>
    <w:rsid w:val="005A5EB4"/>
    <w:rsid w:val="005B01EC"/>
    <w:rsid w:val="005B1941"/>
    <w:rsid w:val="005B1C65"/>
    <w:rsid w:val="005B3F16"/>
    <w:rsid w:val="005B48F4"/>
    <w:rsid w:val="005B4C0B"/>
    <w:rsid w:val="005B4D35"/>
    <w:rsid w:val="005B7235"/>
    <w:rsid w:val="005C27FD"/>
    <w:rsid w:val="005C37C0"/>
    <w:rsid w:val="005C3CC7"/>
    <w:rsid w:val="005C5FE1"/>
    <w:rsid w:val="005C6B57"/>
    <w:rsid w:val="005C715D"/>
    <w:rsid w:val="005D143D"/>
    <w:rsid w:val="005D4760"/>
    <w:rsid w:val="005D58A7"/>
    <w:rsid w:val="005D66D2"/>
    <w:rsid w:val="005D730D"/>
    <w:rsid w:val="005D75D6"/>
    <w:rsid w:val="005E0298"/>
    <w:rsid w:val="005E0653"/>
    <w:rsid w:val="005E393F"/>
    <w:rsid w:val="005E6BBA"/>
    <w:rsid w:val="005F03E7"/>
    <w:rsid w:val="005F04CE"/>
    <w:rsid w:val="005F07EB"/>
    <w:rsid w:val="005F27B6"/>
    <w:rsid w:val="005F3401"/>
    <w:rsid w:val="005F43DB"/>
    <w:rsid w:val="005F51B7"/>
    <w:rsid w:val="005F546D"/>
    <w:rsid w:val="005F721C"/>
    <w:rsid w:val="005F7520"/>
    <w:rsid w:val="006067E5"/>
    <w:rsid w:val="006071B6"/>
    <w:rsid w:val="00607AB4"/>
    <w:rsid w:val="00612FD6"/>
    <w:rsid w:val="00613EEE"/>
    <w:rsid w:val="00615375"/>
    <w:rsid w:val="00620B90"/>
    <w:rsid w:val="006221D0"/>
    <w:rsid w:val="0062355A"/>
    <w:rsid w:val="00623C15"/>
    <w:rsid w:val="00624F06"/>
    <w:rsid w:val="00625F3C"/>
    <w:rsid w:val="00627DE6"/>
    <w:rsid w:val="00631330"/>
    <w:rsid w:val="00631F4E"/>
    <w:rsid w:val="00632373"/>
    <w:rsid w:val="0063255C"/>
    <w:rsid w:val="006347B7"/>
    <w:rsid w:val="00636AA1"/>
    <w:rsid w:val="00644413"/>
    <w:rsid w:val="006473CC"/>
    <w:rsid w:val="00652069"/>
    <w:rsid w:val="00653565"/>
    <w:rsid w:val="00653D99"/>
    <w:rsid w:val="00654493"/>
    <w:rsid w:val="006546B9"/>
    <w:rsid w:val="006559B7"/>
    <w:rsid w:val="00660DBC"/>
    <w:rsid w:val="00661C7F"/>
    <w:rsid w:val="00663FF3"/>
    <w:rsid w:val="006658CB"/>
    <w:rsid w:val="00666B74"/>
    <w:rsid w:val="00667F5C"/>
    <w:rsid w:val="0067390F"/>
    <w:rsid w:val="006742D7"/>
    <w:rsid w:val="0067439C"/>
    <w:rsid w:val="0067450E"/>
    <w:rsid w:val="0067462A"/>
    <w:rsid w:val="00674EB9"/>
    <w:rsid w:val="00676546"/>
    <w:rsid w:val="00677273"/>
    <w:rsid w:val="0068010A"/>
    <w:rsid w:val="00680B61"/>
    <w:rsid w:val="00680FB6"/>
    <w:rsid w:val="006812B7"/>
    <w:rsid w:val="0068161E"/>
    <w:rsid w:val="00681E3F"/>
    <w:rsid w:val="006822AD"/>
    <w:rsid w:val="00682B88"/>
    <w:rsid w:val="00683ADC"/>
    <w:rsid w:val="00683CA1"/>
    <w:rsid w:val="00685402"/>
    <w:rsid w:val="00685786"/>
    <w:rsid w:val="006874D9"/>
    <w:rsid w:val="00691B1B"/>
    <w:rsid w:val="00692867"/>
    <w:rsid w:val="00692970"/>
    <w:rsid w:val="00692F4B"/>
    <w:rsid w:val="006953FB"/>
    <w:rsid w:val="00695C6A"/>
    <w:rsid w:val="00696BAF"/>
    <w:rsid w:val="006A186F"/>
    <w:rsid w:val="006A1F93"/>
    <w:rsid w:val="006A2860"/>
    <w:rsid w:val="006A3878"/>
    <w:rsid w:val="006A39EA"/>
    <w:rsid w:val="006A3F49"/>
    <w:rsid w:val="006A429B"/>
    <w:rsid w:val="006B070D"/>
    <w:rsid w:val="006B2144"/>
    <w:rsid w:val="006B2F83"/>
    <w:rsid w:val="006B4C04"/>
    <w:rsid w:val="006B7E17"/>
    <w:rsid w:val="006C0969"/>
    <w:rsid w:val="006C0AEA"/>
    <w:rsid w:val="006C1FD8"/>
    <w:rsid w:val="006C3AF3"/>
    <w:rsid w:val="006D054A"/>
    <w:rsid w:val="006D198B"/>
    <w:rsid w:val="006D3928"/>
    <w:rsid w:val="006D5F10"/>
    <w:rsid w:val="006D6B86"/>
    <w:rsid w:val="006D7CFF"/>
    <w:rsid w:val="006D7F0C"/>
    <w:rsid w:val="006E007B"/>
    <w:rsid w:val="006E5619"/>
    <w:rsid w:val="006E5CAD"/>
    <w:rsid w:val="006E5F04"/>
    <w:rsid w:val="006E66C8"/>
    <w:rsid w:val="006E6D45"/>
    <w:rsid w:val="006E7FDA"/>
    <w:rsid w:val="006F00FC"/>
    <w:rsid w:val="006F071D"/>
    <w:rsid w:val="006F1355"/>
    <w:rsid w:val="006F2A11"/>
    <w:rsid w:val="006F3EA4"/>
    <w:rsid w:val="006F5B73"/>
    <w:rsid w:val="006F6C45"/>
    <w:rsid w:val="006F748D"/>
    <w:rsid w:val="00700999"/>
    <w:rsid w:val="00701AEB"/>
    <w:rsid w:val="00701BA7"/>
    <w:rsid w:val="00702334"/>
    <w:rsid w:val="00702F06"/>
    <w:rsid w:val="00704732"/>
    <w:rsid w:val="00705155"/>
    <w:rsid w:val="0070533C"/>
    <w:rsid w:val="0070676B"/>
    <w:rsid w:val="00706C52"/>
    <w:rsid w:val="007114E7"/>
    <w:rsid w:val="00713F07"/>
    <w:rsid w:val="007145FB"/>
    <w:rsid w:val="00714793"/>
    <w:rsid w:val="007148BB"/>
    <w:rsid w:val="00715778"/>
    <w:rsid w:val="0071578A"/>
    <w:rsid w:val="0071771E"/>
    <w:rsid w:val="00720095"/>
    <w:rsid w:val="00722890"/>
    <w:rsid w:val="007231A0"/>
    <w:rsid w:val="00723A5F"/>
    <w:rsid w:val="00723D59"/>
    <w:rsid w:val="00723DA3"/>
    <w:rsid w:val="007241D5"/>
    <w:rsid w:val="007262E1"/>
    <w:rsid w:val="007271AD"/>
    <w:rsid w:val="00727533"/>
    <w:rsid w:val="007301E7"/>
    <w:rsid w:val="0073415C"/>
    <w:rsid w:val="007341D1"/>
    <w:rsid w:val="007342B0"/>
    <w:rsid w:val="0073534E"/>
    <w:rsid w:val="0073648A"/>
    <w:rsid w:val="00736C1C"/>
    <w:rsid w:val="0073770B"/>
    <w:rsid w:val="007422E3"/>
    <w:rsid w:val="007434E6"/>
    <w:rsid w:val="0074383D"/>
    <w:rsid w:val="007445C2"/>
    <w:rsid w:val="007459C9"/>
    <w:rsid w:val="00746E90"/>
    <w:rsid w:val="007504DE"/>
    <w:rsid w:val="00750E62"/>
    <w:rsid w:val="007512FD"/>
    <w:rsid w:val="007538FB"/>
    <w:rsid w:val="007553BA"/>
    <w:rsid w:val="00757949"/>
    <w:rsid w:val="0076014A"/>
    <w:rsid w:val="00760FBB"/>
    <w:rsid w:val="007628FF"/>
    <w:rsid w:val="0076595F"/>
    <w:rsid w:val="0076666E"/>
    <w:rsid w:val="00770671"/>
    <w:rsid w:val="00771746"/>
    <w:rsid w:val="00772B51"/>
    <w:rsid w:val="00775311"/>
    <w:rsid w:val="00775DDC"/>
    <w:rsid w:val="0077602B"/>
    <w:rsid w:val="00776D86"/>
    <w:rsid w:val="00780617"/>
    <w:rsid w:val="00781299"/>
    <w:rsid w:val="00781C84"/>
    <w:rsid w:val="00784557"/>
    <w:rsid w:val="00784E05"/>
    <w:rsid w:val="007854CE"/>
    <w:rsid w:val="0078657A"/>
    <w:rsid w:val="0078723F"/>
    <w:rsid w:val="00787770"/>
    <w:rsid w:val="00790DDD"/>
    <w:rsid w:val="007923C8"/>
    <w:rsid w:val="00792515"/>
    <w:rsid w:val="00793619"/>
    <w:rsid w:val="00795F98"/>
    <w:rsid w:val="007A1D5B"/>
    <w:rsid w:val="007A666F"/>
    <w:rsid w:val="007B02BA"/>
    <w:rsid w:val="007B0C2C"/>
    <w:rsid w:val="007B10E6"/>
    <w:rsid w:val="007B2015"/>
    <w:rsid w:val="007B32B4"/>
    <w:rsid w:val="007B7DEA"/>
    <w:rsid w:val="007C1807"/>
    <w:rsid w:val="007C4C17"/>
    <w:rsid w:val="007C6235"/>
    <w:rsid w:val="007C68B3"/>
    <w:rsid w:val="007C68FB"/>
    <w:rsid w:val="007C6EA7"/>
    <w:rsid w:val="007C74F2"/>
    <w:rsid w:val="007D098D"/>
    <w:rsid w:val="007D0B3A"/>
    <w:rsid w:val="007D101E"/>
    <w:rsid w:val="007D15E9"/>
    <w:rsid w:val="007D4848"/>
    <w:rsid w:val="007D52B2"/>
    <w:rsid w:val="007E277D"/>
    <w:rsid w:val="007E4CE8"/>
    <w:rsid w:val="007E5CF1"/>
    <w:rsid w:val="007E6172"/>
    <w:rsid w:val="007F168A"/>
    <w:rsid w:val="007F3E1B"/>
    <w:rsid w:val="007F47F6"/>
    <w:rsid w:val="007F6310"/>
    <w:rsid w:val="007F6AB5"/>
    <w:rsid w:val="007F7480"/>
    <w:rsid w:val="00800401"/>
    <w:rsid w:val="00803936"/>
    <w:rsid w:val="00804177"/>
    <w:rsid w:val="0080477E"/>
    <w:rsid w:val="00804FE9"/>
    <w:rsid w:val="00805431"/>
    <w:rsid w:val="00807750"/>
    <w:rsid w:val="008106A6"/>
    <w:rsid w:val="008131F8"/>
    <w:rsid w:val="008143B8"/>
    <w:rsid w:val="00815126"/>
    <w:rsid w:val="00816B5F"/>
    <w:rsid w:val="00822AE2"/>
    <w:rsid w:val="00824DEE"/>
    <w:rsid w:val="00824F5E"/>
    <w:rsid w:val="0082624D"/>
    <w:rsid w:val="0082736B"/>
    <w:rsid w:val="008276A4"/>
    <w:rsid w:val="00831CE2"/>
    <w:rsid w:val="008325A9"/>
    <w:rsid w:val="0083363A"/>
    <w:rsid w:val="00833D45"/>
    <w:rsid w:val="00835FC0"/>
    <w:rsid w:val="00836220"/>
    <w:rsid w:val="008372D1"/>
    <w:rsid w:val="00841835"/>
    <w:rsid w:val="00841953"/>
    <w:rsid w:val="00841AF5"/>
    <w:rsid w:val="008429F4"/>
    <w:rsid w:val="008434E6"/>
    <w:rsid w:val="008439AA"/>
    <w:rsid w:val="0084491D"/>
    <w:rsid w:val="00845E58"/>
    <w:rsid w:val="008474A3"/>
    <w:rsid w:val="0085014C"/>
    <w:rsid w:val="00851F17"/>
    <w:rsid w:val="00853226"/>
    <w:rsid w:val="008539FD"/>
    <w:rsid w:val="00853F52"/>
    <w:rsid w:val="00855764"/>
    <w:rsid w:val="00855B96"/>
    <w:rsid w:val="008575F4"/>
    <w:rsid w:val="008623FD"/>
    <w:rsid w:val="0086383F"/>
    <w:rsid w:val="00863BB0"/>
    <w:rsid w:val="008644E1"/>
    <w:rsid w:val="00867061"/>
    <w:rsid w:val="00870A32"/>
    <w:rsid w:val="00872E67"/>
    <w:rsid w:val="00873197"/>
    <w:rsid w:val="00873A0A"/>
    <w:rsid w:val="00874E74"/>
    <w:rsid w:val="0087581F"/>
    <w:rsid w:val="00876B45"/>
    <w:rsid w:val="00877198"/>
    <w:rsid w:val="00880A49"/>
    <w:rsid w:val="00880F5A"/>
    <w:rsid w:val="008827DF"/>
    <w:rsid w:val="00883FA7"/>
    <w:rsid w:val="00885534"/>
    <w:rsid w:val="0088742F"/>
    <w:rsid w:val="008875B7"/>
    <w:rsid w:val="00890F98"/>
    <w:rsid w:val="008914E8"/>
    <w:rsid w:val="00893193"/>
    <w:rsid w:val="00895F4A"/>
    <w:rsid w:val="008A1047"/>
    <w:rsid w:val="008A1D95"/>
    <w:rsid w:val="008A2A80"/>
    <w:rsid w:val="008A308C"/>
    <w:rsid w:val="008A3E00"/>
    <w:rsid w:val="008A3EAB"/>
    <w:rsid w:val="008B2CE2"/>
    <w:rsid w:val="008B388B"/>
    <w:rsid w:val="008B4E59"/>
    <w:rsid w:val="008B57BC"/>
    <w:rsid w:val="008B674A"/>
    <w:rsid w:val="008C0110"/>
    <w:rsid w:val="008C059A"/>
    <w:rsid w:val="008C0DD3"/>
    <w:rsid w:val="008C2F70"/>
    <w:rsid w:val="008C54BD"/>
    <w:rsid w:val="008D46F3"/>
    <w:rsid w:val="008D56E6"/>
    <w:rsid w:val="008E0DE1"/>
    <w:rsid w:val="008E1276"/>
    <w:rsid w:val="008E260A"/>
    <w:rsid w:val="008E339C"/>
    <w:rsid w:val="008E6A97"/>
    <w:rsid w:val="008F0800"/>
    <w:rsid w:val="008F092C"/>
    <w:rsid w:val="008F1DC4"/>
    <w:rsid w:val="008F674D"/>
    <w:rsid w:val="008F7822"/>
    <w:rsid w:val="008F7A65"/>
    <w:rsid w:val="009006E7"/>
    <w:rsid w:val="00901228"/>
    <w:rsid w:val="009043A7"/>
    <w:rsid w:val="0090752F"/>
    <w:rsid w:val="009114CF"/>
    <w:rsid w:val="00912CFE"/>
    <w:rsid w:val="0091392C"/>
    <w:rsid w:val="00915124"/>
    <w:rsid w:val="00917F2D"/>
    <w:rsid w:val="009207FF"/>
    <w:rsid w:val="00920C89"/>
    <w:rsid w:val="00925EA9"/>
    <w:rsid w:val="0092676E"/>
    <w:rsid w:val="009303A5"/>
    <w:rsid w:val="00931313"/>
    <w:rsid w:val="00934430"/>
    <w:rsid w:val="00937548"/>
    <w:rsid w:val="00940EA0"/>
    <w:rsid w:val="009415FB"/>
    <w:rsid w:val="009435BC"/>
    <w:rsid w:val="0095079F"/>
    <w:rsid w:val="00954D25"/>
    <w:rsid w:val="0095570F"/>
    <w:rsid w:val="00956906"/>
    <w:rsid w:val="009578B7"/>
    <w:rsid w:val="00961105"/>
    <w:rsid w:val="00961319"/>
    <w:rsid w:val="00962442"/>
    <w:rsid w:val="009627EF"/>
    <w:rsid w:val="00962FD2"/>
    <w:rsid w:val="0096439B"/>
    <w:rsid w:val="00965AC4"/>
    <w:rsid w:val="00965E61"/>
    <w:rsid w:val="00967462"/>
    <w:rsid w:val="00967F0D"/>
    <w:rsid w:val="00970644"/>
    <w:rsid w:val="009708C6"/>
    <w:rsid w:val="00970B2C"/>
    <w:rsid w:val="00970E9D"/>
    <w:rsid w:val="00971C07"/>
    <w:rsid w:val="00974607"/>
    <w:rsid w:val="00977F17"/>
    <w:rsid w:val="00980AFC"/>
    <w:rsid w:val="009821E5"/>
    <w:rsid w:val="00983E19"/>
    <w:rsid w:val="00987160"/>
    <w:rsid w:val="009914CB"/>
    <w:rsid w:val="00991B3A"/>
    <w:rsid w:val="0099377D"/>
    <w:rsid w:val="009940D4"/>
    <w:rsid w:val="00994D03"/>
    <w:rsid w:val="009957BE"/>
    <w:rsid w:val="009968A6"/>
    <w:rsid w:val="00997188"/>
    <w:rsid w:val="009973C8"/>
    <w:rsid w:val="009976B0"/>
    <w:rsid w:val="009A03D2"/>
    <w:rsid w:val="009A0525"/>
    <w:rsid w:val="009A2974"/>
    <w:rsid w:val="009A3846"/>
    <w:rsid w:val="009A3D8E"/>
    <w:rsid w:val="009A5A14"/>
    <w:rsid w:val="009B2D2B"/>
    <w:rsid w:val="009B417B"/>
    <w:rsid w:val="009C0909"/>
    <w:rsid w:val="009C099A"/>
    <w:rsid w:val="009C15AE"/>
    <w:rsid w:val="009C1EEE"/>
    <w:rsid w:val="009C69B9"/>
    <w:rsid w:val="009D26CF"/>
    <w:rsid w:val="009D376F"/>
    <w:rsid w:val="009D3AB6"/>
    <w:rsid w:val="009D4996"/>
    <w:rsid w:val="009E0B0B"/>
    <w:rsid w:val="009E13BE"/>
    <w:rsid w:val="009E1885"/>
    <w:rsid w:val="009E3DE4"/>
    <w:rsid w:val="009E4225"/>
    <w:rsid w:val="009E4A1F"/>
    <w:rsid w:val="009E7AC7"/>
    <w:rsid w:val="009F06F0"/>
    <w:rsid w:val="009F1A17"/>
    <w:rsid w:val="009F29BF"/>
    <w:rsid w:val="009F2C4B"/>
    <w:rsid w:val="009F5204"/>
    <w:rsid w:val="00A00B03"/>
    <w:rsid w:val="00A01331"/>
    <w:rsid w:val="00A04A4E"/>
    <w:rsid w:val="00A0543A"/>
    <w:rsid w:val="00A06970"/>
    <w:rsid w:val="00A06C10"/>
    <w:rsid w:val="00A071B1"/>
    <w:rsid w:val="00A10E18"/>
    <w:rsid w:val="00A10F69"/>
    <w:rsid w:val="00A13F46"/>
    <w:rsid w:val="00A14A19"/>
    <w:rsid w:val="00A17A44"/>
    <w:rsid w:val="00A20347"/>
    <w:rsid w:val="00A22CCD"/>
    <w:rsid w:val="00A23093"/>
    <w:rsid w:val="00A2331D"/>
    <w:rsid w:val="00A23BFD"/>
    <w:rsid w:val="00A24074"/>
    <w:rsid w:val="00A2584D"/>
    <w:rsid w:val="00A258C0"/>
    <w:rsid w:val="00A25EEF"/>
    <w:rsid w:val="00A26A3E"/>
    <w:rsid w:val="00A27128"/>
    <w:rsid w:val="00A31DC3"/>
    <w:rsid w:val="00A32C20"/>
    <w:rsid w:val="00A32D85"/>
    <w:rsid w:val="00A345A5"/>
    <w:rsid w:val="00A35785"/>
    <w:rsid w:val="00A35C9F"/>
    <w:rsid w:val="00A360E2"/>
    <w:rsid w:val="00A37121"/>
    <w:rsid w:val="00A4176B"/>
    <w:rsid w:val="00A42ABD"/>
    <w:rsid w:val="00A44C38"/>
    <w:rsid w:val="00A466A9"/>
    <w:rsid w:val="00A472E9"/>
    <w:rsid w:val="00A510CE"/>
    <w:rsid w:val="00A54CF5"/>
    <w:rsid w:val="00A55116"/>
    <w:rsid w:val="00A5749D"/>
    <w:rsid w:val="00A643BC"/>
    <w:rsid w:val="00A66A03"/>
    <w:rsid w:val="00A71FA7"/>
    <w:rsid w:val="00A721F4"/>
    <w:rsid w:val="00A7296F"/>
    <w:rsid w:val="00A73092"/>
    <w:rsid w:val="00A73B40"/>
    <w:rsid w:val="00A73B5F"/>
    <w:rsid w:val="00A73E91"/>
    <w:rsid w:val="00A75FB4"/>
    <w:rsid w:val="00A762A3"/>
    <w:rsid w:val="00A764C2"/>
    <w:rsid w:val="00A80295"/>
    <w:rsid w:val="00A813FC"/>
    <w:rsid w:val="00A83CC6"/>
    <w:rsid w:val="00A85108"/>
    <w:rsid w:val="00A85562"/>
    <w:rsid w:val="00A87208"/>
    <w:rsid w:val="00A901C8"/>
    <w:rsid w:val="00A91016"/>
    <w:rsid w:val="00A92572"/>
    <w:rsid w:val="00A9372C"/>
    <w:rsid w:val="00A93D41"/>
    <w:rsid w:val="00A93D82"/>
    <w:rsid w:val="00A94577"/>
    <w:rsid w:val="00AA2726"/>
    <w:rsid w:val="00AA3A09"/>
    <w:rsid w:val="00AA41E1"/>
    <w:rsid w:val="00AA67CC"/>
    <w:rsid w:val="00AA69F7"/>
    <w:rsid w:val="00AA6D6C"/>
    <w:rsid w:val="00AA6EAC"/>
    <w:rsid w:val="00AA7CC7"/>
    <w:rsid w:val="00AA7F14"/>
    <w:rsid w:val="00AB19A8"/>
    <w:rsid w:val="00AC3F84"/>
    <w:rsid w:val="00AC455F"/>
    <w:rsid w:val="00AC5381"/>
    <w:rsid w:val="00AC7AC7"/>
    <w:rsid w:val="00AD0138"/>
    <w:rsid w:val="00AD0DD0"/>
    <w:rsid w:val="00AD0FFF"/>
    <w:rsid w:val="00AD4C36"/>
    <w:rsid w:val="00AD5975"/>
    <w:rsid w:val="00AD6068"/>
    <w:rsid w:val="00AE2220"/>
    <w:rsid w:val="00AE31A2"/>
    <w:rsid w:val="00AE3BE7"/>
    <w:rsid w:val="00AE6347"/>
    <w:rsid w:val="00AE66E4"/>
    <w:rsid w:val="00AF1D81"/>
    <w:rsid w:val="00AF667E"/>
    <w:rsid w:val="00AF7163"/>
    <w:rsid w:val="00B00B49"/>
    <w:rsid w:val="00B00D6E"/>
    <w:rsid w:val="00B0116F"/>
    <w:rsid w:val="00B02A5D"/>
    <w:rsid w:val="00B037CF"/>
    <w:rsid w:val="00B0415E"/>
    <w:rsid w:val="00B05ACF"/>
    <w:rsid w:val="00B06048"/>
    <w:rsid w:val="00B07CC0"/>
    <w:rsid w:val="00B137A4"/>
    <w:rsid w:val="00B14735"/>
    <w:rsid w:val="00B14A84"/>
    <w:rsid w:val="00B150C8"/>
    <w:rsid w:val="00B2065B"/>
    <w:rsid w:val="00B2069C"/>
    <w:rsid w:val="00B207D5"/>
    <w:rsid w:val="00B21805"/>
    <w:rsid w:val="00B21C1F"/>
    <w:rsid w:val="00B22C07"/>
    <w:rsid w:val="00B24E3A"/>
    <w:rsid w:val="00B250C7"/>
    <w:rsid w:val="00B26EC9"/>
    <w:rsid w:val="00B277E2"/>
    <w:rsid w:val="00B27E35"/>
    <w:rsid w:val="00B30266"/>
    <w:rsid w:val="00B30A49"/>
    <w:rsid w:val="00B3125E"/>
    <w:rsid w:val="00B313BD"/>
    <w:rsid w:val="00B316FE"/>
    <w:rsid w:val="00B31851"/>
    <w:rsid w:val="00B33134"/>
    <w:rsid w:val="00B331B7"/>
    <w:rsid w:val="00B338E1"/>
    <w:rsid w:val="00B35935"/>
    <w:rsid w:val="00B35F90"/>
    <w:rsid w:val="00B365A8"/>
    <w:rsid w:val="00B366B0"/>
    <w:rsid w:val="00B36B46"/>
    <w:rsid w:val="00B400D6"/>
    <w:rsid w:val="00B41141"/>
    <w:rsid w:val="00B4144B"/>
    <w:rsid w:val="00B4320D"/>
    <w:rsid w:val="00B432A7"/>
    <w:rsid w:val="00B43A79"/>
    <w:rsid w:val="00B43AF2"/>
    <w:rsid w:val="00B458FD"/>
    <w:rsid w:val="00B460F1"/>
    <w:rsid w:val="00B47BDA"/>
    <w:rsid w:val="00B5026C"/>
    <w:rsid w:val="00B503AB"/>
    <w:rsid w:val="00B504B4"/>
    <w:rsid w:val="00B51307"/>
    <w:rsid w:val="00B5236D"/>
    <w:rsid w:val="00B53697"/>
    <w:rsid w:val="00B538A7"/>
    <w:rsid w:val="00B54505"/>
    <w:rsid w:val="00B5460D"/>
    <w:rsid w:val="00B5505F"/>
    <w:rsid w:val="00B6007D"/>
    <w:rsid w:val="00B60243"/>
    <w:rsid w:val="00B60ABD"/>
    <w:rsid w:val="00B60E44"/>
    <w:rsid w:val="00B639AB"/>
    <w:rsid w:val="00B64FA5"/>
    <w:rsid w:val="00B65CC0"/>
    <w:rsid w:val="00B67461"/>
    <w:rsid w:val="00B72FC8"/>
    <w:rsid w:val="00B73668"/>
    <w:rsid w:val="00B7449B"/>
    <w:rsid w:val="00B752F2"/>
    <w:rsid w:val="00B76423"/>
    <w:rsid w:val="00B77166"/>
    <w:rsid w:val="00B81E92"/>
    <w:rsid w:val="00B823C6"/>
    <w:rsid w:val="00B84A19"/>
    <w:rsid w:val="00B8669B"/>
    <w:rsid w:val="00B86F9A"/>
    <w:rsid w:val="00B9006E"/>
    <w:rsid w:val="00B935ED"/>
    <w:rsid w:val="00B95B81"/>
    <w:rsid w:val="00B95DA0"/>
    <w:rsid w:val="00B96139"/>
    <w:rsid w:val="00B962FD"/>
    <w:rsid w:val="00B96578"/>
    <w:rsid w:val="00B97AB8"/>
    <w:rsid w:val="00BA061D"/>
    <w:rsid w:val="00BA3DD2"/>
    <w:rsid w:val="00BB0AA2"/>
    <w:rsid w:val="00BB407E"/>
    <w:rsid w:val="00BB7F0A"/>
    <w:rsid w:val="00BC0721"/>
    <w:rsid w:val="00BC07B7"/>
    <w:rsid w:val="00BC0BC7"/>
    <w:rsid w:val="00BC10D6"/>
    <w:rsid w:val="00BC1F09"/>
    <w:rsid w:val="00BC2C02"/>
    <w:rsid w:val="00BC39A0"/>
    <w:rsid w:val="00BC4C91"/>
    <w:rsid w:val="00BC4CA1"/>
    <w:rsid w:val="00BC5C2F"/>
    <w:rsid w:val="00BC647A"/>
    <w:rsid w:val="00BD0139"/>
    <w:rsid w:val="00BD4024"/>
    <w:rsid w:val="00BD40B4"/>
    <w:rsid w:val="00BD5D74"/>
    <w:rsid w:val="00BE1546"/>
    <w:rsid w:val="00BE2DD9"/>
    <w:rsid w:val="00BF08BD"/>
    <w:rsid w:val="00BF0CCD"/>
    <w:rsid w:val="00BF263A"/>
    <w:rsid w:val="00BF2CD8"/>
    <w:rsid w:val="00BF359D"/>
    <w:rsid w:val="00BF52CE"/>
    <w:rsid w:val="00BF561B"/>
    <w:rsid w:val="00C00CE4"/>
    <w:rsid w:val="00C04768"/>
    <w:rsid w:val="00C048A7"/>
    <w:rsid w:val="00C14072"/>
    <w:rsid w:val="00C178FB"/>
    <w:rsid w:val="00C207E6"/>
    <w:rsid w:val="00C20F27"/>
    <w:rsid w:val="00C21237"/>
    <w:rsid w:val="00C231A8"/>
    <w:rsid w:val="00C24305"/>
    <w:rsid w:val="00C24EC2"/>
    <w:rsid w:val="00C257A1"/>
    <w:rsid w:val="00C25E6F"/>
    <w:rsid w:val="00C27585"/>
    <w:rsid w:val="00C31141"/>
    <w:rsid w:val="00C312DC"/>
    <w:rsid w:val="00C31D04"/>
    <w:rsid w:val="00C3239A"/>
    <w:rsid w:val="00C3566C"/>
    <w:rsid w:val="00C36714"/>
    <w:rsid w:val="00C37173"/>
    <w:rsid w:val="00C40697"/>
    <w:rsid w:val="00C40FCB"/>
    <w:rsid w:val="00C44285"/>
    <w:rsid w:val="00C445B8"/>
    <w:rsid w:val="00C450B9"/>
    <w:rsid w:val="00C46725"/>
    <w:rsid w:val="00C46777"/>
    <w:rsid w:val="00C46A63"/>
    <w:rsid w:val="00C515FE"/>
    <w:rsid w:val="00C52081"/>
    <w:rsid w:val="00C52DD1"/>
    <w:rsid w:val="00C6354B"/>
    <w:rsid w:val="00C64D5A"/>
    <w:rsid w:val="00C64E42"/>
    <w:rsid w:val="00C657A4"/>
    <w:rsid w:val="00C6783D"/>
    <w:rsid w:val="00C700FB"/>
    <w:rsid w:val="00C71AC9"/>
    <w:rsid w:val="00C728D0"/>
    <w:rsid w:val="00C73971"/>
    <w:rsid w:val="00C7477D"/>
    <w:rsid w:val="00C74988"/>
    <w:rsid w:val="00C76299"/>
    <w:rsid w:val="00C77B03"/>
    <w:rsid w:val="00C80A92"/>
    <w:rsid w:val="00C81358"/>
    <w:rsid w:val="00C81FB2"/>
    <w:rsid w:val="00C8473F"/>
    <w:rsid w:val="00C86621"/>
    <w:rsid w:val="00C86E11"/>
    <w:rsid w:val="00C874C2"/>
    <w:rsid w:val="00C90713"/>
    <w:rsid w:val="00C91A96"/>
    <w:rsid w:val="00C96B77"/>
    <w:rsid w:val="00C973ED"/>
    <w:rsid w:val="00CA1A09"/>
    <w:rsid w:val="00CA2653"/>
    <w:rsid w:val="00CA27F1"/>
    <w:rsid w:val="00CA4FCD"/>
    <w:rsid w:val="00CA67DC"/>
    <w:rsid w:val="00CA6911"/>
    <w:rsid w:val="00CA7332"/>
    <w:rsid w:val="00CB00E5"/>
    <w:rsid w:val="00CB18FD"/>
    <w:rsid w:val="00CB2077"/>
    <w:rsid w:val="00CB49C0"/>
    <w:rsid w:val="00CB543B"/>
    <w:rsid w:val="00CB63E9"/>
    <w:rsid w:val="00CB7B73"/>
    <w:rsid w:val="00CC4F02"/>
    <w:rsid w:val="00CD1488"/>
    <w:rsid w:val="00CD40E2"/>
    <w:rsid w:val="00CD7EC6"/>
    <w:rsid w:val="00CE3FFC"/>
    <w:rsid w:val="00CE5648"/>
    <w:rsid w:val="00CE60CF"/>
    <w:rsid w:val="00CE7251"/>
    <w:rsid w:val="00CF0FB4"/>
    <w:rsid w:val="00CF1075"/>
    <w:rsid w:val="00CF30E4"/>
    <w:rsid w:val="00CF6A4D"/>
    <w:rsid w:val="00CF70DE"/>
    <w:rsid w:val="00CF789D"/>
    <w:rsid w:val="00D00B95"/>
    <w:rsid w:val="00D00C22"/>
    <w:rsid w:val="00D01580"/>
    <w:rsid w:val="00D0328B"/>
    <w:rsid w:val="00D042D6"/>
    <w:rsid w:val="00D05022"/>
    <w:rsid w:val="00D05286"/>
    <w:rsid w:val="00D0688B"/>
    <w:rsid w:val="00D068BC"/>
    <w:rsid w:val="00D06DC0"/>
    <w:rsid w:val="00D12B63"/>
    <w:rsid w:val="00D12E63"/>
    <w:rsid w:val="00D13627"/>
    <w:rsid w:val="00D16EDC"/>
    <w:rsid w:val="00D201D7"/>
    <w:rsid w:val="00D22800"/>
    <w:rsid w:val="00D22F24"/>
    <w:rsid w:val="00D279AE"/>
    <w:rsid w:val="00D27BA5"/>
    <w:rsid w:val="00D27D6E"/>
    <w:rsid w:val="00D302AF"/>
    <w:rsid w:val="00D34B96"/>
    <w:rsid w:val="00D3720F"/>
    <w:rsid w:val="00D3726F"/>
    <w:rsid w:val="00D4100E"/>
    <w:rsid w:val="00D41B6B"/>
    <w:rsid w:val="00D42AFA"/>
    <w:rsid w:val="00D441B3"/>
    <w:rsid w:val="00D4543B"/>
    <w:rsid w:val="00D45803"/>
    <w:rsid w:val="00D47CAC"/>
    <w:rsid w:val="00D47E9E"/>
    <w:rsid w:val="00D512AD"/>
    <w:rsid w:val="00D51A4F"/>
    <w:rsid w:val="00D52CD2"/>
    <w:rsid w:val="00D57284"/>
    <w:rsid w:val="00D63003"/>
    <w:rsid w:val="00D636A9"/>
    <w:rsid w:val="00D6626F"/>
    <w:rsid w:val="00D66CD9"/>
    <w:rsid w:val="00D672B2"/>
    <w:rsid w:val="00D70BF1"/>
    <w:rsid w:val="00D716D2"/>
    <w:rsid w:val="00D71B11"/>
    <w:rsid w:val="00D721FE"/>
    <w:rsid w:val="00D75F32"/>
    <w:rsid w:val="00D7661F"/>
    <w:rsid w:val="00D7664F"/>
    <w:rsid w:val="00D7735B"/>
    <w:rsid w:val="00D77E60"/>
    <w:rsid w:val="00D80AE1"/>
    <w:rsid w:val="00D82217"/>
    <w:rsid w:val="00D8230E"/>
    <w:rsid w:val="00D83738"/>
    <w:rsid w:val="00D838AF"/>
    <w:rsid w:val="00D900FD"/>
    <w:rsid w:val="00D93B3D"/>
    <w:rsid w:val="00D958EB"/>
    <w:rsid w:val="00D9646C"/>
    <w:rsid w:val="00D965C1"/>
    <w:rsid w:val="00D97304"/>
    <w:rsid w:val="00D97771"/>
    <w:rsid w:val="00D9782A"/>
    <w:rsid w:val="00DA0097"/>
    <w:rsid w:val="00DA1DD0"/>
    <w:rsid w:val="00DA7EBC"/>
    <w:rsid w:val="00DB1D7A"/>
    <w:rsid w:val="00DB2AC0"/>
    <w:rsid w:val="00DB3D7C"/>
    <w:rsid w:val="00DB4176"/>
    <w:rsid w:val="00DB482C"/>
    <w:rsid w:val="00DB530F"/>
    <w:rsid w:val="00DB65BC"/>
    <w:rsid w:val="00DB75C4"/>
    <w:rsid w:val="00DC0085"/>
    <w:rsid w:val="00DC02F4"/>
    <w:rsid w:val="00DC2CB9"/>
    <w:rsid w:val="00DC5296"/>
    <w:rsid w:val="00DC7141"/>
    <w:rsid w:val="00DC77AC"/>
    <w:rsid w:val="00DD26BE"/>
    <w:rsid w:val="00DD3782"/>
    <w:rsid w:val="00DD37A2"/>
    <w:rsid w:val="00DD3A4A"/>
    <w:rsid w:val="00DD3B90"/>
    <w:rsid w:val="00DD475F"/>
    <w:rsid w:val="00DD5306"/>
    <w:rsid w:val="00DD7158"/>
    <w:rsid w:val="00DE151F"/>
    <w:rsid w:val="00DE3158"/>
    <w:rsid w:val="00DE3332"/>
    <w:rsid w:val="00DE4203"/>
    <w:rsid w:val="00DE592B"/>
    <w:rsid w:val="00DE7CA5"/>
    <w:rsid w:val="00DE7CCF"/>
    <w:rsid w:val="00DF1F39"/>
    <w:rsid w:val="00DF23D7"/>
    <w:rsid w:val="00DF253B"/>
    <w:rsid w:val="00DF28AC"/>
    <w:rsid w:val="00DF367B"/>
    <w:rsid w:val="00DF4B69"/>
    <w:rsid w:val="00E00701"/>
    <w:rsid w:val="00E026DB"/>
    <w:rsid w:val="00E057F2"/>
    <w:rsid w:val="00E07F5E"/>
    <w:rsid w:val="00E102D2"/>
    <w:rsid w:val="00E12176"/>
    <w:rsid w:val="00E1253B"/>
    <w:rsid w:val="00E126EA"/>
    <w:rsid w:val="00E129E7"/>
    <w:rsid w:val="00E12C8A"/>
    <w:rsid w:val="00E12FDB"/>
    <w:rsid w:val="00E138F5"/>
    <w:rsid w:val="00E144FE"/>
    <w:rsid w:val="00E14DF6"/>
    <w:rsid w:val="00E1556D"/>
    <w:rsid w:val="00E157B5"/>
    <w:rsid w:val="00E17965"/>
    <w:rsid w:val="00E20E6B"/>
    <w:rsid w:val="00E218A8"/>
    <w:rsid w:val="00E21B69"/>
    <w:rsid w:val="00E21BAD"/>
    <w:rsid w:val="00E22E9F"/>
    <w:rsid w:val="00E24E8A"/>
    <w:rsid w:val="00E24F7C"/>
    <w:rsid w:val="00E25118"/>
    <w:rsid w:val="00E2572D"/>
    <w:rsid w:val="00E257C9"/>
    <w:rsid w:val="00E277CC"/>
    <w:rsid w:val="00E27A9B"/>
    <w:rsid w:val="00E30FBE"/>
    <w:rsid w:val="00E31E15"/>
    <w:rsid w:val="00E33328"/>
    <w:rsid w:val="00E33784"/>
    <w:rsid w:val="00E342CC"/>
    <w:rsid w:val="00E3467C"/>
    <w:rsid w:val="00E3559F"/>
    <w:rsid w:val="00E362A7"/>
    <w:rsid w:val="00E37DFE"/>
    <w:rsid w:val="00E409F3"/>
    <w:rsid w:val="00E40CFA"/>
    <w:rsid w:val="00E416C7"/>
    <w:rsid w:val="00E456A1"/>
    <w:rsid w:val="00E45B99"/>
    <w:rsid w:val="00E53601"/>
    <w:rsid w:val="00E54063"/>
    <w:rsid w:val="00E5414C"/>
    <w:rsid w:val="00E552FA"/>
    <w:rsid w:val="00E557AE"/>
    <w:rsid w:val="00E55A4B"/>
    <w:rsid w:val="00E5607B"/>
    <w:rsid w:val="00E565A0"/>
    <w:rsid w:val="00E56F56"/>
    <w:rsid w:val="00E57399"/>
    <w:rsid w:val="00E61501"/>
    <w:rsid w:val="00E6254D"/>
    <w:rsid w:val="00E625BE"/>
    <w:rsid w:val="00E63110"/>
    <w:rsid w:val="00E632C5"/>
    <w:rsid w:val="00E63CDC"/>
    <w:rsid w:val="00E64D7F"/>
    <w:rsid w:val="00E6544B"/>
    <w:rsid w:val="00E668B5"/>
    <w:rsid w:val="00E70347"/>
    <w:rsid w:val="00E733C1"/>
    <w:rsid w:val="00E73678"/>
    <w:rsid w:val="00E7398A"/>
    <w:rsid w:val="00E74121"/>
    <w:rsid w:val="00E7520D"/>
    <w:rsid w:val="00E7536A"/>
    <w:rsid w:val="00E756C9"/>
    <w:rsid w:val="00E758C3"/>
    <w:rsid w:val="00E81EA0"/>
    <w:rsid w:val="00E82100"/>
    <w:rsid w:val="00E82538"/>
    <w:rsid w:val="00E82E2F"/>
    <w:rsid w:val="00E83AF4"/>
    <w:rsid w:val="00E85B10"/>
    <w:rsid w:val="00E86D8C"/>
    <w:rsid w:val="00E876A6"/>
    <w:rsid w:val="00E9291C"/>
    <w:rsid w:val="00E94060"/>
    <w:rsid w:val="00E94815"/>
    <w:rsid w:val="00E94F9B"/>
    <w:rsid w:val="00E963E3"/>
    <w:rsid w:val="00E9710B"/>
    <w:rsid w:val="00E97110"/>
    <w:rsid w:val="00EA0B06"/>
    <w:rsid w:val="00EA1495"/>
    <w:rsid w:val="00EA2A5A"/>
    <w:rsid w:val="00EA4541"/>
    <w:rsid w:val="00EA60DF"/>
    <w:rsid w:val="00EA6A3E"/>
    <w:rsid w:val="00EB12AA"/>
    <w:rsid w:val="00EB18BB"/>
    <w:rsid w:val="00EB1BAE"/>
    <w:rsid w:val="00EB239D"/>
    <w:rsid w:val="00EB5554"/>
    <w:rsid w:val="00EB5712"/>
    <w:rsid w:val="00EB57BC"/>
    <w:rsid w:val="00EB7C25"/>
    <w:rsid w:val="00EC13AE"/>
    <w:rsid w:val="00EC19BB"/>
    <w:rsid w:val="00EC1A3D"/>
    <w:rsid w:val="00EC1AB8"/>
    <w:rsid w:val="00EC420B"/>
    <w:rsid w:val="00EC4275"/>
    <w:rsid w:val="00EC7E46"/>
    <w:rsid w:val="00ED1343"/>
    <w:rsid w:val="00ED6EAC"/>
    <w:rsid w:val="00ED72D4"/>
    <w:rsid w:val="00EE1378"/>
    <w:rsid w:val="00EE5564"/>
    <w:rsid w:val="00EE5D83"/>
    <w:rsid w:val="00EF07F0"/>
    <w:rsid w:val="00EF2F19"/>
    <w:rsid w:val="00EF385F"/>
    <w:rsid w:val="00EF40DE"/>
    <w:rsid w:val="00EF5803"/>
    <w:rsid w:val="00EF7D62"/>
    <w:rsid w:val="00F005F8"/>
    <w:rsid w:val="00F007B6"/>
    <w:rsid w:val="00F007FC"/>
    <w:rsid w:val="00F0139D"/>
    <w:rsid w:val="00F019EC"/>
    <w:rsid w:val="00F02903"/>
    <w:rsid w:val="00F048C7"/>
    <w:rsid w:val="00F04BC9"/>
    <w:rsid w:val="00F05A53"/>
    <w:rsid w:val="00F06332"/>
    <w:rsid w:val="00F06B49"/>
    <w:rsid w:val="00F13566"/>
    <w:rsid w:val="00F14421"/>
    <w:rsid w:val="00F1772C"/>
    <w:rsid w:val="00F20FA5"/>
    <w:rsid w:val="00F21D20"/>
    <w:rsid w:val="00F27F66"/>
    <w:rsid w:val="00F30645"/>
    <w:rsid w:val="00F307F5"/>
    <w:rsid w:val="00F317EB"/>
    <w:rsid w:val="00F3642E"/>
    <w:rsid w:val="00F364E2"/>
    <w:rsid w:val="00F36CD3"/>
    <w:rsid w:val="00F36D26"/>
    <w:rsid w:val="00F36EA6"/>
    <w:rsid w:val="00F37E3F"/>
    <w:rsid w:val="00F4118C"/>
    <w:rsid w:val="00F4483D"/>
    <w:rsid w:val="00F4717E"/>
    <w:rsid w:val="00F4781B"/>
    <w:rsid w:val="00F52B6C"/>
    <w:rsid w:val="00F56C30"/>
    <w:rsid w:val="00F56DF7"/>
    <w:rsid w:val="00F5752D"/>
    <w:rsid w:val="00F61454"/>
    <w:rsid w:val="00F61490"/>
    <w:rsid w:val="00F615A0"/>
    <w:rsid w:val="00F6248E"/>
    <w:rsid w:val="00F666F9"/>
    <w:rsid w:val="00F66FF0"/>
    <w:rsid w:val="00F67BFD"/>
    <w:rsid w:val="00F72793"/>
    <w:rsid w:val="00F72A28"/>
    <w:rsid w:val="00F72D75"/>
    <w:rsid w:val="00F74395"/>
    <w:rsid w:val="00F7526D"/>
    <w:rsid w:val="00F761F7"/>
    <w:rsid w:val="00F761FB"/>
    <w:rsid w:val="00F802DB"/>
    <w:rsid w:val="00F8032D"/>
    <w:rsid w:val="00F807DB"/>
    <w:rsid w:val="00F843E0"/>
    <w:rsid w:val="00F8479F"/>
    <w:rsid w:val="00F86979"/>
    <w:rsid w:val="00F925D5"/>
    <w:rsid w:val="00F96F55"/>
    <w:rsid w:val="00F975C1"/>
    <w:rsid w:val="00F97DE5"/>
    <w:rsid w:val="00FA2F06"/>
    <w:rsid w:val="00FA4D87"/>
    <w:rsid w:val="00FA7D3C"/>
    <w:rsid w:val="00FB0262"/>
    <w:rsid w:val="00FB053D"/>
    <w:rsid w:val="00FB2F76"/>
    <w:rsid w:val="00FB38E0"/>
    <w:rsid w:val="00FB6026"/>
    <w:rsid w:val="00FB6162"/>
    <w:rsid w:val="00FB63A0"/>
    <w:rsid w:val="00FC057F"/>
    <w:rsid w:val="00FC28D1"/>
    <w:rsid w:val="00FD0249"/>
    <w:rsid w:val="00FD0EF8"/>
    <w:rsid w:val="00FD1280"/>
    <w:rsid w:val="00FD2F3E"/>
    <w:rsid w:val="00FD58E8"/>
    <w:rsid w:val="00FD6347"/>
    <w:rsid w:val="00FD68A3"/>
    <w:rsid w:val="00FD7FE7"/>
    <w:rsid w:val="00FE07F4"/>
    <w:rsid w:val="00FE0C8C"/>
    <w:rsid w:val="00FE157E"/>
    <w:rsid w:val="00FE168E"/>
    <w:rsid w:val="00FE1D1D"/>
    <w:rsid w:val="00FE3461"/>
    <w:rsid w:val="00FE422D"/>
    <w:rsid w:val="00FE6ED5"/>
    <w:rsid w:val="00FF12BE"/>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836D"/>
  <w15:docId w15:val="{A1B32C82-6A03-4A81-803E-4E389B92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8"/>
        <w:szCs w:val="28"/>
        <w:lang w:val="en-US" w:eastAsia="en-US" w:bidi="ar-SA"/>
      </w:rPr>
    </w:rPrDefault>
    <w:pPrDefault>
      <w:pPr>
        <w:spacing w:after="240"/>
        <w:ind w:left="720" w:hanging="720"/>
        <w:jc w:val="center"/>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88B"/>
    <w:pPr>
      <w:spacing w:after="0"/>
      <w:ind w:left="0" w:firstLine="0"/>
      <w:jc w:val="left"/>
    </w:pPr>
  </w:style>
  <w:style w:type="paragraph" w:styleId="Heading1">
    <w:name w:val="heading 1"/>
    <w:basedOn w:val="Normal"/>
    <w:next w:val="Normal"/>
    <w:link w:val="Heading1Char"/>
    <w:uiPriority w:val="9"/>
    <w:semiHidden/>
    <w:rsid w:val="00D0688B"/>
    <w:pPr>
      <w:keepNext/>
      <w:keepLines/>
      <w:spacing w:before="480"/>
      <w:outlineLvl w:val="0"/>
    </w:pPr>
    <w:rPr>
      <w:rFonts w:eastAsiaTheme="majorEastAsia" w:cstheme="majorBidi"/>
      <w:bCs/>
    </w:rPr>
  </w:style>
  <w:style w:type="paragraph" w:styleId="Heading2">
    <w:name w:val="heading 2"/>
    <w:basedOn w:val="Normal"/>
    <w:next w:val="Normal"/>
    <w:link w:val="Heading2Char"/>
    <w:uiPriority w:val="9"/>
    <w:semiHidden/>
    <w:qFormat/>
    <w:rsid w:val="00C739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06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6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6A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COABriefBody">
    <w:name w:val="OM COA Brief Body"/>
    <w:basedOn w:val="Normal"/>
    <w:link w:val="OMCOABriefBodyChar"/>
    <w:qFormat/>
    <w:rsid w:val="00B72FC8"/>
    <w:pPr>
      <w:spacing w:line="480" w:lineRule="auto"/>
      <w:ind w:firstLine="720"/>
      <w:jc w:val="both"/>
    </w:pPr>
    <w:rPr>
      <w:rFonts w:cs="Times New Roman"/>
    </w:rPr>
  </w:style>
  <w:style w:type="character" w:customStyle="1" w:styleId="Heading1Char">
    <w:name w:val="Heading 1 Char"/>
    <w:basedOn w:val="DefaultParagraphFont"/>
    <w:link w:val="Heading1"/>
    <w:uiPriority w:val="9"/>
    <w:semiHidden/>
    <w:rsid w:val="00D0688B"/>
    <w:rPr>
      <w:rFonts w:eastAsiaTheme="majorEastAsia" w:cstheme="majorBidi"/>
      <w:bCs/>
    </w:rPr>
  </w:style>
  <w:style w:type="character" w:customStyle="1" w:styleId="Heading2Char">
    <w:name w:val="Heading 2 Char"/>
    <w:basedOn w:val="DefaultParagraphFont"/>
    <w:link w:val="Heading2"/>
    <w:uiPriority w:val="9"/>
    <w:semiHidden/>
    <w:rsid w:val="008106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semiHidden/>
    <w:qFormat/>
    <w:rsid w:val="00C73971"/>
    <w:pPr>
      <w:contextualSpacing/>
    </w:pPr>
  </w:style>
  <w:style w:type="character" w:customStyle="1" w:styleId="OMCOABriefBodyChar">
    <w:name w:val="OM COA Brief Body Char"/>
    <w:basedOn w:val="DefaultParagraphFont"/>
    <w:link w:val="OMCOABriefBody"/>
    <w:rsid w:val="00B72FC8"/>
    <w:rPr>
      <w:rFonts w:cs="Times New Roman"/>
    </w:rPr>
  </w:style>
  <w:style w:type="paragraph" w:customStyle="1" w:styleId="OMCOABriefHeadingLevel1-centered">
    <w:name w:val="OM COA Brief Heading Level 1 - centered"/>
    <w:basedOn w:val="Normal"/>
    <w:next w:val="OMCOABriefBody"/>
    <w:link w:val="OMCOABriefHeadingLevel1-centeredChar"/>
    <w:qFormat/>
    <w:rsid w:val="008C2F70"/>
    <w:pPr>
      <w:keepNext/>
      <w:keepLines/>
      <w:spacing w:after="240"/>
      <w:jc w:val="center"/>
      <w:outlineLvl w:val="0"/>
    </w:pPr>
    <w:rPr>
      <w:rFonts w:cs="Times New Roman"/>
      <w:b/>
    </w:rPr>
  </w:style>
  <w:style w:type="paragraph" w:customStyle="1" w:styleId="OMCOABriefHeadingLevel2">
    <w:name w:val="OM COA Brief Heading Level 2"/>
    <w:basedOn w:val="Normal"/>
    <w:next w:val="OMCOABriefBody"/>
    <w:qFormat/>
    <w:rsid w:val="00DA7EBC"/>
    <w:pPr>
      <w:keepNext/>
      <w:keepLines/>
      <w:numPr>
        <w:numId w:val="4"/>
      </w:numPr>
      <w:spacing w:after="240"/>
      <w:jc w:val="both"/>
      <w:outlineLvl w:val="1"/>
    </w:pPr>
    <w:rPr>
      <w:rFonts w:ascii="Times New Roman" w:hAnsi="Times New Roman" w:cs="Times New Roman"/>
      <w:b/>
      <w:bCs/>
      <w:sz w:val="26"/>
    </w:rPr>
  </w:style>
  <w:style w:type="paragraph" w:customStyle="1" w:styleId="OMCOABriefHeadingLevel3">
    <w:name w:val="OM COA Brief Heading Level 3"/>
    <w:basedOn w:val="OMCOABriefHeadingLevel2"/>
    <w:next w:val="OMCOABriefBody"/>
    <w:link w:val="OMCOABriefHeadingLevel3Char"/>
    <w:qFormat/>
    <w:rsid w:val="008C2F70"/>
    <w:pPr>
      <w:numPr>
        <w:ilvl w:val="1"/>
      </w:numPr>
      <w:outlineLvl w:val="2"/>
    </w:pPr>
    <w:rPr>
      <w:bCs w:val="0"/>
    </w:rPr>
  </w:style>
  <w:style w:type="paragraph" w:customStyle="1" w:styleId="OMCOABriefHeadingLevel4">
    <w:name w:val="OM COA Brief Heading Level 4"/>
    <w:basedOn w:val="OMCOABriefHeadingLevel3"/>
    <w:next w:val="OMCOABriefBody"/>
    <w:link w:val="OMCOABriefHeadingLevel4Char"/>
    <w:qFormat/>
    <w:rsid w:val="00A510CE"/>
    <w:pPr>
      <w:numPr>
        <w:ilvl w:val="2"/>
      </w:numPr>
      <w:outlineLvl w:val="3"/>
    </w:pPr>
  </w:style>
  <w:style w:type="paragraph" w:customStyle="1" w:styleId="OMCOABriefHeadingLevel5">
    <w:name w:val="OM COA Brief Heading Level 5"/>
    <w:basedOn w:val="OMCOABriefHeadingLevel4"/>
    <w:next w:val="OMCOABriefBody"/>
    <w:link w:val="OMCOABriefHeadingLevel5Char"/>
    <w:qFormat/>
    <w:rsid w:val="00A510CE"/>
    <w:pPr>
      <w:numPr>
        <w:ilvl w:val="3"/>
      </w:numPr>
      <w:outlineLvl w:val="4"/>
    </w:pPr>
  </w:style>
  <w:style w:type="paragraph" w:customStyle="1" w:styleId="OMCOABriefquote">
    <w:name w:val="OM COA Brief quote"/>
    <w:basedOn w:val="Normal"/>
    <w:next w:val="OMCOABriefBody"/>
    <w:qFormat/>
    <w:rsid w:val="00DD3A4A"/>
    <w:pPr>
      <w:spacing w:after="240"/>
      <w:ind w:left="720" w:right="720"/>
      <w:jc w:val="both"/>
    </w:pPr>
    <w:rPr>
      <w:rFonts w:cs="Times New Roman"/>
      <w:color w:val="000000"/>
    </w:rPr>
  </w:style>
  <w:style w:type="table" w:styleId="TableGrid">
    <w:name w:val="Table Grid"/>
    <w:basedOn w:val="TableNormal"/>
    <w:uiPriority w:val="59"/>
    <w:rsid w:val="00AD60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E7A"/>
    <w:rPr>
      <w:color w:val="0000FF" w:themeColor="hyperlink"/>
      <w:u w:val="none"/>
    </w:rPr>
  </w:style>
  <w:style w:type="paragraph" w:styleId="Header">
    <w:name w:val="header"/>
    <w:basedOn w:val="Normal"/>
    <w:link w:val="HeaderChar"/>
    <w:unhideWhenUsed/>
    <w:rsid w:val="00E1253B"/>
    <w:pPr>
      <w:tabs>
        <w:tab w:val="center" w:pos="4680"/>
        <w:tab w:val="right" w:pos="9360"/>
      </w:tabs>
    </w:pPr>
  </w:style>
  <w:style w:type="character" w:customStyle="1" w:styleId="HeaderChar">
    <w:name w:val="Header Char"/>
    <w:basedOn w:val="DefaultParagraphFont"/>
    <w:link w:val="Header"/>
    <w:uiPriority w:val="99"/>
    <w:rsid w:val="00E1253B"/>
    <w:rPr>
      <w:rFonts w:ascii="Times New Roman" w:hAnsi="Times New Roman"/>
      <w:sz w:val="24"/>
    </w:rPr>
  </w:style>
  <w:style w:type="paragraph" w:styleId="Footer">
    <w:name w:val="footer"/>
    <w:basedOn w:val="Normal"/>
    <w:link w:val="FooterChar"/>
    <w:uiPriority w:val="99"/>
    <w:unhideWhenUsed/>
    <w:rsid w:val="00E1253B"/>
    <w:pPr>
      <w:tabs>
        <w:tab w:val="center" w:pos="4680"/>
        <w:tab w:val="right" w:pos="9360"/>
      </w:tabs>
    </w:pPr>
  </w:style>
  <w:style w:type="character" w:customStyle="1" w:styleId="FooterChar">
    <w:name w:val="Footer Char"/>
    <w:basedOn w:val="DefaultParagraphFont"/>
    <w:link w:val="Footer"/>
    <w:uiPriority w:val="99"/>
    <w:rsid w:val="00E1253B"/>
    <w:rPr>
      <w:rFonts w:ascii="Times New Roman" w:hAnsi="Times New Roman"/>
      <w:sz w:val="24"/>
    </w:rPr>
  </w:style>
  <w:style w:type="paragraph" w:styleId="FootnoteText">
    <w:name w:val="footnote text"/>
    <w:basedOn w:val="Normal"/>
    <w:link w:val="FootnoteTextChar"/>
    <w:uiPriority w:val="99"/>
    <w:qFormat/>
    <w:rsid w:val="00CE5648"/>
    <w:pPr>
      <w:keepLines/>
      <w:tabs>
        <w:tab w:val="left" w:pos="1080"/>
      </w:tabs>
      <w:spacing w:after="120"/>
      <w:ind w:firstLine="720"/>
      <w:jc w:val="both"/>
    </w:pPr>
    <w:rPr>
      <w:szCs w:val="20"/>
    </w:rPr>
  </w:style>
  <w:style w:type="character" w:customStyle="1" w:styleId="FootnoteTextChar">
    <w:name w:val="Footnote Text Char"/>
    <w:basedOn w:val="DefaultParagraphFont"/>
    <w:link w:val="FootnoteText"/>
    <w:uiPriority w:val="99"/>
    <w:rsid w:val="00CE5648"/>
    <w:rPr>
      <w:szCs w:val="20"/>
    </w:rPr>
  </w:style>
  <w:style w:type="character" w:styleId="FootnoteReference">
    <w:name w:val="footnote reference"/>
    <w:basedOn w:val="DefaultParagraphFont"/>
    <w:uiPriority w:val="99"/>
    <w:semiHidden/>
    <w:unhideWhenUsed/>
    <w:rsid w:val="00E61501"/>
    <w:rPr>
      <w:vertAlign w:val="superscript"/>
    </w:rPr>
  </w:style>
  <w:style w:type="character" w:customStyle="1" w:styleId="Heading3Char">
    <w:name w:val="Heading 3 Char"/>
    <w:basedOn w:val="DefaultParagraphFont"/>
    <w:link w:val="Heading3"/>
    <w:uiPriority w:val="9"/>
    <w:semiHidden/>
    <w:rsid w:val="008106A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06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06A6"/>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87ACD"/>
    <w:pPr>
      <w:spacing w:before="240"/>
      <w:ind w:left="720" w:right="1008" w:hanging="720"/>
    </w:pPr>
  </w:style>
  <w:style w:type="paragraph" w:styleId="TOC2">
    <w:name w:val="toc 2"/>
    <w:basedOn w:val="Normal"/>
    <w:next w:val="Normal"/>
    <w:autoRedefine/>
    <w:uiPriority w:val="39"/>
    <w:unhideWhenUsed/>
    <w:rsid w:val="003D25C9"/>
    <w:pPr>
      <w:tabs>
        <w:tab w:val="left" w:pos="720"/>
        <w:tab w:val="right" w:leader="dot" w:pos="9350"/>
      </w:tabs>
      <w:spacing w:before="240"/>
      <w:ind w:left="720" w:right="1008" w:hanging="720"/>
    </w:pPr>
  </w:style>
  <w:style w:type="paragraph" w:styleId="TOC3">
    <w:name w:val="toc 3"/>
    <w:basedOn w:val="Normal"/>
    <w:next w:val="Normal"/>
    <w:autoRedefine/>
    <w:uiPriority w:val="39"/>
    <w:unhideWhenUsed/>
    <w:rsid w:val="003D25C9"/>
    <w:pPr>
      <w:tabs>
        <w:tab w:val="left" w:pos="1440"/>
        <w:tab w:val="right" w:leader="dot" w:pos="9350"/>
      </w:tabs>
      <w:spacing w:before="240"/>
      <w:ind w:left="1440" w:right="1008" w:hanging="720"/>
    </w:pPr>
    <w:rPr>
      <w:noProof/>
    </w:rPr>
  </w:style>
  <w:style w:type="paragraph" w:styleId="TOC4">
    <w:name w:val="toc 4"/>
    <w:basedOn w:val="Normal"/>
    <w:next w:val="Normal"/>
    <w:autoRedefine/>
    <w:uiPriority w:val="39"/>
    <w:unhideWhenUsed/>
    <w:rsid w:val="003D25C9"/>
    <w:pPr>
      <w:tabs>
        <w:tab w:val="left" w:pos="2160"/>
        <w:tab w:val="right" w:leader="dot" w:pos="9350"/>
      </w:tabs>
      <w:spacing w:before="240"/>
      <w:ind w:left="2160" w:right="1008" w:hanging="720"/>
    </w:pPr>
    <w:rPr>
      <w:noProof/>
    </w:rPr>
  </w:style>
  <w:style w:type="paragraph" w:styleId="TOC5">
    <w:name w:val="toc 5"/>
    <w:basedOn w:val="Normal"/>
    <w:next w:val="Normal"/>
    <w:autoRedefine/>
    <w:uiPriority w:val="39"/>
    <w:unhideWhenUsed/>
    <w:rsid w:val="003D25C9"/>
    <w:pPr>
      <w:tabs>
        <w:tab w:val="left" w:pos="2880"/>
        <w:tab w:val="right" w:leader="dot" w:pos="9350"/>
      </w:tabs>
      <w:spacing w:before="240"/>
      <w:ind w:left="2880" w:right="1008" w:hanging="720"/>
    </w:pPr>
    <w:rPr>
      <w:noProof/>
    </w:rPr>
  </w:style>
  <w:style w:type="paragraph" w:styleId="TOCHeading">
    <w:name w:val="TOC Heading"/>
    <w:basedOn w:val="Heading1"/>
    <w:next w:val="Normal"/>
    <w:uiPriority w:val="39"/>
    <w:semiHidden/>
    <w:qFormat/>
    <w:rsid w:val="008106A6"/>
    <w:pPr>
      <w:spacing w:line="276" w:lineRule="auto"/>
      <w:outlineLvl w:val="9"/>
    </w:pPr>
    <w:rPr>
      <w:lang w:eastAsia="ja-JP"/>
    </w:rPr>
  </w:style>
  <w:style w:type="paragraph" w:styleId="BalloonText">
    <w:name w:val="Balloon Text"/>
    <w:basedOn w:val="Normal"/>
    <w:link w:val="BalloonTextChar"/>
    <w:uiPriority w:val="99"/>
    <w:semiHidden/>
    <w:unhideWhenUsed/>
    <w:rsid w:val="008106A6"/>
    <w:rPr>
      <w:rFonts w:ascii="Tahoma" w:hAnsi="Tahoma" w:cs="Tahoma"/>
      <w:sz w:val="16"/>
      <w:szCs w:val="16"/>
    </w:rPr>
  </w:style>
  <w:style w:type="character" w:customStyle="1" w:styleId="BalloonTextChar">
    <w:name w:val="Balloon Text Char"/>
    <w:basedOn w:val="DefaultParagraphFont"/>
    <w:link w:val="BalloonText"/>
    <w:uiPriority w:val="99"/>
    <w:semiHidden/>
    <w:rsid w:val="008106A6"/>
    <w:rPr>
      <w:rFonts w:ascii="Tahoma" w:hAnsi="Tahoma" w:cs="Tahoma"/>
      <w:sz w:val="16"/>
      <w:szCs w:val="16"/>
    </w:rPr>
  </w:style>
  <w:style w:type="paragraph" w:styleId="TOAHeading">
    <w:name w:val="toa heading"/>
    <w:basedOn w:val="Normal"/>
    <w:next w:val="Normal"/>
    <w:autoRedefine/>
    <w:uiPriority w:val="99"/>
    <w:semiHidden/>
    <w:rsid w:val="0011583C"/>
    <w:pPr>
      <w:keepNext/>
      <w:spacing w:before="240" w:line="240" w:lineRule="exact"/>
    </w:pPr>
    <w:rPr>
      <w:rFonts w:eastAsiaTheme="majorEastAsia" w:cstheme="majorBidi"/>
      <w:b/>
      <w:bCs/>
      <w:szCs w:val="24"/>
    </w:rPr>
  </w:style>
  <w:style w:type="paragraph" w:styleId="TableofAuthorities">
    <w:name w:val="table of authorities"/>
    <w:basedOn w:val="Normal"/>
    <w:next w:val="Normal"/>
    <w:autoRedefine/>
    <w:uiPriority w:val="99"/>
    <w:semiHidden/>
    <w:rsid w:val="008A1047"/>
    <w:pPr>
      <w:keepLines/>
      <w:tabs>
        <w:tab w:val="left" w:pos="720"/>
        <w:tab w:val="right" w:leader="dot" w:pos="9350"/>
      </w:tabs>
      <w:spacing w:before="240"/>
      <w:ind w:left="720" w:right="1008" w:hanging="720"/>
    </w:pPr>
    <w:rPr>
      <w:noProof/>
      <w:szCs w:val="22"/>
    </w:rPr>
  </w:style>
  <w:style w:type="paragraph" w:customStyle="1" w:styleId="OMCOABriefTOCPageHeading">
    <w:name w:val="OM COA Brief TOC Page Heading"/>
    <w:basedOn w:val="OMCOABriefHeadingLevel1-centered"/>
    <w:link w:val="OMCOABriefTOCPageHeadingChar"/>
    <w:qFormat/>
    <w:rsid w:val="00B72FC8"/>
  </w:style>
  <w:style w:type="character" w:customStyle="1" w:styleId="OMCOABriefHeadingLevel1-centeredChar">
    <w:name w:val="OM COA Brief Heading Level 1 - centered Char"/>
    <w:basedOn w:val="DefaultParagraphFont"/>
    <w:link w:val="OMCOABriefHeadingLevel1-centered"/>
    <w:rsid w:val="008C2F70"/>
    <w:rPr>
      <w:rFonts w:cs="Times New Roman"/>
      <w:b/>
    </w:rPr>
  </w:style>
  <w:style w:type="character" w:customStyle="1" w:styleId="OMCOABriefTOCPageHeadingChar">
    <w:name w:val="OM COA Brief TOC Page Heading Char"/>
    <w:basedOn w:val="OMCOABriefHeadingLevel1-centeredChar"/>
    <w:link w:val="OMCOABriefTOCPageHeading"/>
    <w:rsid w:val="00B72FC8"/>
    <w:rPr>
      <w:rFonts w:cs="Times New Roman"/>
      <w:b/>
      <w:color w:val="000000"/>
    </w:rPr>
  </w:style>
  <w:style w:type="paragraph" w:customStyle="1" w:styleId="OMCOABriefIssues">
    <w:name w:val="OM COA Brief Issues"/>
    <w:basedOn w:val="OMCOABriefBody"/>
    <w:link w:val="OMCOABriefIssuesChar"/>
    <w:qFormat/>
    <w:rsid w:val="000C2FFA"/>
    <w:pPr>
      <w:numPr>
        <w:numId w:val="7"/>
      </w:numPr>
    </w:pPr>
  </w:style>
  <w:style w:type="character" w:customStyle="1" w:styleId="OMCOABriefIssuesChar">
    <w:name w:val="OM COA Brief Issues Char"/>
    <w:basedOn w:val="OMCOABriefBodyChar"/>
    <w:link w:val="OMCOABriefIssues"/>
    <w:rsid w:val="000C2FFA"/>
    <w:rPr>
      <w:rFonts w:cs="Times New Roman"/>
    </w:rPr>
  </w:style>
  <w:style w:type="paragraph" w:customStyle="1" w:styleId="OMCOABriefFootnoteText">
    <w:name w:val="OM COA Brief Footnote Text"/>
    <w:basedOn w:val="FootnoteText"/>
    <w:qFormat/>
    <w:rsid w:val="00E94F9B"/>
  </w:style>
  <w:style w:type="paragraph" w:customStyle="1" w:styleId="OMCOABriefBulletedList">
    <w:name w:val="OM COA Brief Bulleted List"/>
    <w:basedOn w:val="OMCOABriefBody"/>
    <w:link w:val="OMCOABriefBulletedListChar"/>
    <w:qFormat/>
    <w:rsid w:val="0053080E"/>
    <w:pPr>
      <w:numPr>
        <w:numId w:val="18"/>
      </w:numPr>
      <w:spacing w:after="200" w:line="240" w:lineRule="auto"/>
      <w:ind w:left="1440"/>
    </w:pPr>
  </w:style>
  <w:style w:type="character" w:customStyle="1" w:styleId="OMCOABriefBulletedListChar">
    <w:name w:val="OM COA Brief Bulleted List Char"/>
    <w:basedOn w:val="OMCOABriefBodyChar"/>
    <w:link w:val="OMCOABriefBulletedList"/>
    <w:rsid w:val="0053080E"/>
    <w:rPr>
      <w:rFonts w:cs="Times New Roman"/>
    </w:rPr>
  </w:style>
  <w:style w:type="paragraph" w:customStyle="1" w:styleId="OMCOABriefHeadingLevel6">
    <w:name w:val="OM COA Brief Heading Level 6"/>
    <w:basedOn w:val="OMCOABriefHeadingLevel5"/>
    <w:next w:val="OMCOABriefBody"/>
    <w:link w:val="OMCOABriefHeadingLevel6Char"/>
    <w:qFormat/>
    <w:rsid w:val="00D75F32"/>
    <w:pPr>
      <w:numPr>
        <w:ilvl w:val="4"/>
      </w:numPr>
      <w:outlineLvl w:val="5"/>
    </w:pPr>
  </w:style>
  <w:style w:type="paragraph" w:styleId="TOC6">
    <w:name w:val="toc 6"/>
    <w:basedOn w:val="Normal"/>
    <w:next w:val="Normal"/>
    <w:autoRedefine/>
    <w:uiPriority w:val="39"/>
    <w:unhideWhenUsed/>
    <w:rsid w:val="002D7189"/>
    <w:pPr>
      <w:tabs>
        <w:tab w:val="left" w:pos="3600"/>
        <w:tab w:val="right" w:leader="dot" w:pos="9350"/>
      </w:tabs>
      <w:spacing w:before="240"/>
      <w:ind w:left="3600" w:right="1008" w:hanging="720"/>
    </w:pPr>
    <w:rPr>
      <w:noProof/>
    </w:rPr>
  </w:style>
  <w:style w:type="character" w:customStyle="1" w:styleId="OMCOABriefHeadingLevel3Char">
    <w:name w:val="OM COA Brief Heading Level 3 Char"/>
    <w:basedOn w:val="Heading1Char"/>
    <w:link w:val="OMCOABriefHeadingLevel3"/>
    <w:rsid w:val="008C2F70"/>
    <w:rPr>
      <w:rFonts w:eastAsiaTheme="majorEastAsia" w:cs="Times New Roman"/>
      <w:b/>
      <w:bCs w:val="0"/>
    </w:rPr>
  </w:style>
  <w:style w:type="character" w:customStyle="1" w:styleId="OMCOABriefHeadingLevel4Char">
    <w:name w:val="OM COA Brief Heading Level 4 Char"/>
    <w:basedOn w:val="OMCOABriefHeadingLevel3Char"/>
    <w:link w:val="OMCOABriefHeadingLevel4"/>
    <w:rsid w:val="00D75F32"/>
    <w:rPr>
      <w:rFonts w:asciiTheme="majorHAnsi" w:eastAsiaTheme="majorEastAsia" w:hAnsiTheme="majorHAnsi" w:cs="Times New Roman"/>
      <w:b/>
      <w:bCs w:val="0"/>
      <w:color w:val="365F91" w:themeColor="accent1" w:themeShade="BF"/>
    </w:rPr>
  </w:style>
  <w:style w:type="character" w:customStyle="1" w:styleId="OMCOABriefHeadingLevel5Char">
    <w:name w:val="OM COA Brief Heading Level 5 Char"/>
    <w:basedOn w:val="OMCOABriefHeadingLevel4Char"/>
    <w:link w:val="OMCOABriefHeadingLevel5"/>
    <w:rsid w:val="00D75F32"/>
    <w:rPr>
      <w:rFonts w:asciiTheme="majorHAnsi" w:eastAsiaTheme="majorEastAsia" w:hAnsiTheme="majorHAnsi" w:cs="Times New Roman"/>
      <w:b/>
      <w:bCs w:val="0"/>
      <w:color w:val="365F91" w:themeColor="accent1" w:themeShade="BF"/>
    </w:rPr>
  </w:style>
  <w:style w:type="character" w:customStyle="1" w:styleId="OMCOABriefHeadingLevel6Char">
    <w:name w:val="OM COA Brief Heading Level 6 Char"/>
    <w:basedOn w:val="OMCOABriefHeadingLevel5Char"/>
    <w:link w:val="OMCOABriefHeadingLevel6"/>
    <w:rsid w:val="00D75F32"/>
    <w:rPr>
      <w:rFonts w:asciiTheme="majorHAnsi" w:eastAsiaTheme="majorEastAsia" w:hAnsiTheme="majorHAnsi" w:cs="Times New Roman"/>
      <w:b/>
      <w:bCs w:val="0"/>
      <w:color w:val="365F91" w:themeColor="accent1" w:themeShade="BF"/>
    </w:rPr>
  </w:style>
  <w:style w:type="character" w:styleId="FollowedHyperlink">
    <w:name w:val="FollowedHyperlink"/>
    <w:basedOn w:val="DefaultParagraphFont"/>
    <w:uiPriority w:val="99"/>
    <w:semiHidden/>
    <w:unhideWhenUsed/>
    <w:rsid w:val="00F615A0"/>
    <w:rPr>
      <w:color w:val="0000FF"/>
      <w:u w:val="none"/>
    </w:rPr>
  </w:style>
  <w:style w:type="character" w:styleId="CommentReference">
    <w:name w:val="annotation reference"/>
    <w:basedOn w:val="DefaultParagraphFont"/>
    <w:uiPriority w:val="99"/>
    <w:semiHidden/>
    <w:unhideWhenUsed/>
    <w:rsid w:val="00A23093"/>
    <w:rPr>
      <w:sz w:val="16"/>
      <w:szCs w:val="16"/>
    </w:rPr>
  </w:style>
  <w:style w:type="paragraph" w:styleId="CommentText">
    <w:name w:val="annotation text"/>
    <w:basedOn w:val="Normal"/>
    <w:link w:val="CommentTextChar"/>
    <w:uiPriority w:val="99"/>
    <w:unhideWhenUsed/>
    <w:rsid w:val="00A23093"/>
    <w:rPr>
      <w:sz w:val="20"/>
      <w:szCs w:val="20"/>
    </w:rPr>
  </w:style>
  <w:style w:type="character" w:customStyle="1" w:styleId="CommentTextChar">
    <w:name w:val="Comment Text Char"/>
    <w:basedOn w:val="DefaultParagraphFont"/>
    <w:link w:val="CommentText"/>
    <w:uiPriority w:val="99"/>
    <w:rsid w:val="00A23093"/>
    <w:rPr>
      <w:sz w:val="20"/>
      <w:szCs w:val="20"/>
    </w:rPr>
  </w:style>
  <w:style w:type="paragraph" w:styleId="CommentSubject">
    <w:name w:val="annotation subject"/>
    <w:basedOn w:val="CommentText"/>
    <w:next w:val="CommentText"/>
    <w:link w:val="CommentSubjectChar"/>
    <w:uiPriority w:val="99"/>
    <w:semiHidden/>
    <w:unhideWhenUsed/>
    <w:rsid w:val="00A23093"/>
    <w:rPr>
      <w:b/>
      <w:bCs/>
    </w:rPr>
  </w:style>
  <w:style w:type="character" w:customStyle="1" w:styleId="CommentSubjectChar">
    <w:name w:val="Comment Subject Char"/>
    <w:basedOn w:val="CommentTextChar"/>
    <w:link w:val="CommentSubject"/>
    <w:uiPriority w:val="99"/>
    <w:semiHidden/>
    <w:rsid w:val="00A23093"/>
    <w:rPr>
      <w:b/>
      <w:bCs/>
      <w:sz w:val="20"/>
      <w:szCs w:val="20"/>
    </w:rPr>
  </w:style>
  <w:style w:type="character" w:customStyle="1" w:styleId="UnresolvedMention1">
    <w:name w:val="Unresolved Mention1"/>
    <w:basedOn w:val="DefaultParagraphFont"/>
    <w:uiPriority w:val="99"/>
    <w:semiHidden/>
    <w:unhideWhenUsed/>
    <w:rsid w:val="001B5BCA"/>
    <w:rPr>
      <w:color w:val="605E5C"/>
      <w:shd w:val="clear" w:color="auto" w:fill="E1DFDD"/>
    </w:rPr>
  </w:style>
  <w:style w:type="paragraph" w:customStyle="1" w:styleId="AGTITLEB-NoTOC">
    <w:name w:val="AG TITLE B -No TOC"/>
    <w:basedOn w:val="Normal"/>
    <w:rsid w:val="00B67461"/>
    <w:pPr>
      <w:spacing w:line="480" w:lineRule="auto"/>
      <w:jc w:val="center"/>
    </w:pPr>
    <w:rPr>
      <w:rFonts w:ascii="Times New Roman" w:eastAsia="Times New Roman" w:hAnsi="Times New Roman" w:cs="Times New Roman"/>
      <w:b/>
      <w:szCs w:val="24"/>
    </w:rPr>
  </w:style>
  <w:style w:type="paragraph" w:styleId="BodyText">
    <w:name w:val="Body Text"/>
    <w:basedOn w:val="Normal"/>
    <w:link w:val="BodyTextChar"/>
    <w:qFormat/>
    <w:rsid w:val="00B67461"/>
    <w:pPr>
      <w:spacing w:line="48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67461"/>
    <w:rPr>
      <w:rFonts w:ascii="Times New Roman" w:eastAsia="Times New Roman" w:hAnsi="Times New Roman" w:cs="Times New Roman"/>
      <w:szCs w:val="20"/>
    </w:rPr>
  </w:style>
  <w:style w:type="paragraph" w:customStyle="1" w:styleId="AGLevel1">
    <w:name w:val="AG Level 1"/>
    <w:basedOn w:val="Normal"/>
    <w:next w:val="Normal"/>
    <w:rsid w:val="00B67461"/>
    <w:pPr>
      <w:numPr>
        <w:numId w:val="22"/>
      </w:numPr>
      <w:spacing w:after="320"/>
    </w:pPr>
    <w:rPr>
      <w:rFonts w:ascii="Times New Roman" w:eastAsia="Times New Roman" w:hAnsi="Times New Roman" w:cs="Times New Roman"/>
      <w:b/>
      <w:szCs w:val="24"/>
    </w:rPr>
  </w:style>
  <w:style w:type="paragraph" w:customStyle="1" w:styleId="AGzSigBlock">
    <w:name w:val="AG zSig Block"/>
    <w:basedOn w:val="Normal"/>
    <w:rsid w:val="00B67461"/>
    <w:pPr>
      <w:ind w:left="5040"/>
    </w:pPr>
    <w:rPr>
      <w:rFonts w:ascii="Times New Roman" w:eastAsia="Times New Roman" w:hAnsi="Times New Roman" w:cs="Times New Roman"/>
      <w:szCs w:val="26"/>
    </w:rPr>
  </w:style>
  <w:style w:type="paragraph" w:customStyle="1" w:styleId="AGLevel2">
    <w:name w:val="AG Level 2"/>
    <w:basedOn w:val="Normal"/>
    <w:next w:val="Normal"/>
    <w:rsid w:val="00B67461"/>
    <w:pPr>
      <w:numPr>
        <w:ilvl w:val="1"/>
        <w:numId w:val="22"/>
      </w:numPr>
      <w:spacing w:after="320"/>
    </w:pPr>
    <w:rPr>
      <w:rFonts w:ascii="Times New Roman" w:eastAsia="Times New Roman" w:hAnsi="Times New Roman" w:cs="Times New Roman"/>
      <w:b/>
      <w:szCs w:val="24"/>
    </w:rPr>
  </w:style>
  <w:style w:type="paragraph" w:customStyle="1" w:styleId="AGLevel3">
    <w:name w:val="AG Level 3"/>
    <w:basedOn w:val="Normal"/>
    <w:next w:val="Normal"/>
    <w:rsid w:val="00B67461"/>
    <w:pPr>
      <w:numPr>
        <w:ilvl w:val="2"/>
        <w:numId w:val="22"/>
      </w:numPr>
      <w:spacing w:after="320"/>
    </w:pPr>
    <w:rPr>
      <w:rFonts w:ascii="Times New Roman" w:eastAsia="Times New Roman" w:hAnsi="Times New Roman" w:cs="Times New Roman"/>
      <w:b/>
      <w:szCs w:val="24"/>
    </w:rPr>
  </w:style>
  <w:style w:type="paragraph" w:customStyle="1" w:styleId="AGLevel4">
    <w:name w:val="AG Level 4"/>
    <w:basedOn w:val="Normal"/>
    <w:next w:val="Normal"/>
    <w:rsid w:val="00B67461"/>
    <w:pPr>
      <w:numPr>
        <w:ilvl w:val="3"/>
        <w:numId w:val="22"/>
      </w:numPr>
      <w:spacing w:after="320"/>
    </w:pPr>
    <w:rPr>
      <w:rFonts w:ascii="Times New Roman" w:eastAsia="Times New Roman" w:hAnsi="Times New Roman" w:cs="Times New Roman"/>
      <w:b/>
      <w:szCs w:val="24"/>
    </w:rPr>
  </w:style>
  <w:style w:type="paragraph" w:customStyle="1" w:styleId="AGLevel5">
    <w:name w:val="AG Level 5"/>
    <w:basedOn w:val="Normal"/>
    <w:next w:val="Normal"/>
    <w:rsid w:val="00B67461"/>
    <w:pPr>
      <w:numPr>
        <w:ilvl w:val="4"/>
        <w:numId w:val="22"/>
      </w:numPr>
      <w:spacing w:after="320"/>
    </w:pPr>
    <w:rPr>
      <w:rFonts w:ascii="Times New Roman" w:eastAsia="Times New Roman" w:hAnsi="Times New Roman" w:cs="Times New Roman"/>
      <w:szCs w:val="24"/>
    </w:rPr>
  </w:style>
  <w:style w:type="paragraph" w:customStyle="1" w:styleId="AGLevel6">
    <w:name w:val="AG Level 6"/>
    <w:basedOn w:val="Normal"/>
    <w:semiHidden/>
    <w:rsid w:val="00B67461"/>
    <w:pPr>
      <w:numPr>
        <w:ilvl w:val="5"/>
        <w:numId w:val="22"/>
      </w:numPr>
    </w:pPr>
    <w:rPr>
      <w:rFonts w:ascii="Times New Roman" w:eastAsia="Times New Roman" w:hAnsi="Times New Roman" w:cs="Times New Roman"/>
      <w:szCs w:val="24"/>
    </w:rPr>
  </w:style>
  <w:style w:type="paragraph" w:customStyle="1" w:styleId="AGLevel7">
    <w:name w:val="AG Level 7"/>
    <w:basedOn w:val="Normal"/>
    <w:semiHidden/>
    <w:rsid w:val="00B67461"/>
    <w:pPr>
      <w:numPr>
        <w:ilvl w:val="6"/>
        <w:numId w:val="22"/>
      </w:numPr>
    </w:pPr>
    <w:rPr>
      <w:rFonts w:ascii="Times New Roman" w:eastAsia="Times New Roman" w:hAnsi="Times New Roman" w:cs="Times New Roman"/>
      <w:szCs w:val="24"/>
    </w:rPr>
  </w:style>
  <w:style w:type="paragraph" w:customStyle="1" w:styleId="AGLevel8">
    <w:name w:val="AG Level 8"/>
    <w:basedOn w:val="Normal"/>
    <w:semiHidden/>
    <w:rsid w:val="00B67461"/>
    <w:pPr>
      <w:numPr>
        <w:ilvl w:val="7"/>
        <w:numId w:val="22"/>
      </w:numPr>
    </w:pPr>
    <w:rPr>
      <w:rFonts w:ascii="Times New Roman" w:eastAsia="Times New Roman" w:hAnsi="Times New Roman" w:cs="Times New Roman"/>
      <w:szCs w:val="24"/>
    </w:rPr>
  </w:style>
  <w:style w:type="paragraph" w:customStyle="1" w:styleId="AGLevel9">
    <w:name w:val="AG Level 9"/>
    <w:basedOn w:val="Normal"/>
    <w:semiHidden/>
    <w:rsid w:val="00B67461"/>
    <w:pPr>
      <w:numPr>
        <w:ilvl w:val="8"/>
        <w:numId w:val="22"/>
      </w:numPr>
    </w:pPr>
    <w:rPr>
      <w:rFonts w:ascii="Times New Roman" w:eastAsia="Times New Roman" w:hAnsi="Times New Roman" w:cs="Times New Roman"/>
      <w:szCs w:val="24"/>
    </w:rPr>
  </w:style>
  <w:style w:type="paragraph" w:styleId="Revision">
    <w:name w:val="Revision"/>
    <w:hidden/>
    <w:uiPriority w:val="99"/>
    <w:semiHidden/>
    <w:rsid w:val="00CB18FD"/>
    <w:pPr>
      <w:spacing w:after="0"/>
      <w:ind w:left="0" w:firstLine="0"/>
      <w:jc w:val="left"/>
    </w:pPr>
  </w:style>
  <w:style w:type="paragraph" w:styleId="Caption">
    <w:name w:val="caption"/>
    <w:basedOn w:val="Normal"/>
    <w:next w:val="Normal"/>
    <w:semiHidden/>
    <w:unhideWhenUsed/>
    <w:qFormat/>
    <w:rsid w:val="00627DE6"/>
    <w:pPr>
      <w:widowControl w:val="0"/>
      <w:spacing w:line="240" w:lineRule="exact"/>
    </w:pPr>
    <w:rPr>
      <w:rFonts w:ascii="Times New Roman" w:eastAsia="Times New Roman" w:hAnsi="Times New Roman" w:cs="Times New Roman"/>
      <w:bCs/>
      <w:sz w:val="26"/>
      <w:szCs w:val="20"/>
    </w:rPr>
  </w:style>
  <w:style w:type="paragraph" w:customStyle="1" w:styleId="Court">
    <w:name w:val="Court"/>
    <w:basedOn w:val="Normal"/>
    <w:rsid w:val="00627DE6"/>
    <w:pPr>
      <w:widowControl w:val="0"/>
      <w:spacing w:after="240" w:line="480" w:lineRule="exact"/>
      <w:jc w:val="center"/>
    </w:pPr>
    <w:rPr>
      <w:rFonts w:ascii="Times New Roman" w:eastAsia="Times New Roman" w:hAnsi="Times New Roman" w:cs="Times New Roman"/>
      <w:caps/>
      <w:sz w:val="26"/>
      <w:szCs w:val="26"/>
    </w:rPr>
  </w:style>
  <w:style w:type="paragraph" w:customStyle="1" w:styleId="DocumentTitle">
    <w:name w:val="Document Title"/>
    <w:basedOn w:val="Normal"/>
    <w:rsid w:val="00627DE6"/>
    <w:pPr>
      <w:widowControl w:val="0"/>
      <w:tabs>
        <w:tab w:val="left" w:pos="1238"/>
      </w:tabs>
      <w:spacing w:line="240" w:lineRule="exact"/>
      <w:ind w:left="259"/>
    </w:pPr>
    <w:rPr>
      <w:rFonts w:ascii="Times New Roman" w:eastAsia="Times New Roman" w:hAnsi="Times New Roman" w:cs="Times New Roman"/>
      <w:sz w:val="26"/>
      <w:szCs w:val="24"/>
    </w:rPr>
  </w:style>
  <w:style w:type="paragraph" w:customStyle="1" w:styleId="Default">
    <w:name w:val="Default"/>
    <w:rsid w:val="00F21D20"/>
    <w:pPr>
      <w:autoSpaceDE w:val="0"/>
      <w:autoSpaceDN w:val="0"/>
      <w:adjustRightInd w:val="0"/>
      <w:spacing w:after="0"/>
      <w:ind w:left="0" w:firstLine="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2736">
      <w:bodyDiv w:val="1"/>
      <w:marLeft w:val="0"/>
      <w:marRight w:val="0"/>
      <w:marTop w:val="0"/>
      <w:marBottom w:val="0"/>
      <w:divBdr>
        <w:top w:val="none" w:sz="0" w:space="0" w:color="auto"/>
        <w:left w:val="none" w:sz="0" w:space="0" w:color="auto"/>
        <w:bottom w:val="none" w:sz="0" w:space="0" w:color="auto"/>
        <w:right w:val="none" w:sz="0" w:space="0" w:color="auto"/>
      </w:divBdr>
    </w:div>
    <w:div w:id="988050586">
      <w:bodyDiv w:val="1"/>
      <w:marLeft w:val="0"/>
      <w:marRight w:val="0"/>
      <w:marTop w:val="0"/>
      <w:marBottom w:val="0"/>
      <w:divBdr>
        <w:top w:val="none" w:sz="0" w:space="0" w:color="auto"/>
        <w:left w:val="none" w:sz="0" w:space="0" w:color="auto"/>
        <w:bottom w:val="none" w:sz="0" w:space="0" w:color="auto"/>
        <w:right w:val="none" w:sz="0" w:space="0" w:color="auto"/>
      </w:divBdr>
    </w:div>
    <w:div w:id="1355955500">
      <w:bodyDiv w:val="1"/>
      <w:marLeft w:val="0"/>
      <w:marRight w:val="0"/>
      <w:marTop w:val="0"/>
      <w:marBottom w:val="0"/>
      <w:divBdr>
        <w:top w:val="none" w:sz="0" w:space="0" w:color="auto"/>
        <w:left w:val="none" w:sz="0" w:space="0" w:color="auto"/>
        <w:bottom w:val="none" w:sz="0" w:space="0" w:color="auto"/>
        <w:right w:val="none" w:sz="0" w:space="0" w:color="auto"/>
      </w:divBdr>
    </w:div>
    <w:div w:id="21018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2F6F-ED30-428A-BE26-FCD19869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Osborn Maledon PA</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Luci</dc:creator>
  <cp:lastModifiedBy>Garrett, Clinten</cp:lastModifiedBy>
  <cp:revision>3</cp:revision>
  <cp:lastPrinted>2024-05-17T21:33:00Z</cp:lastPrinted>
  <dcterms:created xsi:type="dcterms:W3CDTF">2024-05-17T21:31:00Z</dcterms:created>
  <dcterms:modified xsi:type="dcterms:W3CDTF">2024-05-17T21:37:00Z</dcterms:modified>
</cp:coreProperties>
</file>