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8B2E" w14:textId="77777777" w:rsidR="001B109F" w:rsidRDefault="001B109F" w:rsidP="001B109F">
      <w:pPr>
        <w:pStyle w:val="FirmInformation"/>
        <w:spacing w:line="240" w:lineRule="auto"/>
        <w:rPr>
          <w:sz w:val="28"/>
          <w:szCs w:val="28"/>
        </w:rPr>
      </w:pPr>
      <w:r>
        <w:rPr>
          <w:sz w:val="28"/>
          <w:szCs w:val="28"/>
        </w:rPr>
        <w:t>Lisa M. Panahi, Bar No. 023421</w:t>
      </w:r>
      <w:r>
        <w:rPr>
          <w:sz w:val="28"/>
          <w:szCs w:val="28"/>
        </w:rPr>
        <w:br/>
      </w:r>
      <w:r w:rsidRPr="006F63FD">
        <w:rPr>
          <w:sz w:val="28"/>
          <w:szCs w:val="28"/>
        </w:rPr>
        <w:t>General Counsel</w:t>
      </w:r>
    </w:p>
    <w:p w14:paraId="666036BB" w14:textId="77777777" w:rsidR="001B109F" w:rsidRPr="006F63FD" w:rsidRDefault="001B109F" w:rsidP="001B109F">
      <w:pPr>
        <w:pStyle w:val="FirmInformation"/>
        <w:spacing w:line="240" w:lineRule="auto"/>
        <w:rPr>
          <w:sz w:val="28"/>
          <w:szCs w:val="28"/>
        </w:rPr>
      </w:pPr>
      <w:r w:rsidRPr="006F63FD">
        <w:rPr>
          <w:sz w:val="28"/>
          <w:szCs w:val="28"/>
        </w:rPr>
        <w:t>State Bar of Arizona</w:t>
      </w:r>
    </w:p>
    <w:p w14:paraId="142087AB" w14:textId="77777777" w:rsidR="001B109F" w:rsidRPr="006F63FD" w:rsidRDefault="001B109F" w:rsidP="001B109F">
      <w:pPr>
        <w:pStyle w:val="FirmInformation"/>
        <w:spacing w:line="240" w:lineRule="auto"/>
        <w:rPr>
          <w:sz w:val="28"/>
          <w:szCs w:val="28"/>
        </w:rPr>
      </w:pPr>
      <w:r w:rsidRPr="006F63FD">
        <w:rPr>
          <w:sz w:val="28"/>
          <w:szCs w:val="28"/>
        </w:rPr>
        <w:t>4201 N. 24th Street, Suite 100</w:t>
      </w:r>
    </w:p>
    <w:p w14:paraId="3F015588" w14:textId="77777777" w:rsidR="001B109F" w:rsidRPr="006F63FD" w:rsidRDefault="001B109F" w:rsidP="001B109F">
      <w:pPr>
        <w:pStyle w:val="FirmInformation"/>
        <w:spacing w:line="240" w:lineRule="auto"/>
        <w:rPr>
          <w:sz w:val="28"/>
          <w:szCs w:val="28"/>
        </w:rPr>
      </w:pPr>
      <w:r w:rsidRPr="006F63FD">
        <w:rPr>
          <w:sz w:val="28"/>
          <w:szCs w:val="28"/>
        </w:rPr>
        <w:t>Phoenix, AZ  85016-6288</w:t>
      </w:r>
    </w:p>
    <w:p w14:paraId="52E32660" w14:textId="313B14E7" w:rsidR="00395092" w:rsidRPr="002D260D" w:rsidRDefault="001B109F" w:rsidP="001B109F">
      <w:pPr>
        <w:pStyle w:val="Court"/>
        <w:spacing w:line="280" w:lineRule="exact"/>
        <w:jc w:val="left"/>
        <w:rPr>
          <w:b/>
          <w:sz w:val="28"/>
          <w:szCs w:val="28"/>
        </w:rPr>
      </w:pPr>
      <w:r>
        <w:rPr>
          <w:sz w:val="28"/>
          <w:szCs w:val="28"/>
        </w:rPr>
        <w:t>(602) 340-7236</w:t>
      </w:r>
    </w:p>
    <w:p w14:paraId="6F44016C" w14:textId="77777777" w:rsidR="00395092" w:rsidRPr="002D260D" w:rsidRDefault="00395092" w:rsidP="00A63959">
      <w:pPr>
        <w:pStyle w:val="Court"/>
        <w:spacing w:line="280" w:lineRule="exact"/>
        <w:rPr>
          <w:b/>
          <w:sz w:val="28"/>
          <w:szCs w:val="28"/>
        </w:rPr>
      </w:pPr>
    </w:p>
    <w:p w14:paraId="1EF77031" w14:textId="77777777" w:rsidR="00395092" w:rsidRPr="002D260D" w:rsidRDefault="000F7A7F" w:rsidP="00A63959">
      <w:pPr>
        <w:pStyle w:val="Court"/>
        <w:spacing w:line="280" w:lineRule="exact"/>
        <w:rPr>
          <w:b/>
          <w:sz w:val="28"/>
          <w:szCs w:val="28"/>
        </w:rPr>
      </w:pPr>
      <w:r w:rsidRPr="002D260D">
        <w:rPr>
          <w:b/>
          <w:sz w:val="28"/>
          <w:szCs w:val="28"/>
        </w:rPr>
        <w:t>IN THE SUPREME COURT</w:t>
      </w:r>
      <w:r w:rsidRPr="002D260D">
        <w:rPr>
          <w:b/>
          <w:sz w:val="28"/>
          <w:szCs w:val="28"/>
        </w:rPr>
        <w:br/>
        <w:t>STATE OF ARIZONA</w:t>
      </w:r>
      <w:r w:rsidR="00395092" w:rsidRPr="002D260D">
        <w:rPr>
          <w:b/>
          <w:sz w:val="28"/>
          <w:szCs w:val="28"/>
        </w:rPr>
        <w:br/>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2D260D" w14:paraId="651A5E4B" w14:textId="77777777" w:rsidTr="003B125E">
        <w:trPr>
          <w:trHeight w:val="1809"/>
        </w:trPr>
        <w:tc>
          <w:tcPr>
            <w:tcW w:w="4680" w:type="dxa"/>
            <w:tcBorders>
              <w:top w:val="nil"/>
              <w:bottom w:val="single" w:sz="4" w:space="0" w:color="auto"/>
              <w:right w:val="single" w:sz="4" w:space="0" w:color="auto"/>
            </w:tcBorders>
            <w:shd w:val="clear" w:color="auto" w:fill="auto"/>
          </w:tcPr>
          <w:p w14:paraId="1597C745" w14:textId="77777777" w:rsidR="00357F4D" w:rsidRPr="002D260D" w:rsidRDefault="00357F4D" w:rsidP="00A63959">
            <w:pPr>
              <w:pStyle w:val="Caption"/>
              <w:spacing w:before="240" w:line="280" w:lineRule="exact"/>
              <w:rPr>
                <w:sz w:val="28"/>
                <w:szCs w:val="28"/>
              </w:rPr>
            </w:pPr>
            <w:bookmarkStart w:id="0" w:name="_zzmpFIXED_CaptionTable"/>
            <w:r w:rsidRPr="002D260D">
              <w:rPr>
                <w:sz w:val="28"/>
                <w:szCs w:val="28"/>
              </w:rPr>
              <w:t>In the Matter of:</w:t>
            </w:r>
          </w:p>
          <w:p w14:paraId="7AC44FC5" w14:textId="77777777" w:rsidR="00B92D02" w:rsidRPr="002D260D" w:rsidRDefault="00B92D02" w:rsidP="00A63959">
            <w:pPr>
              <w:spacing w:line="280" w:lineRule="exact"/>
              <w:rPr>
                <w:b/>
                <w:bCs/>
                <w:sz w:val="28"/>
                <w:szCs w:val="28"/>
              </w:rPr>
            </w:pPr>
          </w:p>
          <w:p w14:paraId="58353120" w14:textId="02890229" w:rsidR="00D92F7A" w:rsidRPr="002D260D" w:rsidRDefault="00B92D02" w:rsidP="007F4766">
            <w:pPr>
              <w:spacing w:line="280" w:lineRule="exact"/>
              <w:rPr>
                <w:sz w:val="28"/>
                <w:szCs w:val="28"/>
              </w:rPr>
            </w:pPr>
            <w:r w:rsidRPr="002D260D">
              <w:rPr>
                <w:b/>
                <w:bCs/>
                <w:sz w:val="28"/>
                <w:szCs w:val="28"/>
              </w:rPr>
              <w:t xml:space="preserve">PETITION TO </w:t>
            </w:r>
            <w:r w:rsidR="00EE1594" w:rsidRPr="002D260D">
              <w:rPr>
                <w:b/>
                <w:bCs/>
                <w:sz w:val="28"/>
                <w:szCs w:val="28"/>
              </w:rPr>
              <w:t>AMEND THE RULES OF PROCEDURE FOR SPECIAL ACTIONS</w:t>
            </w:r>
            <w:r w:rsidRPr="002D260D">
              <w:rPr>
                <w:b/>
                <w:bCs/>
                <w:sz w:val="28"/>
                <w:szCs w:val="28"/>
              </w:rPr>
              <w:t xml:space="preserve"> </w:t>
            </w:r>
          </w:p>
        </w:tc>
        <w:tc>
          <w:tcPr>
            <w:tcW w:w="4524" w:type="dxa"/>
            <w:tcBorders>
              <w:top w:val="nil"/>
              <w:left w:val="single" w:sz="4" w:space="0" w:color="auto"/>
            </w:tcBorders>
            <w:shd w:val="clear" w:color="auto" w:fill="auto"/>
          </w:tcPr>
          <w:p w14:paraId="0BAA7C82" w14:textId="71BD26E9" w:rsidR="00357F4D" w:rsidRPr="002D260D" w:rsidRDefault="00357F4D" w:rsidP="00A63959">
            <w:pPr>
              <w:pStyle w:val="Caption"/>
              <w:tabs>
                <w:tab w:val="left" w:pos="1238"/>
              </w:tabs>
              <w:spacing w:before="240" w:after="240" w:line="280" w:lineRule="exact"/>
              <w:ind w:left="259" w:right="115"/>
              <w:rPr>
                <w:sz w:val="28"/>
                <w:szCs w:val="28"/>
              </w:rPr>
            </w:pPr>
            <w:r w:rsidRPr="002D260D">
              <w:rPr>
                <w:sz w:val="28"/>
                <w:szCs w:val="28"/>
              </w:rPr>
              <w:t>Supreme Court No. R-</w:t>
            </w:r>
            <w:r w:rsidR="00B92D02" w:rsidRPr="002D260D">
              <w:rPr>
                <w:sz w:val="28"/>
                <w:szCs w:val="28"/>
              </w:rPr>
              <w:t>2</w:t>
            </w:r>
            <w:r w:rsidR="006A4FA4">
              <w:rPr>
                <w:sz w:val="28"/>
                <w:szCs w:val="28"/>
              </w:rPr>
              <w:t>3</w:t>
            </w:r>
            <w:r w:rsidR="00B92D02" w:rsidRPr="002D260D">
              <w:rPr>
                <w:sz w:val="28"/>
                <w:szCs w:val="28"/>
              </w:rPr>
              <w:t>-00</w:t>
            </w:r>
            <w:r w:rsidR="00EE1594" w:rsidRPr="002D260D">
              <w:rPr>
                <w:sz w:val="28"/>
                <w:szCs w:val="28"/>
              </w:rPr>
              <w:t>55</w:t>
            </w:r>
          </w:p>
          <w:p w14:paraId="26773F93" w14:textId="77777777" w:rsidR="00357F4D" w:rsidRPr="002D260D" w:rsidRDefault="00D92F7A" w:rsidP="00A63959">
            <w:pPr>
              <w:pStyle w:val="Caption"/>
              <w:tabs>
                <w:tab w:val="left" w:pos="1238"/>
              </w:tabs>
              <w:spacing w:line="280" w:lineRule="exact"/>
              <w:ind w:right="115"/>
              <w:jc w:val="center"/>
              <w:rPr>
                <w:b/>
                <w:sz w:val="28"/>
                <w:szCs w:val="28"/>
              </w:rPr>
            </w:pPr>
            <w:r w:rsidRPr="002D260D">
              <w:rPr>
                <w:b/>
                <w:sz w:val="28"/>
                <w:szCs w:val="28"/>
              </w:rPr>
              <w:t>COMMENT OF</w:t>
            </w:r>
            <w:r w:rsidRPr="002D260D">
              <w:rPr>
                <w:b/>
                <w:sz w:val="28"/>
                <w:szCs w:val="28"/>
              </w:rPr>
              <w:br/>
              <w:t>THE STATE BAR OF ARIZONA</w:t>
            </w:r>
          </w:p>
          <w:p w14:paraId="47CEB4A8" w14:textId="77777777" w:rsidR="00357F4D" w:rsidRPr="002D260D" w:rsidRDefault="00357F4D" w:rsidP="00A63959">
            <w:pPr>
              <w:pStyle w:val="DocumentTitle"/>
              <w:spacing w:line="280" w:lineRule="exact"/>
              <w:rPr>
                <w:sz w:val="28"/>
                <w:szCs w:val="28"/>
              </w:rPr>
            </w:pPr>
          </w:p>
          <w:p w14:paraId="5FF56B18" w14:textId="77777777" w:rsidR="00357F4D" w:rsidRPr="002D260D" w:rsidRDefault="00357F4D" w:rsidP="00A63959">
            <w:pPr>
              <w:pStyle w:val="Caption"/>
              <w:spacing w:line="280" w:lineRule="exact"/>
              <w:ind w:left="1512" w:right="115" w:hanging="1253"/>
              <w:rPr>
                <w:sz w:val="28"/>
                <w:szCs w:val="28"/>
              </w:rPr>
            </w:pPr>
          </w:p>
        </w:tc>
      </w:tr>
      <w:bookmarkEnd w:id="0"/>
    </w:tbl>
    <w:p w14:paraId="6CA56F05" w14:textId="77777777" w:rsidR="006652C3" w:rsidRPr="002D260D" w:rsidRDefault="006652C3" w:rsidP="001B109F">
      <w:pPr>
        <w:spacing w:line="560" w:lineRule="exact"/>
        <w:ind w:right="86"/>
        <w:jc w:val="both"/>
        <w:rPr>
          <w:color w:val="000000"/>
          <w:sz w:val="28"/>
          <w:szCs w:val="28"/>
        </w:rPr>
      </w:pPr>
    </w:p>
    <w:p w14:paraId="3FA056A3" w14:textId="634720FF" w:rsidR="006159B5" w:rsidRPr="002D260D" w:rsidRDefault="009830BC" w:rsidP="006159B5">
      <w:pPr>
        <w:spacing w:line="560" w:lineRule="exact"/>
        <w:ind w:right="86" w:firstLine="720"/>
        <w:jc w:val="both"/>
        <w:rPr>
          <w:color w:val="000000"/>
          <w:sz w:val="28"/>
          <w:szCs w:val="28"/>
        </w:rPr>
      </w:pPr>
      <w:r w:rsidRPr="002D260D">
        <w:rPr>
          <w:color w:val="000000"/>
          <w:sz w:val="28"/>
          <w:szCs w:val="28"/>
        </w:rPr>
        <w:t xml:space="preserve">Pursuant to Rule 28, Ariz. R. Sup. Ct., the State Bar of Arizona (“State Bar”) </w:t>
      </w:r>
      <w:r w:rsidR="00B92D02" w:rsidRPr="002D260D">
        <w:rPr>
          <w:color w:val="000000"/>
          <w:sz w:val="28"/>
          <w:szCs w:val="28"/>
        </w:rPr>
        <w:t xml:space="preserve">submits the following comment with respect to </w:t>
      </w:r>
      <w:r w:rsidR="00D05DCA" w:rsidRPr="002D260D">
        <w:rPr>
          <w:color w:val="000000"/>
          <w:sz w:val="28"/>
          <w:szCs w:val="28"/>
        </w:rPr>
        <w:t>Petition R-2</w:t>
      </w:r>
      <w:r w:rsidR="006A4FA4">
        <w:rPr>
          <w:color w:val="000000"/>
          <w:sz w:val="28"/>
          <w:szCs w:val="28"/>
        </w:rPr>
        <w:t>3</w:t>
      </w:r>
      <w:r w:rsidR="00D05DCA" w:rsidRPr="002D260D">
        <w:rPr>
          <w:color w:val="000000"/>
          <w:sz w:val="28"/>
          <w:szCs w:val="28"/>
        </w:rPr>
        <w:t>-00</w:t>
      </w:r>
      <w:r w:rsidR="00EE1594" w:rsidRPr="002D260D">
        <w:rPr>
          <w:color w:val="000000"/>
          <w:sz w:val="28"/>
          <w:szCs w:val="28"/>
        </w:rPr>
        <w:t>55</w:t>
      </w:r>
      <w:r w:rsidR="00D05DCA" w:rsidRPr="002D260D">
        <w:rPr>
          <w:color w:val="000000"/>
          <w:sz w:val="28"/>
          <w:szCs w:val="28"/>
        </w:rPr>
        <w:t xml:space="preserve"> (the “Petition”</w:t>
      </w:r>
      <w:r w:rsidR="00B92D02" w:rsidRPr="002D260D">
        <w:rPr>
          <w:color w:val="000000"/>
          <w:sz w:val="28"/>
          <w:szCs w:val="28"/>
        </w:rPr>
        <w:t>)</w:t>
      </w:r>
      <w:r w:rsidR="006159B5" w:rsidRPr="002D260D">
        <w:rPr>
          <w:color w:val="000000"/>
          <w:sz w:val="28"/>
          <w:szCs w:val="28"/>
        </w:rPr>
        <w:t xml:space="preserve"> filed by </w:t>
      </w:r>
      <w:r w:rsidR="007F4766" w:rsidRPr="002D260D">
        <w:rPr>
          <w:color w:val="000000"/>
          <w:sz w:val="28"/>
          <w:szCs w:val="28"/>
        </w:rPr>
        <w:t xml:space="preserve">the </w:t>
      </w:r>
      <w:r w:rsidR="00EE1594" w:rsidRPr="002D260D">
        <w:rPr>
          <w:color w:val="000000"/>
          <w:sz w:val="28"/>
          <w:szCs w:val="28"/>
        </w:rPr>
        <w:t>Task Force on Rules of Procedure for Special Actions (the “Task Force”)</w:t>
      </w:r>
      <w:r w:rsidR="006159B5" w:rsidRPr="002D260D">
        <w:rPr>
          <w:color w:val="000000"/>
          <w:sz w:val="28"/>
          <w:szCs w:val="28"/>
        </w:rPr>
        <w:t>.</w:t>
      </w:r>
    </w:p>
    <w:p w14:paraId="13E802A8" w14:textId="41E12E1E" w:rsidR="00104FED" w:rsidRDefault="00B92D02" w:rsidP="007629A3">
      <w:pPr>
        <w:spacing w:line="560" w:lineRule="exact"/>
        <w:ind w:right="86" w:firstLine="720"/>
        <w:jc w:val="both"/>
        <w:rPr>
          <w:color w:val="000000"/>
          <w:sz w:val="28"/>
          <w:szCs w:val="28"/>
        </w:rPr>
      </w:pPr>
      <w:r w:rsidRPr="002D260D">
        <w:rPr>
          <w:color w:val="000000"/>
          <w:sz w:val="28"/>
          <w:szCs w:val="28"/>
        </w:rPr>
        <w:t xml:space="preserve">The Petition seeks to </w:t>
      </w:r>
      <w:r w:rsidR="00EE1594" w:rsidRPr="002D260D">
        <w:rPr>
          <w:color w:val="000000"/>
          <w:sz w:val="28"/>
          <w:szCs w:val="28"/>
        </w:rPr>
        <w:t>abrogate the current Rules of Procedure for Special Actions (“RSPA” or “S</w:t>
      </w:r>
      <w:r w:rsidR="00D218B5" w:rsidRPr="002D260D">
        <w:rPr>
          <w:color w:val="000000"/>
          <w:sz w:val="28"/>
          <w:szCs w:val="28"/>
        </w:rPr>
        <w:t>A Rules</w:t>
      </w:r>
      <w:r w:rsidR="00EE1594" w:rsidRPr="002D260D">
        <w:rPr>
          <w:color w:val="000000"/>
          <w:sz w:val="28"/>
          <w:szCs w:val="28"/>
        </w:rPr>
        <w:t xml:space="preserve">”) </w:t>
      </w:r>
      <w:r w:rsidR="007629A3" w:rsidRPr="002D260D">
        <w:rPr>
          <w:color w:val="000000"/>
          <w:sz w:val="28"/>
          <w:szCs w:val="28"/>
        </w:rPr>
        <w:t xml:space="preserve">and replace them in their entirety with new rules.  </w:t>
      </w:r>
      <w:r w:rsidR="00104FED" w:rsidRPr="002D260D">
        <w:rPr>
          <w:color w:val="000000"/>
          <w:sz w:val="28"/>
          <w:szCs w:val="28"/>
        </w:rPr>
        <w:t xml:space="preserve">Having reviewed the Petition, the </w:t>
      </w:r>
      <w:r w:rsidR="00194BFD" w:rsidRPr="002D260D">
        <w:rPr>
          <w:color w:val="000000"/>
          <w:sz w:val="28"/>
          <w:szCs w:val="28"/>
        </w:rPr>
        <w:t xml:space="preserve">State Bar recommends </w:t>
      </w:r>
      <w:r w:rsidR="00BE7732" w:rsidRPr="002D260D">
        <w:rPr>
          <w:color w:val="000000"/>
          <w:sz w:val="28"/>
          <w:szCs w:val="28"/>
        </w:rPr>
        <w:t xml:space="preserve">that </w:t>
      </w:r>
      <w:r w:rsidR="007629A3" w:rsidRPr="002D260D">
        <w:rPr>
          <w:color w:val="000000"/>
          <w:sz w:val="28"/>
          <w:szCs w:val="28"/>
        </w:rPr>
        <w:t>the new S</w:t>
      </w:r>
      <w:r w:rsidR="00D218B5" w:rsidRPr="002D260D">
        <w:rPr>
          <w:color w:val="000000"/>
          <w:sz w:val="28"/>
          <w:szCs w:val="28"/>
        </w:rPr>
        <w:t>A Rules</w:t>
      </w:r>
      <w:r w:rsidR="007629A3" w:rsidRPr="002D260D">
        <w:rPr>
          <w:color w:val="000000"/>
          <w:sz w:val="28"/>
          <w:szCs w:val="28"/>
        </w:rPr>
        <w:t xml:space="preserve"> proposed by the Task Force be adopted in their entirety with slight modifications as identified herein.</w:t>
      </w:r>
      <w:r w:rsidR="00104FED" w:rsidRPr="002D260D">
        <w:rPr>
          <w:color w:val="000000"/>
          <w:sz w:val="28"/>
          <w:szCs w:val="28"/>
        </w:rPr>
        <w:t xml:space="preserve"> </w:t>
      </w:r>
    </w:p>
    <w:p w14:paraId="4A4A7298" w14:textId="77777777" w:rsidR="001B109F" w:rsidRDefault="001B109F" w:rsidP="007629A3">
      <w:pPr>
        <w:spacing w:line="560" w:lineRule="exact"/>
        <w:ind w:right="86" w:firstLine="720"/>
        <w:jc w:val="both"/>
        <w:rPr>
          <w:color w:val="000000"/>
          <w:sz w:val="28"/>
          <w:szCs w:val="28"/>
        </w:rPr>
      </w:pPr>
    </w:p>
    <w:p w14:paraId="18FA1655" w14:textId="77777777" w:rsidR="001B109F" w:rsidRPr="002D260D" w:rsidRDefault="001B109F" w:rsidP="007629A3">
      <w:pPr>
        <w:spacing w:line="560" w:lineRule="exact"/>
        <w:ind w:right="86" w:firstLine="720"/>
        <w:jc w:val="both"/>
        <w:rPr>
          <w:color w:val="000000"/>
          <w:sz w:val="28"/>
          <w:szCs w:val="28"/>
        </w:rPr>
      </w:pPr>
    </w:p>
    <w:p w14:paraId="681B0619" w14:textId="77777777" w:rsidR="00D218B5" w:rsidRPr="002D260D" w:rsidRDefault="00D218B5" w:rsidP="00D218B5">
      <w:pPr>
        <w:spacing w:line="560" w:lineRule="exact"/>
        <w:ind w:right="86"/>
        <w:jc w:val="center"/>
        <w:rPr>
          <w:b/>
          <w:color w:val="000000"/>
          <w:sz w:val="28"/>
          <w:szCs w:val="28"/>
        </w:rPr>
      </w:pPr>
      <w:r w:rsidRPr="002D260D">
        <w:rPr>
          <w:b/>
          <w:color w:val="000000"/>
          <w:sz w:val="28"/>
          <w:szCs w:val="28"/>
        </w:rPr>
        <w:lastRenderedPageBreak/>
        <w:t>I.</w:t>
      </w:r>
      <w:r w:rsidRPr="002D260D">
        <w:rPr>
          <w:b/>
          <w:color w:val="000000"/>
          <w:sz w:val="28"/>
          <w:szCs w:val="28"/>
        </w:rPr>
        <w:tab/>
        <w:t>INTRODUCTION.</w:t>
      </w:r>
    </w:p>
    <w:p w14:paraId="28417556" w14:textId="27DEA24E" w:rsidR="00CA0B43" w:rsidRPr="002D260D" w:rsidRDefault="00D218B5" w:rsidP="00D218B5">
      <w:pPr>
        <w:spacing w:line="560" w:lineRule="exact"/>
        <w:ind w:right="86" w:firstLine="720"/>
        <w:jc w:val="both"/>
        <w:rPr>
          <w:sz w:val="28"/>
          <w:szCs w:val="28"/>
        </w:rPr>
      </w:pPr>
      <w:r w:rsidRPr="002D260D">
        <w:rPr>
          <w:sz w:val="28"/>
          <w:szCs w:val="28"/>
        </w:rPr>
        <w:t>The State Bar commend</w:t>
      </w:r>
      <w:r w:rsidR="0023383E" w:rsidRPr="002D260D">
        <w:rPr>
          <w:sz w:val="28"/>
          <w:szCs w:val="28"/>
        </w:rPr>
        <w:t>s</w:t>
      </w:r>
      <w:r w:rsidRPr="002D260D">
        <w:rPr>
          <w:sz w:val="28"/>
          <w:szCs w:val="28"/>
        </w:rPr>
        <w:t xml:space="preserve"> the Task Force for its </w:t>
      </w:r>
      <w:r w:rsidR="001B109F" w:rsidRPr="002D260D">
        <w:rPr>
          <w:sz w:val="28"/>
          <w:szCs w:val="28"/>
        </w:rPr>
        <w:t>work and</w:t>
      </w:r>
      <w:r w:rsidRPr="002D260D">
        <w:rPr>
          <w:sz w:val="28"/>
          <w:szCs w:val="28"/>
        </w:rPr>
        <w:t xml:space="preserve"> believes adoption of the proposed new SA Rules will provide much needed clarity to special action practice in Arizona to the benefit of litigants, practitioners, and our courts alike.  </w:t>
      </w:r>
    </w:p>
    <w:p w14:paraId="1CDDD703" w14:textId="77777777" w:rsidR="00C479BE" w:rsidRPr="002D260D" w:rsidRDefault="00601CA6" w:rsidP="00C479BE">
      <w:pPr>
        <w:spacing w:line="560" w:lineRule="exact"/>
        <w:ind w:right="86" w:firstLine="720"/>
        <w:jc w:val="both"/>
        <w:rPr>
          <w:sz w:val="28"/>
          <w:szCs w:val="28"/>
        </w:rPr>
      </w:pPr>
      <w:r w:rsidRPr="002D260D">
        <w:rPr>
          <w:sz w:val="28"/>
          <w:szCs w:val="28"/>
        </w:rPr>
        <w:t xml:space="preserve">The Task Force furnished </w:t>
      </w:r>
      <w:r w:rsidR="0013249B" w:rsidRPr="002D260D">
        <w:rPr>
          <w:sz w:val="28"/>
          <w:szCs w:val="28"/>
        </w:rPr>
        <w:t xml:space="preserve">a “vetting draft” of the proposed, amended SA Rules to </w:t>
      </w:r>
      <w:r w:rsidRPr="002D260D">
        <w:rPr>
          <w:sz w:val="28"/>
          <w:szCs w:val="28"/>
        </w:rPr>
        <w:t>the State Bar</w:t>
      </w:r>
      <w:r w:rsidR="0013249B" w:rsidRPr="002D260D">
        <w:rPr>
          <w:sz w:val="28"/>
          <w:szCs w:val="28"/>
        </w:rPr>
        <w:t>’s Civil Practice and Procedure Committee (“CPPC”)</w:t>
      </w:r>
      <w:r w:rsidRPr="002D260D">
        <w:rPr>
          <w:sz w:val="28"/>
          <w:szCs w:val="28"/>
        </w:rPr>
        <w:t xml:space="preserve"> </w:t>
      </w:r>
      <w:r w:rsidR="0013249B" w:rsidRPr="002D260D">
        <w:rPr>
          <w:sz w:val="28"/>
          <w:szCs w:val="28"/>
        </w:rPr>
        <w:t xml:space="preserve">on a pre-Petition basis for review and comment.  In response, the CPPC provided a memorandum and accompanying redline version of the “vetting draft” reflecting the CPPC’s suggested revisions to the Task Force.  </w:t>
      </w:r>
      <w:r w:rsidR="00CA0B43" w:rsidRPr="002D260D">
        <w:rPr>
          <w:sz w:val="28"/>
          <w:szCs w:val="28"/>
        </w:rPr>
        <w:t>T</w:t>
      </w:r>
      <w:r w:rsidR="0013249B" w:rsidRPr="002D260D">
        <w:rPr>
          <w:sz w:val="28"/>
          <w:szCs w:val="28"/>
        </w:rPr>
        <w:t>he Task Force incorporated many, but not all, of the CPPC’s recommended revisions</w:t>
      </w:r>
      <w:r w:rsidR="00CA0B43" w:rsidRPr="002D260D">
        <w:rPr>
          <w:sz w:val="28"/>
          <w:szCs w:val="28"/>
        </w:rPr>
        <w:t xml:space="preserve"> into the draft new SA Rules proposed through its Petition for adoption by the Court.</w:t>
      </w:r>
    </w:p>
    <w:p w14:paraId="2FA2176D" w14:textId="77777777" w:rsidR="007A2778" w:rsidRPr="002D260D" w:rsidRDefault="0025453B" w:rsidP="00C479BE">
      <w:pPr>
        <w:spacing w:line="560" w:lineRule="exact"/>
        <w:ind w:right="86" w:firstLine="720"/>
        <w:jc w:val="both"/>
        <w:rPr>
          <w:sz w:val="28"/>
          <w:szCs w:val="28"/>
        </w:rPr>
      </w:pPr>
      <w:r w:rsidRPr="002D260D">
        <w:rPr>
          <w:sz w:val="28"/>
          <w:szCs w:val="28"/>
        </w:rPr>
        <w:t>By this Comment, the State Bar</w:t>
      </w:r>
      <w:r w:rsidR="00C479BE" w:rsidRPr="002D260D">
        <w:rPr>
          <w:sz w:val="28"/>
          <w:szCs w:val="28"/>
        </w:rPr>
        <w:t xml:space="preserve"> recommends adoption of the new SA Rules in their entirety and </w:t>
      </w:r>
      <w:r w:rsidR="007A2778" w:rsidRPr="002D260D">
        <w:rPr>
          <w:sz w:val="28"/>
          <w:szCs w:val="28"/>
        </w:rPr>
        <w:t xml:space="preserve">requests </w:t>
      </w:r>
      <w:r w:rsidR="00C479BE" w:rsidRPr="002D260D">
        <w:rPr>
          <w:sz w:val="28"/>
          <w:szCs w:val="28"/>
        </w:rPr>
        <w:t>the Court consider the additional suggested revisions to the proposed new SA Rules identified herein</w:t>
      </w:r>
      <w:r w:rsidR="00D218B5" w:rsidRPr="002D260D">
        <w:rPr>
          <w:sz w:val="28"/>
          <w:szCs w:val="28"/>
        </w:rPr>
        <w:t>.</w:t>
      </w:r>
    </w:p>
    <w:p w14:paraId="779FCD4B" w14:textId="764AA938" w:rsidR="007A2778" w:rsidRPr="002D260D" w:rsidRDefault="007A2778" w:rsidP="007A2778">
      <w:pPr>
        <w:spacing w:line="560" w:lineRule="exact"/>
        <w:ind w:right="86"/>
        <w:jc w:val="center"/>
        <w:rPr>
          <w:sz w:val="28"/>
          <w:szCs w:val="28"/>
        </w:rPr>
      </w:pPr>
      <w:r w:rsidRPr="002D260D">
        <w:rPr>
          <w:b/>
          <w:bCs/>
          <w:sz w:val="28"/>
          <w:szCs w:val="28"/>
        </w:rPr>
        <w:t>II.</w:t>
      </w:r>
      <w:r w:rsidRPr="002D260D">
        <w:rPr>
          <w:b/>
          <w:bCs/>
          <w:sz w:val="28"/>
          <w:szCs w:val="28"/>
        </w:rPr>
        <w:tab/>
        <w:t xml:space="preserve">Suggested Revisions to </w:t>
      </w:r>
      <w:r w:rsidR="007169B5" w:rsidRPr="002D260D">
        <w:rPr>
          <w:b/>
          <w:bCs/>
          <w:sz w:val="28"/>
          <w:szCs w:val="28"/>
        </w:rPr>
        <w:t xml:space="preserve">Select </w:t>
      </w:r>
      <w:r w:rsidRPr="002D260D">
        <w:rPr>
          <w:b/>
          <w:bCs/>
          <w:sz w:val="28"/>
          <w:szCs w:val="28"/>
        </w:rPr>
        <w:t>New Special Action Rules.</w:t>
      </w:r>
    </w:p>
    <w:p w14:paraId="77F2AE76" w14:textId="2F5F0479" w:rsidR="00D218B5" w:rsidRPr="002D260D" w:rsidRDefault="007A2778" w:rsidP="0029455B">
      <w:pPr>
        <w:spacing w:line="560" w:lineRule="exact"/>
        <w:ind w:right="86"/>
        <w:jc w:val="both"/>
        <w:rPr>
          <w:sz w:val="28"/>
          <w:szCs w:val="28"/>
        </w:rPr>
      </w:pPr>
      <w:r w:rsidRPr="002D260D">
        <w:rPr>
          <w:sz w:val="28"/>
          <w:szCs w:val="28"/>
        </w:rPr>
        <w:tab/>
        <w:t>The State Ba</w:t>
      </w:r>
      <w:r w:rsidR="007169B5" w:rsidRPr="002D260D">
        <w:rPr>
          <w:sz w:val="28"/>
          <w:szCs w:val="28"/>
        </w:rPr>
        <w:t>r requests that</w:t>
      </w:r>
      <w:r w:rsidR="0029455B" w:rsidRPr="002D260D">
        <w:rPr>
          <w:sz w:val="28"/>
          <w:szCs w:val="28"/>
        </w:rPr>
        <w:t xml:space="preserve"> </w:t>
      </w:r>
      <w:r w:rsidR="007169B5" w:rsidRPr="002D260D">
        <w:rPr>
          <w:sz w:val="28"/>
          <w:szCs w:val="28"/>
        </w:rPr>
        <w:t xml:space="preserve">the Court </w:t>
      </w:r>
      <w:r w:rsidR="0029455B" w:rsidRPr="002D260D">
        <w:rPr>
          <w:sz w:val="28"/>
          <w:szCs w:val="28"/>
        </w:rPr>
        <w:t xml:space="preserve">consider its following concerns and </w:t>
      </w:r>
      <w:r w:rsidR="007169B5" w:rsidRPr="002D260D">
        <w:rPr>
          <w:sz w:val="28"/>
          <w:szCs w:val="28"/>
        </w:rPr>
        <w:t>suggested revisions to select rules within the proposed new SA Rules:</w:t>
      </w:r>
    </w:p>
    <w:p w14:paraId="021383C6" w14:textId="6012FD3B" w:rsidR="00AB6130" w:rsidRPr="002D260D" w:rsidRDefault="007169B5" w:rsidP="0029455B">
      <w:pPr>
        <w:spacing w:line="560" w:lineRule="exact"/>
        <w:ind w:right="86"/>
        <w:jc w:val="both"/>
        <w:rPr>
          <w:sz w:val="28"/>
          <w:szCs w:val="28"/>
        </w:rPr>
      </w:pPr>
      <w:r w:rsidRPr="002D260D">
        <w:rPr>
          <w:sz w:val="28"/>
          <w:szCs w:val="28"/>
        </w:rPr>
        <w:tab/>
      </w:r>
      <w:r w:rsidRPr="002D260D">
        <w:rPr>
          <w:b/>
          <w:bCs/>
          <w:sz w:val="28"/>
          <w:szCs w:val="28"/>
        </w:rPr>
        <w:t>Rule 5(b)(2).</w:t>
      </w:r>
      <w:r w:rsidRPr="002D260D">
        <w:rPr>
          <w:sz w:val="28"/>
          <w:szCs w:val="28"/>
        </w:rPr>
        <w:t xml:space="preserve">  Proposed new SA Rule 5(b)(2) provides, in part, that “[t]he court may allow other persons to respond” to a special action petition.  The State Bar is concerned as to the lack of guidance in the Rule </w:t>
      </w:r>
      <w:r w:rsidR="00E12829" w:rsidRPr="002D260D">
        <w:rPr>
          <w:sz w:val="28"/>
          <w:szCs w:val="28"/>
        </w:rPr>
        <w:t>regarding</w:t>
      </w:r>
      <w:r w:rsidRPr="002D260D">
        <w:rPr>
          <w:sz w:val="28"/>
          <w:szCs w:val="28"/>
        </w:rPr>
        <w:t xml:space="preserve"> who is permitted to respond</w:t>
      </w:r>
      <w:r w:rsidR="0029455B" w:rsidRPr="002D260D">
        <w:rPr>
          <w:sz w:val="28"/>
          <w:szCs w:val="28"/>
        </w:rPr>
        <w:t xml:space="preserve"> and </w:t>
      </w:r>
      <w:r w:rsidRPr="002D260D">
        <w:rPr>
          <w:sz w:val="28"/>
          <w:szCs w:val="28"/>
        </w:rPr>
        <w:t>whether</w:t>
      </w:r>
      <w:r w:rsidR="0029455B" w:rsidRPr="002D260D">
        <w:rPr>
          <w:sz w:val="28"/>
          <w:szCs w:val="28"/>
        </w:rPr>
        <w:t xml:space="preserve"> there are any limits on a court’s discretion in making </w:t>
      </w:r>
      <w:r w:rsidR="001B109F" w:rsidRPr="002D260D">
        <w:rPr>
          <w:sz w:val="28"/>
          <w:szCs w:val="28"/>
        </w:rPr>
        <w:t xml:space="preserve">these </w:t>
      </w:r>
      <w:r w:rsidR="001B109F" w:rsidRPr="002D260D">
        <w:rPr>
          <w:sz w:val="28"/>
          <w:szCs w:val="28"/>
        </w:rPr>
        <w:lastRenderedPageBreak/>
        <w:t>allowances</w:t>
      </w:r>
      <w:r w:rsidR="00AB6130" w:rsidRPr="002D260D">
        <w:rPr>
          <w:sz w:val="28"/>
          <w:szCs w:val="28"/>
        </w:rPr>
        <w:t xml:space="preserve"> such as long-established limits and formal requirements applicable to intervenor status. </w:t>
      </w:r>
    </w:p>
    <w:p w14:paraId="66F1B68A" w14:textId="114E00C0" w:rsidR="007169B5" w:rsidRPr="002D260D" w:rsidRDefault="00AB6130" w:rsidP="0029455B">
      <w:pPr>
        <w:spacing w:line="560" w:lineRule="exact"/>
        <w:ind w:right="86"/>
        <w:jc w:val="both"/>
        <w:rPr>
          <w:color w:val="000000"/>
          <w:sz w:val="28"/>
          <w:szCs w:val="28"/>
        </w:rPr>
      </w:pPr>
      <w:r w:rsidRPr="002D260D">
        <w:rPr>
          <w:sz w:val="28"/>
          <w:szCs w:val="28"/>
        </w:rPr>
        <w:tab/>
      </w:r>
      <w:r w:rsidR="009A1961" w:rsidRPr="002D260D">
        <w:rPr>
          <w:b/>
          <w:bCs/>
          <w:sz w:val="28"/>
          <w:szCs w:val="28"/>
        </w:rPr>
        <w:t>Rule 7(a)(2)</w:t>
      </w:r>
      <w:r w:rsidR="0064147F" w:rsidRPr="002D260D">
        <w:rPr>
          <w:b/>
          <w:bCs/>
          <w:sz w:val="28"/>
          <w:szCs w:val="28"/>
        </w:rPr>
        <w:t>, (b), and (e)</w:t>
      </w:r>
      <w:r w:rsidR="009A1961" w:rsidRPr="002D260D">
        <w:rPr>
          <w:b/>
          <w:bCs/>
          <w:sz w:val="28"/>
          <w:szCs w:val="28"/>
        </w:rPr>
        <w:t>.</w:t>
      </w:r>
      <w:r w:rsidR="009A1961" w:rsidRPr="002D260D">
        <w:rPr>
          <w:sz w:val="28"/>
          <w:szCs w:val="28"/>
        </w:rPr>
        <w:t xml:space="preserve">  Proposed new Rule 7(a)(2) requires a defendant to file an “answer or other appropriate response” within a certain time.  The State Bar does not understand what types of motions or other filings are intended to be included within the meaning of the phrase “other appropriate response.”  If the Rule contemplates the filing of a motion to dismiss or other pre-answer motion as authorized in Rule 12, Ariz. R. Civ. P., the State Bar suggests replacing the word “response” in the title of the Rule and the phrase “other appropriate response” </w:t>
      </w:r>
      <w:r w:rsidR="0064147F" w:rsidRPr="002D260D">
        <w:rPr>
          <w:sz w:val="28"/>
          <w:szCs w:val="28"/>
        </w:rPr>
        <w:t>in the body of the Rule with “</w:t>
      </w:r>
      <w:r w:rsidR="00771126" w:rsidRPr="002D260D">
        <w:rPr>
          <w:sz w:val="28"/>
          <w:szCs w:val="28"/>
        </w:rPr>
        <w:t>dispositive motion</w:t>
      </w:r>
      <w:r w:rsidR="0064147F" w:rsidRPr="002D260D">
        <w:rPr>
          <w:sz w:val="28"/>
          <w:szCs w:val="28"/>
        </w:rPr>
        <w:t>.”  For the same reason, the State Bar recommends replacing the phrase “</w:t>
      </w:r>
      <w:r w:rsidR="00771126" w:rsidRPr="002D260D">
        <w:rPr>
          <w:sz w:val="28"/>
          <w:szCs w:val="28"/>
        </w:rPr>
        <w:t>or an answer or response to a complaint</w:t>
      </w:r>
      <w:r w:rsidR="0064147F" w:rsidRPr="002D260D">
        <w:rPr>
          <w:sz w:val="28"/>
          <w:szCs w:val="28"/>
        </w:rPr>
        <w:t xml:space="preserve">” in </w:t>
      </w:r>
      <w:r w:rsidR="0070657F" w:rsidRPr="002D260D">
        <w:rPr>
          <w:sz w:val="28"/>
          <w:szCs w:val="28"/>
        </w:rPr>
        <w:t xml:space="preserve">proposed new </w:t>
      </w:r>
      <w:r w:rsidR="0064147F" w:rsidRPr="002D260D">
        <w:rPr>
          <w:sz w:val="28"/>
          <w:szCs w:val="28"/>
        </w:rPr>
        <w:t>Rule 7(b)</w:t>
      </w:r>
      <w:r w:rsidR="00771126" w:rsidRPr="002D260D">
        <w:rPr>
          <w:sz w:val="28"/>
          <w:szCs w:val="28"/>
        </w:rPr>
        <w:t xml:space="preserve"> with “an answer to a complaint or a dispositive motion</w:t>
      </w:r>
      <w:r w:rsidR="0070657F" w:rsidRPr="002D260D">
        <w:rPr>
          <w:sz w:val="28"/>
          <w:szCs w:val="28"/>
        </w:rPr>
        <w:t>.”</w:t>
      </w:r>
      <w:r w:rsidR="0064147F" w:rsidRPr="002D260D">
        <w:rPr>
          <w:sz w:val="28"/>
          <w:szCs w:val="28"/>
        </w:rPr>
        <w:t xml:space="preserve"> </w:t>
      </w:r>
    </w:p>
    <w:p w14:paraId="3C3BED07" w14:textId="635A454B" w:rsidR="00DF2443" w:rsidRPr="002D260D" w:rsidRDefault="0064147F" w:rsidP="00D218B5">
      <w:pPr>
        <w:spacing w:line="560" w:lineRule="exact"/>
        <w:ind w:right="86"/>
        <w:jc w:val="both"/>
        <w:rPr>
          <w:bCs/>
          <w:color w:val="000000"/>
          <w:sz w:val="28"/>
          <w:szCs w:val="28"/>
        </w:rPr>
      </w:pPr>
      <w:r w:rsidRPr="002D260D">
        <w:rPr>
          <w:bCs/>
          <w:color w:val="000000"/>
          <w:sz w:val="28"/>
          <w:szCs w:val="28"/>
        </w:rPr>
        <w:tab/>
      </w:r>
      <w:r w:rsidR="00F240F5" w:rsidRPr="002D260D">
        <w:rPr>
          <w:b/>
          <w:color w:val="000000"/>
          <w:sz w:val="28"/>
          <w:szCs w:val="28"/>
        </w:rPr>
        <w:t>Rule 7(g).</w:t>
      </w:r>
      <w:r w:rsidR="00F240F5" w:rsidRPr="002D260D">
        <w:rPr>
          <w:bCs/>
          <w:color w:val="000000"/>
          <w:sz w:val="28"/>
          <w:szCs w:val="28"/>
        </w:rPr>
        <w:t xml:space="preserve">  This proposed new Rule in part empowers a court to issue special orders regarding discovery if an action raises a </w:t>
      </w:r>
      <w:r w:rsidR="001B109F" w:rsidRPr="002D260D">
        <w:rPr>
          <w:bCs/>
          <w:color w:val="000000"/>
          <w:sz w:val="28"/>
          <w:szCs w:val="28"/>
        </w:rPr>
        <w:t>material issue of fact</w:t>
      </w:r>
      <w:r w:rsidR="00F240F5" w:rsidRPr="002D260D">
        <w:rPr>
          <w:bCs/>
          <w:color w:val="000000"/>
          <w:sz w:val="28"/>
          <w:szCs w:val="28"/>
        </w:rPr>
        <w:t>.  Recognizing that the discovery and disclosure processes are complimentary</w:t>
      </w:r>
      <w:r w:rsidR="00DF2443" w:rsidRPr="002D260D">
        <w:rPr>
          <w:bCs/>
          <w:color w:val="000000"/>
          <w:sz w:val="28"/>
          <w:szCs w:val="28"/>
        </w:rPr>
        <w:t xml:space="preserve"> under Arizona procedure</w:t>
      </w:r>
      <w:r w:rsidR="0070657F" w:rsidRPr="002D260D">
        <w:rPr>
          <w:bCs/>
          <w:color w:val="000000"/>
          <w:sz w:val="28"/>
          <w:szCs w:val="28"/>
        </w:rPr>
        <w:t xml:space="preserve"> and based on a narrow majority vote of </w:t>
      </w:r>
      <w:r w:rsidR="003469AA" w:rsidRPr="002D260D">
        <w:rPr>
          <w:bCs/>
          <w:color w:val="000000"/>
          <w:sz w:val="28"/>
          <w:szCs w:val="28"/>
        </w:rPr>
        <w:t>the CPPC</w:t>
      </w:r>
      <w:r w:rsidR="0070657F" w:rsidRPr="002D260D">
        <w:rPr>
          <w:bCs/>
          <w:color w:val="000000"/>
          <w:sz w:val="28"/>
          <w:szCs w:val="28"/>
        </w:rPr>
        <w:t xml:space="preserve">, </w:t>
      </w:r>
      <w:r w:rsidR="00DF2443" w:rsidRPr="002D260D">
        <w:rPr>
          <w:bCs/>
          <w:color w:val="000000"/>
          <w:sz w:val="28"/>
          <w:szCs w:val="28"/>
        </w:rPr>
        <w:t>the State Bar recommends inserting the words “and disclosure” to the final sentence of the Rule.</w:t>
      </w:r>
    </w:p>
    <w:p w14:paraId="5E39A76E" w14:textId="34F26E13" w:rsidR="000C5657" w:rsidRPr="002D260D" w:rsidRDefault="00DF2443" w:rsidP="00D218B5">
      <w:pPr>
        <w:spacing w:line="560" w:lineRule="exact"/>
        <w:ind w:right="86"/>
        <w:jc w:val="both"/>
        <w:rPr>
          <w:bCs/>
          <w:color w:val="000000"/>
          <w:sz w:val="28"/>
          <w:szCs w:val="28"/>
        </w:rPr>
      </w:pPr>
      <w:r w:rsidRPr="002D260D">
        <w:rPr>
          <w:bCs/>
          <w:color w:val="000000"/>
          <w:sz w:val="28"/>
          <w:szCs w:val="28"/>
        </w:rPr>
        <w:tab/>
      </w:r>
      <w:r w:rsidRPr="002D260D">
        <w:rPr>
          <w:b/>
          <w:color w:val="000000"/>
          <w:sz w:val="28"/>
          <w:szCs w:val="28"/>
        </w:rPr>
        <w:t>Rule 11(b)</w:t>
      </w:r>
      <w:r w:rsidR="000C5657" w:rsidRPr="002D260D">
        <w:rPr>
          <w:b/>
          <w:color w:val="000000"/>
          <w:sz w:val="28"/>
          <w:szCs w:val="28"/>
        </w:rPr>
        <w:t>.</w:t>
      </w:r>
      <w:r w:rsidRPr="002D260D">
        <w:rPr>
          <w:bCs/>
          <w:color w:val="000000"/>
          <w:sz w:val="28"/>
          <w:szCs w:val="28"/>
        </w:rPr>
        <w:t xml:space="preserve">  Rule 11(b)</w:t>
      </w:r>
      <w:r w:rsidR="000C5657" w:rsidRPr="002D260D">
        <w:rPr>
          <w:bCs/>
          <w:color w:val="000000"/>
          <w:sz w:val="28"/>
          <w:szCs w:val="28"/>
        </w:rPr>
        <w:t xml:space="preserve"> </w:t>
      </w:r>
      <w:r w:rsidRPr="002D260D">
        <w:rPr>
          <w:bCs/>
          <w:color w:val="000000"/>
          <w:sz w:val="28"/>
          <w:szCs w:val="28"/>
        </w:rPr>
        <w:t>of the proposed new SA Rules set</w:t>
      </w:r>
      <w:r w:rsidR="0070657F" w:rsidRPr="002D260D">
        <w:rPr>
          <w:bCs/>
          <w:color w:val="000000"/>
          <w:sz w:val="28"/>
          <w:szCs w:val="28"/>
        </w:rPr>
        <w:t>s</w:t>
      </w:r>
      <w:r w:rsidRPr="002D260D">
        <w:rPr>
          <w:bCs/>
          <w:color w:val="000000"/>
          <w:sz w:val="28"/>
          <w:szCs w:val="28"/>
        </w:rPr>
        <w:t xml:space="preserve"> forth</w:t>
      </w:r>
      <w:r w:rsidR="000C5657" w:rsidRPr="002D260D">
        <w:rPr>
          <w:bCs/>
          <w:color w:val="000000"/>
          <w:sz w:val="28"/>
          <w:szCs w:val="28"/>
        </w:rPr>
        <w:t xml:space="preserve"> </w:t>
      </w:r>
      <w:r w:rsidRPr="002D260D">
        <w:rPr>
          <w:bCs/>
          <w:color w:val="000000"/>
          <w:sz w:val="28"/>
          <w:szCs w:val="28"/>
        </w:rPr>
        <w:t>factors support</w:t>
      </w:r>
      <w:r w:rsidR="000C5657" w:rsidRPr="002D260D">
        <w:rPr>
          <w:bCs/>
          <w:color w:val="000000"/>
          <w:sz w:val="28"/>
          <w:szCs w:val="28"/>
        </w:rPr>
        <w:t xml:space="preserve">ing </w:t>
      </w:r>
      <w:r w:rsidRPr="002D260D">
        <w:rPr>
          <w:bCs/>
          <w:color w:val="000000"/>
          <w:sz w:val="28"/>
          <w:szCs w:val="28"/>
        </w:rPr>
        <w:t>accepting special action jurisdiction</w:t>
      </w:r>
      <w:r w:rsidR="00632F75" w:rsidRPr="002D260D">
        <w:rPr>
          <w:bCs/>
          <w:color w:val="000000"/>
          <w:sz w:val="28"/>
          <w:szCs w:val="28"/>
        </w:rPr>
        <w:t xml:space="preserve">.  </w:t>
      </w:r>
      <w:r w:rsidR="005A1749" w:rsidRPr="002D260D">
        <w:rPr>
          <w:bCs/>
          <w:color w:val="000000"/>
          <w:sz w:val="28"/>
          <w:szCs w:val="28"/>
        </w:rPr>
        <w:t>For clarity and precision, the State Bar recommends th</w:t>
      </w:r>
      <w:r w:rsidR="000C5657" w:rsidRPr="002D260D">
        <w:rPr>
          <w:bCs/>
          <w:color w:val="000000"/>
          <w:sz w:val="28"/>
          <w:szCs w:val="28"/>
        </w:rPr>
        <w:t xml:space="preserve">at the phrase “of privileges or immunities” be replaced with “of legal or evidentiary privileges, or of immunity from suit” in proposed new SA </w:t>
      </w:r>
      <w:proofErr w:type="gramStart"/>
      <w:r w:rsidR="000C5657" w:rsidRPr="002D260D">
        <w:rPr>
          <w:bCs/>
          <w:color w:val="000000"/>
          <w:sz w:val="28"/>
          <w:szCs w:val="28"/>
        </w:rPr>
        <w:t>Rule  11</w:t>
      </w:r>
      <w:proofErr w:type="gramEnd"/>
      <w:r w:rsidR="000C5657" w:rsidRPr="002D260D">
        <w:rPr>
          <w:bCs/>
          <w:color w:val="000000"/>
          <w:sz w:val="28"/>
          <w:szCs w:val="28"/>
        </w:rPr>
        <w:t>(b)(2).</w:t>
      </w:r>
    </w:p>
    <w:p w14:paraId="58D9F35B" w14:textId="36408B16" w:rsidR="00006B6A" w:rsidRPr="002D260D" w:rsidRDefault="009B2008" w:rsidP="00C24DA4">
      <w:pPr>
        <w:spacing w:line="560" w:lineRule="exact"/>
        <w:ind w:right="86" w:firstLine="720"/>
        <w:jc w:val="both"/>
        <w:rPr>
          <w:sz w:val="28"/>
          <w:szCs w:val="28"/>
        </w:rPr>
      </w:pPr>
      <w:r w:rsidRPr="002D260D">
        <w:rPr>
          <w:bCs/>
          <w:color w:val="000000"/>
          <w:sz w:val="28"/>
          <w:szCs w:val="28"/>
        </w:rPr>
        <w:lastRenderedPageBreak/>
        <w:t xml:space="preserve">Proposed new SA Rule 11(b)(7) </w:t>
      </w:r>
      <w:r w:rsidR="002A2926" w:rsidRPr="002D260D">
        <w:rPr>
          <w:bCs/>
          <w:color w:val="000000"/>
          <w:sz w:val="28"/>
          <w:szCs w:val="28"/>
        </w:rPr>
        <w:t>additionally enumerates</w:t>
      </w:r>
      <w:r w:rsidRPr="002D260D">
        <w:rPr>
          <w:bCs/>
          <w:color w:val="000000"/>
          <w:sz w:val="28"/>
          <w:szCs w:val="28"/>
        </w:rPr>
        <w:t>, as a factor weighing in</w:t>
      </w:r>
      <w:r w:rsidR="00C24DA4" w:rsidRPr="002D260D">
        <w:rPr>
          <w:bCs/>
          <w:color w:val="000000"/>
          <w:sz w:val="28"/>
          <w:szCs w:val="28"/>
        </w:rPr>
        <w:t xml:space="preserve"> </w:t>
      </w:r>
      <w:r w:rsidRPr="002D260D">
        <w:rPr>
          <w:bCs/>
          <w:color w:val="000000"/>
          <w:sz w:val="28"/>
          <w:szCs w:val="28"/>
        </w:rPr>
        <w:t xml:space="preserve">favor of accepting special action jurisdiction, whether the petition seeks resolution of questions “which will materially advance the efficient management of the case, other than issues presented by ordinary dispositive motion practice.”  </w:t>
      </w:r>
      <w:r w:rsidR="000C5657" w:rsidRPr="002D260D">
        <w:rPr>
          <w:bCs/>
          <w:color w:val="000000"/>
          <w:sz w:val="28"/>
          <w:szCs w:val="28"/>
        </w:rPr>
        <w:t xml:space="preserve">The State Bar </w:t>
      </w:r>
      <w:r w:rsidR="00632F75" w:rsidRPr="002D260D">
        <w:rPr>
          <w:sz w:val="28"/>
          <w:szCs w:val="28"/>
        </w:rPr>
        <w:t>recognizes th</w:t>
      </w:r>
      <w:r w:rsidR="0081405F" w:rsidRPr="002D260D">
        <w:rPr>
          <w:sz w:val="28"/>
          <w:szCs w:val="28"/>
        </w:rPr>
        <w:t>is</w:t>
      </w:r>
      <w:r w:rsidR="00632F75" w:rsidRPr="002D260D">
        <w:rPr>
          <w:sz w:val="28"/>
          <w:szCs w:val="28"/>
        </w:rPr>
        <w:t xml:space="preserve"> language </w:t>
      </w:r>
      <w:r w:rsidRPr="002D260D">
        <w:rPr>
          <w:sz w:val="28"/>
          <w:szCs w:val="28"/>
        </w:rPr>
        <w:t xml:space="preserve">likely </w:t>
      </w:r>
      <w:r w:rsidR="00632F75" w:rsidRPr="002D260D">
        <w:rPr>
          <w:sz w:val="28"/>
          <w:szCs w:val="28"/>
        </w:rPr>
        <w:t>represent</w:t>
      </w:r>
      <w:r w:rsidRPr="002D260D">
        <w:rPr>
          <w:sz w:val="28"/>
          <w:szCs w:val="28"/>
        </w:rPr>
        <w:t>s</w:t>
      </w:r>
      <w:r w:rsidR="00632F75" w:rsidRPr="002D260D">
        <w:rPr>
          <w:sz w:val="28"/>
          <w:szCs w:val="28"/>
        </w:rPr>
        <w:t xml:space="preserve"> an intentional policy decision to make special action review more readily obtainable.  However, the language </w:t>
      </w:r>
      <w:r w:rsidR="00C24DA4" w:rsidRPr="002D260D">
        <w:rPr>
          <w:sz w:val="28"/>
          <w:szCs w:val="28"/>
        </w:rPr>
        <w:t xml:space="preserve">pertaining to dispositive motion practice may unreasonably deter litigants from seeking special action review of rulings resulting from such practice even where appropriate.  For this reason, he State Bar recommends deletion of the phrase “other than issues presented by ordinary motion practice” from proposed new Rule 11(b)(7).  Likewise, and for the same reason, the State Bar suggests deleting of Rule 11(c)(2), which identifies as a factor weighing in favor of declining special action jurisdiction </w:t>
      </w:r>
      <w:r w:rsidR="0081405F" w:rsidRPr="002D260D">
        <w:rPr>
          <w:sz w:val="28"/>
          <w:szCs w:val="28"/>
        </w:rPr>
        <w:t>petitions which seek review of questions “resolved under Rule 12(b)(6) of the Rules of Civil Procedure, or Rule 29(a)(6) or 79 of the Rules of Family Law Procedure.</w:t>
      </w:r>
    </w:p>
    <w:p w14:paraId="58F75BCA" w14:textId="772C6720" w:rsidR="005849B2" w:rsidRPr="002D260D" w:rsidRDefault="001F6D40" w:rsidP="00500EDD">
      <w:pPr>
        <w:spacing w:line="560" w:lineRule="exact"/>
        <w:ind w:right="86"/>
        <w:jc w:val="both"/>
        <w:rPr>
          <w:sz w:val="28"/>
          <w:szCs w:val="28"/>
        </w:rPr>
      </w:pPr>
      <w:r w:rsidRPr="002D260D">
        <w:rPr>
          <w:sz w:val="28"/>
          <w:szCs w:val="28"/>
        </w:rPr>
        <w:tab/>
      </w:r>
      <w:r w:rsidR="00325EBB" w:rsidRPr="002D260D">
        <w:rPr>
          <w:b/>
          <w:color w:val="000000"/>
          <w:sz w:val="28"/>
          <w:szCs w:val="28"/>
        </w:rPr>
        <w:t>Rule 17(c).</w:t>
      </w:r>
      <w:r w:rsidR="00325EBB" w:rsidRPr="002D260D">
        <w:rPr>
          <w:bCs/>
          <w:color w:val="000000"/>
          <w:sz w:val="28"/>
          <w:szCs w:val="28"/>
        </w:rPr>
        <w:t xml:space="preserve">  Proposed new SA Rule 17(c) provides that the “decision [in an appellate special action] will become effective when the mandate or termination letter is issued unless the decision states that it is effective immediately.”  The State Bar’s understanding is that because an appellate </w:t>
      </w:r>
      <w:r w:rsidR="00325EBB" w:rsidRPr="002D260D">
        <w:rPr>
          <w:sz w:val="28"/>
          <w:szCs w:val="28"/>
        </w:rPr>
        <w:t xml:space="preserve">special action occurs during the course of an on-going proceeding instead of after judgment is entered, the lower court never loses jurisdiction over the case.  </w:t>
      </w:r>
      <w:r w:rsidR="005849B2" w:rsidRPr="002D260D">
        <w:rPr>
          <w:sz w:val="28"/>
          <w:szCs w:val="28"/>
        </w:rPr>
        <w:t xml:space="preserve">As stated in </w:t>
      </w:r>
      <w:r w:rsidR="005849B2" w:rsidRPr="002D260D">
        <w:rPr>
          <w:i/>
          <w:iCs/>
          <w:sz w:val="28"/>
          <w:szCs w:val="28"/>
        </w:rPr>
        <w:t>Coffee v. Ryan-</w:t>
      </w:r>
      <w:proofErr w:type="spellStart"/>
      <w:r w:rsidR="005849B2" w:rsidRPr="002D260D">
        <w:rPr>
          <w:i/>
          <w:iCs/>
          <w:sz w:val="28"/>
          <w:szCs w:val="28"/>
        </w:rPr>
        <w:t>Touhill</w:t>
      </w:r>
      <w:proofErr w:type="spellEnd"/>
      <w:r w:rsidR="005849B2" w:rsidRPr="002D260D">
        <w:rPr>
          <w:sz w:val="28"/>
          <w:szCs w:val="28"/>
        </w:rPr>
        <w:t xml:space="preserve">, </w:t>
      </w:r>
      <w:r w:rsidR="005849B2" w:rsidRPr="002D260D">
        <w:rPr>
          <w:sz w:val="28"/>
          <w:szCs w:val="28"/>
        </w:rPr>
        <w:lastRenderedPageBreak/>
        <w:t>247 Ariz. 68, 71–72, ¶¶ 14-15, 445 P.3d 666, 669–70 (App. 2019) with respect to the issue of the trial court’s jurisdiction while a special action is pending:</w:t>
      </w:r>
    </w:p>
    <w:p w14:paraId="07AC62AA" w14:textId="77777777" w:rsidR="005849B2" w:rsidRPr="002D260D" w:rsidRDefault="005849B2" w:rsidP="005849B2">
      <w:pPr>
        <w:spacing w:line="240" w:lineRule="auto"/>
        <w:ind w:left="720" w:right="720"/>
        <w:jc w:val="both"/>
        <w:rPr>
          <w:sz w:val="28"/>
          <w:szCs w:val="28"/>
        </w:rPr>
      </w:pPr>
    </w:p>
    <w:p w14:paraId="0FC4AC4B" w14:textId="42606917" w:rsidR="005849B2" w:rsidRPr="002D260D" w:rsidRDefault="005849B2" w:rsidP="005849B2">
      <w:pPr>
        <w:spacing w:line="240" w:lineRule="auto"/>
        <w:ind w:left="720" w:right="720"/>
        <w:jc w:val="both"/>
        <w:rPr>
          <w:sz w:val="28"/>
          <w:szCs w:val="28"/>
        </w:rPr>
      </w:pPr>
      <w:r w:rsidRPr="002D260D">
        <w:rPr>
          <w:sz w:val="28"/>
          <w:szCs w:val="28"/>
        </w:rPr>
        <w:t>Unlike an appeal, jurisdiction never transfers from the superior court to the court of appeals in the special action context.  A special action represents a separate, original proceeding where an appellate court examines the action or inaction of public officials and may issue orders (</w:t>
      </w:r>
      <w:proofErr w:type="gramStart"/>
      <w:r w:rsidRPr="002D260D">
        <w:rPr>
          <w:sz w:val="28"/>
          <w:szCs w:val="28"/>
        </w:rPr>
        <w:t>similar to</w:t>
      </w:r>
      <w:proofErr w:type="gramEnd"/>
      <w:r w:rsidRPr="002D260D">
        <w:rPr>
          <w:sz w:val="28"/>
          <w:szCs w:val="28"/>
        </w:rPr>
        <w:t xml:space="preserve"> a common law writ) affecting future proceedings in a case.  As a result, unless the appellate court issues a stay, the superior court may proceed in the underlying action during a special action. And even when a stay is entered, the superior court is only limited in its actions by the express language of the stay order. Although the superior court must comply with such orders, it does not lose jurisdiction as it would when an appeal is commenced.</w:t>
      </w:r>
    </w:p>
    <w:p w14:paraId="08BD1859" w14:textId="77777777" w:rsidR="005849B2" w:rsidRPr="002D260D" w:rsidRDefault="005849B2" w:rsidP="005849B2">
      <w:pPr>
        <w:spacing w:line="240" w:lineRule="auto"/>
        <w:ind w:right="720"/>
        <w:jc w:val="both"/>
        <w:rPr>
          <w:sz w:val="28"/>
          <w:szCs w:val="28"/>
        </w:rPr>
      </w:pPr>
    </w:p>
    <w:p w14:paraId="3A1264A4" w14:textId="2A19399C" w:rsidR="005849B2" w:rsidRPr="002D260D" w:rsidRDefault="005849B2" w:rsidP="005849B2">
      <w:pPr>
        <w:spacing w:line="240" w:lineRule="auto"/>
        <w:ind w:right="720"/>
        <w:jc w:val="both"/>
        <w:rPr>
          <w:sz w:val="28"/>
          <w:szCs w:val="28"/>
        </w:rPr>
      </w:pPr>
      <w:r w:rsidRPr="002D260D">
        <w:rPr>
          <w:sz w:val="28"/>
          <w:szCs w:val="28"/>
        </w:rPr>
        <w:t>(internal citations omitted</w:t>
      </w:r>
      <w:r w:rsidR="000A593C" w:rsidRPr="002D260D">
        <w:rPr>
          <w:sz w:val="28"/>
          <w:szCs w:val="28"/>
        </w:rPr>
        <w:t>).</w:t>
      </w:r>
    </w:p>
    <w:p w14:paraId="6A691A1A" w14:textId="15BDEC11" w:rsidR="00290AB4" w:rsidRDefault="00325EBB" w:rsidP="00290AB4">
      <w:pPr>
        <w:ind w:firstLine="720"/>
        <w:jc w:val="both"/>
        <w:rPr>
          <w:sz w:val="28"/>
          <w:szCs w:val="28"/>
        </w:rPr>
      </w:pPr>
      <w:r w:rsidRPr="002D260D">
        <w:rPr>
          <w:sz w:val="28"/>
          <w:szCs w:val="28"/>
        </w:rPr>
        <w:t xml:space="preserve">As such, no mandate should be issued as a mandate simply re-vests jurisdiction in the lower court.  The State Bar suggests </w:t>
      </w:r>
      <w:r w:rsidR="005849B2" w:rsidRPr="002D260D">
        <w:rPr>
          <w:sz w:val="28"/>
          <w:szCs w:val="28"/>
        </w:rPr>
        <w:t xml:space="preserve">that </w:t>
      </w:r>
      <w:r w:rsidRPr="002D260D">
        <w:rPr>
          <w:sz w:val="28"/>
          <w:szCs w:val="28"/>
        </w:rPr>
        <w:t xml:space="preserve">a procedure more consistent with these </w:t>
      </w:r>
      <w:r w:rsidR="005849B2" w:rsidRPr="002D260D">
        <w:rPr>
          <w:sz w:val="28"/>
          <w:szCs w:val="28"/>
        </w:rPr>
        <w:t xml:space="preserve">jurisdictional </w:t>
      </w:r>
      <w:r w:rsidRPr="002D260D">
        <w:rPr>
          <w:sz w:val="28"/>
          <w:szCs w:val="28"/>
        </w:rPr>
        <w:t xml:space="preserve">notions would be for the </w:t>
      </w:r>
      <w:r w:rsidR="005849B2" w:rsidRPr="002D260D">
        <w:rPr>
          <w:sz w:val="28"/>
          <w:szCs w:val="28"/>
        </w:rPr>
        <w:t xml:space="preserve">court in which the special action was brought </w:t>
      </w:r>
      <w:r w:rsidRPr="002D260D">
        <w:rPr>
          <w:sz w:val="28"/>
          <w:szCs w:val="28"/>
        </w:rPr>
        <w:t>to enter its decision accepting jurisdiction, granting relief, and lifting any stay</w:t>
      </w:r>
      <w:r w:rsidR="00E131DE" w:rsidRPr="002D260D">
        <w:rPr>
          <w:sz w:val="28"/>
          <w:szCs w:val="28"/>
        </w:rPr>
        <w:t>, with its decision effective immediately</w:t>
      </w:r>
      <w:r w:rsidRPr="002D260D">
        <w:rPr>
          <w:sz w:val="28"/>
          <w:szCs w:val="28"/>
        </w:rPr>
        <w:t>.  If the losing party to the special action seeks further review, that the party should seek a new stay before filing a motion for reconsideration or petition for review. Th</w:t>
      </w:r>
      <w:r w:rsidR="005849B2" w:rsidRPr="002D260D">
        <w:rPr>
          <w:sz w:val="28"/>
          <w:szCs w:val="28"/>
        </w:rPr>
        <w:t xml:space="preserve">is process would seem to be speedier and more efficient than that contemplated by proposed new SA Rule </w:t>
      </w:r>
      <w:r w:rsidR="00290AB4" w:rsidRPr="002D260D">
        <w:rPr>
          <w:sz w:val="28"/>
          <w:szCs w:val="28"/>
        </w:rPr>
        <w:t>17(c)</w:t>
      </w:r>
      <w:r w:rsidR="005849B2" w:rsidRPr="002D260D">
        <w:rPr>
          <w:sz w:val="28"/>
          <w:szCs w:val="28"/>
        </w:rPr>
        <w:t>.</w:t>
      </w:r>
    </w:p>
    <w:p w14:paraId="308160B2" w14:textId="77777777" w:rsidR="001B109F" w:rsidRDefault="001B109F" w:rsidP="00290AB4">
      <w:pPr>
        <w:ind w:firstLine="720"/>
        <w:jc w:val="both"/>
        <w:rPr>
          <w:sz w:val="28"/>
          <w:szCs w:val="28"/>
        </w:rPr>
      </w:pPr>
    </w:p>
    <w:p w14:paraId="0DFFA99E" w14:textId="77777777" w:rsidR="001B109F" w:rsidRDefault="001B109F" w:rsidP="00290AB4">
      <w:pPr>
        <w:ind w:firstLine="720"/>
        <w:jc w:val="both"/>
        <w:rPr>
          <w:sz w:val="28"/>
          <w:szCs w:val="28"/>
        </w:rPr>
      </w:pPr>
    </w:p>
    <w:p w14:paraId="3505D2F1" w14:textId="77777777" w:rsidR="001B109F" w:rsidRDefault="001B109F" w:rsidP="00290AB4">
      <w:pPr>
        <w:ind w:firstLine="720"/>
        <w:jc w:val="both"/>
        <w:rPr>
          <w:sz w:val="28"/>
          <w:szCs w:val="28"/>
        </w:rPr>
      </w:pPr>
    </w:p>
    <w:p w14:paraId="593A4CE2" w14:textId="77777777" w:rsidR="001B109F" w:rsidRPr="002D260D" w:rsidRDefault="001B109F" w:rsidP="00290AB4">
      <w:pPr>
        <w:ind w:firstLine="720"/>
        <w:jc w:val="both"/>
        <w:rPr>
          <w:sz w:val="28"/>
          <w:szCs w:val="28"/>
        </w:rPr>
      </w:pPr>
    </w:p>
    <w:p w14:paraId="65BBA427" w14:textId="06C26353" w:rsidR="00BE628B" w:rsidRPr="002D260D" w:rsidRDefault="001166F6" w:rsidP="00290AB4">
      <w:pPr>
        <w:jc w:val="center"/>
        <w:rPr>
          <w:sz w:val="28"/>
          <w:szCs w:val="28"/>
        </w:rPr>
      </w:pPr>
      <w:r w:rsidRPr="002D260D">
        <w:rPr>
          <w:b/>
          <w:sz w:val="28"/>
          <w:szCs w:val="28"/>
        </w:rPr>
        <w:lastRenderedPageBreak/>
        <w:t>IV.</w:t>
      </w:r>
      <w:r w:rsidR="00BE628B" w:rsidRPr="002D260D">
        <w:rPr>
          <w:b/>
          <w:sz w:val="28"/>
          <w:szCs w:val="28"/>
        </w:rPr>
        <w:tab/>
        <w:t>CONCLUSION.</w:t>
      </w:r>
    </w:p>
    <w:p w14:paraId="6A9554B1" w14:textId="2D2D4A90" w:rsidR="001166F6" w:rsidRPr="002D260D" w:rsidRDefault="00F40EA2" w:rsidP="00D218B5">
      <w:pPr>
        <w:spacing w:line="560" w:lineRule="exact"/>
        <w:ind w:right="86" w:firstLine="720"/>
        <w:jc w:val="both"/>
        <w:rPr>
          <w:sz w:val="28"/>
          <w:szCs w:val="28"/>
        </w:rPr>
      </w:pPr>
      <w:r w:rsidRPr="002D260D">
        <w:rPr>
          <w:sz w:val="28"/>
          <w:szCs w:val="28"/>
        </w:rPr>
        <w:t>The</w:t>
      </w:r>
      <w:r w:rsidR="00B565EF" w:rsidRPr="002D260D">
        <w:rPr>
          <w:sz w:val="28"/>
          <w:szCs w:val="28"/>
        </w:rPr>
        <w:t xml:space="preserve"> State Bar supports the </w:t>
      </w:r>
      <w:r w:rsidR="00290AB4" w:rsidRPr="002D260D">
        <w:rPr>
          <w:sz w:val="28"/>
          <w:szCs w:val="28"/>
        </w:rPr>
        <w:t xml:space="preserve">Task Force’s </w:t>
      </w:r>
      <w:r w:rsidR="00B565EF" w:rsidRPr="002D260D">
        <w:rPr>
          <w:sz w:val="28"/>
          <w:szCs w:val="28"/>
        </w:rPr>
        <w:t>Petition</w:t>
      </w:r>
      <w:r w:rsidRPr="002D260D">
        <w:rPr>
          <w:sz w:val="28"/>
          <w:szCs w:val="28"/>
        </w:rPr>
        <w:t xml:space="preserve"> </w:t>
      </w:r>
      <w:r w:rsidR="001B109F" w:rsidRPr="002D260D">
        <w:rPr>
          <w:sz w:val="28"/>
          <w:szCs w:val="28"/>
        </w:rPr>
        <w:t>and</w:t>
      </w:r>
      <w:r w:rsidRPr="002D260D">
        <w:rPr>
          <w:sz w:val="28"/>
          <w:szCs w:val="28"/>
        </w:rPr>
        <w:t xml:space="preserve"> recommends </w:t>
      </w:r>
      <w:r w:rsidR="00290AB4" w:rsidRPr="002D260D">
        <w:rPr>
          <w:sz w:val="28"/>
          <w:szCs w:val="28"/>
        </w:rPr>
        <w:t>modification of specific proposed new SA Rules as described in this comment.</w:t>
      </w:r>
    </w:p>
    <w:p w14:paraId="51F64EF2" w14:textId="77777777" w:rsidR="001B109F" w:rsidRDefault="001B109F" w:rsidP="001B109F">
      <w:pPr>
        <w:pStyle w:val="Body"/>
        <w:widowControl w:val="0"/>
        <w:tabs>
          <w:tab w:val="left" w:pos="720"/>
        </w:tabs>
        <w:ind w:firstLine="0"/>
        <w:rPr>
          <w:szCs w:val="26"/>
        </w:rPr>
      </w:pPr>
      <w:r>
        <w:rPr>
          <w:szCs w:val="26"/>
        </w:rPr>
        <w:t xml:space="preserve">       </w:t>
      </w:r>
    </w:p>
    <w:p w14:paraId="3B0E1CB7" w14:textId="019C028C" w:rsidR="001B109F" w:rsidRPr="006F63FD" w:rsidRDefault="001B109F" w:rsidP="001B109F">
      <w:pPr>
        <w:pStyle w:val="Body"/>
        <w:widowControl w:val="0"/>
        <w:tabs>
          <w:tab w:val="left" w:pos="720"/>
        </w:tabs>
        <w:ind w:firstLine="0"/>
        <w:rPr>
          <w:sz w:val="28"/>
          <w:szCs w:val="28"/>
        </w:rPr>
      </w:pPr>
      <w:r w:rsidRPr="006F63FD">
        <w:rPr>
          <w:sz w:val="28"/>
          <w:szCs w:val="28"/>
        </w:rPr>
        <w:t xml:space="preserve">RESPECTFULLY SUBMITTED this </w:t>
      </w:r>
      <w:r>
        <w:rPr>
          <w:sz w:val="28"/>
          <w:szCs w:val="28"/>
          <w:u w:val="single"/>
        </w:rPr>
        <w:t>17</w:t>
      </w:r>
      <w:r w:rsidRPr="001B109F">
        <w:rPr>
          <w:sz w:val="28"/>
          <w:szCs w:val="28"/>
          <w:u w:val="single"/>
          <w:vertAlign w:val="superscript"/>
        </w:rPr>
        <w:t>th</w:t>
      </w:r>
      <w:r w:rsidRPr="001B109F">
        <w:rPr>
          <w:sz w:val="28"/>
          <w:szCs w:val="28"/>
        </w:rPr>
        <w:t xml:space="preserve"> day</w:t>
      </w:r>
      <w:r w:rsidRPr="006F63FD">
        <w:rPr>
          <w:sz w:val="28"/>
          <w:szCs w:val="28"/>
        </w:rPr>
        <w:t xml:space="preserve"> of</w:t>
      </w:r>
      <w:r>
        <w:rPr>
          <w:sz w:val="28"/>
          <w:szCs w:val="28"/>
        </w:rPr>
        <w:t xml:space="preserve"> </w:t>
      </w:r>
      <w:r w:rsidRPr="001F21C4">
        <w:rPr>
          <w:sz w:val="28"/>
          <w:szCs w:val="28"/>
          <w:u w:val="single"/>
        </w:rPr>
        <w:t>May</w:t>
      </w:r>
      <w:r>
        <w:rPr>
          <w:sz w:val="28"/>
          <w:szCs w:val="28"/>
        </w:rPr>
        <w:t xml:space="preserve"> 2024</w:t>
      </w:r>
      <w:r w:rsidRPr="006F63FD">
        <w:rPr>
          <w:sz w:val="28"/>
          <w:szCs w:val="28"/>
        </w:rPr>
        <w:t>.</w:t>
      </w:r>
    </w:p>
    <w:p w14:paraId="277074B8" w14:textId="77777777" w:rsidR="001B109F" w:rsidRPr="000F7A7F" w:rsidRDefault="001B109F" w:rsidP="001B109F">
      <w:pPr>
        <w:pStyle w:val="Body"/>
        <w:widowControl w:val="0"/>
        <w:tabs>
          <w:tab w:val="left" w:pos="720"/>
        </w:tabs>
        <w:ind w:firstLine="0"/>
        <w:rPr>
          <w:szCs w:val="26"/>
        </w:rPr>
      </w:pPr>
    </w:p>
    <w:p w14:paraId="203A8153" w14:textId="77777777" w:rsidR="001B109F" w:rsidRPr="000F7A7F" w:rsidRDefault="001B109F" w:rsidP="001B109F">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5A400D2C" wp14:editId="66462966">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7F8015C1" w14:textId="77777777" w:rsidR="001B109F" w:rsidRPr="006F63FD" w:rsidRDefault="001B109F" w:rsidP="001B109F">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6FCF8DB0" w14:textId="77777777" w:rsidR="001B109F" w:rsidRPr="006F63FD" w:rsidRDefault="001B109F" w:rsidP="001B109F">
      <w:pPr>
        <w:pStyle w:val="PleadingSignature"/>
        <w:keepNext w:val="0"/>
        <w:keepLines w:val="0"/>
        <w:spacing w:line="240" w:lineRule="auto"/>
        <w:ind w:left="5070"/>
        <w:rPr>
          <w:sz w:val="28"/>
          <w:szCs w:val="28"/>
        </w:rPr>
      </w:pPr>
      <w:r w:rsidRPr="006F63FD">
        <w:rPr>
          <w:sz w:val="28"/>
          <w:szCs w:val="28"/>
        </w:rPr>
        <w:t>General Counsel</w:t>
      </w:r>
    </w:p>
    <w:p w14:paraId="087B8D74" w14:textId="77777777" w:rsidR="001B109F" w:rsidRPr="000F7A7F" w:rsidRDefault="001B109F" w:rsidP="001B109F">
      <w:pPr>
        <w:pStyle w:val="PleadingSignature"/>
        <w:keepNext w:val="0"/>
        <w:keepLines w:val="0"/>
        <w:spacing w:line="240" w:lineRule="auto"/>
        <w:ind w:left="5070"/>
        <w:rPr>
          <w:szCs w:val="26"/>
        </w:rPr>
      </w:pPr>
    </w:p>
    <w:p w14:paraId="06EE6001" w14:textId="77777777" w:rsidR="001B109F" w:rsidRPr="006F63FD" w:rsidRDefault="001B109F" w:rsidP="001B109F">
      <w:pPr>
        <w:pStyle w:val="PleadingSignature"/>
        <w:keepNext w:val="0"/>
        <w:keepLines w:val="0"/>
        <w:spacing w:line="240" w:lineRule="auto"/>
        <w:ind w:left="5070"/>
        <w:rPr>
          <w:sz w:val="28"/>
          <w:szCs w:val="28"/>
        </w:rPr>
      </w:pPr>
    </w:p>
    <w:p w14:paraId="01E5B712" w14:textId="77777777" w:rsidR="001B109F" w:rsidRDefault="001B109F" w:rsidP="001B109F">
      <w:pPr>
        <w:widowControl w:val="0"/>
        <w:spacing w:line="240" w:lineRule="auto"/>
        <w:ind w:right="4140"/>
        <w:rPr>
          <w:sz w:val="28"/>
          <w:szCs w:val="28"/>
        </w:rPr>
      </w:pPr>
    </w:p>
    <w:p w14:paraId="64ACE38F" w14:textId="77777777" w:rsidR="001B109F" w:rsidRDefault="001B109F" w:rsidP="001B109F">
      <w:pPr>
        <w:widowControl w:val="0"/>
        <w:spacing w:line="240" w:lineRule="auto"/>
        <w:ind w:right="4140"/>
        <w:rPr>
          <w:sz w:val="28"/>
          <w:szCs w:val="28"/>
        </w:rPr>
      </w:pPr>
    </w:p>
    <w:p w14:paraId="57A2E3BB" w14:textId="77777777" w:rsidR="001B109F" w:rsidRPr="00C52E56" w:rsidRDefault="001B109F" w:rsidP="001B109F">
      <w:pPr>
        <w:widowControl w:val="0"/>
        <w:spacing w:line="240" w:lineRule="auto"/>
        <w:ind w:right="4140"/>
        <w:rPr>
          <w:sz w:val="28"/>
          <w:szCs w:val="28"/>
        </w:rPr>
      </w:pPr>
      <w:r w:rsidRPr="00C52E56">
        <w:rPr>
          <w:sz w:val="28"/>
          <w:szCs w:val="28"/>
        </w:rPr>
        <w:t>Electronic copy filed with the</w:t>
      </w:r>
    </w:p>
    <w:p w14:paraId="1F07544D" w14:textId="77777777" w:rsidR="001B109F" w:rsidRPr="00C52E56" w:rsidRDefault="001B109F" w:rsidP="001B109F">
      <w:pPr>
        <w:spacing w:line="240" w:lineRule="auto"/>
        <w:ind w:right="4140"/>
        <w:rPr>
          <w:sz w:val="28"/>
          <w:szCs w:val="28"/>
        </w:rPr>
      </w:pPr>
      <w:r w:rsidRPr="00C52E56">
        <w:rPr>
          <w:sz w:val="28"/>
          <w:szCs w:val="28"/>
        </w:rPr>
        <w:t xml:space="preserve">Clerk of the </w:t>
      </w:r>
      <w:r>
        <w:rPr>
          <w:sz w:val="28"/>
          <w:szCs w:val="28"/>
        </w:rPr>
        <w:t>Supreme Court of Arizona</w:t>
      </w:r>
    </w:p>
    <w:p w14:paraId="7739DFDE" w14:textId="6569FE3C" w:rsidR="001B109F" w:rsidRPr="00C52E56" w:rsidRDefault="001B109F" w:rsidP="001B109F">
      <w:pPr>
        <w:tabs>
          <w:tab w:val="left" w:pos="4836"/>
        </w:tabs>
        <w:spacing w:line="240" w:lineRule="auto"/>
        <w:ind w:right="3870"/>
        <w:rPr>
          <w:sz w:val="28"/>
          <w:szCs w:val="28"/>
        </w:rPr>
      </w:pPr>
      <w:r w:rsidRPr="00C52E56">
        <w:rPr>
          <w:sz w:val="28"/>
          <w:szCs w:val="28"/>
        </w:rPr>
        <w:t xml:space="preserve">this </w:t>
      </w:r>
      <w:r>
        <w:rPr>
          <w:sz w:val="28"/>
          <w:szCs w:val="28"/>
          <w:u w:val="single"/>
        </w:rPr>
        <w:t>17</w:t>
      </w:r>
      <w:r w:rsidRPr="001B109F">
        <w:rPr>
          <w:sz w:val="28"/>
          <w:szCs w:val="28"/>
          <w:u w:val="single"/>
          <w:vertAlign w:val="superscript"/>
        </w:rPr>
        <w:t>th</w:t>
      </w:r>
      <w:r>
        <w:rPr>
          <w:sz w:val="28"/>
          <w:szCs w:val="28"/>
          <w:u w:val="single"/>
        </w:rPr>
        <w:t xml:space="preserve"> </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2024</w:t>
      </w:r>
      <w:r w:rsidRPr="00C52E56">
        <w:rPr>
          <w:sz w:val="28"/>
          <w:szCs w:val="28"/>
        </w:rPr>
        <w:t>.</w:t>
      </w:r>
    </w:p>
    <w:p w14:paraId="024E35F2" w14:textId="77777777" w:rsidR="001B109F" w:rsidRPr="00C52E56" w:rsidRDefault="001B109F" w:rsidP="001B109F">
      <w:pPr>
        <w:spacing w:line="240" w:lineRule="auto"/>
        <w:ind w:right="4572"/>
        <w:rPr>
          <w:sz w:val="28"/>
          <w:szCs w:val="28"/>
        </w:rPr>
      </w:pPr>
    </w:p>
    <w:p w14:paraId="0D7846C8" w14:textId="77777777" w:rsidR="001B109F" w:rsidRPr="00C52E56" w:rsidRDefault="001B109F" w:rsidP="001B109F">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p w14:paraId="6CB458E3" w14:textId="7CEA13FF" w:rsidR="00726A59" w:rsidRPr="002D260D" w:rsidRDefault="00726A59" w:rsidP="001B109F">
      <w:pPr>
        <w:pStyle w:val="Body"/>
        <w:widowControl w:val="0"/>
        <w:tabs>
          <w:tab w:val="left" w:pos="720"/>
        </w:tabs>
        <w:ind w:right="90" w:firstLine="0"/>
        <w:jc w:val="both"/>
        <w:rPr>
          <w:position w:val="2"/>
          <w:sz w:val="28"/>
          <w:szCs w:val="28"/>
        </w:rPr>
      </w:pPr>
    </w:p>
    <w:sectPr w:rsidR="00726A59" w:rsidRPr="002D260D" w:rsidSect="0004435B">
      <w:headerReference w:type="default" r:id="rId8"/>
      <w:footerReference w:type="even" r:id="rId9"/>
      <w:footerReference w:type="default" r:id="rId10"/>
      <w:pgSz w:w="12240" w:h="15840" w:code="1"/>
      <w:pgMar w:top="230" w:right="1440" w:bottom="72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4E78" w14:textId="77777777" w:rsidR="0004435B" w:rsidRDefault="0004435B">
      <w:r>
        <w:separator/>
      </w:r>
    </w:p>
  </w:endnote>
  <w:endnote w:type="continuationSeparator" w:id="0">
    <w:p w14:paraId="184B1E96" w14:textId="77777777" w:rsidR="0004435B" w:rsidRDefault="0004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OlSt BT">
    <w:altName w:val="Georgia"/>
    <w:charset w:val="00"/>
    <w:family w:val="roman"/>
    <w:pitch w:val="variable"/>
    <w:sig w:usb0="800000AF"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028C" w14:textId="77777777" w:rsidR="00AD4FA9" w:rsidRDefault="00AD4FA9"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EF9F69" w14:textId="77777777" w:rsidR="00AD4FA9" w:rsidRDefault="00AD4FA9" w:rsidP="00861563">
    <w:pPr>
      <w:pStyle w:val="Footer"/>
      <w:ind w:right="360"/>
    </w:pPr>
  </w:p>
  <w:p w14:paraId="3BC33E03" w14:textId="77777777" w:rsidR="00AD4FA9" w:rsidRDefault="00AD4FA9"/>
  <w:p w14:paraId="4C2EBBC7" w14:textId="77777777" w:rsidR="00AD4FA9" w:rsidRDefault="00AD4F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22E60F87" w14:textId="4C3164F8" w:rsidR="00AD4FA9" w:rsidRPr="00A63959" w:rsidRDefault="00AD4FA9" w:rsidP="00A63959">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61137C">
          <w:rPr>
            <w:noProof/>
            <w:sz w:val="26"/>
            <w:szCs w:val="26"/>
          </w:rPr>
          <w:t>1</w:t>
        </w:r>
        <w:r w:rsidRPr="006B4F9A">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68442" w14:textId="77777777" w:rsidR="0004435B" w:rsidRDefault="0004435B">
      <w:r>
        <w:separator/>
      </w:r>
    </w:p>
  </w:footnote>
  <w:footnote w:type="continuationSeparator" w:id="0">
    <w:p w14:paraId="367223DE" w14:textId="77777777" w:rsidR="0004435B" w:rsidRDefault="00044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BA3C" w14:textId="77777777" w:rsidR="00AD4FA9" w:rsidRDefault="00AD4FA9">
    <w:pPr>
      <w:pStyle w:val="Header"/>
    </w:pPr>
    <w:r>
      <w:rPr>
        <w:noProof/>
        <w:lang w:val="en-GB" w:eastAsia="en-GB"/>
      </w:rPr>
      <mc:AlternateContent>
        <mc:Choice Requires="wps">
          <w:drawing>
            <wp:anchor distT="0" distB="0" distL="114300" distR="114300" simplePos="0" relativeHeight="251658240" behindDoc="0" locked="0" layoutInCell="1" allowOverlap="1" wp14:anchorId="2FF14167" wp14:editId="5566D18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v:line id="RightBorder"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from="472.5pt,0" to="472.5pt,11in" w14:anchorId="3F3D7C78">
              <w10:wrap anchorx="margin" anchory="page"/>
            </v:line>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64800778" wp14:editId="1EAB7CFC">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v:line id="LeftBorder2"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from="-7.2pt,0" to="-7.2pt,11in" w14:anchorId="76757D4D">
              <w10:wrap anchorx="margin" anchory="page"/>
            </v:line>
          </w:pict>
        </mc:Fallback>
      </mc:AlternateContent>
    </w:r>
    <w:r>
      <w:rPr>
        <w:noProof/>
        <w:lang w:val="en-GB" w:eastAsia="en-GB"/>
      </w:rPr>
      <mc:AlternateContent>
        <mc:Choice Requires="wps">
          <w:drawing>
            <wp:anchor distT="0" distB="0" distL="114300" distR="114300" simplePos="0" relativeHeight="251656192" behindDoc="0" locked="0" layoutInCell="1" allowOverlap="1" wp14:anchorId="33E682B9" wp14:editId="2D31CF5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v:line id="LeftBorder1"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from="-3.6pt,0" to="-3.6pt,11in" w14:anchorId="79FAA5A3">
              <w10:wrap anchorx="margin" anchory="page"/>
            </v:line>
          </w:pict>
        </mc:Fallback>
      </mc:AlternateContent>
    </w:r>
  </w:p>
  <w:p w14:paraId="5D8C6344" w14:textId="77777777" w:rsidR="00AD4FA9" w:rsidRDefault="00AD4FA9">
    <w:r>
      <w:rPr>
        <w:noProof/>
        <w:lang w:val="en-GB" w:eastAsia="en-GB"/>
      </w:rPr>
      <mc:AlternateContent>
        <mc:Choice Requires="wps">
          <w:drawing>
            <wp:anchor distT="0" distB="0" distL="114300" distR="114300" simplePos="0" relativeHeight="251659264" behindDoc="0" locked="0" layoutInCell="1" allowOverlap="1" wp14:anchorId="6AED3305" wp14:editId="28CB39E8">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91336" w14:textId="77777777" w:rsidR="00AD4FA9" w:rsidRPr="00000C35" w:rsidRDefault="00AD4FA9" w:rsidP="00ED333D">
                          <w:pPr>
                            <w:spacing w:before="280" w:line="560" w:lineRule="exact"/>
                            <w:jc w:val="right"/>
                            <w:rPr>
                              <w:sz w:val="28"/>
                              <w:szCs w:val="28"/>
                            </w:rPr>
                          </w:pPr>
                          <w:r w:rsidRPr="00000C35">
                            <w:rPr>
                              <w:sz w:val="28"/>
                              <w:szCs w:val="28"/>
                            </w:rPr>
                            <w:t>1</w:t>
                          </w:r>
                        </w:p>
                        <w:p w14:paraId="7632A401" w14:textId="77777777" w:rsidR="00AD4FA9" w:rsidRPr="00000C35" w:rsidRDefault="00AD4FA9" w:rsidP="00A63959">
                          <w:pPr>
                            <w:spacing w:line="560" w:lineRule="exact"/>
                            <w:jc w:val="right"/>
                            <w:rPr>
                              <w:sz w:val="28"/>
                              <w:szCs w:val="28"/>
                            </w:rPr>
                          </w:pPr>
                          <w:r w:rsidRPr="00000C35">
                            <w:rPr>
                              <w:sz w:val="28"/>
                              <w:szCs w:val="28"/>
                            </w:rPr>
                            <w:t>2</w:t>
                          </w:r>
                        </w:p>
                        <w:p w14:paraId="0FCAACB5" w14:textId="77777777" w:rsidR="00AD4FA9" w:rsidRPr="00000C35" w:rsidRDefault="00AD4FA9" w:rsidP="00A63959">
                          <w:pPr>
                            <w:spacing w:line="560" w:lineRule="exact"/>
                            <w:jc w:val="right"/>
                            <w:rPr>
                              <w:sz w:val="28"/>
                              <w:szCs w:val="28"/>
                            </w:rPr>
                          </w:pPr>
                          <w:r w:rsidRPr="00000C35">
                            <w:rPr>
                              <w:sz w:val="28"/>
                              <w:szCs w:val="28"/>
                            </w:rPr>
                            <w:t>3</w:t>
                          </w:r>
                        </w:p>
                        <w:p w14:paraId="6D50566C" w14:textId="77777777" w:rsidR="00AD4FA9" w:rsidRPr="00000C35" w:rsidRDefault="00AD4FA9" w:rsidP="00A63959">
                          <w:pPr>
                            <w:spacing w:line="560" w:lineRule="exact"/>
                            <w:jc w:val="right"/>
                            <w:rPr>
                              <w:sz w:val="28"/>
                              <w:szCs w:val="28"/>
                            </w:rPr>
                          </w:pPr>
                          <w:r w:rsidRPr="00000C35">
                            <w:rPr>
                              <w:sz w:val="28"/>
                              <w:szCs w:val="28"/>
                            </w:rPr>
                            <w:t>4</w:t>
                          </w:r>
                        </w:p>
                        <w:p w14:paraId="3E104FB1" w14:textId="77777777" w:rsidR="00AD4FA9" w:rsidRPr="00000C35" w:rsidRDefault="00AD4FA9" w:rsidP="00A63959">
                          <w:pPr>
                            <w:spacing w:line="560" w:lineRule="exact"/>
                            <w:jc w:val="right"/>
                            <w:rPr>
                              <w:sz w:val="28"/>
                              <w:szCs w:val="28"/>
                            </w:rPr>
                          </w:pPr>
                          <w:r w:rsidRPr="00000C35">
                            <w:rPr>
                              <w:sz w:val="28"/>
                              <w:szCs w:val="28"/>
                            </w:rPr>
                            <w:t>5</w:t>
                          </w:r>
                        </w:p>
                        <w:p w14:paraId="12CE06DB" w14:textId="77777777" w:rsidR="00AD4FA9" w:rsidRPr="00000C35" w:rsidRDefault="00AD4FA9" w:rsidP="00A63959">
                          <w:pPr>
                            <w:spacing w:line="560" w:lineRule="exact"/>
                            <w:jc w:val="right"/>
                            <w:rPr>
                              <w:sz w:val="28"/>
                              <w:szCs w:val="28"/>
                            </w:rPr>
                          </w:pPr>
                          <w:r w:rsidRPr="00000C35">
                            <w:rPr>
                              <w:sz w:val="28"/>
                              <w:szCs w:val="28"/>
                            </w:rPr>
                            <w:t>6</w:t>
                          </w:r>
                        </w:p>
                        <w:p w14:paraId="04E9B2F7" w14:textId="77777777" w:rsidR="00AD4FA9" w:rsidRPr="00000C35" w:rsidRDefault="00AD4FA9" w:rsidP="00A63959">
                          <w:pPr>
                            <w:spacing w:line="560" w:lineRule="exact"/>
                            <w:jc w:val="right"/>
                            <w:rPr>
                              <w:sz w:val="28"/>
                              <w:szCs w:val="28"/>
                            </w:rPr>
                          </w:pPr>
                          <w:r w:rsidRPr="00000C35">
                            <w:rPr>
                              <w:sz w:val="28"/>
                              <w:szCs w:val="28"/>
                            </w:rPr>
                            <w:t>7</w:t>
                          </w:r>
                        </w:p>
                        <w:p w14:paraId="14835213" w14:textId="77777777" w:rsidR="00AD4FA9" w:rsidRPr="00000C35" w:rsidRDefault="00AD4FA9" w:rsidP="00A63959">
                          <w:pPr>
                            <w:spacing w:line="560" w:lineRule="exact"/>
                            <w:jc w:val="right"/>
                            <w:rPr>
                              <w:sz w:val="28"/>
                              <w:szCs w:val="28"/>
                            </w:rPr>
                          </w:pPr>
                          <w:r w:rsidRPr="00000C35">
                            <w:rPr>
                              <w:sz w:val="28"/>
                              <w:szCs w:val="28"/>
                            </w:rPr>
                            <w:t>8</w:t>
                          </w:r>
                        </w:p>
                        <w:p w14:paraId="0CF05A0E" w14:textId="77777777" w:rsidR="00AD4FA9" w:rsidRPr="00000C35" w:rsidRDefault="00AD4FA9" w:rsidP="00A63959">
                          <w:pPr>
                            <w:spacing w:line="560" w:lineRule="exact"/>
                            <w:jc w:val="right"/>
                            <w:rPr>
                              <w:sz w:val="28"/>
                              <w:szCs w:val="28"/>
                            </w:rPr>
                          </w:pPr>
                          <w:r w:rsidRPr="00000C35">
                            <w:rPr>
                              <w:sz w:val="28"/>
                              <w:szCs w:val="28"/>
                            </w:rPr>
                            <w:t>9</w:t>
                          </w:r>
                        </w:p>
                        <w:p w14:paraId="7BBB7292" w14:textId="77777777" w:rsidR="00AD4FA9" w:rsidRPr="00000C35" w:rsidRDefault="00AD4FA9" w:rsidP="00A63959">
                          <w:pPr>
                            <w:spacing w:line="560" w:lineRule="exact"/>
                            <w:jc w:val="right"/>
                            <w:rPr>
                              <w:sz w:val="28"/>
                              <w:szCs w:val="28"/>
                            </w:rPr>
                          </w:pPr>
                          <w:r w:rsidRPr="00000C35">
                            <w:rPr>
                              <w:sz w:val="28"/>
                              <w:szCs w:val="28"/>
                            </w:rPr>
                            <w:t>10</w:t>
                          </w:r>
                        </w:p>
                        <w:p w14:paraId="612740AD" w14:textId="77777777" w:rsidR="00AD4FA9" w:rsidRPr="00000C35" w:rsidRDefault="00AD4FA9" w:rsidP="00A63959">
                          <w:pPr>
                            <w:spacing w:line="560" w:lineRule="exact"/>
                            <w:jc w:val="right"/>
                            <w:rPr>
                              <w:sz w:val="28"/>
                              <w:szCs w:val="28"/>
                            </w:rPr>
                          </w:pPr>
                          <w:r w:rsidRPr="00000C35">
                            <w:rPr>
                              <w:sz w:val="28"/>
                              <w:szCs w:val="28"/>
                            </w:rPr>
                            <w:t>11</w:t>
                          </w:r>
                        </w:p>
                        <w:p w14:paraId="39E90D95" w14:textId="77777777" w:rsidR="00AD4FA9" w:rsidRPr="00000C35" w:rsidRDefault="00AD4FA9" w:rsidP="00A63959">
                          <w:pPr>
                            <w:spacing w:line="560" w:lineRule="exact"/>
                            <w:jc w:val="right"/>
                            <w:rPr>
                              <w:sz w:val="28"/>
                              <w:szCs w:val="28"/>
                            </w:rPr>
                          </w:pPr>
                          <w:r w:rsidRPr="00000C35">
                            <w:rPr>
                              <w:sz w:val="28"/>
                              <w:szCs w:val="28"/>
                            </w:rPr>
                            <w:t>12</w:t>
                          </w:r>
                        </w:p>
                        <w:p w14:paraId="3CBAD3B6" w14:textId="77777777" w:rsidR="00AD4FA9" w:rsidRPr="00000C35" w:rsidRDefault="00AD4FA9" w:rsidP="00A63959">
                          <w:pPr>
                            <w:spacing w:line="560" w:lineRule="exact"/>
                            <w:jc w:val="right"/>
                            <w:rPr>
                              <w:sz w:val="28"/>
                              <w:szCs w:val="28"/>
                            </w:rPr>
                          </w:pPr>
                          <w:r w:rsidRPr="00000C35">
                            <w:rPr>
                              <w:sz w:val="28"/>
                              <w:szCs w:val="28"/>
                            </w:rPr>
                            <w:t>13</w:t>
                          </w:r>
                        </w:p>
                        <w:p w14:paraId="6658CB00" w14:textId="77777777" w:rsidR="00AD4FA9" w:rsidRPr="00000C35" w:rsidRDefault="00AD4FA9" w:rsidP="00A63959">
                          <w:pPr>
                            <w:spacing w:line="560" w:lineRule="exact"/>
                            <w:jc w:val="right"/>
                            <w:rPr>
                              <w:sz w:val="28"/>
                              <w:szCs w:val="28"/>
                            </w:rPr>
                          </w:pPr>
                          <w:r w:rsidRPr="00000C35">
                            <w:rPr>
                              <w:sz w:val="28"/>
                              <w:szCs w:val="28"/>
                            </w:rPr>
                            <w:t>14</w:t>
                          </w:r>
                        </w:p>
                        <w:p w14:paraId="7770AFB0" w14:textId="77777777" w:rsidR="00AD4FA9" w:rsidRPr="00000C35" w:rsidRDefault="00AD4FA9" w:rsidP="00A63959">
                          <w:pPr>
                            <w:spacing w:line="560" w:lineRule="exact"/>
                            <w:jc w:val="right"/>
                            <w:rPr>
                              <w:sz w:val="28"/>
                              <w:szCs w:val="28"/>
                            </w:rPr>
                          </w:pPr>
                          <w:r w:rsidRPr="00000C35">
                            <w:rPr>
                              <w:sz w:val="28"/>
                              <w:szCs w:val="28"/>
                            </w:rPr>
                            <w:t>15</w:t>
                          </w:r>
                        </w:p>
                        <w:p w14:paraId="3910FA55" w14:textId="77777777" w:rsidR="00AD4FA9" w:rsidRPr="00000C35" w:rsidRDefault="00AD4FA9" w:rsidP="00A63959">
                          <w:pPr>
                            <w:spacing w:line="560" w:lineRule="exact"/>
                            <w:jc w:val="right"/>
                            <w:rPr>
                              <w:sz w:val="28"/>
                              <w:szCs w:val="28"/>
                            </w:rPr>
                          </w:pPr>
                          <w:r w:rsidRPr="00000C35">
                            <w:rPr>
                              <w:sz w:val="28"/>
                              <w:szCs w:val="28"/>
                            </w:rPr>
                            <w:t>16</w:t>
                          </w:r>
                        </w:p>
                        <w:p w14:paraId="5B607169" w14:textId="77777777" w:rsidR="00AD4FA9" w:rsidRPr="00000C35" w:rsidRDefault="00AD4FA9" w:rsidP="00A63959">
                          <w:pPr>
                            <w:spacing w:line="560" w:lineRule="exact"/>
                            <w:jc w:val="right"/>
                            <w:rPr>
                              <w:sz w:val="28"/>
                              <w:szCs w:val="28"/>
                            </w:rPr>
                          </w:pPr>
                          <w:r w:rsidRPr="00000C35">
                            <w:rPr>
                              <w:sz w:val="28"/>
                              <w:szCs w:val="28"/>
                            </w:rPr>
                            <w:t>17</w:t>
                          </w:r>
                        </w:p>
                        <w:p w14:paraId="1DEB9D84" w14:textId="77777777" w:rsidR="00AD4FA9" w:rsidRPr="00000C35" w:rsidRDefault="00AD4FA9" w:rsidP="00A63959">
                          <w:pPr>
                            <w:spacing w:line="560" w:lineRule="exact"/>
                            <w:jc w:val="right"/>
                            <w:rPr>
                              <w:sz w:val="28"/>
                              <w:szCs w:val="28"/>
                            </w:rPr>
                          </w:pPr>
                          <w:r w:rsidRPr="00000C35">
                            <w:rPr>
                              <w:sz w:val="28"/>
                              <w:szCs w:val="28"/>
                            </w:rPr>
                            <w:t>18</w:t>
                          </w:r>
                        </w:p>
                        <w:p w14:paraId="730698A8" w14:textId="77777777" w:rsidR="00AD4FA9" w:rsidRPr="00000C35" w:rsidRDefault="00AD4FA9" w:rsidP="00A63959">
                          <w:pPr>
                            <w:spacing w:line="560" w:lineRule="exact"/>
                            <w:jc w:val="right"/>
                            <w:rPr>
                              <w:sz w:val="28"/>
                              <w:szCs w:val="28"/>
                            </w:rPr>
                          </w:pPr>
                          <w:r w:rsidRPr="00000C35">
                            <w:rPr>
                              <w:sz w:val="28"/>
                              <w:szCs w:val="28"/>
                            </w:rPr>
                            <w:t>19</w:t>
                          </w:r>
                        </w:p>
                        <w:p w14:paraId="5F1B5EB7" w14:textId="77777777" w:rsidR="00AD4FA9" w:rsidRPr="00000C35" w:rsidRDefault="00AD4FA9" w:rsidP="00A63959">
                          <w:pPr>
                            <w:spacing w:line="560" w:lineRule="exact"/>
                            <w:jc w:val="right"/>
                            <w:rPr>
                              <w:sz w:val="28"/>
                              <w:szCs w:val="28"/>
                            </w:rPr>
                          </w:pPr>
                          <w:r w:rsidRPr="00000C35">
                            <w:rPr>
                              <w:sz w:val="28"/>
                              <w:szCs w:val="28"/>
                            </w:rPr>
                            <w:t>20</w:t>
                          </w:r>
                        </w:p>
                        <w:p w14:paraId="380D6BB9" w14:textId="77777777" w:rsidR="00AD4FA9" w:rsidRPr="00000C35" w:rsidRDefault="00AD4FA9" w:rsidP="00A63959">
                          <w:pPr>
                            <w:spacing w:line="560" w:lineRule="exact"/>
                            <w:jc w:val="right"/>
                            <w:rPr>
                              <w:sz w:val="28"/>
                              <w:szCs w:val="28"/>
                            </w:rPr>
                          </w:pPr>
                          <w:r w:rsidRPr="00000C35">
                            <w:rPr>
                              <w:sz w:val="28"/>
                              <w:szCs w:val="28"/>
                            </w:rPr>
                            <w:t>21</w:t>
                          </w:r>
                        </w:p>
                        <w:p w14:paraId="75EA587E" w14:textId="77777777" w:rsidR="00AD4FA9" w:rsidRPr="00000C35" w:rsidRDefault="00AD4FA9" w:rsidP="00ED333D">
                          <w:pPr>
                            <w:spacing w:line="560" w:lineRule="exact"/>
                            <w:jc w:val="right"/>
                            <w:rPr>
                              <w:sz w:val="28"/>
                              <w:szCs w:val="28"/>
                            </w:rPr>
                          </w:pPr>
                          <w:r w:rsidRPr="00000C35">
                            <w:rPr>
                              <w:sz w:val="28"/>
                              <w:szCs w:val="28"/>
                            </w:rPr>
                            <w:t>22</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AED330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0B091336" w14:textId="77777777" w:rsidR="00AD4FA9" w:rsidRPr="00000C35" w:rsidRDefault="00AD4FA9" w:rsidP="00ED333D">
                    <w:pPr>
                      <w:spacing w:before="280" w:line="560" w:lineRule="exact"/>
                      <w:jc w:val="right"/>
                      <w:rPr>
                        <w:sz w:val="28"/>
                        <w:szCs w:val="28"/>
                      </w:rPr>
                    </w:pPr>
                    <w:r w:rsidRPr="00000C35">
                      <w:rPr>
                        <w:sz w:val="28"/>
                        <w:szCs w:val="28"/>
                      </w:rPr>
                      <w:t>1</w:t>
                    </w:r>
                  </w:p>
                  <w:p w14:paraId="7632A401" w14:textId="77777777" w:rsidR="00AD4FA9" w:rsidRPr="00000C35" w:rsidRDefault="00AD4FA9" w:rsidP="00A63959">
                    <w:pPr>
                      <w:spacing w:line="560" w:lineRule="exact"/>
                      <w:jc w:val="right"/>
                      <w:rPr>
                        <w:sz w:val="28"/>
                        <w:szCs w:val="28"/>
                      </w:rPr>
                    </w:pPr>
                    <w:r w:rsidRPr="00000C35">
                      <w:rPr>
                        <w:sz w:val="28"/>
                        <w:szCs w:val="28"/>
                      </w:rPr>
                      <w:t>2</w:t>
                    </w:r>
                  </w:p>
                  <w:p w14:paraId="0FCAACB5" w14:textId="77777777" w:rsidR="00AD4FA9" w:rsidRPr="00000C35" w:rsidRDefault="00AD4FA9" w:rsidP="00A63959">
                    <w:pPr>
                      <w:spacing w:line="560" w:lineRule="exact"/>
                      <w:jc w:val="right"/>
                      <w:rPr>
                        <w:sz w:val="28"/>
                        <w:szCs w:val="28"/>
                      </w:rPr>
                    </w:pPr>
                    <w:r w:rsidRPr="00000C35">
                      <w:rPr>
                        <w:sz w:val="28"/>
                        <w:szCs w:val="28"/>
                      </w:rPr>
                      <w:t>3</w:t>
                    </w:r>
                  </w:p>
                  <w:p w14:paraId="6D50566C" w14:textId="77777777" w:rsidR="00AD4FA9" w:rsidRPr="00000C35" w:rsidRDefault="00AD4FA9" w:rsidP="00A63959">
                    <w:pPr>
                      <w:spacing w:line="560" w:lineRule="exact"/>
                      <w:jc w:val="right"/>
                      <w:rPr>
                        <w:sz w:val="28"/>
                        <w:szCs w:val="28"/>
                      </w:rPr>
                    </w:pPr>
                    <w:r w:rsidRPr="00000C35">
                      <w:rPr>
                        <w:sz w:val="28"/>
                        <w:szCs w:val="28"/>
                      </w:rPr>
                      <w:t>4</w:t>
                    </w:r>
                  </w:p>
                  <w:p w14:paraId="3E104FB1" w14:textId="77777777" w:rsidR="00AD4FA9" w:rsidRPr="00000C35" w:rsidRDefault="00AD4FA9" w:rsidP="00A63959">
                    <w:pPr>
                      <w:spacing w:line="560" w:lineRule="exact"/>
                      <w:jc w:val="right"/>
                      <w:rPr>
                        <w:sz w:val="28"/>
                        <w:szCs w:val="28"/>
                      </w:rPr>
                    </w:pPr>
                    <w:r w:rsidRPr="00000C35">
                      <w:rPr>
                        <w:sz w:val="28"/>
                        <w:szCs w:val="28"/>
                      </w:rPr>
                      <w:t>5</w:t>
                    </w:r>
                  </w:p>
                  <w:p w14:paraId="12CE06DB" w14:textId="77777777" w:rsidR="00AD4FA9" w:rsidRPr="00000C35" w:rsidRDefault="00AD4FA9" w:rsidP="00A63959">
                    <w:pPr>
                      <w:spacing w:line="560" w:lineRule="exact"/>
                      <w:jc w:val="right"/>
                      <w:rPr>
                        <w:sz w:val="28"/>
                        <w:szCs w:val="28"/>
                      </w:rPr>
                    </w:pPr>
                    <w:r w:rsidRPr="00000C35">
                      <w:rPr>
                        <w:sz w:val="28"/>
                        <w:szCs w:val="28"/>
                      </w:rPr>
                      <w:t>6</w:t>
                    </w:r>
                  </w:p>
                  <w:p w14:paraId="04E9B2F7" w14:textId="77777777" w:rsidR="00AD4FA9" w:rsidRPr="00000C35" w:rsidRDefault="00AD4FA9" w:rsidP="00A63959">
                    <w:pPr>
                      <w:spacing w:line="560" w:lineRule="exact"/>
                      <w:jc w:val="right"/>
                      <w:rPr>
                        <w:sz w:val="28"/>
                        <w:szCs w:val="28"/>
                      </w:rPr>
                    </w:pPr>
                    <w:r w:rsidRPr="00000C35">
                      <w:rPr>
                        <w:sz w:val="28"/>
                        <w:szCs w:val="28"/>
                      </w:rPr>
                      <w:t>7</w:t>
                    </w:r>
                  </w:p>
                  <w:p w14:paraId="14835213" w14:textId="77777777" w:rsidR="00AD4FA9" w:rsidRPr="00000C35" w:rsidRDefault="00AD4FA9" w:rsidP="00A63959">
                    <w:pPr>
                      <w:spacing w:line="560" w:lineRule="exact"/>
                      <w:jc w:val="right"/>
                      <w:rPr>
                        <w:sz w:val="28"/>
                        <w:szCs w:val="28"/>
                      </w:rPr>
                    </w:pPr>
                    <w:r w:rsidRPr="00000C35">
                      <w:rPr>
                        <w:sz w:val="28"/>
                        <w:szCs w:val="28"/>
                      </w:rPr>
                      <w:t>8</w:t>
                    </w:r>
                  </w:p>
                  <w:p w14:paraId="0CF05A0E" w14:textId="77777777" w:rsidR="00AD4FA9" w:rsidRPr="00000C35" w:rsidRDefault="00AD4FA9" w:rsidP="00A63959">
                    <w:pPr>
                      <w:spacing w:line="560" w:lineRule="exact"/>
                      <w:jc w:val="right"/>
                      <w:rPr>
                        <w:sz w:val="28"/>
                        <w:szCs w:val="28"/>
                      </w:rPr>
                    </w:pPr>
                    <w:r w:rsidRPr="00000C35">
                      <w:rPr>
                        <w:sz w:val="28"/>
                        <w:szCs w:val="28"/>
                      </w:rPr>
                      <w:t>9</w:t>
                    </w:r>
                  </w:p>
                  <w:p w14:paraId="7BBB7292" w14:textId="77777777" w:rsidR="00AD4FA9" w:rsidRPr="00000C35" w:rsidRDefault="00AD4FA9" w:rsidP="00A63959">
                    <w:pPr>
                      <w:spacing w:line="560" w:lineRule="exact"/>
                      <w:jc w:val="right"/>
                      <w:rPr>
                        <w:sz w:val="28"/>
                        <w:szCs w:val="28"/>
                      </w:rPr>
                    </w:pPr>
                    <w:r w:rsidRPr="00000C35">
                      <w:rPr>
                        <w:sz w:val="28"/>
                        <w:szCs w:val="28"/>
                      </w:rPr>
                      <w:t>10</w:t>
                    </w:r>
                  </w:p>
                  <w:p w14:paraId="612740AD" w14:textId="77777777" w:rsidR="00AD4FA9" w:rsidRPr="00000C35" w:rsidRDefault="00AD4FA9" w:rsidP="00A63959">
                    <w:pPr>
                      <w:spacing w:line="560" w:lineRule="exact"/>
                      <w:jc w:val="right"/>
                      <w:rPr>
                        <w:sz w:val="28"/>
                        <w:szCs w:val="28"/>
                      </w:rPr>
                    </w:pPr>
                    <w:r w:rsidRPr="00000C35">
                      <w:rPr>
                        <w:sz w:val="28"/>
                        <w:szCs w:val="28"/>
                      </w:rPr>
                      <w:t>11</w:t>
                    </w:r>
                  </w:p>
                  <w:p w14:paraId="39E90D95" w14:textId="77777777" w:rsidR="00AD4FA9" w:rsidRPr="00000C35" w:rsidRDefault="00AD4FA9" w:rsidP="00A63959">
                    <w:pPr>
                      <w:spacing w:line="560" w:lineRule="exact"/>
                      <w:jc w:val="right"/>
                      <w:rPr>
                        <w:sz w:val="28"/>
                        <w:szCs w:val="28"/>
                      </w:rPr>
                    </w:pPr>
                    <w:r w:rsidRPr="00000C35">
                      <w:rPr>
                        <w:sz w:val="28"/>
                        <w:szCs w:val="28"/>
                      </w:rPr>
                      <w:t>12</w:t>
                    </w:r>
                  </w:p>
                  <w:p w14:paraId="3CBAD3B6" w14:textId="77777777" w:rsidR="00AD4FA9" w:rsidRPr="00000C35" w:rsidRDefault="00AD4FA9" w:rsidP="00A63959">
                    <w:pPr>
                      <w:spacing w:line="560" w:lineRule="exact"/>
                      <w:jc w:val="right"/>
                      <w:rPr>
                        <w:sz w:val="28"/>
                        <w:szCs w:val="28"/>
                      </w:rPr>
                    </w:pPr>
                    <w:r w:rsidRPr="00000C35">
                      <w:rPr>
                        <w:sz w:val="28"/>
                        <w:szCs w:val="28"/>
                      </w:rPr>
                      <w:t>13</w:t>
                    </w:r>
                  </w:p>
                  <w:p w14:paraId="6658CB00" w14:textId="77777777" w:rsidR="00AD4FA9" w:rsidRPr="00000C35" w:rsidRDefault="00AD4FA9" w:rsidP="00A63959">
                    <w:pPr>
                      <w:spacing w:line="560" w:lineRule="exact"/>
                      <w:jc w:val="right"/>
                      <w:rPr>
                        <w:sz w:val="28"/>
                        <w:szCs w:val="28"/>
                      </w:rPr>
                    </w:pPr>
                    <w:r w:rsidRPr="00000C35">
                      <w:rPr>
                        <w:sz w:val="28"/>
                        <w:szCs w:val="28"/>
                      </w:rPr>
                      <w:t>14</w:t>
                    </w:r>
                  </w:p>
                  <w:p w14:paraId="7770AFB0" w14:textId="77777777" w:rsidR="00AD4FA9" w:rsidRPr="00000C35" w:rsidRDefault="00AD4FA9" w:rsidP="00A63959">
                    <w:pPr>
                      <w:spacing w:line="560" w:lineRule="exact"/>
                      <w:jc w:val="right"/>
                      <w:rPr>
                        <w:sz w:val="28"/>
                        <w:szCs w:val="28"/>
                      </w:rPr>
                    </w:pPr>
                    <w:r w:rsidRPr="00000C35">
                      <w:rPr>
                        <w:sz w:val="28"/>
                        <w:szCs w:val="28"/>
                      </w:rPr>
                      <w:t>15</w:t>
                    </w:r>
                  </w:p>
                  <w:p w14:paraId="3910FA55" w14:textId="77777777" w:rsidR="00AD4FA9" w:rsidRPr="00000C35" w:rsidRDefault="00AD4FA9" w:rsidP="00A63959">
                    <w:pPr>
                      <w:spacing w:line="560" w:lineRule="exact"/>
                      <w:jc w:val="right"/>
                      <w:rPr>
                        <w:sz w:val="28"/>
                        <w:szCs w:val="28"/>
                      </w:rPr>
                    </w:pPr>
                    <w:r w:rsidRPr="00000C35">
                      <w:rPr>
                        <w:sz w:val="28"/>
                        <w:szCs w:val="28"/>
                      </w:rPr>
                      <w:t>16</w:t>
                    </w:r>
                  </w:p>
                  <w:p w14:paraId="5B607169" w14:textId="77777777" w:rsidR="00AD4FA9" w:rsidRPr="00000C35" w:rsidRDefault="00AD4FA9" w:rsidP="00A63959">
                    <w:pPr>
                      <w:spacing w:line="560" w:lineRule="exact"/>
                      <w:jc w:val="right"/>
                      <w:rPr>
                        <w:sz w:val="28"/>
                        <w:szCs w:val="28"/>
                      </w:rPr>
                    </w:pPr>
                    <w:r w:rsidRPr="00000C35">
                      <w:rPr>
                        <w:sz w:val="28"/>
                        <w:szCs w:val="28"/>
                      </w:rPr>
                      <w:t>17</w:t>
                    </w:r>
                  </w:p>
                  <w:p w14:paraId="1DEB9D84" w14:textId="77777777" w:rsidR="00AD4FA9" w:rsidRPr="00000C35" w:rsidRDefault="00AD4FA9" w:rsidP="00A63959">
                    <w:pPr>
                      <w:spacing w:line="560" w:lineRule="exact"/>
                      <w:jc w:val="right"/>
                      <w:rPr>
                        <w:sz w:val="28"/>
                        <w:szCs w:val="28"/>
                      </w:rPr>
                    </w:pPr>
                    <w:r w:rsidRPr="00000C35">
                      <w:rPr>
                        <w:sz w:val="28"/>
                        <w:szCs w:val="28"/>
                      </w:rPr>
                      <w:t>18</w:t>
                    </w:r>
                  </w:p>
                  <w:p w14:paraId="730698A8" w14:textId="77777777" w:rsidR="00AD4FA9" w:rsidRPr="00000C35" w:rsidRDefault="00AD4FA9" w:rsidP="00A63959">
                    <w:pPr>
                      <w:spacing w:line="560" w:lineRule="exact"/>
                      <w:jc w:val="right"/>
                      <w:rPr>
                        <w:sz w:val="28"/>
                        <w:szCs w:val="28"/>
                      </w:rPr>
                    </w:pPr>
                    <w:r w:rsidRPr="00000C35">
                      <w:rPr>
                        <w:sz w:val="28"/>
                        <w:szCs w:val="28"/>
                      </w:rPr>
                      <w:t>19</w:t>
                    </w:r>
                  </w:p>
                  <w:p w14:paraId="5F1B5EB7" w14:textId="77777777" w:rsidR="00AD4FA9" w:rsidRPr="00000C35" w:rsidRDefault="00AD4FA9" w:rsidP="00A63959">
                    <w:pPr>
                      <w:spacing w:line="560" w:lineRule="exact"/>
                      <w:jc w:val="right"/>
                      <w:rPr>
                        <w:sz w:val="28"/>
                        <w:szCs w:val="28"/>
                      </w:rPr>
                    </w:pPr>
                    <w:r w:rsidRPr="00000C35">
                      <w:rPr>
                        <w:sz w:val="28"/>
                        <w:szCs w:val="28"/>
                      </w:rPr>
                      <w:t>20</w:t>
                    </w:r>
                  </w:p>
                  <w:p w14:paraId="380D6BB9" w14:textId="77777777" w:rsidR="00AD4FA9" w:rsidRPr="00000C35" w:rsidRDefault="00AD4FA9" w:rsidP="00A63959">
                    <w:pPr>
                      <w:spacing w:line="560" w:lineRule="exact"/>
                      <w:jc w:val="right"/>
                      <w:rPr>
                        <w:sz w:val="28"/>
                        <w:szCs w:val="28"/>
                      </w:rPr>
                    </w:pPr>
                    <w:r w:rsidRPr="00000C35">
                      <w:rPr>
                        <w:sz w:val="28"/>
                        <w:szCs w:val="28"/>
                      </w:rPr>
                      <w:t>21</w:t>
                    </w:r>
                  </w:p>
                  <w:p w14:paraId="75EA587E" w14:textId="77777777" w:rsidR="00AD4FA9" w:rsidRPr="00000C35" w:rsidRDefault="00AD4FA9" w:rsidP="00ED333D">
                    <w:pPr>
                      <w:spacing w:line="560" w:lineRule="exact"/>
                      <w:jc w:val="right"/>
                      <w:rPr>
                        <w:sz w:val="28"/>
                        <w:szCs w:val="28"/>
                      </w:rPr>
                    </w:pPr>
                    <w:r w:rsidRPr="00000C35">
                      <w:rPr>
                        <w:sz w:val="28"/>
                        <w:szCs w:val="28"/>
                      </w:rPr>
                      <w:t>22</w:t>
                    </w:r>
                  </w:p>
                </w:txbxContent>
              </v:textbox>
              <w10:wrap anchorx="margin" anchory="margin"/>
            </v:shape>
          </w:pict>
        </mc:Fallback>
      </mc:AlternateContent>
    </w:r>
  </w:p>
  <w:p w14:paraId="6DC90EE0" w14:textId="77777777" w:rsidR="00AD4FA9" w:rsidRDefault="00AD4F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02A7"/>
    <w:multiLevelType w:val="hybridMultilevel"/>
    <w:tmpl w:val="B0E24474"/>
    <w:lvl w:ilvl="0" w:tplc="26ECA5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51315"/>
    <w:multiLevelType w:val="hybridMultilevel"/>
    <w:tmpl w:val="DC64728C"/>
    <w:lvl w:ilvl="0" w:tplc="38161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354DD9"/>
    <w:multiLevelType w:val="hybridMultilevel"/>
    <w:tmpl w:val="E61C78F2"/>
    <w:lvl w:ilvl="0" w:tplc="1640D2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20903"/>
    <w:multiLevelType w:val="hybridMultilevel"/>
    <w:tmpl w:val="2698F8CE"/>
    <w:lvl w:ilvl="0" w:tplc="20BE975C">
      <w:start w:val="1"/>
      <w:numFmt w:val="upperRoman"/>
      <w:lvlText w:val="%1."/>
      <w:lvlJc w:val="left"/>
      <w:pPr>
        <w:ind w:left="1440" w:hanging="720"/>
      </w:pPr>
      <w:rPr>
        <w:rFonts w:hint="default"/>
      </w:rPr>
    </w:lvl>
    <w:lvl w:ilvl="1" w:tplc="131688C0" w:tentative="1">
      <w:start w:val="1"/>
      <w:numFmt w:val="lowerLetter"/>
      <w:lvlText w:val="%2."/>
      <w:lvlJc w:val="left"/>
      <w:pPr>
        <w:ind w:left="1800" w:hanging="360"/>
      </w:pPr>
    </w:lvl>
    <w:lvl w:ilvl="2" w:tplc="D2AA8108" w:tentative="1">
      <w:start w:val="1"/>
      <w:numFmt w:val="lowerRoman"/>
      <w:lvlText w:val="%3."/>
      <w:lvlJc w:val="right"/>
      <w:pPr>
        <w:ind w:left="2520" w:hanging="180"/>
      </w:pPr>
    </w:lvl>
    <w:lvl w:ilvl="3" w:tplc="708C0FC0" w:tentative="1">
      <w:start w:val="1"/>
      <w:numFmt w:val="decimal"/>
      <w:lvlText w:val="%4."/>
      <w:lvlJc w:val="left"/>
      <w:pPr>
        <w:ind w:left="3240" w:hanging="360"/>
      </w:pPr>
    </w:lvl>
    <w:lvl w:ilvl="4" w:tplc="A998BCE0" w:tentative="1">
      <w:start w:val="1"/>
      <w:numFmt w:val="lowerLetter"/>
      <w:lvlText w:val="%5."/>
      <w:lvlJc w:val="left"/>
      <w:pPr>
        <w:ind w:left="3960" w:hanging="360"/>
      </w:pPr>
    </w:lvl>
    <w:lvl w:ilvl="5" w:tplc="5226F086" w:tentative="1">
      <w:start w:val="1"/>
      <w:numFmt w:val="lowerRoman"/>
      <w:lvlText w:val="%6."/>
      <w:lvlJc w:val="right"/>
      <w:pPr>
        <w:ind w:left="4680" w:hanging="180"/>
      </w:pPr>
    </w:lvl>
    <w:lvl w:ilvl="6" w:tplc="C902F15A" w:tentative="1">
      <w:start w:val="1"/>
      <w:numFmt w:val="decimal"/>
      <w:lvlText w:val="%7."/>
      <w:lvlJc w:val="left"/>
      <w:pPr>
        <w:ind w:left="5400" w:hanging="360"/>
      </w:pPr>
    </w:lvl>
    <w:lvl w:ilvl="7" w:tplc="A738A6AE" w:tentative="1">
      <w:start w:val="1"/>
      <w:numFmt w:val="lowerLetter"/>
      <w:lvlText w:val="%8."/>
      <w:lvlJc w:val="left"/>
      <w:pPr>
        <w:ind w:left="6120" w:hanging="360"/>
      </w:pPr>
    </w:lvl>
    <w:lvl w:ilvl="8" w:tplc="FCF6F2F6" w:tentative="1">
      <w:start w:val="1"/>
      <w:numFmt w:val="lowerRoman"/>
      <w:lvlText w:val="%9."/>
      <w:lvlJc w:val="right"/>
      <w:pPr>
        <w:ind w:left="6840" w:hanging="180"/>
      </w:pPr>
    </w:lvl>
  </w:abstractNum>
  <w:abstractNum w:abstractNumId="4" w15:restartNumberingAfterBreak="0">
    <w:nsid w:val="0FC83184"/>
    <w:multiLevelType w:val="hybridMultilevel"/>
    <w:tmpl w:val="77DC950C"/>
    <w:lvl w:ilvl="0" w:tplc="C71874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46057F"/>
    <w:multiLevelType w:val="hybridMultilevel"/>
    <w:tmpl w:val="F59E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87BEB"/>
    <w:multiLevelType w:val="hybridMultilevel"/>
    <w:tmpl w:val="5382356E"/>
    <w:lvl w:ilvl="0" w:tplc="9E34DDA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A46097"/>
    <w:multiLevelType w:val="hybridMultilevel"/>
    <w:tmpl w:val="9AF8A856"/>
    <w:lvl w:ilvl="0" w:tplc="0BAE4C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5F2F67"/>
    <w:multiLevelType w:val="hybridMultilevel"/>
    <w:tmpl w:val="ABD82A40"/>
    <w:lvl w:ilvl="0" w:tplc="4DFAF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DD2E36"/>
    <w:multiLevelType w:val="hybridMultilevel"/>
    <w:tmpl w:val="70C245C2"/>
    <w:lvl w:ilvl="0" w:tplc="ECD417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928DD"/>
    <w:multiLevelType w:val="hybridMultilevel"/>
    <w:tmpl w:val="1A744F8A"/>
    <w:lvl w:ilvl="0" w:tplc="B77492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0B5569"/>
    <w:multiLevelType w:val="hybridMultilevel"/>
    <w:tmpl w:val="7F94C414"/>
    <w:lvl w:ilvl="0" w:tplc="56FC5C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A813699"/>
    <w:multiLevelType w:val="hybridMultilevel"/>
    <w:tmpl w:val="78AA7E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B21229B"/>
    <w:multiLevelType w:val="hybridMultilevel"/>
    <w:tmpl w:val="9C26D620"/>
    <w:lvl w:ilvl="0" w:tplc="0BB8F746">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094967"/>
    <w:multiLevelType w:val="hybridMultilevel"/>
    <w:tmpl w:val="757EC8C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6D2733"/>
    <w:multiLevelType w:val="hybridMultilevel"/>
    <w:tmpl w:val="B8FE8A3E"/>
    <w:lvl w:ilvl="0" w:tplc="940AED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7355"/>
    <w:multiLevelType w:val="hybridMultilevel"/>
    <w:tmpl w:val="B4D86278"/>
    <w:lvl w:ilvl="0" w:tplc="06DA12D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560662">
    <w:abstractNumId w:val="23"/>
  </w:num>
  <w:num w:numId="2" w16cid:durableId="723067735">
    <w:abstractNumId w:val="25"/>
  </w:num>
  <w:num w:numId="3" w16cid:durableId="1448813521">
    <w:abstractNumId w:val="6"/>
  </w:num>
  <w:num w:numId="4" w16cid:durableId="1473014449">
    <w:abstractNumId w:val="11"/>
  </w:num>
  <w:num w:numId="5" w16cid:durableId="1160077283">
    <w:abstractNumId w:val="16"/>
  </w:num>
  <w:num w:numId="6" w16cid:durableId="330913955">
    <w:abstractNumId w:val="17"/>
  </w:num>
  <w:num w:numId="7" w16cid:durableId="569539658">
    <w:abstractNumId w:val="7"/>
  </w:num>
  <w:num w:numId="8" w16cid:durableId="1191919283">
    <w:abstractNumId w:val="30"/>
  </w:num>
  <w:num w:numId="9" w16cid:durableId="249579361">
    <w:abstractNumId w:val="18"/>
  </w:num>
  <w:num w:numId="10" w16cid:durableId="1258637602">
    <w:abstractNumId w:val="22"/>
  </w:num>
  <w:num w:numId="11" w16cid:durableId="408769702">
    <w:abstractNumId w:val="20"/>
  </w:num>
  <w:num w:numId="12" w16cid:durableId="1058431622">
    <w:abstractNumId w:val="13"/>
  </w:num>
  <w:num w:numId="13" w16cid:durableId="943612497">
    <w:abstractNumId w:val="9"/>
  </w:num>
  <w:num w:numId="14" w16cid:durableId="1856694">
    <w:abstractNumId w:val="10"/>
  </w:num>
  <w:num w:numId="15" w16cid:durableId="1863661717">
    <w:abstractNumId w:val="24"/>
  </w:num>
  <w:num w:numId="16" w16cid:durableId="1962758289">
    <w:abstractNumId w:val="3"/>
  </w:num>
  <w:num w:numId="17" w16cid:durableId="1524712528">
    <w:abstractNumId w:val="12"/>
  </w:num>
  <w:num w:numId="18" w16cid:durableId="964391792">
    <w:abstractNumId w:val="14"/>
  </w:num>
  <w:num w:numId="19" w16cid:durableId="1361080942">
    <w:abstractNumId w:val="27"/>
  </w:num>
  <w:num w:numId="20" w16cid:durableId="1750730690">
    <w:abstractNumId w:val="5"/>
  </w:num>
  <w:num w:numId="21" w16cid:durableId="281690759">
    <w:abstractNumId w:val="26"/>
  </w:num>
  <w:num w:numId="22" w16cid:durableId="1748528868">
    <w:abstractNumId w:val="4"/>
  </w:num>
  <w:num w:numId="23" w16cid:durableId="503476607">
    <w:abstractNumId w:val="21"/>
  </w:num>
  <w:num w:numId="24" w16cid:durableId="149636203">
    <w:abstractNumId w:val="8"/>
  </w:num>
  <w:num w:numId="25" w16cid:durableId="1536966589">
    <w:abstractNumId w:val="1"/>
  </w:num>
  <w:num w:numId="26" w16cid:durableId="2098089037">
    <w:abstractNumId w:val="15"/>
  </w:num>
  <w:num w:numId="27" w16cid:durableId="256643732">
    <w:abstractNumId w:val="0"/>
  </w:num>
  <w:num w:numId="28" w16cid:durableId="426386012">
    <w:abstractNumId w:val="19"/>
  </w:num>
  <w:num w:numId="29" w16cid:durableId="1064065868">
    <w:abstractNumId w:val="28"/>
  </w:num>
  <w:num w:numId="30" w16cid:durableId="1209805502">
    <w:abstractNumId w:val="2"/>
  </w:num>
  <w:num w:numId="31" w16cid:durableId="16294293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11"/>
    <w:rsid w:val="00000C35"/>
    <w:rsid w:val="00006B6A"/>
    <w:rsid w:val="00010006"/>
    <w:rsid w:val="00022629"/>
    <w:rsid w:val="00031E80"/>
    <w:rsid w:val="00032063"/>
    <w:rsid w:val="000410B3"/>
    <w:rsid w:val="00043D4D"/>
    <w:rsid w:val="0004435B"/>
    <w:rsid w:val="00052372"/>
    <w:rsid w:val="000549C8"/>
    <w:rsid w:val="00061C47"/>
    <w:rsid w:val="000666D1"/>
    <w:rsid w:val="000700B9"/>
    <w:rsid w:val="00077DB3"/>
    <w:rsid w:val="00082B97"/>
    <w:rsid w:val="000917C0"/>
    <w:rsid w:val="0009494B"/>
    <w:rsid w:val="000A1D6B"/>
    <w:rsid w:val="000A4986"/>
    <w:rsid w:val="000A593C"/>
    <w:rsid w:val="000B5698"/>
    <w:rsid w:val="000C48A9"/>
    <w:rsid w:val="000C5657"/>
    <w:rsid w:val="000E471A"/>
    <w:rsid w:val="000F39A8"/>
    <w:rsid w:val="000F7A7F"/>
    <w:rsid w:val="000F7C13"/>
    <w:rsid w:val="00104FED"/>
    <w:rsid w:val="001166F6"/>
    <w:rsid w:val="00124E4B"/>
    <w:rsid w:val="0013249B"/>
    <w:rsid w:val="00135326"/>
    <w:rsid w:val="0014316C"/>
    <w:rsid w:val="001912C1"/>
    <w:rsid w:val="00194BFD"/>
    <w:rsid w:val="001A2520"/>
    <w:rsid w:val="001B109F"/>
    <w:rsid w:val="001B6EB0"/>
    <w:rsid w:val="001E1A07"/>
    <w:rsid w:val="001F591C"/>
    <w:rsid w:val="001F6D40"/>
    <w:rsid w:val="00206A6C"/>
    <w:rsid w:val="0023383E"/>
    <w:rsid w:val="0025453B"/>
    <w:rsid w:val="002673C7"/>
    <w:rsid w:val="00274D6A"/>
    <w:rsid w:val="00283512"/>
    <w:rsid w:val="00290AB4"/>
    <w:rsid w:val="0029455B"/>
    <w:rsid w:val="00297BE9"/>
    <w:rsid w:val="002A2926"/>
    <w:rsid w:val="002C3D56"/>
    <w:rsid w:val="002D02AD"/>
    <w:rsid w:val="002D260D"/>
    <w:rsid w:val="002E7E77"/>
    <w:rsid w:val="00301EBC"/>
    <w:rsid w:val="003106B0"/>
    <w:rsid w:val="00312ED2"/>
    <w:rsid w:val="00325EBB"/>
    <w:rsid w:val="0033323A"/>
    <w:rsid w:val="00343A6B"/>
    <w:rsid w:val="003469AA"/>
    <w:rsid w:val="00352347"/>
    <w:rsid w:val="003566D6"/>
    <w:rsid w:val="00357F4D"/>
    <w:rsid w:val="003617D1"/>
    <w:rsid w:val="0037635B"/>
    <w:rsid w:val="00377199"/>
    <w:rsid w:val="00384BA8"/>
    <w:rsid w:val="00387BE6"/>
    <w:rsid w:val="00395092"/>
    <w:rsid w:val="0039693C"/>
    <w:rsid w:val="003A28AC"/>
    <w:rsid w:val="003B125E"/>
    <w:rsid w:val="003D02A1"/>
    <w:rsid w:val="003D6289"/>
    <w:rsid w:val="003F6B7F"/>
    <w:rsid w:val="00407E2D"/>
    <w:rsid w:val="004331B2"/>
    <w:rsid w:val="00433B71"/>
    <w:rsid w:val="00440E4C"/>
    <w:rsid w:val="00443547"/>
    <w:rsid w:val="00463734"/>
    <w:rsid w:val="00494BDF"/>
    <w:rsid w:val="004A283D"/>
    <w:rsid w:val="004A467D"/>
    <w:rsid w:val="004A5AF5"/>
    <w:rsid w:val="004B1C4C"/>
    <w:rsid w:val="004C3AE3"/>
    <w:rsid w:val="004D0366"/>
    <w:rsid w:val="004D2185"/>
    <w:rsid w:val="00500EDD"/>
    <w:rsid w:val="00504E1E"/>
    <w:rsid w:val="00506859"/>
    <w:rsid w:val="00520F93"/>
    <w:rsid w:val="00565450"/>
    <w:rsid w:val="00566856"/>
    <w:rsid w:val="005849B2"/>
    <w:rsid w:val="005A0DFC"/>
    <w:rsid w:val="005A1749"/>
    <w:rsid w:val="005A21B0"/>
    <w:rsid w:val="005B0232"/>
    <w:rsid w:val="005B5161"/>
    <w:rsid w:val="005B756E"/>
    <w:rsid w:val="005C2C6F"/>
    <w:rsid w:val="005C4281"/>
    <w:rsid w:val="005C6898"/>
    <w:rsid w:val="005D6AD4"/>
    <w:rsid w:val="00601CA6"/>
    <w:rsid w:val="0061137C"/>
    <w:rsid w:val="006159B5"/>
    <w:rsid w:val="006169F6"/>
    <w:rsid w:val="00624855"/>
    <w:rsid w:val="00632F75"/>
    <w:rsid w:val="006338C1"/>
    <w:rsid w:val="00636F5E"/>
    <w:rsid w:val="0064147F"/>
    <w:rsid w:val="00643A10"/>
    <w:rsid w:val="006652C3"/>
    <w:rsid w:val="00665CCF"/>
    <w:rsid w:val="006666D1"/>
    <w:rsid w:val="006721EC"/>
    <w:rsid w:val="006735FC"/>
    <w:rsid w:val="006766BF"/>
    <w:rsid w:val="006932BA"/>
    <w:rsid w:val="006A4FA4"/>
    <w:rsid w:val="006B4F9A"/>
    <w:rsid w:val="006C0345"/>
    <w:rsid w:val="006D1621"/>
    <w:rsid w:val="006E193E"/>
    <w:rsid w:val="006E5D44"/>
    <w:rsid w:val="006F63FD"/>
    <w:rsid w:val="0070657F"/>
    <w:rsid w:val="007169B5"/>
    <w:rsid w:val="00726A59"/>
    <w:rsid w:val="00732169"/>
    <w:rsid w:val="00735659"/>
    <w:rsid w:val="0073704F"/>
    <w:rsid w:val="007427C6"/>
    <w:rsid w:val="00743223"/>
    <w:rsid w:val="007629A3"/>
    <w:rsid w:val="00763971"/>
    <w:rsid w:val="0077110E"/>
    <w:rsid w:val="00771126"/>
    <w:rsid w:val="007870CB"/>
    <w:rsid w:val="0079629D"/>
    <w:rsid w:val="007A2778"/>
    <w:rsid w:val="007A3F0F"/>
    <w:rsid w:val="007C6D80"/>
    <w:rsid w:val="007C75FF"/>
    <w:rsid w:val="007D5C49"/>
    <w:rsid w:val="007D73FF"/>
    <w:rsid w:val="007F4766"/>
    <w:rsid w:val="008001BF"/>
    <w:rsid w:val="008004DC"/>
    <w:rsid w:val="008006ED"/>
    <w:rsid w:val="0080651B"/>
    <w:rsid w:val="008123B4"/>
    <w:rsid w:val="0081405F"/>
    <w:rsid w:val="00822598"/>
    <w:rsid w:val="0083121C"/>
    <w:rsid w:val="00833F3A"/>
    <w:rsid w:val="00835D86"/>
    <w:rsid w:val="008360A1"/>
    <w:rsid w:val="00861563"/>
    <w:rsid w:val="0086399D"/>
    <w:rsid w:val="00871AAA"/>
    <w:rsid w:val="00876F57"/>
    <w:rsid w:val="00880B79"/>
    <w:rsid w:val="00883280"/>
    <w:rsid w:val="00891AAA"/>
    <w:rsid w:val="00892909"/>
    <w:rsid w:val="008B1266"/>
    <w:rsid w:val="008C19DB"/>
    <w:rsid w:val="008F0CAA"/>
    <w:rsid w:val="009150EB"/>
    <w:rsid w:val="00922C4B"/>
    <w:rsid w:val="00931B9E"/>
    <w:rsid w:val="00933EA1"/>
    <w:rsid w:val="00951416"/>
    <w:rsid w:val="00960D21"/>
    <w:rsid w:val="00970E0E"/>
    <w:rsid w:val="00981D29"/>
    <w:rsid w:val="00981E11"/>
    <w:rsid w:val="009830BC"/>
    <w:rsid w:val="0099574D"/>
    <w:rsid w:val="009A1961"/>
    <w:rsid w:val="009B2008"/>
    <w:rsid w:val="00A14D4E"/>
    <w:rsid w:val="00A1564B"/>
    <w:rsid w:val="00A452F9"/>
    <w:rsid w:val="00A51345"/>
    <w:rsid w:val="00A5194F"/>
    <w:rsid w:val="00A52364"/>
    <w:rsid w:val="00A56490"/>
    <w:rsid w:val="00A63959"/>
    <w:rsid w:val="00A871D6"/>
    <w:rsid w:val="00A93A7C"/>
    <w:rsid w:val="00AA2D42"/>
    <w:rsid w:val="00AB6130"/>
    <w:rsid w:val="00AD4FA9"/>
    <w:rsid w:val="00AF282C"/>
    <w:rsid w:val="00AF3FF7"/>
    <w:rsid w:val="00B131D9"/>
    <w:rsid w:val="00B1491D"/>
    <w:rsid w:val="00B22EC6"/>
    <w:rsid w:val="00B37A1D"/>
    <w:rsid w:val="00B45C17"/>
    <w:rsid w:val="00B47B7D"/>
    <w:rsid w:val="00B50E2D"/>
    <w:rsid w:val="00B527FA"/>
    <w:rsid w:val="00B565EF"/>
    <w:rsid w:val="00B65BFD"/>
    <w:rsid w:val="00B714DA"/>
    <w:rsid w:val="00B8113B"/>
    <w:rsid w:val="00B85DC4"/>
    <w:rsid w:val="00B92D02"/>
    <w:rsid w:val="00BA5BEF"/>
    <w:rsid w:val="00BE628B"/>
    <w:rsid w:val="00BE7732"/>
    <w:rsid w:val="00C025BB"/>
    <w:rsid w:val="00C03E0F"/>
    <w:rsid w:val="00C120E7"/>
    <w:rsid w:val="00C17FCE"/>
    <w:rsid w:val="00C24DA4"/>
    <w:rsid w:val="00C25FA5"/>
    <w:rsid w:val="00C35DB1"/>
    <w:rsid w:val="00C37612"/>
    <w:rsid w:val="00C479BE"/>
    <w:rsid w:val="00C52E56"/>
    <w:rsid w:val="00C5407A"/>
    <w:rsid w:val="00C6143C"/>
    <w:rsid w:val="00C622E2"/>
    <w:rsid w:val="00C662B0"/>
    <w:rsid w:val="00C77A28"/>
    <w:rsid w:val="00C84FD4"/>
    <w:rsid w:val="00C958EE"/>
    <w:rsid w:val="00C973BA"/>
    <w:rsid w:val="00CA0B43"/>
    <w:rsid w:val="00CD21FB"/>
    <w:rsid w:val="00CD4349"/>
    <w:rsid w:val="00CE6807"/>
    <w:rsid w:val="00CF0986"/>
    <w:rsid w:val="00D033E7"/>
    <w:rsid w:val="00D05DCA"/>
    <w:rsid w:val="00D218B5"/>
    <w:rsid w:val="00D423FE"/>
    <w:rsid w:val="00D442E4"/>
    <w:rsid w:val="00D56080"/>
    <w:rsid w:val="00D562D0"/>
    <w:rsid w:val="00D67E04"/>
    <w:rsid w:val="00D80EDC"/>
    <w:rsid w:val="00D92F7A"/>
    <w:rsid w:val="00DD3B42"/>
    <w:rsid w:val="00DF2443"/>
    <w:rsid w:val="00DF4F15"/>
    <w:rsid w:val="00DF616F"/>
    <w:rsid w:val="00E047D3"/>
    <w:rsid w:val="00E12829"/>
    <w:rsid w:val="00E131DE"/>
    <w:rsid w:val="00E24378"/>
    <w:rsid w:val="00E266B7"/>
    <w:rsid w:val="00E321C5"/>
    <w:rsid w:val="00E411A6"/>
    <w:rsid w:val="00E44AC1"/>
    <w:rsid w:val="00E5772B"/>
    <w:rsid w:val="00E634AD"/>
    <w:rsid w:val="00E67511"/>
    <w:rsid w:val="00E82D0F"/>
    <w:rsid w:val="00E8589D"/>
    <w:rsid w:val="00E950B5"/>
    <w:rsid w:val="00E960DB"/>
    <w:rsid w:val="00E970F0"/>
    <w:rsid w:val="00EA7F70"/>
    <w:rsid w:val="00ED333D"/>
    <w:rsid w:val="00EE1594"/>
    <w:rsid w:val="00F05879"/>
    <w:rsid w:val="00F06165"/>
    <w:rsid w:val="00F06F5B"/>
    <w:rsid w:val="00F0700F"/>
    <w:rsid w:val="00F207FF"/>
    <w:rsid w:val="00F240F5"/>
    <w:rsid w:val="00F2485D"/>
    <w:rsid w:val="00F33926"/>
    <w:rsid w:val="00F3505A"/>
    <w:rsid w:val="00F40EA2"/>
    <w:rsid w:val="00F452D1"/>
    <w:rsid w:val="00F60C61"/>
    <w:rsid w:val="00F64B52"/>
    <w:rsid w:val="00F82AAA"/>
    <w:rsid w:val="00F850BE"/>
    <w:rsid w:val="00F94111"/>
    <w:rsid w:val="00F96A1A"/>
    <w:rsid w:val="00FA0446"/>
    <w:rsid w:val="00FB5291"/>
    <w:rsid w:val="00FB5E84"/>
    <w:rsid w:val="00FB6B21"/>
    <w:rsid w:val="00FB6EC3"/>
    <w:rsid w:val="00FB7665"/>
    <w:rsid w:val="00FE184A"/>
    <w:rsid w:val="00FE3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3D097"/>
  <w15:docId w15:val="{3F7168C6-7EB5-455F-BEB8-FD4F6FBB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Text">
    <w:name w:val="Plead Text"/>
    <w:basedOn w:val="Normal"/>
    <w:rsid w:val="004D2185"/>
    <w:pPr>
      <w:widowControl w:val="0"/>
      <w:spacing w:line="480" w:lineRule="exact"/>
      <w:ind w:firstLine="720"/>
      <w:jc w:val="both"/>
    </w:pPr>
    <w:rPr>
      <w:sz w:val="26"/>
    </w:rPr>
  </w:style>
  <w:style w:type="paragraph" w:customStyle="1" w:styleId="ListNoBodyGoudy12">
    <w:name w:val="List No Body Goudy 12"/>
    <w:basedOn w:val="Normal"/>
    <w:rsid w:val="009830BC"/>
    <w:pPr>
      <w:widowControl w:val="0"/>
      <w:tabs>
        <w:tab w:val="left" w:pos="432"/>
        <w:tab w:val="left" w:pos="1872"/>
      </w:tabs>
      <w:autoSpaceDE w:val="0"/>
      <w:autoSpaceDN w:val="0"/>
      <w:adjustRightInd w:val="0"/>
      <w:spacing w:after="120" w:line="360" w:lineRule="auto"/>
      <w:jc w:val="both"/>
    </w:pPr>
    <w:rPr>
      <w:rFonts w:ascii="GoudyOlSt BT" w:hAnsi="GoudyOlSt BT"/>
      <w:sz w:val="24"/>
      <w:szCs w:val="26"/>
    </w:rPr>
  </w:style>
  <w:style w:type="paragraph" w:styleId="ListParagraph">
    <w:name w:val="List Paragraph"/>
    <w:basedOn w:val="Normal"/>
    <w:uiPriority w:val="34"/>
    <w:qFormat/>
    <w:rsid w:val="009830BC"/>
    <w:pPr>
      <w:spacing w:line="240" w:lineRule="auto"/>
      <w:ind w:left="720"/>
      <w:contextualSpacing/>
    </w:pPr>
    <w:rPr>
      <w:sz w:val="24"/>
      <w:szCs w:val="24"/>
    </w:rPr>
  </w:style>
  <w:style w:type="character" w:styleId="FollowedHyperlink">
    <w:name w:val="FollowedHyperlink"/>
    <w:basedOn w:val="DefaultParagraphFont"/>
    <w:semiHidden/>
    <w:unhideWhenUsed/>
    <w:rsid w:val="008C19DB"/>
    <w:rPr>
      <w:color w:val="954F72" w:themeColor="followedHyperlink"/>
      <w:u w:val="single"/>
    </w:rPr>
  </w:style>
  <w:style w:type="character" w:styleId="CommentReference">
    <w:name w:val="annotation reference"/>
    <w:basedOn w:val="DefaultParagraphFont"/>
    <w:semiHidden/>
    <w:unhideWhenUsed/>
    <w:rsid w:val="00E44AC1"/>
    <w:rPr>
      <w:sz w:val="16"/>
      <w:szCs w:val="16"/>
    </w:rPr>
  </w:style>
  <w:style w:type="paragraph" w:styleId="CommentText">
    <w:name w:val="annotation text"/>
    <w:basedOn w:val="Normal"/>
    <w:link w:val="CommentTextChar"/>
    <w:unhideWhenUsed/>
    <w:rsid w:val="00E44AC1"/>
    <w:pPr>
      <w:spacing w:line="240" w:lineRule="auto"/>
    </w:pPr>
  </w:style>
  <w:style w:type="character" w:customStyle="1" w:styleId="CommentTextChar">
    <w:name w:val="Comment Text Char"/>
    <w:basedOn w:val="DefaultParagraphFont"/>
    <w:link w:val="CommentText"/>
    <w:rsid w:val="00E44AC1"/>
  </w:style>
  <w:style w:type="paragraph" w:styleId="CommentSubject">
    <w:name w:val="annotation subject"/>
    <w:basedOn w:val="CommentText"/>
    <w:next w:val="CommentText"/>
    <w:link w:val="CommentSubjectChar"/>
    <w:semiHidden/>
    <w:unhideWhenUsed/>
    <w:rsid w:val="00E44AC1"/>
    <w:rPr>
      <w:b/>
      <w:bCs/>
    </w:rPr>
  </w:style>
  <w:style w:type="character" w:customStyle="1" w:styleId="CommentSubjectChar">
    <w:name w:val="Comment Subject Char"/>
    <w:basedOn w:val="CommentTextChar"/>
    <w:link w:val="CommentSubject"/>
    <w:semiHidden/>
    <w:rsid w:val="00E44AC1"/>
    <w:rPr>
      <w:b/>
      <w:bCs/>
    </w:rPr>
  </w:style>
  <w:style w:type="paragraph" w:styleId="Revision">
    <w:name w:val="Revision"/>
    <w:hidden/>
    <w:uiPriority w:val="99"/>
    <w:semiHidden/>
    <w:rsid w:val="008F0CAA"/>
  </w:style>
  <w:style w:type="paragraph" w:styleId="EndnoteText">
    <w:name w:val="endnote text"/>
    <w:basedOn w:val="Normal"/>
    <w:link w:val="EndnoteTextChar"/>
    <w:semiHidden/>
    <w:unhideWhenUsed/>
    <w:rsid w:val="005A1749"/>
    <w:pPr>
      <w:spacing w:line="240" w:lineRule="auto"/>
    </w:pPr>
  </w:style>
  <w:style w:type="character" w:customStyle="1" w:styleId="EndnoteTextChar">
    <w:name w:val="Endnote Text Char"/>
    <w:basedOn w:val="DefaultParagraphFont"/>
    <w:link w:val="EndnoteText"/>
    <w:semiHidden/>
    <w:rsid w:val="005A1749"/>
  </w:style>
  <w:style w:type="character" w:styleId="EndnoteReference">
    <w:name w:val="endnote reference"/>
    <w:basedOn w:val="DefaultParagraphFont"/>
    <w:semiHidden/>
    <w:unhideWhenUsed/>
    <w:rsid w:val="005A17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1280">
      <w:bodyDiv w:val="1"/>
      <w:marLeft w:val="0"/>
      <w:marRight w:val="0"/>
      <w:marTop w:val="0"/>
      <w:marBottom w:val="0"/>
      <w:divBdr>
        <w:top w:val="none" w:sz="0" w:space="0" w:color="auto"/>
        <w:left w:val="none" w:sz="0" w:space="0" w:color="auto"/>
        <w:bottom w:val="none" w:sz="0" w:space="0" w:color="auto"/>
        <w:right w:val="none" w:sz="0" w:space="0" w:color="auto"/>
      </w:divBdr>
      <w:divsChild>
        <w:div w:id="1417559595">
          <w:marLeft w:val="0"/>
          <w:marRight w:val="0"/>
          <w:marTop w:val="0"/>
          <w:marBottom w:val="0"/>
          <w:divBdr>
            <w:top w:val="none" w:sz="0" w:space="0" w:color="3D3D3D"/>
            <w:left w:val="none" w:sz="0" w:space="0" w:color="3D3D3D"/>
            <w:bottom w:val="none" w:sz="0" w:space="0" w:color="3D3D3D"/>
            <w:right w:val="none" w:sz="0" w:space="0" w:color="3D3D3D"/>
          </w:divBdr>
          <w:divsChild>
            <w:div w:id="5494575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3651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1231</Words>
  <Characters>6468</Characters>
  <Application>Microsoft Office Word</Application>
  <DocSecurity>0</DocSecurity>
  <Lines>53</Lines>
  <Paragraphs>15</Paragraphs>
  <ScaleCrop>false</ScaleCrop>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dc:creator>
  <cp:lastModifiedBy>Patricia Seguin</cp:lastModifiedBy>
  <cp:revision>2</cp:revision>
  <cp:lastPrinted>2024-04-05T17:30:00Z</cp:lastPrinted>
  <dcterms:created xsi:type="dcterms:W3CDTF">2024-05-17T18:48:00Z</dcterms:created>
  <dcterms:modified xsi:type="dcterms:W3CDTF">2024-05-17T18:48:00Z</dcterms:modified>
</cp:coreProperties>
</file>