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0D4AA337" w14:textId="2442EA4F" w:rsidR="006F63FD" w:rsidRDefault="00F00850" w:rsidP="00735659">
            <w:pPr>
              <w:pStyle w:val="FirmInformation"/>
              <w:spacing w:line="240" w:lineRule="auto"/>
              <w:rPr>
                <w:sz w:val="28"/>
                <w:szCs w:val="28"/>
              </w:rPr>
            </w:pPr>
            <w:bookmarkStart w:id="0" w:name="_zzmpFIXED_CounselTable"/>
            <w:r>
              <w:rPr>
                <w:sz w:val="28"/>
                <w:szCs w:val="28"/>
              </w:rPr>
              <w:t>Michael S. Catlett</w:t>
            </w:r>
          </w:p>
          <w:p w14:paraId="567B43D1" w14:textId="7FD1459C" w:rsidR="00867EF8" w:rsidRDefault="00867EF8" w:rsidP="00735659">
            <w:pPr>
              <w:pStyle w:val="FirmInformation"/>
              <w:spacing w:line="240" w:lineRule="auto"/>
              <w:rPr>
                <w:sz w:val="28"/>
                <w:szCs w:val="28"/>
              </w:rPr>
            </w:pPr>
            <w:r>
              <w:rPr>
                <w:sz w:val="28"/>
                <w:szCs w:val="28"/>
              </w:rPr>
              <w:t xml:space="preserve">Judge of the </w:t>
            </w:r>
            <w:r w:rsidR="00F00850">
              <w:rPr>
                <w:sz w:val="28"/>
                <w:szCs w:val="28"/>
              </w:rPr>
              <w:t>Arizona Court of Appeals</w:t>
            </w:r>
          </w:p>
          <w:p w14:paraId="3FDF87D0" w14:textId="0A543B00" w:rsidR="00867EF8" w:rsidRDefault="00F00850" w:rsidP="00735659">
            <w:pPr>
              <w:pStyle w:val="FirmInformation"/>
              <w:spacing w:line="240" w:lineRule="auto"/>
              <w:rPr>
                <w:sz w:val="28"/>
                <w:szCs w:val="28"/>
              </w:rPr>
            </w:pPr>
            <w:r>
              <w:rPr>
                <w:sz w:val="28"/>
                <w:szCs w:val="28"/>
              </w:rPr>
              <w:t>Division One</w:t>
            </w:r>
          </w:p>
          <w:p w14:paraId="1355D98C" w14:textId="083BAF59" w:rsidR="00B20F19" w:rsidRDefault="00B20F19" w:rsidP="00735659">
            <w:pPr>
              <w:pStyle w:val="FirmInformation"/>
              <w:spacing w:line="240" w:lineRule="auto"/>
              <w:rPr>
                <w:sz w:val="28"/>
                <w:szCs w:val="28"/>
              </w:rPr>
            </w:pPr>
            <w:r>
              <w:rPr>
                <w:sz w:val="28"/>
                <w:szCs w:val="28"/>
              </w:rPr>
              <w:t xml:space="preserve">State Courts </w:t>
            </w:r>
            <w:r w:rsidR="003F4E23">
              <w:rPr>
                <w:sz w:val="28"/>
                <w:szCs w:val="28"/>
              </w:rPr>
              <w:t>Building</w:t>
            </w:r>
          </w:p>
          <w:p w14:paraId="044FE2A7" w14:textId="4B15832B" w:rsidR="00867EF8" w:rsidRDefault="002B1DC2" w:rsidP="00735659">
            <w:pPr>
              <w:pStyle w:val="FirmInformation"/>
              <w:spacing w:line="240" w:lineRule="auto"/>
              <w:rPr>
                <w:sz w:val="28"/>
                <w:szCs w:val="28"/>
              </w:rPr>
            </w:pPr>
            <w:r>
              <w:rPr>
                <w:sz w:val="28"/>
                <w:szCs w:val="28"/>
              </w:rPr>
              <w:t>1501 W. Washington St.</w:t>
            </w:r>
          </w:p>
          <w:p w14:paraId="6D872B16" w14:textId="087A7A2C" w:rsidR="00867EF8" w:rsidRDefault="00F00850" w:rsidP="00735659">
            <w:pPr>
              <w:pStyle w:val="FirmInformation"/>
              <w:spacing w:line="240" w:lineRule="auto"/>
              <w:rPr>
                <w:sz w:val="28"/>
                <w:szCs w:val="28"/>
              </w:rPr>
            </w:pPr>
            <w:r>
              <w:rPr>
                <w:sz w:val="28"/>
                <w:szCs w:val="28"/>
              </w:rPr>
              <w:t>Phoenix</w:t>
            </w:r>
            <w:r w:rsidR="00867EF8">
              <w:rPr>
                <w:sz w:val="28"/>
                <w:szCs w:val="28"/>
              </w:rPr>
              <w:t>, AZ  85</w:t>
            </w:r>
            <w:r>
              <w:rPr>
                <w:sz w:val="28"/>
                <w:szCs w:val="28"/>
              </w:rPr>
              <w:t>007</w:t>
            </w:r>
          </w:p>
          <w:p w14:paraId="187AAFA7" w14:textId="763CDD9C" w:rsidR="00867EF8" w:rsidRDefault="00867EF8" w:rsidP="00735659">
            <w:pPr>
              <w:pStyle w:val="FirmInformation"/>
              <w:spacing w:line="240" w:lineRule="auto"/>
              <w:rPr>
                <w:sz w:val="28"/>
                <w:szCs w:val="28"/>
              </w:rPr>
            </w:pPr>
            <w:r>
              <w:rPr>
                <w:sz w:val="28"/>
                <w:szCs w:val="28"/>
              </w:rPr>
              <w:t>Ph. (</w:t>
            </w:r>
            <w:r w:rsidR="00C56AE2">
              <w:rPr>
                <w:sz w:val="28"/>
                <w:szCs w:val="28"/>
              </w:rPr>
              <w:t>6</w:t>
            </w:r>
            <w:r w:rsidR="00F00850">
              <w:rPr>
                <w:sz w:val="28"/>
                <w:szCs w:val="28"/>
              </w:rPr>
              <w:t>02</w:t>
            </w:r>
            <w:r>
              <w:rPr>
                <w:sz w:val="28"/>
                <w:szCs w:val="28"/>
              </w:rPr>
              <w:t xml:space="preserve">) </w:t>
            </w:r>
            <w:r w:rsidR="00C56AE2">
              <w:rPr>
                <w:sz w:val="28"/>
                <w:szCs w:val="28"/>
              </w:rPr>
              <w:t>452</w:t>
            </w:r>
            <w:r>
              <w:rPr>
                <w:sz w:val="28"/>
                <w:szCs w:val="28"/>
              </w:rPr>
              <w:t>-</w:t>
            </w:r>
            <w:r w:rsidR="00C56AE2">
              <w:rPr>
                <w:sz w:val="28"/>
                <w:szCs w:val="28"/>
              </w:rPr>
              <w:t>0680</w:t>
            </w:r>
          </w:p>
          <w:p w14:paraId="7B3DBC20" w14:textId="6F3C4E75" w:rsidR="00DE52B1" w:rsidRPr="00735659" w:rsidRDefault="00DE52B1" w:rsidP="00735659">
            <w:pPr>
              <w:pStyle w:val="FirmInformation"/>
              <w:spacing w:line="240" w:lineRule="auto"/>
              <w:rPr>
                <w:sz w:val="28"/>
                <w:szCs w:val="28"/>
              </w:rPr>
            </w:pPr>
            <w:r>
              <w:rPr>
                <w:sz w:val="28"/>
                <w:szCs w:val="28"/>
              </w:rPr>
              <w:t xml:space="preserve">Email: </w:t>
            </w:r>
            <w:r w:rsidR="00C56AE2">
              <w:rPr>
                <w:sz w:val="28"/>
                <w:szCs w:val="28"/>
              </w:rPr>
              <w:t>mcatlett</w:t>
            </w:r>
            <w:r>
              <w:rPr>
                <w:sz w:val="28"/>
                <w:szCs w:val="28"/>
              </w:rPr>
              <w:t>@</w:t>
            </w:r>
            <w:r w:rsidR="00C56AE2">
              <w:rPr>
                <w:sz w:val="28"/>
                <w:szCs w:val="28"/>
              </w:rPr>
              <w:t>appeals</w:t>
            </w:r>
            <w:r>
              <w:rPr>
                <w:sz w:val="28"/>
                <w:szCs w:val="28"/>
              </w:rPr>
              <w:t>.</w:t>
            </w:r>
            <w:r w:rsidR="00736DB4">
              <w:rPr>
                <w:sz w:val="28"/>
                <w:szCs w:val="28"/>
              </w:rPr>
              <w:t>az.</w:t>
            </w:r>
            <w:r>
              <w:rPr>
                <w:sz w:val="28"/>
                <w:szCs w:val="28"/>
              </w:rPr>
              <w:t>gov</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C61194" w:rsidR="000C48A9" w:rsidRPr="00656C06" w:rsidRDefault="00BB3BC7" w:rsidP="00000C35">
      <w:pPr>
        <w:pStyle w:val="Court"/>
        <w:spacing w:line="240" w:lineRule="auto"/>
        <w:rPr>
          <w:bCs/>
          <w:sz w:val="28"/>
          <w:szCs w:val="28"/>
        </w:rPr>
      </w:pPr>
      <w:r>
        <w:rPr>
          <w:bCs/>
          <w:sz w:val="28"/>
          <w:szCs w:val="28"/>
        </w:rPr>
        <w:t xml:space="preserve">ARIZONA </w:t>
      </w:r>
      <w:r w:rsidR="000F7A7F" w:rsidRPr="00656C06">
        <w:rPr>
          <w:bCs/>
          <w:sz w:val="28"/>
          <w:szCs w:val="28"/>
        </w:rPr>
        <w:t>SUPREME COURT</w:t>
      </w:r>
      <w:r w:rsidR="000F7A7F" w:rsidRPr="00656C06">
        <w:rPr>
          <w:bCs/>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56C06" w:rsidRDefault="00357F4D" w:rsidP="00E321C5">
            <w:pPr>
              <w:pStyle w:val="Caption"/>
              <w:spacing w:before="240" w:line="260" w:lineRule="exact"/>
              <w:rPr>
                <w:sz w:val="28"/>
                <w:szCs w:val="28"/>
              </w:rPr>
            </w:pPr>
            <w:bookmarkStart w:id="1" w:name="_zzmpFIXED_CaptionTable"/>
            <w:r w:rsidRPr="00656C06">
              <w:rPr>
                <w:sz w:val="28"/>
                <w:szCs w:val="28"/>
              </w:rPr>
              <w:t>In the Matter of:</w:t>
            </w:r>
          </w:p>
          <w:p w14:paraId="03963DD5" w14:textId="24DC1864" w:rsidR="00357F4D" w:rsidRPr="00186136" w:rsidRDefault="00E67511" w:rsidP="0095731B">
            <w:pPr>
              <w:pStyle w:val="Caption"/>
              <w:spacing w:before="240" w:line="240" w:lineRule="auto"/>
              <w:rPr>
                <w:b/>
                <w:sz w:val="28"/>
                <w:szCs w:val="28"/>
              </w:rPr>
            </w:pPr>
            <w:r w:rsidRPr="00656C06">
              <w:rPr>
                <w:sz w:val="28"/>
                <w:szCs w:val="28"/>
              </w:rPr>
              <w:t xml:space="preserve">PETITION TO </w:t>
            </w:r>
            <w:r w:rsidR="00186136" w:rsidRPr="00656C06">
              <w:rPr>
                <w:sz w:val="28"/>
                <w:szCs w:val="28"/>
              </w:rPr>
              <w:t xml:space="preserve">AMEND </w:t>
            </w:r>
            <w:r w:rsidR="00867EF8">
              <w:rPr>
                <w:sz w:val="28"/>
                <w:szCs w:val="28"/>
              </w:rPr>
              <w:t>THE RULES OF SPECIAL ACTION PROCEDURE</w:t>
            </w:r>
            <w:r w:rsidR="00186136">
              <w:rPr>
                <w:b/>
                <w:sz w:val="28"/>
                <w:szCs w:val="28"/>
              </w:rPr>
              <w:br/>
            </w:r>
          </w:p>
        </w:tc>
        <w:tc>
          <w:tcPr>
            <w:tcW w:w="4524" w:type="dxa"/>
            <w:tcBorders>
              <w:top w:val="nil"/>
              <w:left w:val="single" w:sz="4" w:space="0" w:color="auto"/>
            </w:tcBorders>
            <w:shd w:val="clear" w:color="auto" w:fill="auto"/>
          </w:tcPr>
          <w:p w14:paraId="35CED5CB" w14:textId="6188DE3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867EF8">
              <w:rPr>
                <w:sz w:val="28"/>
                <w:szCs w:val="28"/>
              </w:rPr>
              <w:t>3</w:t>
            </w:r>
            <w:r w:rsidR="00F850BE">
              <w:rPr>
                <w:sz w:val="28"/>
                <w:szCs w:val="28"/>
              </w:rPr>
              <w:t>-</w:t>
            </w:r>
            <w:r w:rsidR="00186136">
              <w:rPr>
                <w:sz w:val="28"/>
                <w:szCs w:val="28"/>
              </w:rPr>
              <w:t>00</w:t>
            </w:r>
            <w:r w:rsidR="00867EF8">
              <w:rPr>
                <w:sz w:val="28"/>
                <w:szCs w:val="28"/>
              </w:rPr>
              <w:t>55</w:t>
            </w:r>
          </w:p>
          <w:p w14:paraId="5AEC962D" w14:textId="54614C9F" w:rsidR="00357F4D" w:rsidRPr="00186136" w:rsidRDefault="00A4249C" w:rsidP="009F6202">
            <w:pPr>
              <w:pStyle w:val="Caption"/>
              <w:tabs>
                <w:tab w:val="left" w:pos="1238"/>
              </w:tabs>
              <w:spacing w:line="260" w:lineRule="exact"/>
              <w:ind w:left="257" w:right="115"/>
              <w:rPr>
                <w:b/>
                <w:sz w:val="28"/>
                <w:szCs w:val="28"/>
              </w:rPr>
            </w:pPr>
            <w:r w:rsidRPr="00186136">
              <w:rPr>
                <w:b/>
                <w:sz w:val="28"/>
                <w:szCs w:val="28"/>
              </w:rPr>
              <w:t>COMMENT</w:t>
            </w:r>
            <w:r w:rsidR="009F6202">
              <w:rPr>
                <w:b/>
                <w:sz w:val="28"/>
                <w:szCs w:val="28"/>
              </w:rPr>
              <w:t xml:space="preserve"> </w:t>
            </w:r>
            <w:r w:rsidR="003E01A2">
              <w:rPr>
                <w:b/>
                <w:sz w:val="28"/>
                <w:szCs w:val="28"/>
              </w:rPr>
              <w:t>TO</w:t>
            </w:r>
            <w:r w:rsidR="009F6202" w:rsidRPr="009F6202">
              <w:rPr>
                <w:b/>
                <w:sz w:val="28"/>
                <w:szCs w:val="28"/>
              </w:rPr>
              <w:t xml:space="preserve"> PETITION TO AMEND THE RULES OF PROCEDURE FOR SPECIAL ACTIONS</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tbl>
    <w:p w14:paraId="08022EB6" w14:textId="63F3A909" w:rsidR="00C0748D" w:rsidRDefault="009F6202" w:rsidP="00F00850">
      <w:pPr>
        <w:pStyle w:val="Body"/>
        <w:widowControl w:val="0"/>
        <w:spacing w:before="240"/>
        <w:ind w:firstLine="720"/>
        <w:jc w:val="both"/>
        <w:rPr>
          <w:sz w:val="28"/>
          <w:szCs w:val="28"/>
        </w:rPr>
      </w:pPr>
      <w:bookmarkStart w:id="2" w:name="_Hlk162949055"/>
      <w:bookmarkEnd w:id="1"/>
      <w:r>
        <w:rPr>
          <w:sz w:val="28"/>
          <w:szCs w:val="28"/>
        </w:rPr>
        <w:t>P</w:t>
      </w:r>
      <w:r w:rsidR="0008003D" w:rsidRPr="007B7449">
        <w:rPr>
          <w:sz w:val="28"/>
          <w:szCs w:val="28"/>
        </w:rPr>
        <w:t xml:space="preserve">ursuant to </w:t>
      </w:r>
      <w:r w:rsidR="003E4B2E">
        <w:rPr>
          <w:sz w:val="28"/>
          <w:szCs w:val="28"/>
        </w:rPr>
        <w:t xml:space="preserve">Arizona </w:t>
      </w:r>
      <w:r w:rsidR="007B5AA4">
        <w:rPr>
          <w:sz w:val="28"/>
          <w:szCs w:val="28"/>
        </w:rPr>
        <w:t xml:space="preserve">Supreme Court </w:t>
      </w:r>
      <w:r w:rsidR="0008003D" w:rsidRPr="007B7449">
        <w:rPr>
          <w:sz w:val="28"/>
          <w:szCs w:val="28"/>
        </w:rPr>
        <w:t>Rule 28(</w:t>
      </w:r>
      <w:r w:rsidR="00A4249C">
        <w:rPr>
          <w:sz w:val="28"/>
          <w:szCs w:val="28"/>
        </w:rPr>
        <w:t>e</w:t>
      </w:r>
      <w:r w:rsidR="0008003D" w:rsidRPr="007B7449">
        <w:rPr>
          <w:sz w:val="28"/>
          <w:szCs w:val="28"/>
        </w:rPr>
        <w:t>),</w:t>
      </w:r>
      <w:r w:rsidR="00867EF8">
        <w:rPr>
          <w:sz w:val="28"/>
          <w:szCs w:val="28"/>
        </w:rPr>
        <w:t xml:space="preserve"> I submit this </w:t>
      </w:r>
      <w:r w:rsidR="00252629">
        <w:rPr>
          <w:sz w:val="28"/>
          <w:szCs w:val="28"/>
        </w:rPr>
        <w:t>C</w:t>
      </w:r>
      <w:r w:rsidR="00867EF8">
        <w:rPr>
          <w:sz w:val="28"/>
          <w:szCs w:val="28"/>
        </w:rPr>
        <w:t>omment</w:t>
      </w:r>
      <w:r w:rsidR="0008003D" w:rsidRPr="007B7449">
        <w:rPr>
          <w:sz w:val="28"/>
          <w:szCs w:val="28"/>
        </w:rPr>
        <w:t xml:space="preserve"> </w:t>
      </w:r>
      <w:r w:rsidR="00252629">
        <w:rPr>
          <w:sz w:val="28"/>
          <w:szCs w:val="28"/>
        </w:rPr>
        <w:t xml:space="preserve">to </w:t>
      </w:r>
      <w:r w:rsidR="0059227F">
        <w:rPr>
          <w:sz w:val="28"/>
          <w:szCs w:val="28"/>
        </w:rPr>
        <w:t xml:space="preserve">the Task Force’s Petition to Amend the Rules of Procedure for Special Action.  I submit this comment </w:t>
      </w:r>
      <w:r w:rsidR="00C0748D">
        <w:rPr>
          <w:sz w:val="28"/>
          <w:szCs w:val="28"/>
        </w:rPr>
        <w:t>in my personal capacity, and not on behalf of the Arizona Court of Appeals or any of my colleagues.</w:t>
      </w:r>
    </w:p>
    <w:p w14:paraId="34AFE1A5" w14:textId="3407A807" w:rsidR="00A82621" w:rsidRPr="00A82621" w:rsidRDefault="00A82621" w:rsidP="00A00269">
      <w:pPr>
        <w:pStyle w:val="Body"/>
        <w:keepNext/>
        <w:keepLines/>
        <w:ind w:firstLine="0"/>
        <w:jc w:val="center"/>
        <w:rPr>
          <w:b/>
          <w:bCs/>
          <w:smallCaps/>
          <w:sz w:val="28"/>
          <w:szCs w:val="28"/>
        </w:rPr>
      </w:pPr>
      <w:r>
        <w:rPr>
          <w:b/>
          <w:bCs/>
          <w:smallCaps/>
          <w:sz w:val="28"/>
          <w:szCs w:val="28"/>
        </w:rPr>
        <w:t>Introduction</w:t>
      </w:r>
    </w:p>
    <w:p w14:paraId="1B96BF4E" w14:textId="2079B399" w:rsidR="00867EF8" w:rsidRDefault="006276D7" w:rsidP="00F00850">
      <w:pPr>
        <w:pStyle w:val="Body"/>
        <w:widowControl w:val="0"/>
        <w:ind w:firstLine="720"/>
        <w:jc w:val="both"/>
        <w:rPr>
          <w:sz w:val="28"/>
          <w:szCs w:val="28"/>
        </w:rPr>
      </w:pPr>
      <w:r>
        <w:rPr>
          <w:sz w:val="28"/>
          <w:szCs w:val="28"/>
        </w:rPr>
        <w:t xml:space="preserve">I join with others in commending the Supreme Court for appointing the Task Force to review and update the </w:t>
      </w:r>
      <w:r w:rsidRPr="006276D7">
        <w:rPr>
          <w:sz w:val="28"/>
          <w:szCs w:val="28"/>
        </w:rPr>
        <w:t>Rules of Procedure of Special Actions</w:t>
      </w:r>
      <w:r>
        <w:rPr>
          <w:sz w:val="28"/>
          <w:szCs w:val="28"/>
        </w:rPr>
        <w:t xml:space="preserve">.  </w:t>
      </w:r>
      <w:r w:rsidR="009C1823">
        <w:rPr>
          <w:sz w:val="28"/>
          <w:szCs w:val="28"/>
        </w:rPr>
        <w:t xml:space="preserve"> </w:t>
      </w:r>
      <w:r w:rsidR="00C90D21">
        <w:rPr>
          <w:sz w:val="28"/>
          <w:szCs w:val="28"/>
        </w:rPr>
        <w:t xml:space="preserve">I commend the Task Force for their hard work in </w:t>
      </w:r>
      <w:r w:rsidR="00153EF6">
        <w:rPr>
          <w:sz w:val="28"/>
          <w:szCs w:val="28"/>
        </w:rPr>
        <w:t>drafting the Proposed Rules</w:t>
      </w:r>
      <w:r w:rsidR="00112ABB">
        <w:rPr>
          <w:sz w:val="28"/>
          <w:szCs w:val="28"/>
        </w:rPr>
        <w:t>, which were in dire need of an update</w:t>
      </w:r>
      <w:r w:rsidR="00153EF6">
        <w:rPr>
          <w:sz w:val="28"/>
          <w:szCs w:val="28"/>
        </w:rPr>
        <w:t xml:space="preserve">.  </w:t>
      </w:r>
      <w:r w:rsidR="009C1823">
        <w:rPr>
          <w:sz w:val="28"/>
          <w:szCs w:val="28"/>
        </w:rPr>
        <w:t xml:space="preserve">I </w:t>
      </w:r>
      <w:r w:rsidR="003072D3">
        <w:rPr>
          <w:sz w:val="28"/>
          <w:szCs w:val="28"/>
        </w:rPr>
        <w:t xml:space="preserve">write to raise concern </w:t>
      </w:r>
      <w:r w:rsidR="00A2366C">
        <w:rPr>
          <w:sz w:val="28"/>
          <w:szCs w:val="28"/>
        </w:rPr>
        <w:t xml:space="preserve">only </w:t>
      </w:r>
      <w:r w:rsidR="003072D3">
        <w:rPr>
          <w:sz w:val="28"/>
          <w:szCs w:val="28"/>
        </w:rPr>
        <w:t xml:space="preserve">about the Proposed Rules’ failure to </w:t>
      </w:r>
      <w:r w:rsidR="00A2366C">
        <w:rPr>
          <w:sz w:val="28"/>
          <w:szCs w:val="28"/>
        </w:rPr>
        <w:t xml:space="preserve">state that a special action is not available where there is an adequate remedy by way of appeal.  </w:t>
      </w:r>
    </w:p>
    <w:p w14:paraId="2B6961C5" w14:textId="77777777" w:rsidR="00112ABB" w:rsidRDefault="00112ABB" w:rsidP="00F00850">
      <w:pPr>
        <w:pStyle w:val="Body"/>
        <w:widowControl w:val="0"/>
        <w:ind w:firstLine="720"/>
        <w:jc w:val="both"/>
        <w:rPr>
          <w:sz w:val="28"/>
          <w:szCs w:val="28"/>
        </w:rPr>
      </w:pPr>
    </w:p>
    <w:p w14:paraId="79FC69BC" w14:textId="539CE167" w:rsidR="00A82621" w:rsidRPr="00A82621" w:rsidRDefault="00A82621" w:rsidP="00A82621">
      <w:pPr>
        <w:pStyle w:val="Body"/>
        <w:widowControl w:val="0"/>
        <w:ind w:firstLine="0"/>
        <w:jc w:val="center"/>
        <w:rPr>
          <w:b/>
          <w:bCs/>
          <w:smallCaps/>
          <w:sz w:val="28"/>
          <w:szCs w:val="28"/>
        </w:rPr>
      </w:pPr>
      <w:r w:rsidRPr="00A82621">
        <w:rPr>
          <w:b/>
          <w:bCs/>
          <w:smallCaps/>
          <w:sz w:val="28"/>
          <w:szCs w:val="28"/>
        </w:rPr>
        <w:lastRenderedPageBreak/>
        <w:t>Analysis</w:t>
      </w:r>
    </w:p>
    <w:p w14:paraId="2BC910B6" w14:textId="2A363E35" w:rsidR="009D5422" w:rsidRPr="00FC49DE" w:rsidRDefault="00FC49DE" w:rsidP="00FC49DE">
      <w:pPr>
        <w:pStyle w:val="ListParagraph"/>
        <w:spacing w:before="240" w:after="0" w:line="240" w:lineRule="auto"/>
        <w:ind w:left="0"/>
        <w:contextualSpacing w:val="0"/>
        <w:jc w:val="center"/>
        <w:rPr>
          <w:rFonts w:ascii="Times New Roman" w:hAnsi="Times New Roman" w:cs="Times New Roman"/>
          <w:b/>
          <w:bCs/>
          <w:sz w:val="28"/>
          <w:szCs w:val="28"/>
        </w:rPr>
      </w:pPr>
      <w:r w:rsidRPr="00FC49DE">
        <w:rPr>
          <w:rFonts w:ascii="Times New Roman" w:hAnsi="Times New Roman" w:cs="Times New Roman"/>
          <w:b/>
          <w:bCs/>
          <w:sz w:val="28"/>
          <w:szCs w:val="28"/>
        </w:rPr>
        <w:t>I.</w:t>
      </w:r>
    </w:p>
    <w:p w14:paraId="2530FD05" w14:textId="7B1AE681" w:rsidR="007555B7" w:rsidRDefault="00E32E39" w:rsidP="006F59BA">
      <w:pPr>
        <w:pStyle w:val="Body"/>
        <w:widowControl w:val="0"/>
        <w:ind w:firstLine="720"/>
        <w:jc w:val="both"/>
        <w:rPr>
          <w:sz w:val="28"/>
          <w:szCs w:val="28"/>
        </w:rPr>
      </w:pPr>
      <w:r>
        <w:rPr>
          <w:sz w:val="28"/>
          <w:szCs w:val="28"/>
        </w:rPr>
        <w:t>The Arizona Constitution</w:t>
      </w:r>
      <w:r w:rsidR="006F59BA">
        <w:rPr>
          <w:sz w:val="28"/>
          <w:szCs w:val="28"/>
        </w:rPr>
        <w:t xml:space="preserve"> </w:t>
      </w:r>
      <w:r w:rsidR="005906C2">
        <w:rPr>
          <w:sz w:val="28"/>
          <w:szCs w:val="28"/>
        </w:rPr>
        <w:t xml:space="preserve">governs the judicial </w:t>
      </w:r>
      <w:r w:rsidR="00867283">
        <w:rPr>
          <w:sz w:val="28"/>
          <w:szCs w:val="28"/>
        </w:rPr>
        <w:t>department</w:t>
      </w:r>
      <w:r w:rsidR="005906C2">
        <w:rPr>
          <w:sz w:val="28"/>
          <w:szCs w:val="28"/>
        </w:rPr>
        <w:t>’s jurisdiction</w:t>
      </w:r>
      <w:r w:rsidR="00FC49DE">
        <w:rPr>
          <w:sz w:val="28"/>
          <w:szCs w:val="28"/>
        </w:rPr>
        <w:t xml:space="preserve"> and authority</w:t>
      </w:r>
      <w:r w:rsidR="006F59BA">
        <w:rPr>
          <w:sz w:val="28"/>
          <w:szCs w:val="28"/>
        </w:rPr>
        <w:t xml:space="preserve">.  </w:t>
      </w:r>
      <w:r w:rsidR="002F5D5E" w:rsidRPr="00C70D65">
        <w:rPr>
          <w:i/>
          <w:iCs/>
          <w:sz w:val="28"/>
          <w:szCs w:val="28"/>
        </w:rPr>
        <w:t>See State ex rel. Brnovich v. City of Tucson</w:t>
      </w:r>
      <w:r w:rsidR="002F5D5E">
        <w:rPr>
          <w:sz w:val="28"/>
          <w:szCs w:val="28"/>
        </w:rPr>
        <w:t xml:space="preserve">, </w:t>
      </w:r>
      <w:r w:rsidR="001309F2">
        <w:rPr>
          <w:sz w:val="28"/>
          <w:szCs w:val="28"/>
        </w:rPr>
        <w:t>242 Ariz. 588, 594-95 (2017) (“</w:t>
      </w:r>
      <w:r w:rsidR="00C70D65" w:rsidRPr="00C70D65">
        <w:rPr>
          <w:sz w:val="28"/>
          <w:szCs w:val="28"/>
        </w:rPr>
        <w:t>Our state constitution identifies the various components of this Court's subject matter jurisdiction</w:t>
      </w:r>
      <w:r w:rsidR="00C70D65">
        <w:rPr>
          <w:sz w:val="28"/>
          <w:szCs w:val="28"/>
        </w:rPr>
        <w:t>.”)</w:t>
      </w:r>
      <w:r w:rsidR="00916634">
        <w:rPr>
          <w:sz w:val="28"/>
          <w:szCs w:val="28"/>
        </w:rPr>
        <w:t xml:space="preserve">; </w:t>
      </w:r>
      <w:r w:rsidR="00916634" w:rsidRPr="00615188">
        <w:rPr>
          <w:i/>
          <w:iCs/>
          <w:sz w:val="28"/>
          <w:szCs w:val="28"/>
        </w:rPr>
        <w:t>see also</w:t>
      </w:r>
      <w:r w:rsidR="00916634">
        <w:rPr>
          <w:sz w:val="28"/>
          <w:szCs w:val="28"/>
        </w:rPr>
        <w:t xml:space="preserve"> A.R.S. § 12-102 (“</w:t>
      </w:r>
      <w:r w:rsidR="00615188" w:rsidRPr="00615188">
        <w:rPr>
          <w:sz w:val="28"/>
          <w:szCs w:val="28"/>
        </w:rPr>
        <w:t>The supreme court shall discharge the duties imposed and exercise the jurisdiction conferred by the constitution and by law</w:t>
      </w:r>
      <w:r w:rsidR="00615188">
        <w:rPr>
          <w:sz w:val="28"/>
          <w:szCs w:val="28"/>
        </w:rPr>
        <w:t>.”)</w:t>
      </w:r>
      <w:r w:rsidR="00C70D65">
        <w:rPr>
          <w:sz w:val="28"/>
          <w:szCs w:val="28"/>
        </w:rPr>
        <w:t xml:space="preserve">.  </w:t>
      </w:r>
      <w:r w:rsidR="00D768F1">
        <w:rPr>
          <w:sz w:val="28"/>
          <w:szCs w:val="28"/>
        </w:rPr>
        <w:t>N</w:t>
      </w:r>
      <w:r w:rsidR="007555B7">
        <w:rPr>
          <w:sz w:val="28"/>
          <w:szCs w:val="28"/>
        </w:rPr>
        <w:t xml:space="preserve">o court, by rule or otherwise, can expand its jurisdiction </w:t>
      </w:r>
      <w:r w:rsidR="00C67341">
        <w:rPr>
          <w:sz w:val="28"/>
          <w:szCs w:val="28"/>
        </w:rPr>
        <w:t xml:space="preserve">or authority </w:t>
      </w:r>
      <w:r w:rsidR="007555B7">
        <w:rPr>
          <w:sz w:val="28"/>
          <w:szCs w:val="28"/>
        </w:rPr>
        <w:t xml:space="preserve">beyond that set forth in the Constitution.  </w:t>
      </w:r>
    </w:p>
    <w:p w14:paraId="2BDBD6F5" w14:textId="6CC8EC75" w:rsidR="00205F09" w:rsidRDefault="00867283" w:rsidP="006F59BA">
      <w:pPr>
        <w:pStyle w:val="Body"/>
        <w:widowControl w:val="0"/>
        <w:ind w:firstLine="720"/>
        <w:jc w:val="both"/>
        <w:rPr>
          <w:sz w:val="28"/>
          <w:szCs w:val="28"/>
        </w:rPr>
      </w:pPr>
      <w:r>
        <w:rPr>
          <w:sz w:val="28"/>
          <w:szCs w:val="28"/>
        </w:rPr>
        <w:t xml:space="preserve">The </w:t>
      </w:r>
      <w:r w:rsidR="00213758">
        <w:rPr>
          <w:sz w:val="28"/>
          <w:szCs w:val="28"/>
        </w:rPr>
        <w:t xml:space="preserve">provisions in the </w:t>
      </w:r>
      <w:r>
        <w:rPr>
          <w:sz w:val="28"/>
          <w:szCs w:val="28"/>
        </w:rPr>
        <w:t xml:space="preserve">Arizona Constitution </w:t>
      </w:r>
      <w:r w:rsidR="00213758">
        <w:rPr>
          <w:sz w:val="28"/>
          <w:szCs w:val="28"/>
        </w:rPr>
        <w:t xml:space="preserve">governing the jurisdiction and authority of the judicial branch </w:t>
      </w:r>
      <w:r>
        <w:rPr>
          <w:sz w:val="28"/>
          <w:szCs w:val="28"/>
        </w:rPr>
        <w:t xml:space="preserve">do not </w:t>
      </w:r>
      <w:r w:rsidR="00F8447B">
        <w:rPr>
          <w:sz w:val="28"/>
          <w:szCs w:val="28"/>
        </w:rPr>
        <w:t xml:space="preserve">mention </w:t>
      </w:r>
      <w:r w:rsidR="00213758">
        <w:rPr>
          <w:sz w:val="28"/>
          <w:szCs w:val="28"/>
        </w:rPr>
        <w:t xml:space="preserve">special actions or </w:t>
      </w:r>
      <w:r>
        <w:rPr>
          <w:sz w:val="28"/>
          <w:szCs w:val="28"/>
        </w:rPr>
        <w:t xml:space="preserve">grant the judicial department </w:t>
      </w:r>
      <w:r w:rsidR="00496702">
        <w:rPr>
          <w:sz w:val="28"/>
          <w:szCs w:val="28"/>
        </w:rPr>
        <w:t xml:space="preserve">jurisdiction over </w:t>
      </w:r>
      <w:r>
        <w:rPr>
          <w:sz w:val="28"/>
          <w:szCs w:val="28"/>
        </w:rPr>
        <w:t>special action</w:t>
      </w:r>
      <w:r w:rsidR="00496702">
        <w:rPr>
          <w:sz w:val="28"/>
          <w:szCs w:val="28"/>
        </w:rPr>
        <w:t>s</w:t>
      </w:r>
      <w:r>
        <w:rPr>
          <w:sz w:val="28"/>
          <w:szCs w:val="28"/>
        </w:rPr>
        <w:t xml:space="preserve">.  </w:t>
      </w:r>
      <w:r w:rsidR="000A05CF">
        <w:rPr>
          <w:sz w:val="28"/>
          <w:szCs w:val="28"/>
        </w:rPr>
        <w:t xml:space="preserve">Instead, the Constitution grants </w:t>
      </w:r>
      <w:r w:rsidR="00B94385">
        <w:rPr>
          <w:sz w:val="28"/>
          <w:szCs w:val="28"/>
        </w:rPr>
        <w:t xml:space="preserve">the </w:t>
      </w:r>
      <w:r w:rsidR="00343504">
        <w:rPr>
          <w:sz w:val="28"/>
          <w:szCs w:val="28"/>
        </w:rPr>
        <w:t>s</w:t>
      </w:r>
      <w:r w:rsidR="00B94385">
        <w:rPr>
          <w:sz w:val="28"/>
          <w:szCs w:val="28"/>
        </w:rPr>
        <w:t xml:space="preserve">upreme </w:t>
      </w:r>
      <w:r w:rsidR="00343504">
        <w:rPr>
          <w:sz w:val="28"/>
          <w:szCs w:val="28"/>
        </w:rPr>
        <w:t>c</w:t>
      </w:r>
      <w:r w:rsidR="00B94385">
        <w:rPr>
          <w:sz w:val="28"/>
          <w:szCs w:val="28"/>
        </w:rPr>
        <w:t xml:space="preserve">ourt and the superior courts jurisdiction </w:t>
      </w:r>
      <w:r w:rsidR="003333E4">
        <w:rPr>
          <w:sz w:val="28"/>
          <w:szCs w:val="28"/>
        </w:rPr>
        <w:t>over, and authority to issue,</w:t>
      </w:r>
      <w:r w:rsidR="00E833F2">
        <w:rPr>
          <w:sz w:val="28"/>
          <w:szCs w:val="28"/>
        </w:rPr>
        <w:t xml:space="preserve"> certain extraordinary writs.  For example, the </w:t>
      </w:r>
      <w:r w:rsidR="00343504">
        <w:rPr>
          <w:sz w:val="28"/>
          <w:szCs w:val="28"/>
        </w:rPr>
        <w:t>s</w:t>
      </w:r>
      <w:r w:rsidR="00C20C96">
        <w:rPr>
          <w:sz w:val="28"/>
          <w:szCs w:val="28"/>
        </w:rPr>
        <w:t xml:space="preserve">upreme </w:t>
      </w:r>
      <w:r w:rsidR="00343504">
        <w:rPr>
          <w:sz w:val="28"/>
          <w:szCs w:val="28"/>
        </w:rPr>
        <w:t>c</w:t>
      </w:r>
      <w:r w:rsidR="00C20C96">
        <w:rPr>
          <w:sz w:val="28"/>
          <w:szCs w:val="28"/>
        </w:rPr>
        <w:t xml:space="preserve">ourt has </w:t>
      </w:r>
      <w:r w:rsidR="002543FB">
        <w:rPr>
          <w:sz w:val="28"/>
          <w:szCs w:val="28"/>
        </w:rPr>
        <w:t>“[o]</w:t>
      </w:r>
      <w:r w:rsidR="002543FB" w:rsidRPr="002543FB">
        <w:rPr>
          <w:sz w:val="28"/>
          <w:szCs w:val="28"/>
        </w:rPr>
        <w:t>riginal jurisdiction of habeas corpus, and quo warranto, mandamus, injunction and other extraordinary writs to state officers</w:t>
      </w:r>
      <w:r w:rsidR="002543FB">
        <w:rPr>
          <w:sz w:val="28"/>
          <w:szCs w:val="28"/>
        </w:rPr>
        <w:t>.”</w:t>
      </w:r>
      <w:r>
        <w:rPr>
          <w:sz w:val="28"/>
          <w:szCs w:val="28"/>
        </w:rPr>
        <w:t xml:space="preserve"> </w:t>
      </w:r>
      <w:r w:rsidR="00B94385">
        <w:rPr>
          <w:sz w:val="28"/>
          <w:szCs w:val="28"/>
        </w:rPr>
        <w:t xml:space="preserve"> Ariz. Const. </w:t>
      </w:r>
      <w:r w:rsidR="00C20C96">
        <w:rPr>
          <w:sz w:val="28"/>
          <w:szCs w:val="28"/>
        </w:rPr>
        <w:t>art. 6</w:t>
      </w:r>
      <w:r w:rsidR="008907F6">
        <w:rPr>
          <w:sz w:val="28"/>
          <w:szCs w:val="28"/>
        </w:rPr>
        <w:t>,</w:t>
      </w:r>
      <w:r w:rsidR="00C20C96">
        <w:rPr>
          <w:sz w:val="28"/>
          <w:szCs w:val="28"/>
        </w:rPr>
        <w:t xml:space="preserve"> § 5(1).  </w:t>
      </w:r>
      <w:r w:rsidR="006F59BA">
        <w:rPr>
          <w:sz w:val="28"/>
          <w:szCs w:val="28"/>
        </w:rPr>
        <w:t xml:space="preserve"> </w:t>
      </w:r>
      <w:r w:rsidR="00C20C96">
        <w:rPr>
          <w:sz w:val="28"/>
          <w:szCs w:val="28"/>
        </w:rPr>
        <w:t xml:space="preserve">It also has </w:t>
      </w:r>
      <w:r w:rsidR="00AB286C">
        <w:rPr>
          <w:sz w:val="28"/>
          <w:szCs w:val="28"/>
        </w:rPr>
        <w:t>“[p]</w:t>
      </w:r>
      <w:r w:rsidR="00AB286C" w:rsidRPr="00AB286C">
        <w:rPr>
          <w:sz w:val="28"/>
          <w:szCs w:val="28"/>
        </w:rPr>
        <w:t xml:space="preserve">ower to issue </w:t>
      </w:r>
      <w:r w:rsidR="00AB286C">
        <w:rPr>
          <w:sz w:val="28"/>
          <w:szCs w:val="28"/>
        </w:rPr>
        <w:t xml:space="preserve">. . . </w:t>
      </w:r>
      <w:r w:rsidR="00AB286C" w:rsidRPr="00AB286C">
        <w:rPr>
          <w:sz w:val="28"/>
          <w:szCs w:val="28"/>
        </w:rPr>
        <w:t>writs of mandamus, review, prohibition, habeas corpus, certiorari, and all other writs necessary and proper to the complete exercise of its appellate and revisory jurisdiction</w:t>
      </w:r>
      <w:r w:rsidR="00AB286C">
        <w:rPr>
          <w:sz w:val="28"/>
          <w:szCs w:val="28"/>
        </w:rPr>
        <w:t>.”  Ariz. Const. art. 6</w:t>
      </w:r>
      <w:r w:rsidR="008907F6">
        <w:rPr>
          <w:sz w:val="28"/>
          <w:szCs w:val="28"/>
        </w:rPr>
        <w:t>,</w:t>
      </w:r>
      <w:r w:rsidR="00AB286C">
        <w:rPr>
          <w:sz w:val="28"/>
          <w:szCs w:val="28"/>
        </w:rPr>
        <w:t xml:space="preserve"> § 5(4).  </w:t>
      </w:r>
      <w:r w:rsidR="00C40E20">
        <w:rPr>
          <w:sz w:val="28"/>
          <w:szCs w:val="28"/>
        </w:rPr>
        <w:t xml:space="preserve">The superior courts </w:t>
      </w:r>
      <w:r w:rsidR="009E2E4A">
        <w:rPr>
          <w:sz w:val="28"/>
          <w:szCs w:val="28"/>
        </w:rPr>
        <w:t>“</w:t>
      </w:r>
      <w:r w:rsidR="009E2E4A" w:rsidRPr="009E2E4A">
        <w:rPr>
          <w:sz w:val="28"/>
          <w:szCs w:val="28"/>
        </w:rPr>
        <w:t>may issue writs of mandamus, quo warranto, review, certiorari, prohibition, and writs of habeas corpus</w:t>
      </w:r>
      <w:r w:rsidR="009E2E4A">
        <w:rPr>
          <w:sz w:val="28"/>
          <w:szCs w:val="28"/>
        </w:rPr>
        <w:t>[.]”  Ariz. Const. art. 6</w:t>
      </w:r>
      <w:r w:rsidR="008907F6">
        <w:rPr>
          <w:sz w:val="28"/>
          <w:szCs w:val="28"/>
        </w:rPr>
        <w:t>,</w:t>
      </w:r>
      <w:r w:rsidR="009E2E4A">
        <w:rPr>
          <w:sz w:val="28"/>
          <w:szCs w:val="28"/>
        </w:rPr>
        <w:t xml:space="preserve"> § 18</w:t>
      </w:r>
      <w:r w:rsidR="00C63E4D">
        <w:rPr>
          <w:sz w:val="28"/>
          <w:szCs w:val="28"/>
        </w:rPr>
        <w:t xml:space="preserve">; </w:t>
      </w:r>
      <w:r w:rsidR="00C63E4D" w:rsidRPr="0074724E">
        <w:rPr>
          <w:i/>
          <w:iCs/>
          <w:sz w:val="28"/>
          <w:szCs w:val="28"/>
        </w:rPr>
        <w:t>see also</w:t>
      </w:r>
      <w:r w:rsidR="00C63E4D">
        <w:rPr>
          <w:sz w:val="28"/>
          <w:szCs w:val="28"/>
        </w:rPr>
        <w:t xml:space="preserve"> A.R.S. § 12-123(A) (“</w:t>
      </w:r>
      <w:r w:rsidR="005E267D" w:rsidRPr="005E267D">
        <w:rPr>
          <w:sz w:val="28"/>
          <w:szCs w:val="28"/>
        </w:rPr>
        <w:t>The superior court shall have original and concurrent jurisdiction as conferred by the constitution</w:t>
      </w:r>
      <w:r w:rsidR="005E267D">
        <w:rPr>
          <w:sz w:val="28"/>
          <w:szCs w:val="28"/>
        </w:rPr>
        <w:t>[.]”)</w:t>
      </w:r>
      <w:r w:rsidR="004F2A6B">
        <w:rPr>
          <w:sz w:val="28"/>
          <w:szCs w:val="28"/>
        </w:rPr>
        <w:t xml:space="preserve">.  </w:t>
      </w:r>
    </w:p>
    <w:p w14:paraId="1CCD0435" w14:textId="1235877E" w:rsidR="00496702" w:rsidRPr="00417DE0" w:rsidRDefault="00343504" w:rsidP="006F59BA">
      <w:pPr>
        <w:pStyle w:val="Body"/>
        <w:widowControl w:val="0"/>
        <w:ind w:firstLine="720"/>
        <w:jc w:val="both"/>
        <w:rPr>
          <w:sz w:val="28"/>
          <w:szCs w:val="28"/>
        </w:rPr>
      </w:pPr>
      <w:r>
        <w:rPr>
          <w:sz w:val="28"/>
          <w:szCs w:val="28"/>
        </w:rPr>
        <w:t xml:space="preserve">When it comes to the court of appeals, </w:t>
      </w:r>
      <w:r w:rsidR="00DD204C">
        <w:rPr>
          <w:sz w:val="28"/>
          <w:szCs w:val="28"/>
        </w:rPr>
        <w:t xml:space="preserve">the Constitution says that </w:t>
      </w:r>
      <w:r>
        <w:rPr>
          <w:sz w:val="28"/>
          <w:szCs w:val="28"/>
        </w:rPr>
        <w:t>“</w:t>
      </w:r>
      <w:r w:rsidR="00DD204C">
        <w:rPr>
          <w:sz w:val="28"/>
          <w:szCs w:val="28"/>
        </w:rPr>
        <w:t>[t]</w:t>
      </w:r>
      <w:r w:rsidR="007248C7" w:rsidRPr="007248C7">
        <w:rPr>
          <w:sz w:val="28"/>
          <w:szCs w:val="28"/>
        </w:rPr>
        <w:t>he jurisdiction</w:t>
      </w:r>
      <w:r w:rsidR="007871E5">
        <w:rPr>
          <w:sz w:val="28"/>
          <w:szCs w:val="28"/>
        </w:rPr>
        <w:t xml:space="preserve">, </w:t>
      </w:r>
      <w:r w:rsidR="007248C7" w:rsidRPr="007248C7">
        <w:rPr>
          <w:sz w:val="28"/>
          <w:szCs w:val="28"/>
        </w:rPr>
        <w:t xml:space="preserve">powers, </w:t>
      </w:r>
      <w:r w:rsidR="007871E5">
        <w:rPr>
          <w:sz w:val="28"/>
          <w:szCs w:val="28"/>
        </w:rPr>
        <w:t xml:space="preserve">[and] </w:t>
      </w:r>
      <w:r w:rsidR="007248C7" w:rsidRPr="007248C7">
        <w:rPr>
          <w:sz w:val="28"/>
          <w:szCs w:val="28"/>
        </w:rPr>
        <w:t>duties</w:t>
      </w:r>
      <w:r w:rsidR="007871E5">
        <w:rPr>
          <w:sz w:val="28"/>
          <w:szCs w:val="28"/>
        </w:rPr>
        <w:t xml:space="preserve"> . . . o</w:t>
      </w:r>
      <w:r w:rsidR="007248C7" w:rsidRPr="007248C7">
        <w:rPr>
          <w:sz w:val="28"/>
          <w:szCs w:val="28"/>
        </w:rPr>
        <w:t>f any intermediate appellate court shall be as provided by law</w:t>
      </w:r>
      <w:r w:rsidR="007871E5">
        <w:rPr>
          <w:sz w:val="28"/>
          <w:szCs w:val="28"/>
        </w:rPr>
        <w:t xml:space="preserve">.”  Ariz. Const. art. </w:t>
      </w:r>
      <w:r w:rsidR="008907F6">
        <w:rPr>
          <w:sz w:val="28"/>
          <w:szCs w:val="28"/>
        </w:rPr>
        <w:t xml:space="preserve">6, § 9.  </w:t>
      </w:r>
      <w:r w:rsidR="00DD204C">
        <w:rPr>
          <w:sz w:val="28"/>
          <w:szCs w:val="28"/>
        </w:rPr>
        <w:t>T</w:t>
      </w:r>
      <w:r w:rsidR="00205F09">
        <w:rPr>
          <w:sz w:val="28"/>
          <w:szCs w:val="28"/>
        </w:rPr>
        <w:t xml:space="preserve">hough the Arizona Rules for Special </w:t>
      </w:r>
      <w:r w:rsidR="00205F09">
        <w:rPr>
          <w:sz w:val="28"/>
          <w:szCs w:val="28"/>
        </w:rPr>
        <w:lastRenderedPageBreak/>
        <w:t xml:space="preserve">Action went into effect in </w:t>
      </w:r>
      <w:r w:rsidR="00205F09" w:rsidRPr="00C90D21">
        <w:rPr>
          <w:sz w:val="28"/>
          <w:szCs w:val="28"/>
        </w:rPr>
        <w:t>1970</w:t>
      </w:r>
      <w:r w:rsidR="00205F09">
        <w:rPr>
          <w:sz w:val="28"/>
          <w:szCs w:val="28"/>
        </w:rPr>
        <w:t xml:space="preserve">, </w:t>
      </w:r>
      <w:r w:rsidR="007809E2">
        <w:rPr>
          <w:sz w:val="28"/>
          <w:szCs w:val="28"/>
        </w:rPr>
        <w:t xml:space="preserve">the Arizona Legislature did not </w:t>
      </w:r>
      <w:r w:rsidR="0074724E">
        <w:rPr>
          <w:sz w:val="28"/>
          <w:szCs w:val="28"/>
        </w:rPr>
        <w:t xml:space="preserve">then </w:t>
      </w:r>
      <w:r w:rsidR="007809E2">
        <w:rPr>
          <w:sz w:val="28"/>
          <w:szCs w:val="28"/>
        </w:rPr>
        <w:t xml:space="preserve">extend jurisdiction over special actions to the court of appeals, creating some confusion about the scope of the court’s jurisdiction.  </w:t>
      </w:r>
      <w:r w:rsidR="007809E2" w:rsidRPr="005C3284">
        <w:rPr>
          <w:i/>
          <w:iCs/>
          <w:sz w:val="28"/>
          <w:szCs w:val="28"/>
        </w:rPr>
        <w:t>See</w:t>
      </w:r>
      <w:r w:rsidR="00E16240" w:rsidRPr="005C3284">
        <w:rPr>
          <w:i/>
          <w:iCs/>
          <w:sz w:val="28"/>
          <w:szCs w:val="28"/>
        </w:rPr>
        <w:t xml:space="preserve"> State ex rel. Neely v. Rodriguez</w:t>
      </w:r>
      <w:r w:rsidR="00E16240">
        <w:rPr>
          <w:sz w:val="28"/>
          <w:szCs w:val="28"/>
        </w:rPr>
        <w:t xml:space="preserve">, 165 Ariz. 74, </w:t>
      </w:r>
      <w:r w:rsidR="00CD27BF">
        <w:rPr>
          <w:sz w:val="28"/>
          <w:szCs w:val="28"/>
        </w:rPr>
        <w:t>77 (1990) (explaining that the court of appeals “</w:t>
      </w:r>
      <w:r w:rsidR="005C3284" w:rsidRPr="005C3284">
        <w:rPr>
          <w:sz w:val="28"/>
          <w:szCs w:val="28"/>
        </w:rPr>
        <w:t>may entertain special action jurisdiction only in matters that it might properly consider in an appeal</w:t>
      </w:r>
      <w:r w:rsidR="005C3284">
        <w:rPr>
          <w:sz w:val="28"/>
          <w:szCs w:val="28"/>
        </w:rPr>
        <w:t>”)</w:t>
      </w:r>
      <w:r w:rsidR="007809E2">
        <w:rPr>
          <w:sz w:val="28"/>
          <w:szCs w:val="28"/>
        </w:rPr>
        <w:t xml:space="preserve">.  But in 1990, the Legislature closed the gap by </w:t>
      </w:r>
      <w:r w:rsidR="005C3284">
        <w:rPr>
          <w:sz w:val="28"/>
          <w:szCs w:val="28"/>
        </w:rPr>
        <w:t>adding</w:t>
      </w:r>
      <w:r w:rsidR="0061505C">
        <w:rPr>
          <w:sz w:val="28"/>
          <w:szCs w:val="28"/>
        </w:rPr>
        <w:t xml:space="preserve"> A.R.S. § 12-120.21(4), which provides that the court has </w:t>
      </w:r>
      <w:r w:rsidR="00496702">
        <w:rPr>
          <w:sz w:val="28"/>
          <w:szCs w:val="28"/>
        </w:rPr>
        <w:t>“[j]</w:t>
      </w:r>
      <w:r w:rsidR="00496702" w:rsidRPr="00496702">
        <w:rPr>
          <w:sz w:val="28"/>
          <w:szCs w:val="28"/>
        </w:rPr>
        <w:t>urisdiction to hear and determine petitions for special actions brought pursuant to the rules of procedure for special actions, without regard to its appellate jurisdiction</w:t>
      </w:r>
      <w:r w:rsidR="00496702">
        <w:rPr>
          <w:sz w:val="28"/>
          <w:szCs w:val="28"/>
        </w:rPr>
        <w:t>.”</w:t>
      </w:r>
      <w:r w:rsidR="00735CE1">
        <w:rPr>
          <w:sz w:val="28"/>
          <w:szCs w:val="28"/>
        </w:rPr>
        <w:t xml:space="preserve">  This effectively provided the court of appeals with </w:t>
      </w:r>
      <w:r w:rsidR="00E06529">
        <w:rPr>
          <w:sz w:val="28"/>
          <w:szCs w:val="28"/>
        </w:rPr>
        <w:t>authority to issue</w:t>
      </w:r>
      <w:r w:rsidR="00907F5D">
        <w:rPr>
          <w:sz w:val="28"/>
          <w:szCs w:val="28"/>
        </w:rPr>
        <w:t xml:space="preserve"> extraordinary writs to the same extent as the supreme court and the superior court.</w:t>
      </w:r>
    </w:p>
    <w:p w14:paraId="74F4D3D4" w14:textId="1D2AD370" w:rsidR="009D3D9E" w:rsidRPr="00112ABB" w:rsidRDefault="00112ABB" w:rsidP="00112ABB">
      <w:pPr>
        <w:spacing w:before="240" w:line="240" w:lineRule="auto"/>
        <w:ind w:left="90"/>
        <w:jc w:val="center"/>
        <w:rPr>
          <w:b/>
          <w:bCs/>
          <w:sz w:val="28"/>
          <w:szCs w:val="28"/>
        </w:rPr>
      </w:pPr>
      <w:r>
        <w:rPr>
          <w:b/>
          <w:bCs/>
          <w:sz w:val="28"/>
          <w:szCs w:val="28"/>
        </w:rPr>
        <w:t>II.</w:t>
      </w:r>
    </w:p>
    <w:p w14:paraId="1B7945E6" w14:textId="2256474E" w:rsidR="00E439A2" w:rsidRDefault="00166170" w:rsidP="00E64B08">
      <w:pPr>
        <w:pStyle w:val="Body"/>
        <w:widowControl w:val="0"/>
        <w:ind w:firstLine="720"/>
        <w:jc w:val="both"/>
        <w:rPr>
          <w:sz w:val="28"/>
          <w:szCs w:val="28"/>
        </w:rPr>
      </w:pPr>
      <w:r>
        <w:rPr>
          <w:sz w:val="28"/>
          <w:szCs w:val="28"/>
        </w:rPr>
        <w:t xml:space="preserve">Because the Constitution speaks of </w:t>
      </w:r>
      <w:r w:rsidR="00ED23DA">
        <w:rPr>
          <w:sz w:val="28"/>
          <w:szCs w:val="28"/>
        </w:rPr>
        <w:t>authority</w:t>
      </w:r>
      <w:r>
        <w:rPr>
          <w:sz w:val="28"/>
          <w:szCs w:val="28"/>
        </w:rPr>
        <w:t xml:space="preserve"> in terms of the writs</w:t>
      </w:r>
      <w:r w:rsidR="00527C21">
        <w:rPr>
          <w:sz w:val="28"/>
          <w:szCs w:val="28"/>
        </w:rPr>
        <w:t xml:space="preserve"> courts </w:t>
      </w:r>
      <w:r w:rsidR="001016F3">
        <w:rPr>
          <w:sz w:val="28"/>
          <w:szCs w:val="28"/>
        </w:rPr>
        <w:t>can</w:t>
      </w:r>
      <w:r w:rsidR="00527C21">
        <w:rPr>
          <w:sz w:val="28"/>
          <w:szCs w:val="28"/>
        </w:rPr>
        <w:t xml:space="preserve"> issue</w:t>
      </w:r>
      <w:r>
        <w:rPr>
          <w:sz w:val="28"/>
          <w:szCs w:val="28"/>
        </w:rPr>
        <w:t xml:space="preserve">, it is important to understand the </w:t>
      </w:r>
      <w:r w:rsidR="00527C21">
        <w:rPr>
          <w:sz w:val="28"/>
          <w:szCs w:val="28"/>
        </w:rPr>
        <w:t xml:space="preserve">history and </w:t>
      </w:r>
      <w:r>
        <w:rPr>
          <w:sz w:val="28"/>
          <w:szCs w:val="28"/>
        </w:rPr>
        <w:t>scope of those writs</w:t>
      </w:r>
      <w:r w:rsidR="00E64B08">
        <w:rPr>
          <w:sz w:val="28"/>
          <w:szCs w:val="28"/>
        </w:rPr>
        <w:t xml:space="preserve">.  </w:t>
      </w:r>
      <w:r w:rsidR="004F4931">
        <w:rPr>
          <w:sz w:val="28"/>
          <w:szCs w:val="28"/>
        </w:rPr>
        <w:t xml:space="preserve">The three writs relevant to special action procedures are the writ of certiorari, the writ of </w:t>
      </w:r>
      <w:r w:rsidR="00F01798">
        <w:rPr>
          <w:sz w:val="28"/>
          <w:szCs w:val="28"/>
        </w:rPr>
        <w:t>mandamus</w:t>
      </w:r>
      <w:r w:rsidR="004F4931">
        <w:rPr>
          <w:sz w:val="28"/>
          <w:szCs w:val="28"/>
        </w:rPr>
        <w:t xml:space="preserve">, and the writ of </w:t>
      </w:r>
      <w:r w:rsidR="00F01798">
        <w:rPr>
          <w:sz w:val="28"/>
          <w:szCs w:val="28"/>
        </w:rPr>
        <w:t>prohibition</w:t>
      </w:r>
      <w:r w:rsidR="004F4931">
        <w:rPr>
          <w:sz w:val="28"/>
          <w:szCs w:val="28"/>
        </w:rPr>
        <w:t xml:space="preserve">.  </w:t>
      </w:r>
      <w:r w:rsidR="00303ADE" w:rsidRPr="005F2FFC">
        <w:rPr>
          <w:i/>
          <w:iCs/>
          <w:sz w:val="28"/>
          <w:szCs w:val="28"/>
        </w:rPr>
        <w:t>See Bledsoe v. Goodfarb</w:t>
      </w:r>
      <w:r w:rsidR="00303ADE">
        <w:rPr>
          <w:sz w:val="28"/>
          <w:szCs w:val="28"/>
        </w:rPr>
        <w:t xml:space="preserve">, </w:t>
      </w:r>
      <w:r w:rsidR="005F2FFC">
        <w:rPr>
          <w:sz w:val="28"/>
          <w:szCs w:val="28"/>
        </w:rPr>
        <w:t xml:space="preserve">170 Ariz. 256, </w:t>
      </w:r>
      <w:r w:rsidR="000960BE">
        <w:rPr>
          <w:sz w:val="28"/>
          <w:szCs w:val="28"/>
        </w:rPr>
        <w:t xml:space="preserve">257 n.1 </w:t>
      </w:r>
      <w:r w:rsidR="005F2FFC">
        <w:rPr>
          <w:sz w:val="28"/>
          <w:szCs w:val="28"/>
        </w:rPr>
        <w:t>(1991) (</w:t>
      </w:r>
      <w:r w:rsidR="000960BE">
        <w:rPr>
          <w:sz w:val="28"/>
          <w:szCs w:val="28"/>
        </w:rPr>
        <w:t>“</w:t>
      </w:r>
      <w:r w:rsidR="00B24A9B" w:rsidRPr="00B24A9B">
        <w:rPr>
          <w:sz w:val="28"/>
          <w:szCs w:val="28"/>
        </w:rPr>
        <w:t xml:space="preserve">In Arizona, relief formerly obtained by writs of prohibition, mandamus or certiorari is now obtained by </w:t>
      </w:r>
      <w:r w:rsidR="00B24A9B">
        <w:rPr>
          <w:sz w:val="28"/>
          <w:szCs w:val="28"/>
        </w:rPr>
        <w:t>‘</w:t>
      </w:r>
      <w:r w:rsidR="00B24A9B" w:rsidRPr="00B24A9B">
        <w:rPr>
          <w:sz w:val="28"/>
          <w:szCs w:val="28"/>
        </w:rPr>
        <w:t>special action.</w:t>
      </w:r>
      <w:r w:rsidR="00B24A9B">
        <w:rPr>
          <w:sz w:val="28"/>
          <w:szCs w:val="28"/>
        </w:rPr>
        <w:t xml:space="preserve">’”).  </w:t>
      </w:r>
      <w:r w:rsidR="001164F4">
        <w:rPr>
          <w:sz w:val="28"/>
          <w:szCs w:val="28"/>
        </w:rPr>
        <w:t>E</w:t>
      </w:r>
      <w:r w:rsidR="00B93F2F">
        <w:rPr>
          <w:sz w:val="28"/>
          <w:szCs w:val="28"/>
        </w:rPr>
        <w:t xml:space="preserve">ach of those writs is equitable in nature.  Thus, </w:t>
      </w:r>
      <w:r w:rsidR="00026142">
        <w:rPr>
          <w:sz w:val="28"/>
          <w:szCs w:val="28"/>
        </w:rPr>
        <w:t>authority</w:t>
      </w:r>
      <w:r w:rsidR="00EA3D7D">
        <w:rPr>
          <w:sz w:val="28"/>
          <w:szCs w:val="28"/>
        </w:rPr>
        <w:t xml:space="preserve"> to issue </w:t>
      </w:r>
      <w:r w:rsidR="0041229D">
        <w:rPr>
          <w:sz w:val="28"/>
          <w:szCs w:val="28"/>
        </w:rPr>
        <w:t>th</w:t>
      </w:r>
      <w:r w:rsidR="00A22B0B">
        <w:rPr>
          <w:sz w:val="28"/>
          <w:szCs w:val="28"/>
        </w:rPr>
        <w:t>em</w:t>
      </w:r>
      <w:r w:rsidR="00EA3D7D">
        <w:rPr>
          <w:sz w:val="28"/>
          <w:szCs w:val="28"/>
        </w:rPr>
        <w:t xml:space="preserve"> does not exist where there is an adequate remedy at law</w:t>
      </w:r>
      <w:r w:rsidR="00B7228D">
        <w:rPr>
          <w:sz w:val="28"/>
          <w:szCs w:val="28"/>
        </w:rPr>
        <w:t>, including by way of appeal</w:t>
      </w:r>
      <w:r w:rsidR="00EA3D7D">
        <w:rPr>
          <w:sz w:val="28"/>
          <w:szCs w:val="28"/>
        </w:rPr>
        <w:t xml:space="preserve">.  </w:t>
      </w:r>
      <w:r w:rsidR="00EA3D7D" w:rsidRPr="00986C23">
        <w:rPr>
          <w:i/>
          <w:iCs/>
          <w:sz w:val="28"/>
          <w:szCs w:val="28"/>
        </w:rPr>
        <w:t>See City of Bisbee v. Ariz. Ins. Agency</w:t>
      </w:r>
      <w:r w:rsidR="00EA3D7D">
        <w:rPr>
          <w:sz w:val="28"/>
          <w:szCs w:val="28"/>
        </w:rPr>
        <w:t xml:space="preserve">, 14 Ariz. </w:t>
      </w:r>
      <w:r w:rsidR="00CF6562">
        <w:rPr>
          <w:sz w:val="28"/>
          <w:szCs w:val="28"/>
        </w:rPr>
        <w:t>313</w:t>
      </w:r>
      <w:r w:rsidR="003866DA">
        <w:rPr>
          <w:sz w:val="28"/>
          <w:szCs w:val="28"/>
        </w:rPr>
        <w:t>, 314 (1912) (“</w:t>
      </w:r>
      <w:r w:rsidR="00986C23" w:rsidRPr="00986C23">
        <w:rPr>
          <w:sz w:val="28"/>
          <w:szCs w:val="28"/>
        </w:rPr>
        <w:t>As a general rule, the equity side of the court may not be invoked when the complainant has a plain, speedy, and adequate remedy at law</w:t>
      </w:r>
      <w:r w:rsidR="00986C23">
        <w:rPr>
          <w:sz w:val="28"/>
          <w:szCs w:val="28"/>
        </w:rPr>
        <w:t>.”).</w:t>
      </w:r>
    </w:p>
    <w:p w14:paraId="4B0E273F" w14:textId="33A92F40" w:rsidR="001D092F" w:rsidRPr="00FC49DE" w:rsidRDefault="00FC49DE" w:rsidP="00FC49DE">
      <w:pPr>
        <w:pStyle w:val="Body"/>
        <w:widowControl w:val="0"/>
        <w:ind w:firstLine="0"/>
        <w:jc w:val="center"/>
        <w:rPr>
          <w:b/>
          <w:bCs/>
          <w:sz w:val="28"/>
          <w:szCs w:val="28"/>
        </w:rPr>
      </w:pPr>
      <w:r w:rsidRPr="00FC49DE">
        <w:rPr>
          <w:b/>
          <w:bCs/>
          <w:sz w:val="28"/>
          <w:szCs w:val="28"/>
        </w:rPr>
        <w:t>A.</w:t>
      </w:r>
    </w:p>
    <w:p w14:paraId="32354EBD" w14:textId="3CE5423F" w:rsidR="00986C23" w:rsidRDefault="00244505" w:rsidP="00E64B08">
      <w:pPr>
        <w:pStyle w:val="Body"/>
        <w:widowControl w:val="0"/>
        <w:ind w:firstLine="720"/>
        <w:jc w:val="both"/>
        <w:rPr>
          <w:sz w:val="28"/>
          <w:szCs w:val="28"/>
        </w:rPr>
      </w:pPr>
      <w:r>
        <w:rPr>
          <w:sz w:val="28"/>
          <w:szCs w:val="28"/>
        </w:rPr>
        <w:t xml:space="preserve">The writ of certiorari pre-dates statehood.  </w:t>
      </w:r>
      <w:r w:rsidR="009D14B7">
        <w:rPr>
          <w:sz w:val="28"/>
          <w:szCs w:val="28"/>
        </w:rPr>
        <w:t xml:space="preserve">In 1878, the Supreme Court </w:t>
      </w:r>
      <w:r w:rsidR="00081D9E">
        <w:rPr>
          <w:sz w:val="28"/>
          <w:szCs w:val="28"/>
        </w:rPr>
        <w:t>of</w:t>
      </w:r>
      <w:r w:rsidR="009D14B7">
        <w:rPr>
          <w:sz w:val="28"/>
          <w:szCs w:val="28"/>
        </w:rPr>
        <w:t xml:space="preserve"> the Territory of Arizona</w:t>
      </w:r>
      <w:r w:rsidR="008A4D01">
        <w:rPr>
          <w:sz w:val="28"/>
          <w:szCs w:val="28"/>
        </w:rPr>
        <w:t xml:space="preserve">, applying Comp. Laws Ariz. § 458, </w:t>
      </w:r>
      <w:r w:rsidR="002702D8">
        <w:rPr>
          <w:sz w:val="28"/>
          <w:szCs w:val="28"/>
        </w:rPr>
        <w:t xml:space="preserve">reversed </w:t>
      </w:r>
      <w:r w:rsidR="00E87013">
        <w:rPr>
          <w:sz w:val="28"/>
          <w:szCs w:val="28"/>
        </w:rPr>
        <w:t>a trial court’s</w:t>
      </w:r>
      <w:r w:rsidR="002702D8">
        <w:rPr>
          <w:sz w:val="28"/>
          <w:szCs w:val="28"/>
        </w:rPr>
        <w:t xml:space="preserve"> </w:t>
      </w:r>
      <w:r w:rsidR="002702D8">
        <w:rPr>
          <w:sz w:val="28"/>
          <w:szCs w:val="28"/>
        </w:rPr>
        <w:lastRenderedPageBreak/>
        <w:t>issuance of a writ of certiorari.  In doing</w:t>
      </w:r>
      <w:r w:rsidR="004B4C19">
        <w:rPr>
          <w:sz w:val="28"/>
          <w:szCs w:val="28"/>
        </w:rPr>
        <w:t xml:space="preserve"> so</w:t>
      </w:r>
      <w:r w:rsidR="002702D8">
        <w:rPr>
          <w:sz w:val="28"/>
          <w:szCs w:val="28"/>
        </w:rPr>
        <w:t xml:space="preserve">, the court explained that </w:t>
      </w:r>
      <w:r w:rsidR="00FD2161">
        <w:rPr>
          <w:sz w:val="28"/>
          <w:szCs w:val="28"/>
        </w:rPr>
        <w:t xml:space="preserve">“[t]his writ issues only when excess of jurisdiction has occurred, and </w:t>
      </w:r>
      <w:r w:rsidR="00192F3D">
        <w:rPr>
          <w:sz w:val="28"/>
          <w:szCs w:val="28"/>
        </w:rPr>
        <w:t xml:space="preserve">then only when there is no appeal.”  </w:t>
      </w:r>
      <w:r w:rsidR="00192F3D" w:rsidRPr="00081D9E">
        <w:rPr>
          <w:i/>
          <w:iCs/>
          <w:sz w:val="28"/>
          <w:szCs w:val="28"/>
        </w:rPr>
        <w:t>Reilly v. Tyng</w:t>
      </w:r>
      <w:r w:rsidR="00192F3D">
        <w:rPr>
          <w:sz w:val="28"/>
          <w:szCs w:val="28"/>
        </w:rPr>
        <w:t xml:space="preserve">, 1 Ariz. 510, </w:t>
      </w:r>
      <w:r w:rsidR="00081D9E">
        <w:rPr>
          <w:sz w:val="28"/>
          <w:szCs w:val="28"/>
        </w:rPr>
        <w:t xml:space="preserve">511 (1878).  </w:t>
      </w:r>
      <w:r w:rsidR="00C75FE0">
        <w:rPr>
          <w:sz w:val="28"/>
          <w:szCs w:val="28"/>
        </w:rPr>
        <w:t xml:space="preserve">The </w:t>
      </w:r>
      <w:r w:rsidR="00134DA6">
        <w:rPr>
          <w:sz w:val="28"/>
          <w:szCs w:val="28"/>
        </w:rPr>
        <w:t>statute</w:t>
      </w:r>
      <w:r w:rsidR="00C75FE0">
        <w:rPr>
          <w:sz w:val="28"/>
          <w:szCs w:val="28"/>
        </w:rPr>
        <w:t xml:space="preserve"> the court applied stated that “[t]</w:t>
      </w:r>
      <w:r w:rsidR="00C75FE0" w:rsidRPr="00C75FE0">
        <w:rPr>
          <w:sz w:val="28"/>
          <w:szCs w:val="28"/>
        </w:rPr>
        <w:t>he writ shall be granted in all cases when an inferior tribunal, board, or officer, exercising judicial functions, has exceeded the jurisdiction of such tribunal, board, or officer</w:t>
      </w:r>
      <w:r w:rsidR="00C75FE0">
        <w:rPr>
          <w:sz w:val="28"/>
          <w:szCs w:val="28"/>
        </w:rPr>
        <w:t xml:space="preserve">[.]”  </w:t>
      </w:r>
      <w:r w:rsidR="001277F9">
        <w:rPr>
          <w:sz w:val="28"/>
          <w:szCs w:val="28"/>
        </w:rPr>
        <w:t xml:space="preserve">Comp. Laws. Ariz. § 458.  Moreover, </w:t>
      </w:r>
      <w:r w:rsidR="00D4383D">
        <w:rPr>
          <w:sz w:val="28"/>
          <w:szCs w:val="28"/>
        </w:rPr>
        <w:t>it</w:t>
      </w:r>
      <w:r w:rsidR="001277F9">
        <w:rPr>
          <w:sz w:val="28"/>
          <w:szCs w:val="28"/>
        </w:rPr>
        <w:t xml:space="preserve"> stated that </w:t>
      </w:r>
      <w:r w:rsidR="006E5866">
        <w:rPr>
          <w:sz w:val="28"/>
          <w:szCs w:val="28"/>
        </w:rPr>
        <w:t xml:space="preserve">the writ applied only when </w:t>
      </w:r>
      <w:r w:rsidR="001277F9">
        <w:rPr>
          <w:sz w:val="28"/>
          <w:szCs w:val="28"/>
        </w:rPr>
        <w:t>“</w:t>
      </w:r>
      <w:r w:rsidR="006E5866" w:rsidRPr="006E5866">
        <w:rPr>
          <w:sz w:val="28"/>
          <w:szCs w:val="28"/>
        </w:rPr>
        <w:t>there is no appeal, nor, in the judgment of the court, any plain, speedy, and adequate remedy</w:t>
      </w:r>
      <w:r w:rsidR="006E5866">
        <w:rPr>
          <w:sz w:val="28"/>
          <w:szCs w:val="28"/>
        </w:rPr>
        <w:t xml:space="preserve">.”  </w:t>
      </w:r>
      <w:r w:rsidR="006E5866" w:rsidRPr="006E5866">
        <w:rPr>
          <w:i/>
          <w:iCs/>
          <w:sz w:val="28"/>
          <w:szCs w:val="28"/>
        </w:rPr>
        <w:t>Id.</w:t>
      </w:r>
      <w:r w:rsidR="00081D9E">
        <w:rPr>
          <w:sz w:val="28"/>
          <w:szCs w:val="28"/>
        </w:rPr>
        <w:t xml:space="preserve"> </w:t>
      </w:r>
    </w:p>
    <w:p w14:paraId="7C7D4AD5" w14:textId="2019D0B4" w:rsidR="00E87013" w:rsidRPr="00887F23" w:rsidRDefault="00B74E47" w:rsidP="00887F23">
      <w:pPr>
        <w:pStyle w:val="Body"/>
        <w:widowControl w:val="0"/>
        <w:ind w:firstLine="720"/>
        <w:jc w:val="both"/>
        <w:rPr>
          <w:sz w:val="28"/>
          <w:szCs w:val="28"/>
        </w:rPr>
      </w:pPr>
      <w:r>
        <w:rPr>
          <w:sz w:val="28"/>
          <w:szCs w:val="28"/>
        </w:rPr>
        <w:t xml:space="preserve">The </w:t>
      </w:r>
      <w:r w:rsidR="00B36385">
        <w:rPr>
          <w:sz w:val="28"/>
          <w:szCs w:val="28"/>
        </w:rPr>
        <w:t>L</w:t>
      </w:r>
      <w:r>
        <w:rPr>
          <w:sz w:val="28"/>
          <w:szCs w:val="28"/>
        </w:rPr>
        <w:t xml:space="preserve">egislature </w:t>
      </w:r>
      <w:r w:rsidR="000D5F3B">
        <w:rPr>
          <w:sz w:val="28"/>
          <w:szCs w:val="28"/>
        </w:rPr>
        <w:t xml:space="preserve">included the writ of certiorari in the </w:t>
      </w:r>
      <w:r w:rsidR="00917981">
        <w:rPr>
          <w:sz w:val="28"/>
          <w:szCs w:val="28"/>
        </w:rPr>
        <w:t xml:space="preserve">state’s </w:t>
      </w:r>
      <w:r w:rsidR="000D5F3B">
        <w:rPr>
          <w:sz w:val="28"/>
          <w:szCs w:val="28"/>
        </w:rPr>
        <w:t xml:space="preserve">first civil code.  That statute, like </w:t>
      </w:r>
      <w:r w:rsidR="003610EB">
        <w:rPr>
          <w:sz w:val="28"/>
          <w:szCs w:val="28"/>
        </w:rPr>
        <w:t>its territorial predecessor,</w:t>
      </w:r>
      <w:r w:rsidR="000D5F3B">
        <w:rPr>
          <w:sz w:val="28"/>
          <w:szCs w:val="28"/>
        </w:rPr>
        <w:t xml:space="preserve"> provided that “</w:t>
      </w:r>
      <w:r w:rsidR="00EF5852" w:rsidRPr="00EF5852">
        <w:rPr>
          <w:sz w:val="28"/>
          <w:szCs w:val="28"/>
        </w:rPr>
        <w:t>the writ shall be granted in all cases when an inferior tribunal, board</w:t>
      </w:r>
      <w:r w:rsidR="00EF5852">
        <w:rPr>
          <w:sz w:val="28"/>
          <w:szCs w:val="28"/>
        </w:rPr>
        <w:t xml:space="preserve"> </w:t>
      </w:r>
      <w:r w:rsidR="00EF5852" w:rsidRPr="00EF5852">
        <w:rPr>
          <w:sz w:val="28"/>
          <w:szCs w:val="28"/>
        </w:rPr>
        <w:t>or officer, exercising judicial functions, has exceeded the jurisdiction</w:t>
      </w:r>
      <w:r w:rsidR="00EF5852">
        <w:rPr>
          <w:sz w:val="28"/>
          <w:szCs w:val="28"/>
        </w:rPr>
        <w:t xml:space="preserve"> </w:t>
      </w:r>
      <w:r w:rsidR="00EF5852" w:rsidRPr="00EF5852">
        <w:rPr>
          <w:sz w:val="28"/>
          <w:szCs w:val="28"/>
        </w:rPr>
        <w:t>of such tribunal, board or officer</w:t>
      </w:r>
      <w:r w:rsidR="00EF5852">
        <w:rPr>
          <w:sz w:val="28"/>
          <w:szCs w:val="28"/>
        </w:rPr>
        <w:t xml:space="preserve">[.]”  Ariz. Civil Code 1913 § </w:t>
      </w:r>
      <w:r w:rsidR="00917981">
        <w:rPr>
          <w:sz w:val="28"/>
          <w:szCs w:val="28"/>
        </w:rPr>
        <w:t xml:space="preserve">1495.  </w:t>
      </w:r>
      <w:r w:rsidR="00887F23">
        <w:rPr>
          <w:sz w:val="28"/>
          <w:szCs w:val="28"/>
        </w:rPr>
        <w:t>Moreover, the writ was only available if “</w:t>
      </w:r>
      <w:r w:rsidR="00887F23" w:rsidRPr="00887F23">
        <w:rPr>
          <w:sz w:val="28"/>
          <w:szCs w:val="28"/>
        </w:rPr>
        <w:t>there is no appeal, nor, in the</w:t>
      </w:r>
      <w:r w:rsidR="00887F23">
        <w:rPr>
          <w:sz w:val="28"/>
          <w:szCs w:val="28"/>
        </w:rPr>
        <w:t xml:space="preserve"> </w:t>
      </w:r>
      <w:r w:rsidR="00887F23" w:rsidRPr="00887F23">
        <w:rPr>
          <w:sz w:val="28"/>
          <w:szCs w:val="28"/>
        </w:rPr>
        <w:t>judgment of the court, any plain, speedy and adequate remedy</w:t>
      </w:r>
      <w:r w:rsidR="00887F23">
        <w:rPr>
          <w:sz w:val="28"/>
          <w:szCs w:val="28"/>
        </w:rPr>
        <w:t xml:space="preserve">.”  </w:t>
      </w:r>
      <w:r w:rsidR="00887F23" w:rsidRPr="00887F23">
        <w:rPr>
          <w:i/>
          <w:iCs/>
          <w:sz w:val="28"/>
          <w:szCs w:val="28"/>
        </w:rPr>
        <w:t>Id.</w:t>
      </w:r>
    </w:p>
    <w:p w14:paraId="55793DB0" w14:textId="0066D587" w:rsidR="00E87013" w:rsidRDefault="00CD30F3" w:rsidP="00E64B08">
      <w:pPr>
        <w:pStyle w:val="Body"/>
        <w:widowControl w:val="0"/>
        <w:ind w:firstLine="720"/>
        <w:jc w:val="both"/>
        <w:rPr>
          <w:sz w:val="28"/>
          <w:szCs w:val="28"/>
        </w:rPr>
      </w:pPr>
      <w:r>
        <w:rPr>
          <w:sz w:val="28"/>
          <w:szCs w:val="28"/>
        </w:rPr>
        <w:t xml:space="preserve">Just </w:t>
      </w:r>
      <w:r w:rsidR="002F36E7">
        <w:rPr>
          <w:sz w:val="28"/>
          <w:szCs w:val="28"/>
        </w:rPr>
        <w:t xml:space="preserve">two years prior to creation of the special action rules, the </w:t>
      </w:r>
      <w:r w:rsidR="00B36385">
        <w:rPr>
          <w:sz w:val="28"/>
          <w:szCs w:val="28"/>
        </w:rPr>
        <w:t>S</w:t>
      </w:r>
      <w:r w:rsidR="002F36E7">
        <w:rPr>
          <w:sz w:val="28"/>
          <w:szCs w:val="28"/>
        </w:rPr>
        <w:t xml:space="preserve">upreme </w:t>
      </w:r>
      <w:r w:rsidR="00B36385">
        <w:rPr>
          <w:sz w:val="28"/>
          <w:szCs w:val="28"/>
        </w:rPr>
        <w:t>C</w:t>
      </w:r>
      <w:r w:rsidR="002F36E7">
        <w:rPr>
          <w:sz w:val="28"/>
          <w:szCs w:val="28"/>
        </w:rPr>
        <w:t>ourt explained that “</w:t>
      </w:r>
      <w:r w:rsidR="00A22B0B">
        <w:rPr>
          <w:sz w:val="28"/>
          <w:szCs w:val="28"/>
        </w:rPr>
        <w:t>[t]</w:t>
      </w:r>
      <w:r w:rsidR="00A22B0B" w:rsidRPr="00A22B0B">
        <w:rPr>
          <w:sz w:val="28"/>
          <w:szCs w:val="28"/>
        </w:rPr>
        <w:t>his Court has not infrequently restated the rule expressed by the statute that a writ of certiorari may be employed when an inferior tribunal has exceeded its jurisdiction and there is no appeal, nor a plain, speedy and adequate remedy available.</w:t>
      </w:r>
      <w:r w:rsidR="00A22B0B">
        <w:rPr>
          <w:sz w:val="28"/>
          <w:szCs w:val="28"/>
        </w:rPr>
        <w:t xml:space="preserve">”  </w:t>
      </w:r>
      <w:r w:rsidR="004A2471" w:rsidRPr="003226F5">
        <w:rPr>
          <w:i/>
          <w:iCs/>
          <w:sz w:val="28"/>
          <w:szCs w:val="28"/>
        </w:rPr>
        <w:t xml:space="preserve">Genda v. </w:t>
      </w:r>
      <w:r w:rsidR="00C07604" w:rsidRPr="003226F5">
        <w:rPr>
          <w:i/>
          <w:iCs/>
          <w:sz w:val="28"/>
          <w:szCs w:val="28"/>
        </w:rPr>
        <w:t>Super. Ct., Pima County</w:t>
      </w:r>
      <w:r w:rsidR="00C07604">
        <w:rPr>
          <w:sz w:val="28"/>
          <w:szCs w:val="28"/>
        </w:rPr>
        <w:t xml:space="preserve">, 103 Ariz. 240, </w:t>
      </w:r>
      <w:r w:rsidR="003226F5">
        <w:rPr>
          <w:sz w:val="28"/>
          <w:szCs w:val="28"/>
        </w:rPr>
        <w:t>242 (1968).</w:t>
      </w:r>
      <w:r w:rsidR="00A22B0B">
        <w:rPr>
          <w:sz w:val="28"/>
          <w:szCs w:val="28"/>
        </w:rPr>
        <w:t xml:space="preserve"> </w:t>
      </w:r>
      <w:r w:rsidR="00DA47D4">
        <w:rPr>
          <w:sz w:val="28"/>
          <w:szCs w:val="28"/>
        </w:rPr>
        <w:t xml:space="preserve"> </w:t>
      </w:r>
      <w:r w:rsidR="001300C5">
        <w:rPr>
          <w:sz w:val="28"/>
          <w:szCs w:val="28"/>
        </w:rPr>
        <w:t xml:space="preserve">The statute </w:t>
      </w:r>
      <w:r w:rsidR="000A4E9B">
        <w:rPr>
          <w:sz w:val="28"/>
          <w:szCs w:val="28"/>
        </w:rPr>
        <w:t>granting the supreme court and superior courts power to issue</w:t>
      </w:r>
      <w:r w:rsidR="00562AA9">
        <w:rPr>
          <w:sz w:val="28"/>
          <w:szCs w:val="28"/>
        </w:rPr>
        <w:t xml:space="preserve"> a</w:t>
      </w:r>
      <w:r w:rsidR="001300C5">
        <w:rPr>
          <w:sz w:val="28"/>
          <w:szCs w:val="28"/>
        </w:rPr>
        <w:t xml:space="preserve"> writ of certiorari has remained untouched since</w:t>
      </w:r>
      <w:r w:rsidR="00D52C11">
        <w:rPr>
          <w:sz w:val="28"/>
          <w:szCs w:val="28"/>
        </w:rPr>
        <w:t xml:space="preserve"> 1913 and still makes clear that the writ </w:t>
      </w:r>
      <w:r w:rsidR="00562AA9">
        <w:rPr>
          <w:sz w:val="28"/>
          <w:szCs w:val="28"/>
        </w:rPr>
        <w:t>should</w:t>
      </w:r>
      <w:r w:rsidR="00D52C11">
        <w:rPr>
          <w:sz w:val="28"/>
          <w:szCs w:val="28"/>
        </w:rPr>
        <w:t xml:space="preserve"> not issue unless “</w:t>
      </w:r>
      <w:r w:rsidR="006A062C" w:rsidRPr="006A062C">
        <w:rPr>
          <w:sz w:val="28"/>
          <w:szCs w:val="28"/>
        </w:rPr>
        <w:t>there is no appeal, nor, in the judgment of the court, a plain, speedy and adequate remedy</w:t>
      </w:r>
      <w:r w:rsidR="006A062C">
        <w:rPr>
          <w:sz w:val="28"/>
          <w:szCs w:val="28"/>
        </w:rPr>
        <w:t>.”  A.R.S. § 12-2001.</w:t>
      </w:r>
    </w:p>
    <w:p w14:paraId="5A019CF9" w14:textId="3A94420B" w:rsidR="006A062C" w:rsidRDefault="006A062C" w:rsidP="00FC49DE">
      <w:pPr>
        <w:pStyle w:val="Body"/>
        <w:widowControl w:val="0"/>
        <w:ind w:firstLine="0"/>
        <w:jc w:val="center"/>
        <w:rPr>
          <w:sz w:val="28"/>
          <w:szCs w:val="28"/>
        </w:rPr>
      </w:pPr>
      <w:r w:rsidRPr="006A062C">
        <w:rPr>
          <w:b/>
          <w:bCs/>
          <w:sz w:val="28"/>
          <w:szCs w:val="28"/>
        </w:rPr>
        <w:t>B.</w:t>
      </w:r>
    </w:p>
    <w:p w14:paraId="4C1DF745" w14:textId="21921724" w:rsidR="006A062C" w:rsidRDefault="00356939" w:rsidP="00E64B08">
      <w:pPr>
        <w:pStyle w:val="Body"/>
        <w:widowControl w:val="0"/>
        <w:ind w:firstLine="720"/>
        <w:jc w:val="both"/>
        <w:rPr>
          <w:sz w:val="28"/>
          <w:szCs w:val="28"/>
        </w:rPr>
      </w:pPr>
      <w:r>
        <w:rPr>
          <w:sz w:val="28"/>
          <w:szCs w:val="28"/>
        </w:rPr>
        <w:t xml:space="preserve">The writ of mandamus also pre-dates statehood.  </w:t>
      </w:r>
      <w:r w:rsidR="00170852">
        <w:rPr>
          <w:sz w:val="28"/>
          <w:szCs w:val="28"/>
        </w:rPr>
        <w:t xml:space="preserve">In 1875, the Supreme Court of the Territory of Arizona explained that </w:t>
      </w:r>
      <w:r w:rsidR="000B325D">
        <w:rPr>
          <w:sz w:val="28"/>
          <w:szCs w:val="28"/>
        </w:rPr>
        <w:t>a writ of mandamus could issue “</w:t>
      </w:r>
      <w:r w:rsidR="000B325D" w:rsidRPr="000B325D">
        <w:rPr>
          <w:sz w:val="28"/>
          <w:szCs w:val="28"/>
        </w:rPr>
        <w:t xml:space="preserve">to control </w:t>
      </w:r>
      <w:r w:rsidR="000B325D" w:rsidRPr="000B325D">
        <w:rPr>
          <w:sz w:val="28"/>
          <w:szCs w:val="28"/>
        </w:rPr>
        <w:lastRenderedPageBreak/>
        <w:t>the action of any inferior court, board, or officer</w:t>
      </w:r>
      <w:r w:rsidR="000B325D">
        <w:rPr>
          <w:sz w:val="28"/>
          <w:szCs w:val="28"/>
        </w:rPr>
        <w:t xml:space="preserve">” but not </w:t>
      </w:r>
      <w:r w:rsidR="00B9508E">
        <w:rPr>
          <w:sz w:val="28"/>
          <w:szCs w:val="28"/>
        </w:rPr>
        <w:t>when “</w:t>
      </w:r>
      <w:r w:rsidR="00B9508E" w:rsidRPr="00B9508E">
        <w:rPr>
          <w:sz w:val="28"/>
          <w:szCs w:val="28"/>
        </w:rPr>
        <w:t>the party injured has no other speedy and adequate remedy</w:t>
      </w:r>
      <w:r w:rsidR="00B9508E">
        <w:rPr>
          <w:sz w:val="28"/>
          <w:szCs w:val="28"/>
        </w:rPr>
        <w:t xml:space="preserve">.”  </w:t>
      </w:r>
      <w:r w:rsidR="00B9508E" w:rsidRPr="00B9508E">
        <w:rPr>
          <w:i/>
          <w:iCs/>
          <w:sz w:val="28"/>
          <w:szCs w:val="28"/>
        </w:rPr>
        <w:t>Woffenden v. Bd. of Supervisors of Pima County</w:t>
      </w:r>
      <w:r w:rsidR="00B9508E">
        <w:rPr>
          <w:sz w:val="28"/>
          <w:szCs w:val="28"/>
        </w:rPr>
        <w:t xml:space="preserve">, 1 Ariz. 237, 238 (1875).  </w:t>
      </w:r>
    </w:p>
    <w:p w14:paraId="0035FD4A" w14:textId="55BD1F75" w:rsidR="00B9508E" w:rsidRDefault="00B9508E" w:rsidP="00D365B2">
      <w:pPr>
        <w:pStyle w:val="Body"/>
        <w:widowControl w:val="0"/>
        <w:ind w:firstLine="720"/>
        <w:jc w:val="both"/>
        <w:rPr>
          <w:sz w:val="28"/>
          <w:szCs w:val="28"/>
        </w:rPr>
      </w:pPr>
      <w:r>
        <w:rPr>
          <w:sz w:val="28"/>
          <w:szCs w:val="28"/>
        </w:rPr>
        <w:t xml:space="preserve">The </w:t>
      </w:r>
      <w:r w:rsidR="00B36385">
        <w:rPr>
          <w:sz w:val="28"/>
          <w:szCs w:val="28"/>
        </w:rPr>
        <w:t>L</w:t>
      </w:r>
      <w:r>
        <w:rPr>
          <w:sz w:val="28"/>
          <w:szCs w:val="28"/>
        </w:rPr>
        <w:t xml:space="preserve">egislature also included the writ of mandamus in the first civil code.  </w:t>
      </w:r>
      <w:r w:rsidR="005E260B">
        <w:rPr>
          <w:sz w:val="28"/>
          <w:szCs w:val="28"/>
        </w:rPr>
        <w:t>That statute provided that “</w:t>
      </w:r>
      <w:r w:rsidR="005E260B" w:rsidRPr="005E260B">
        <w:rPr>
          <w:sz w:val="28"/>
          <w:szCs w:val="28"/>
        </w:rPr>
        <w:t>The writ of mandamus may be issued by the supreme or</w:t>
      </w:r>
      <w:r w:rsidR="005E260B">
        <w:rPr>
          <w:sz w:val="28"/>
          <w:szCs w:val="28"/>
        </w:rPr>
        <w:t xml:space="preserve"> </w:t>
      </w:r>
      <w:r w:rsidR="005E260B" w:rsidRPr="005E260B">
        <w:rPr>
          <w:sz w:val="28"/>
          <w:szCs w:val="28"/>
        </w:rPr>
        <w:t>superior court· to any inferior tribunal; corporation, board (whether</w:t>
      </w:r>
      <w:r w:rsidR="005E260B">
        <w:rPr>
          <w:sz w:val="28"/>
          <w:szCs w:val="28"/>
        </w:rPr>
        <w:t xml:space="preserve"> </w:t>
      </w:r>
      <w:r w:rsidR="005E260B" w:rsidRPr="005E260B">
        <w:rPr>
          <w:sz w:val="28"/>
          <w:szCs w:val="28"/>
        </w:rPr>
        <w:t>the governor is a member of such board or not) or person, to compel the performance of an act which the law specially enjoins as a</w:t>
      </w:r>
      <w:r w:rsidR="00AD4A1D">
        <w:rPr>
          <w:sz w:val="28"/>
          <w:szCs w:val="28"/>
        </w:rPr>
        <w:t xml:space="preserve"> </w:t>
      </w:r>
      <w:r w:rsidR="005E260B" w:rsidRPr="005E260B">
        <w:rPr>
          <w:sz w:val="28"/>
          <w:szCs w:val="28"/>
        </w:rPr>
        <w:t>duty resulting from an office, trust or station</w:t>
      </w:r>
      <w:r w:rsidR="00AD4A1D">
        <w:rPr>
          <w:sz w:val="28"/>
          <w:szCs w:val="28"/>
        </w:rPr>
        <w:t xml:space="preserve">[.]”  Ariz. Civil Code 1913 § 1553.  </w:t>
      </w:r>
      <w:r w:rsidR="00B256F3">
        <w:rPr>
          <w:sz w:val="28"/>
          <w:szCs w:val="28"/>
        </w:rPr>
        <w:t>The next section clarified, however, that “</w:t>
      </w:r>
      <w:r w:rsidR="00533AB1">
        <w:rPr>
          <w:sz w:val="28"/>
          <w:szCs w:val="28"/>
        </w:rPr>
        <w:t>[t]</w:t>
      </w:r>
      <w:r w:rsidR="00D365B2" w:rsidRPr="00D365B2">
        <w:rPr>
          <w:sz w:val="28"/>
          <w:szCs w:val="28"/>
        </w:rPr>
        <w:t>he writ may be issued in all cases where there is not a</w:t>
      </w:r>
      <w:r w:rsidR="00D365B2">
        <w:rPr>
          <w:sz w:val="28"/>
          <w:szCs w:val="28"/>
        </w:rPr>
        <w:t xml:space="preserve"> </w:t>
      </w:r>
      <w:r w:rsidR="00D365B2" w:rsidRPr="00D365B2">
        <w:rPr>
          <w:sz w:val="28"/>
          <w:szCs w:val="28"/>
        </w:rPr>
        <w:t>plain, speedy and adequate remedy in the ordinary course of law</w:t>
      </w:r>
      <w:r w:rsidR="00D365B2">
        <w:rPr>
          <w:sz w:val="28"/>
          <w:szCs w:val="28"/>
        </w:rPr>
        <w:t>.”  Ariz. Civil Code 1913 § 1554.</w:t>
      </w:r>
    </w:p>
    <w:p w14:paraId="0CD9A1C5" w14:textId="68AA2FE7" w:rsidR="00BA7CCE" w:rsidRDefault="00395237" w:rsidP="00D365B2">
      <w:pPr>
        <w:pStyle w:val="Body"/>
        <w:widowControl w:val="0"/>
        <w:ind w:firstLine="720"/>
        <w:jc w:val="both"/>
        <w:rPr>
          <w:sz w:val="28"/>
          <w:szCs w:val="28"/>
        </w:rPr>
      </w:pPr>
      <w:r>
        <w:rPr>
          <w:sz w:val="28"/>
          <w:szCs w:val="28"/>
        </w:rPr>
        <w:t xml:space="preserve">Just four years before adopting the special action rules, the </w:t>
      </w:r>
      <w:r w:rsidR="00B36385">
        <w:rPr>
          <w:sz w:val="28"/>
          <w:szCs w:val="28"/>
        </w:rPr>
        <w:t>S</w:t>
      </w:r>
      <w:r w:rsidR="00112AFE">
        <w:rPr>
          <w:sz w:val="28"/>
          <w:szCs w:val="28"/>
        </w:rPr>
        <w:t xml:space="preserve">upreme </w:t>
      </w:r>
      <w:r w:rsidR="00B36385">
        <w:rPr>
          <w:sz w:val="28"/>
          <w:szCs w:val="28"/>
        </w:rPr>
        <w:t>C</w:t>
      </w:r>
      <w:r w:rsidR="00112AFE">
        <w:rPr>
          <w:sz w:val="28"/>
          <w:szCs w:val="28"/>
        </w:rPr>
        <w:t>ourt emphasized that “</w:t>
      </w:r>
      <w:r w:rsidR="00CD20D4">
        <w:rPr>
          <w:sz w:val="28"/>
          <w:szCs w:val="28"/>
        </w:rPr>
        <w:t>[t]</w:t>
      </w:r>
      <w:r w:rsidR="00112AFE" w:rsidRPr="00112AFE">
        <w:rPr>
          <w:sz w:val="28"/>
          <w:szCs w:val="28"/>
        </w:rPr>
        <w:t>he writ of mandamus will not issue where there is a plain, speedy and adequate remedy in the ordinary course of law</w:t>
      </w:r>
      <w:r w:rsidR="00CD20D4">
        <w:rPr>
          <w:sz w:val="28"/>
          <w:szCs w:val="28"/>
        </w:rPr>
        <w:t xml:space="preserve">[.]”  </w:t>
      </w:r>
      <w:r w:rsidR="00CD20D4" w:rsidRPr="00CD20D4">
        <w:rPr>
          <w:i/>
          <w:iCs/>
          <w:sz w:val="28"/>
          <w:szCs w:val="28"/>
        </w:rPr>
        <w:t>Morrison v. Stanford</w:t>
      </w:r>
      <w:r w:rsidR="00CD20D4">
        <w:rPr>
          <w:sz w:val="28"/>
          <w:szCs w:val="28"/>
        </w:rPr>
        <w:t>, 100 Ariz. 211, 213 (1966).</w:t>
      </w:r>
      <w:r w:rsidR="000F25D4">
        <w:rPr>
          <w:sz w:val="28"/>
          <w:szCs w:val="28"/>
        </w:rPr>
        <w:t xml:space="preserve">  </w:t>
      </w:r>
      <w:r w:rsidR="00B52DF3">
        <w:rPr>
          <w:sz w:val="28"/>
          <w:szCs w:val="28"/>
        </w:rPr>
        <w:t>And t</w:t>
      </w:r>
      <w:r w:rsidR="00C411B9">
        <w:rPr>
          <w:sz w:val="28"/>
          <w:szCs w:val="28"/>
        </w:rPr>
        <w:t xml:space="preserve">he statute addressing </w:t>
      </w:r>
      <w:r w:rsidR="00A219D9">
        <w:rPr>
          <w:sz w:val="28"/>
          <w:szCs w:val="28"/>
        </w:rPr>
        <w:t xml:space="preserve">writs of mandamus continues to make clear that the writ should not issue where </w:t>
      </w:r>
      <w:r w:rsidR="00AC3C7D">
        <w:rPr>
          <w:sz w:val="28"/>
          <w:szCs w:val="28"/>
        </w:rPr>
        <w:t>there is “</w:t>
      </w:r>
      <w:r w:rsidR="00AC3C7D" w:rsidRPr="00AC3C7D">
        <w:rPr>
          <w:sz w:val="28"/>
          <w:szCs w:val="28"/>
        </w:rPr>
        <w:t>a plain, adequate and speedy remedy at law</w:t>
      </w:r>
      <w:r w:rsidR="00AC3C7D">
        <w:rPr>
          <w:sz w:val="28"/>
          <w:szCs w:val="28"/>
        </w:rPr>
        <w:t>.”  A.R.S. § 12-2021.</w:t>
      </w:r>
    </w:p>
    <w:p w14:paraId="6B8E7501" w14:textId="06B58DD9" w:rsidR="00AC1C0A" w:rsidRDefault="00AC1C0A" w:rsidP="00FC49DE">
      <w:pPr>
        <w:pStyle w:val="Body"/>
        <w:widowControl w:val="0"/>
        <w:ind w:firstLine="0"/>
        <w:jc w:val="center"/>
        <w:rPr>
          <w:sz w:val="28"/>
          <w:szCs w:val="28"/>
        </w:rPr>
      </w:pPr>
      <w:r w:rsidRPr="00AC1C0A">
        <w:rPr>
          <w:b/>
          <w:bCs/>
          <w:sz w:val="28"/>
          <w:szCs w:val="28"/>
        </w:rPr>
        <w:t>C.</w:t>
      </w:r>
    </w:p>
    <w:p w14:paraId="6A61FB8C" w14:textId="2B71A8E6" w:rsidR="009843B0" w:rsidRDefault="002A4AD8" w:rsidP="00D365B2">
      <w:pPr>
        <w:pStyle w:val="Body"/>
        <w:widowControl w:val="0"/>
        <w:ind w:firstLine="720"/>
        <w:jc w:val="both"/>
        <w:rPr>
          <w:sz w:val="28"/>
          <w:szCs w:val="28"/>
        </w:rPr>
      </w:pPr>
      <w:r>
        <w:rPr>
          <w:sz w:val="28"/>
          <w:szCs w:val="28"/>
        </w:rPr>
        <w:t>A “</w:t>
      </w:r>
      <w:r w:rsidR="00DC13C1" w:rsidRPr="00DC13C1">
        <w:rPr>
          <w:sz w:val="28"/>
          <w:szCs w:val="28"/>
        </w:rPr>
        <w:t xml:space="preserve">writ of prohibition is the proper remedy to prevent </w:t>
      </w:r>
      <w:r w:rsidR="00DC7444">
        <w:rPr>
          <w:sz w:val="28"/>
          <w:szCs w:val="28"/>
        </w:rPr>
        <w:t>[judicial or quasi-judicial]</w:t>
      </w:r>
      <w:r w:rsidR="00DC13C1" w:rsidRPr="00DC13C1">
        <w:rPr>
          <w:sz w:val="28"/>
          <w:szCs w:val="28"/>
        </w:rPr>
        <w:t xml:space="preserve"> action when it is without jurisdiction, and there is no other plain, speedy, and adequate remedy available.</w:t>
      </w:r>
      <w:r w:rsidR="00DC13C1">
        <w:rPr>
          <w:sz w:val="28"/>
          <w:szCs w:val="28"/>
        </w:rPr>
        <w:t xml:space="preserve">”  </w:t>
      </w:r>
      <w:r w:rsidR="00DC13C1" w:rsidRPr="00DC7444">
        <w:rPr>
          <w:i/>
          <w:iCs/>
          <w:sz w:val="28"/>
          <w:szCs w:val="28"/>
        </w:rPr>
        <w:t>Johnson v. Betts</w:t>
      </w:r>
      <w:r w:rsidR="00DC13C1">
        <w:rPr>
          <w:sz w:val="28"/>
          <w:szCs w:val="28"/>
        </w:rPr>
        <w:t xml:space="preserve">, 21 Ariz. 365, </w:t>
      </w:r>
      <w:r w:rsidR="00DC7444">
        <w:rPr>
          <w:sz w:val="28"/>
          <w:szCs w:val="28"/>
        </w:rPr>
        <w:t xml:space="preserve">371 (1920).  </w:t>
      </w:r>
      <w:r w:rsidR="008E6972">
        <w:rPr>
          <w:sz w:val="28"/>
          <w:szCs w:val="28"/>
        </w:rPr>
        <w:t xml:space="preserve">It appears that the first </w:t>
      </w:r>
      <w:r w:rsidR="003D3D22">
        <w:rPr>
          <w:sz w:val="28"/>
          <w:szCs w:val="28"/>
        </w:rPr>
        <w:t>discussion</w:t>
      </w:r>
      <w:r w:rsidR="008E6972">
        <w:rPr>
          <w:sz w:val="28"/>
          <w:szCs w:val="28"/>
        </w:rPr>
        <w:t xml:space="preserve"> of a writ of prohibition in a published Arizona decision occurred in 1894</w:t>
      </w:r>
      <w:r w:rsidR="003D3D22">
        <w:rPr>
          <w:sz w:val="28"/>
          <w:szCs w:val="28"/>
        </w:rPr>
        <w:t xml:space="preserve">, but with that discussion came the </w:t>
      </w:r>
      <w:r w:rsidR="00E1538A">
        <w:rPr>
          <w:sz w:val="28"/>
          <w:szCs w:val="28"/>
        </w:rPr>
        <w:t xml:space="preserve">notion that the writ is not available if there is an adequate remedy by way of appeal.  In </w:t>
      </w:r>
      <w:r w:rsidR="00E1538A" w:rsidRPr="0000721E">
        <w:rPr>
          <w:i/>
          <w:iCs/>
          <w:sz w:val="28"/>
          <w:szCs w:val="28"/>
        </w:rPr>
        <w:t>Walker v. District Court of Pinal County</w:t>
      </w:r>
      <w:r w:rsidR="00E1538A">
        <w:rPr>
          <w:sz w:val="28"/>
          <w:szCs w:val="28"/>
        </w:rPr>
        <w:t>, the Supreme Court of the Territory of Arizona</w:t>
      </w:r>
      <w:r w:rsidR="009843B0">
        <w:rPr>
          <w:sz w:val="28"/>
          <w:szCs w:val="28"/>
        </w:rPr>
        <w:t>, when requested to issue a writ of prohibition, had the following to say:</w:t>
      </w:r>
    </w:p>
    <w:p w14:paraId="2518B031" w14:textId="486ABDB5" w:rsidR="00AC1C0A" w:rsidRDefault="00CF0ECB" w:rsidP="0000721E">
      <w:pPr>
        <w:pStyle w:val="Body"/>
        <w:widowControl w:val="0"/>
        <w:spacing w:before="240" w:line="240" w:lineRule="auto"/>
        <w:ind w:left="720" w:right="720" w:firstLine="0"/>
        <w:jc w:val="both"/>
        <w:rPr>
          <w:sz w:val="28"/>
          <w:szCs w:val="28"/>
        </w:rPr>
      </w:pPr>
      <w:r w:rsidRPr="00CF0ECB">
        <w:rPr>
          <w:sz w:val="28"/>
          <w:szCs w:val="28"/>
        </w:rPr>
        <w:lastRenderedPageBreak/>
        <w:t xml:space="preserve">The question of a want of jurisdiction in the supreme court to issue such a writ by virtue of its original jurisdiction was extensively argued at the hearing, but, inasmuch as the determination of that question is not necessary to the conclusion which we have reached, we do not express any opinion upon that subject. </w:t>
      </w:r>
      <w:r w:rsidR="00541D85">
        <w:rPr>
          <w:sz w:val="28"/>
          <w:szCs w:val="28"/>
        </w:rPr>
        <w:t xml:space="preserve"> </w:t>
      </w:r>
      <w:r w:rsidRPr="00CF0ECB">
        <w:rPr>
          <w:sz w:val="28"/>
          <w:szCs w:val="28"/>
        </w:rPr>
        <w:t xml:space="preserve">If the power exists in this court to issue the writ, the petitioner, we are convinced, </w:t>
      </w:r>
      <w:r w:rsidRPr="00B16A4A">
        <w:rPr>
          <w:i/>
          <w:iCs/>
          <w:sz w:val="28"/>
          <w:szCs w:val="28"/>
        </w:rPr>
        <w:t>has an adequate remedy by appeal or error from the action of the district court; and it is everywhere agreed that in such case the writ will not issue</w:t>
      </w:r>
      <w:r w:rsidRPr="00CF0ECB">
        <w:rPr>
          <w:sz w:val="28"/>
          <w:szCs w:val="28"/>
        </w:rPr>
        <w:t xml:space="preserve">. </w:t>
      </w:r>
      <w:r w:rsidR="00541D85">
        <w:rPr>
          <w:sz w:val="28"/>
          <w:szCs w:val="28"/>
        </w:rPr>
        <w:t xml:space="preserve"> </w:t>
      </w:r>
      <w:r w:rsidRPr="00CF0ECB">
        <w:rPr>
          <w:sz w:val="28"/>
          <w:szCs w:val="28"/>
        </w:rPr>
        <w:t>Any other course, ordinarily, would bring all civil cases where jurisdictional questions are involved to this court by the writ, instead of appeal or error; a course not authorized by our practice.</w:t>
      </w:r>
      <w:r w:rsidR="003D3D22">
        <w:rPr>
          <w:sz w:val="28"/>
          <w:szCs w:val="28"/>
        </w:rPr>
        <w:t xml:space="preserve"> </w:t>
      </w:r>
    </w:p>
    <w:p w14:paraId="2D2EEF2C" w14:textId="6D012EF2" w:rsidR="00CF0ECB" w:rsidRDefault="0000721E" w:rsidP="00CF0ECB">
      <w:pPr>
        <w:pStyle w:val="Body"/>
        <w:widowControl w:val="0"/>
        <w:ind w:firstLine="0"/>
        <w:jc w:val="both"/>
        <w:rPr>
          <w:sz w:val="28"/>
          <w:szCs w:val="28"/>
        </w:rPr>
      </w:pPr>
      <w:r>
        <w:rPr>
          <w:sz w:val="28"/>
          <w:szCs w:val="28"/>
        </w:rPr>
        <w:t>4 Ariz. 249, 252 (1894)</w:t>
      </w:r>
      <w:r w:rsidR="00B16A4A">
        <w:rPr>
          <w:sz w:val="28"/>
          <w:szCs w:val="28"/>
        </w:rPr>
        <w:t xml:space="preserve"> (emphasis added)</w:t>
      </w:r>
      <w:r>
        <w:rPr>
          <w:sz w:val="28"/>
          <w:szCs w:val="28"/>
        </w:rPr>
        <w:t xml:space="preserve">.  </w:t>
      </w:r>
    </w:p>
    <w:p w14:paraId="1EAEF563" w14:textId="4B2342AA" w:rsidR="005D7D52" w:rsidRPr="00E439A2" w:rsidRDefault="00BC271E" w:rsidP="002E6C73">
      <w:pPr>
        <w:pStyle w:val="Body"/>
        <w:widowControl w:val="0"/>
        <w:ind w:firstLine="0"/>
        <w:jc w:val="both"/>
        <w:rPr>
          <w:sz w:val="28"/>
          <w:szCs w:val="28"/>
        </w:rPr>
      </w:pPr>
      <w:r>
        <w:rPr>
          <w:sz w:val="28"/>
          <w:szCs w:val="28"/>
        </w:rPr>
        <w:tab/>
      </w:r>
      <w:r w:rsidR="007B4186">
        <w:rPr>
          <w:sz w:val="28"/>
          <w:szCs w:val="28"/>
        </w:rPr>
        <w:t xml:space="preserve">After statehood, the </w:t>
      </w:r>
      <w:r w:rsidR="00FB40B1">
        <w:rPr>
          <w:sz w:val="28"/>
          <w:szCs w:val="28"/>
        </w:rPr>
        <w:t>S</w:t>
      </w:r>
      <w:r w:rsidR="007B4186">
        <w:rPr>
          <w:sz w:val="28"/>
          <w:szCs w:val="28"/>
        </w:rPr>
        <w:t xml:space="preserve">upreme </w:t>
      </w:r>
      <w:r w:rsidR="00FB40B1">
        <w:rPr>
          <w:sz w:val="28"/>
          <w:szCs w:val="28"/>
        </w:rPr>
        <w:t>C</w:t>
      </w:r>
      <w:r w:rsidR="007B4186">
        <w:rPr>
          <w:sz w:val="28"/>
          <w:szCs w:val="28"/>
        </w:rPr>
        <w:t>ourt again made clear that “</w:t>
      </w:r>
      <w:r w:rsidR="004E2F05" w:rsidRPr="004E2F05">
        <w:rPr>
          <w:sz w:val="28"/>
          <w:szCs w:val="28"/>
        </w:rPr>
        <w:t>prohibition may not be resorted to if a party has a plain, speedy, and adequate remedy by appeal</w:t>
      </w:r>
      <w:r w:rsidR="004E2F05">
        <w:rPr>
          <w:sz w:val="28"/>
          <w:szCs w:val="28"/>
        </w:rPr>
        <w:t xml:space="preserve">.”  </w:t>
      </w:r>
      <w:r w:rsidR="004E2F05" w:rsidRPr="008223A4">
        <w:rPr>
          <w:i/>
          <w:iCs/>
          <w:sz w:val="28"/>
          <w:szCs w:val="28"/>
        </w:rPr>
        <w:t xml:space="preserve">Miller v. </w:t>
      </w:r>
      <w:r w:rsidR="008223A4" w:rsidRPr="008223A4">
        <w:rPr>
          <w:i/>
          <w:iCs/>
          <w:sz w:val="28"/>
          <w:szCs w:val="28"/>
        </w:rPr>
        <w:t>Super. Ct. of Mohave County</w:t>
      </w:r>
      <w:r w:rsidR="008223A4">
        <w:rPr>
          <w:sz w:val="28"/>
          <w:szCs w:val="28"/>
        </w:rPr>
        <w:t xml:space="preserve">, 21 Ariz. 61, 64 (1919).  </w:t>
      </w:r>
      <w:r w:rsidR="00C140AE">
        <w:rPr>
          <w:sz w:val="28"/>
          <w:szCs w:val="28"/>
        </w:rPr>
        <w:t xml:space="preserve">Though the Legislature has never codified the writ of prohibition, the </w:t>
      </w:r>
      <w:r w:rsidR="00FB40B1">
        <w:rPr>
          <w:sz w:val="28"/>
          <w:szCs w:val="28"/>
        </w:rPr>
        <w:t>S</w:t>
      </w:r>
      <w:r w:rsidR="00267AF9">
        <w:rPr>
          <w:sz w:val="28"/>
          <w:szCs w:val="28"/>
        </w:rPr>
        <w:t xml:space="preserve">upreme </w:t>
      </w:r>
      <w:r w:rsidR="00FB40B1">
        <w:rPr>
          <w:sz w:val="28"/>
          <w:szCs w:val="28"/>
        </w:rPr>
        <w:t>C</w:t>
      </w:r>
      <w:r w:rsidR="00C140AE">
        <w:rPr>
          <w:sz w:val="28"/>
          <w:szCs w:val="28"/>
        </w:rPr>
        <w:t>ourt ha</w:t>
      </w:r>
      <w:r w:rsidR="00267AF9">
        <w:rPr>
          <w:sz w:val="28"/>
          <w:szCs w:val="28"/>
        </w:rPr>
        <w:t>s</w:t>
      </w:r>
      <w:r w:rsidR="00C140AE">
        <w:rPr>
          <w:sz w:val="28"/>
          <w:szCs w:val="28"/>
        </w:rPr>
        <w:t xml:space="preserve"> repeatedly </w:t>
      </w:r>
      <w:r w:rsidR="00D6679E">
        <w:rPr>
          <w:sz w:val="28"/>
          <w:szCs w:val="28"/>
        </w:rPr>
        <w:t>said that the writ cannot issue where there is an adequate remedy</w:t>
      </w:r>
      <w:r w:rsidR="006A0BAB">
        <w:rPr>
          <w:sz w:val="28"/>
          <w:szCs w:val="28"/>
        </w:rPr>
        <w:t xml:space="preserve"> </w:t>
      </w:r>
      <w:r w:rsidR="00F14ACE">
        <w:rPr>
          <w:sz w:val="28"/>
          <w:szCs w:val="28"/>
        </w:rPr>
        <w:t>by appeal</w:t>
      </w:r>
      <w:r w:rsidR="006A0BAB">
        <w:rPr>
          <w:sz w:val="28"/>
          <w:szCs w:val="28"/>
        </w:rPr>
        <w:t xml:space="preserve">.  </w:t>
      </w:r>
      <w:r w:rsidR="00A00D20" w:rsidRPr="00DB1110">
        <w:rPr>
          <w:i/>
          <w:iCs/>
          <w:sz w:val="28"/>
          <w:szCs w:val="28"/>
        </w:rPr>
        <w:t>See</w:t>
      </w:r>
      <w:r w:rsidR="00267AF9">
        <w:rPr>
          <w:i/>
          <w:iCs/>
          <w:sz w:val="28"/>
          <w:szCs w:val="28"/>
        </w:rPr>
        <w:t>, e.g.,</w:t>
      </w:r>
      <w:r w:rsidR="00A00D20" w:rsidRPr="00DB1110">
        <w:rPr>
          <w:i/>
          <w:iCs/>
          <w:sz w:val="28"/>
          <w:szCs w:val="28"/>
        </w:rPr>
        <w:t xml:space="preserve"> Valley Drive-In Theatre Corp. v. Super. Ct. in and for Pima County</w:t>
      </w:r>
      <w:r w:rsidR="00A00D20">
        <w:rPr>
          <w:sz w:val="28"/>
          <w:szCs w:val="28"/>
        </w:rPr>
        <w:t xml:space="preserve">, </w:t>
      </w:r>
      <w:r w:rsidR="003223E2">
        <w:rPr>
          <w:sz w:val="28"/>
          <w:szCs w:val="28"/>
        </w:rPr>
        <w:t>79 Ariz. 396, (1955)</w:t>
      </w:r>
      <w:r w:rsidR="000F5167">
        <w:rPr>
          <w:sz w:val="28"/>
          <w:szCs w:val="28"/>
        </w:rPr>
        <w:t xml:space="preserve"> (“[O]</w:t>
      </w:r>
      <w:r w:rsidR="000F5167" w:rsidRPr="000F5167">
        <w:rPr>
          <w:sz w:val="28"/>
          <w:szCs w:val="28"/>
        </w:rPr>
        <w:t>rdinarily a writ of prohibition will not be allowed if one has a plain, speedy and adequate remedy by appeal</w:t>
      </w:r>
      <w:r w:rsidR="00DB1110">
        <w:rPr>
          <w:sz w:val="28"/>
          <w:szCs w:val="28"/>
        </w:rPr>
        <w:t xml:space="preserve">.”); </w:t>
      </w:r>
      <w:r w:rsidR="00D0016A" w:rsidRPr="007C1291">
        <w:rPr>
          <w:i/>
          <w:iCs/>
          <w:sz w:val="28"/>
          <w:szCs w:val="28"/>
        </w:rPr>
        <w:t xml:space="preserve">Town of Tempe v. Super. Ct. </w:t>
      </w:r>
      <w:r w:rsidR="007C1291" w:rsidRPr="007C1291">
        <w:rPr>
          <w:i/>
          <w:iCs/>
          <w:sz w:val="28"/>
          <w:szCs w:val="28"/>
        </w:rPr>
        <w:t>in and for Maricopa County</w:t>
      </w:r>
      <w:r w:rsidR="007C1291">
        <w:rPr>
          <w:sz w:val="28"/>
          <w:szCs w:val="28"/>
        </w:rPr>
        <w:t>, 33 Ariz. 166, 170 (1928) (rejecting a writ of prohibition where “[t]</w:t>
      </w:r>
      <w:r w:rsidR="007C1291" w:rsidRPr="007C1291">
        <w:rPr>
          <w:sz w:val="28"/>
          <w:szCs w:val="28"/>
        </w:rPr>
        <w:t>he only reason suggested why the remedy by appeal is not adequate is that the petitioner would be put to considerable expense and annoyance in trying the counterclaim on its merits</w:t>
      </w:r>
      <w:r w:rsidR="007C1291">
        <w:rPr>
          <w:sz w:val="28"/>
          <w:szCs w:val="28"/>
        </w:rPr>
        <w:t xml:space="preserve">”); </w:t>
      </w:r>
      <w:r w:rsidR="009230CD" w:rsidRPr="00BF291C">
        <w:rPr>
          <w:i/>
          <w:iCs/>
          <w:sz w:val="28"/>
          <w:szCs w:val="28"/>
        </w:rPr>
        <w:t>Taylor v. Stanford</w:t>
      </w:r>
      <w:r w:rsidR="009230CD">
        <w:rPr>
          <w:sz w:val="28"/>
          <w:szCs w:val="28"/>
        </w:rPr>
        <w:t xml:space="preserve">, </w:t>
      </w:r>
      <w:r w:rsidR="003C5273">
        <w:rPr>
          <w:sz w:val="28"/>
          <w:szCs w:val="28"/>
        </w:rPr>
        <w:t xml:space="preserve">100 Ariz. 346, 350 (1966) (granting a writ of prohibition </w:t>
      </w:r>
      <w:r w:rsidR="00BF291C">
        <w:rPr>
          <w:sz w:val="28"/>
          <w:szCs w:val="28"/>
        </w:rPr>
        <w:t xml:space="preserve">because </w:t>
      </w:r>
      <w:r w:rsidR="003C5273">
        <w:rPr>
          <w:sz w:val="28"/>
          <w:szCs w:val="28"/>
        </w:rPr>
        <w:t>“</w:t>
      </w:r>
      <w:r w:rsidR="00BF291C" w:rsidRPr="00BF291C">
        <w:rPr>
          <w:sz w:val="28"/>
          <w:szCs w:val="28"/>
        </w:rPr>
        <w:t>there is no other plain, speedy and adequate remedy and we can in our discretion issue the writ</w:t>
      </w:r>
      <w:r w:rsidR="00BF291C">
        <w:rPr>
          <w:sz w:val="28"/>
          <w:szCs w:val="28"/>
        </w:rPr>
        <w:t>”).</w:t>
      </w:r>
    </w:p>
    <w:p w14:paraId="1A0372D3" w14:textId="37067D80" w:rsidR="00811663" w:rsidRPr="00112ABB" w:rsidRDefault="00112ABB" w:rsidP="00112ABB">
      <w:pPr>
        <w:spacing w:before="240" w:line="240" w:lineRule="auto"/>
        <w:jc w:val="center"/>
        <w:rPr>
          <w:b/>
          <w:bCs/>
          <w:sz w:val="28"/>
          <w:szCs w:val="28"/>
        </w:rPr>
      </w:pPr>
      <w:r>
        <w:rPr>
          <w:b/>
          <w:bCs/>
          <w:sz w:val="28"/>
          <w:szCs w:val="28"/>
        </w:rPr>
        <w:t>III.</w:t>
      </w:r>
    </w:p>
    <w:p w14:paraId="44907F70" w14:textId="5083596D" w:rsidR="00811663" w:rsidRPr="004926DC" w:rsidRDefault="00811663" w:rsidP="00013CEF">
      <w:pPr>
        <w:spacing w:line="480" w:lineRule="exact"/>
        <w:jc w:val="both"/>
        <w:rPr>
          <w:sz w:val="28"/>
          <w:szCs w:val="28"/>
        </w:rPr>
      </w:pPr>
      <w:r>
        <w:rPr>
          <w:b/>
          <w:bCs/>
          <w:sz w:val="28"/>
          <w:szCs w:val="28"/>
        </w:rPr>
        <w:tab/>
      </w:r>
      <w:r w:rsidR="004926DC" w:rsidRPr="004926DC">
        <w:rPr>
          <w:sz w:val="28"/>
          <w:szCs w:val="28"/>
        </w:rPr>
        <w:t xml:space="preserve">The foregoing </w:t>
      </w:r>
      <w:r w:rsidR="004926DC">
        <w:rPr>
          <w:sz w:val="28"/>
          <w:szCs w:val="28"/>
        </w:rPr>
        <w:t xml:space="preserve">history informs the original meaning of the terms in the Arizona Constitution granting courts the authority to </w:t>
      </w:r>
      <w:r w:rsidR="0089252A">
        <w:rPr>
          <w:sz w:val="28"/>
          <w:szCs w:val="28"/>
        </w:rPr>
        <w:t xml:space="preserve">issue extraordinary writs.  </w:t>
      </w:r>
      <w:r w:rsidR="00767243">
        <w:rPr>
          <w:sz w:val="28"/>
          <w:szCs w:val="28"/>
        </w:rPr>
        <w:t xml:space="preserve">In 1960, the </w:t>
      </w:r>
      <w:r w:rsidR="00767243">
        <w:rPr>
          <w:sz w:val="28"/>
          <w:szCs w:val="28"/>
        </w:rPr>
        <w:lastRenderedPageBreak/>
        <w:t xml:space="preserve">electorate repealed the prior version of </w:t>
      </w:r>
      <w:r w:rsidR="004203C8">
        <w:rPr>
          <w:sz w:val="28"/>
          <w:szCs w:val="28"/>
        </w:rPr>
        <w:t xml:space="preserve">Article 6 and replaced it with the current version.  </w:t>
      </w:r>
      <w:r w:rsidR="0089252A">
        <w:rPr>
          <w:sz w:val="28"/>
          <w:szCs w:val="28"/>
        </w:rPr>
        <w:t>By th</w:t>
      </w:r>
      <w:r w:rsidR="00767243">
        <w:rPr>
          <w:sz w:val="28"/>
          <w:szCs w:val="28"/>
        </w:rPr>
        <w:t>at time,</w:t>
      </w:r>
      <w:r w:rsidR="004203C8">
        <w:rPr>
          <w:sz w:val="28"/>
          <w:szCs w:val="28"/>
        </w:rPr>
        <w:t xml:space="preserve"> </w:t>
      </w:r>
      <w:r w:rsidR="00453C36">
        <w:rPr>
          <w:sz w:val="28"/>
          <w:szCs w:val="28"/>
        </w:rPr>
        <w:t xml:space="preserve">as we have seen, </w:t>
      </w:r>
      <w:r w:rsidR="00C373D9">
        <w:rPr>
          <w:sz w:val="28"/>
          <w:szCs w:val="28"/>
        </w:rPr>
        <w:t xml:space="preserve">there was a well-developed body of case law </w:t>
      </w:r>
      <w:r w:rsidR="006820A2">
        <w:rPr>
          <w:sz w:val="28"/>
          <w:szCs w:val="28"/>
        </w:rPr>
        <w:t xml:space="preserve">and </w:t>
      </w:r>
      <w:r w:rsidR="00B251A2">
        <w:rPr>
          <w:sz w:val="28"/>
          <w:szCs w:val="28"/>
        </w:rPr>
        <w:t xml:space="preserve">decades-old statutes </w:t>
      </w:r>
      <w:r w:rsidR="006820A2">
        <w:rPr>
          <w:sz w:val="28"/>
          <w:szCs w:val="28"/>
        </w:rPr>
        <w:t xml:space="preserve">delimiting the </w:t>
      </w:r>
      <w:r w:rsidR="00B251A2">
        <w:rPr>
          <w:sz w:val="28"/>
          <w:szCs w:val="28"/>
        </w:rPr>
        <w:t>meaning o</w:t>
      </w:r>
      <w:r w:rsidR="00837CA5">
        <w:rPr>
          <w:sz w:val="28"/>
          <w:szCs w:val="28"/>
        </w:rPr>
        <w:t>f</w:t>
      </w:r>
      <w:r w:rsidR="00B251A2">
        <w:rPr>
          <w:sz w:val="28"/>
          <w:szCs w:val="28"/>
        </w:rPr>
        <w:t xml:space="preserve"> the </w:t>
      </w:r>
      <w:r w:rsidR="006820A2">
        <w:rPr>
          <w:sz w:val="28"/>
          <w:szCs w:val="28"/>
        </w:rPr>
        <w:t>terms</w:t>
      </w:r>
      <w:r w:rsidR="00B251A2">
        <w:rPr>
          <w:sz w:val="28"/>
          <w:szCs w:val="28"/>
        </w:rPr>
        <w:t xml:space="preserve"> “</w:t>
      </w:r>
      <w:r w:rsidR="00526BA1">
        <w:rPr>
          <w:sz w:val="28"/>
          <w:szCs w:val="28"/>
        </w:rPr>
        <w:t>certiorari,” “mandamus,”</w:t>
      </w:r>
      <w:r w:rsidR="00837CA5">
        <w:rPr>
          <w:sz w:val="28"/>
          <w:szCs w:val="28"/>
        </w:rPr>
        <w:t xml:space="preserve"> and “</w:t>
      </w:r>
      <w:r w:rsidR="00453C36">
        <w:rPr>
          <w:sz w:val="28"/>
          <w:szCs w:val="28"/>
        </w:rPr>
        <w:t xml:space="preserve">prohibition.”  </w:t>
      </w:r>
      <w:r w:rsidR="00E5202D">
        <w:rPr>
          <w:sz w:val="28"/>
          <w:szCs w:val="28"/>
        </w:rPr>
        <w:t>In 1960, e</w:t>
      </w:r>
      <w:r w:rsidR="00F01297">
        <w:rPr>
          <w:sz w:val="28"/>
          <w:szCs w:val="28"/>
        </w:rPr>
        <w:t xml:space="preserve">ach of those terms were commonly understood to </w:t>
      </w:r>
      <w:r w:rsidR="00925868">
        <w:rPr>
          <w:sz w:val="28"/>
          <w:szCs w:val="28"/>
        </w:rPr>
        <w:t>describe</w:t>
      </w:r>
      <w:r w:rsidR="001A3B17">
        <w:rPr>
          <w:sz w:val="28"/>
          <w:szCs w:val="28"/>
        </w:rPr>
        <w:t xml:space="preserve"> a </w:t>
      </w:r>
      <w:r w:rsidR="00E446B1">
        <w:rPr>
          <w:sz w:val="28"/>
          <w:szCs w:val="28"/>
        </w:rPr>
        <w:t xml:space="preserve">unique </w:t>
      </w:r>
      <w:r w:rsidR="001A3B17">
        <w:rPr>
          <w:sz w:val="28"/>
          <w:szCs w:val="28"/>
        </w:rPr>
        <w:t>form o</w:t>
      </w:r>
      <w:r w:rsidR="00E446B1">
        <w:rPr>
          <w:sz w:val="28"/>
          <w:szCs w:val="28"/>
        </w:rPr>
        <w:t>f</w:t>
      </w:r>
      <w:r w:rsidR="001A3B17">
        <w:rPr>
          <w:sz w:val="28"/>
          <w:szCs w:val="28"/>
        </w:rPr>
        <w:t xml:space="preserve"> equitable relief</w:t>
      </w:r>
      <w:r w:rsidR="00E446B1">
        <w:rPr>
          <w:sz w:val="28"/>
          <w:szCs w:val="28"/>
        </w:rPr>
        <w:t xml:space="preserve">, </w:t>
      </w:r>
      <w:r w:rsidR="006318B3">
        <w:rPr>
          <w:sz w:val="28"/>
          <w:szCs w:val="28"/>
        </w:rPr>
        <w:t>and all were understood to be</w:t>
      </w:r>
      <w:r w:rsidR="001A3B17">
        <w:rPr>
          <w:sz w:val="28"/>
          <w:szCs w:val="28"/>
        </w:rPr>
        <w:t xml:space="preserve"> </w:t>
      </w:r>
      <w:r w:rsidR="006318B3">
        <w:rPr>
          <w:sz w:val="28"/>
          <w:szCs w:val="28"/>
        </w:rPr>
        <w:t>un</w:t>
      </w:r>
      <w:r w:rsidR="001A3B17">
        <w:rPr>
          <w:sz w:val="28"/>
          <w:szCs w:val="28"/>
        </w:rPr>
        <w:t xml:space="preserve">available where there is an adequate remedy by way of appeal.  </w:t>
      </w:r>
      <w:r w:rsidR="00E5202D" w:rsidRPr="00925868">
        <w:rPr>
          <w:i/>
          <w:iCs/>
          <w:sz w:val="28"/>
          <w:szCs w:val="28"/>
        </w:rPr>
        <w:t>See Matthews v. Indus. Comm’n of Ariz.</w:t>
      </w:r>
      <w:r w:rsidR="00E5202D">
        <w:rPr>
          <w:sz w:val="28"/>
          <w:szCs w:val="28"/>
        </w:rPr>
        <w:t xml:space="preserve">, </w:t>
      </w:r>
      <w:r w:rsidR="0049511D" w:rsidRPr="0049511D">
        <w:rPr>
          <w:sz w:val="28"/>
          <w:szCs w:val="28"/>
        </w:rPr>
        <w:t>254 Ariz. 157</w:t>
      </w:r>
      <w:r w:rsidR="0049511D">
        <w:rPr>
          <w:sz w:val="28"/>
          <w:szCs w:val="28"/>
        </w:rPr>
        <w:t xml:space="preserve">, </w:t>
      </w:r>
      <w:r w:rsidR="00747AED">
        <w:rPr>
          <w:sz w:val="28"/>
          <w:szCs w:val="28"/>
        </w:rPr>
        <w:t xml:space="preserve">163 ¶ </w:t>
      </w:r>
      <w:r w:rsidR="00925868">
        <w:rPr>
          <w:sz w:val="28"/>
          <w:szCs w:val="28"/>
        </w:rPr>
        <w:t>29 (2022) (“</w:t>
      </w:r>
      <w:r w:rsidR="00925868" w:rsidRPr="00925868">
        <w:rPr>
          <w:sz w:val="28"/>
          <w:szCs w:val="28"/>
        </w:rPr>
        <w:t>When construing a constitutional provision, we seek to give terms the original public meaning understood by those who used and approved them.</w:t>
      </w:r>
      <w:r w:rsidR="00925868">
        <w:rPr>
          <w:sz w:val="28"/>
          <w:szCs w:val="28"/>
        </w:rPr>
        <w:t xml:space="preserve">”). </w:t>
      </w:r>
      <w:r w:rsidR="00925868" w:rsidRPr="00925868">
        <w:rPr>
          <w:sz w:val="28"/>
          <w:szCs w:val="28"/>
        </w:rPr>
        <w:t xml:space="preserve"> </w:t>
      </w:r>
      <w:r w:rsidR="0097648F">
        <w:rPr>
          <w:sz w:val="28"/>
          <w:szCs w:val="28"/>
        </w:rPr>
        <w:t xml:space="preserve">By </w:t>
      </w:r>
      <w:r w:rsidR="00B16A4A">
        <w:rPr>
          <w:sz w:val="28"/>
          <w:szCs w:val="28"/>
        </w:rPr>
        <w:t xml:space="preserve">again </w:t>
      </w:r>
      <w:r w:rsidR="0097648F">
        <w:rPr>
          <w:sz w:val="28"/>
          <w:szCs w:val="28"/>
        </w:rPr>
        <w:t>using those terms without modif</w:t>
      </w:r>
      <w:r w:rsidR="009F107F">
        <w:rPr>
          <w:sz w:val="28"/>
          <w:szCs w:val="28"/>
        </w:rPr>
        <w:t>ic</w:t>
      </w:r>
      <w:r w:rsidR="0097648F">
        <w:rPr>
          <w:sz w:val="28"/>
          <w:szCs w:val="28"/>
        </w:rPr>
        <w:t>ation</w:t>
      </w:r>
      <w:r w:rsidR="00B16A4A">
        <w:rPr>
          <w:sz w:val="28"/>
          <w:szCs w:val="28"/>
        </w:rPr>
        <w:t xml:space="preserve"> in 1960</w:t>
      </w:r>
      <w:r w:rsidR="0097648F">
        <w:rPr>
          <w:sz w:val="28"/>
          <w:szCs w:val="28"/>
        </w:rPr>
        <w:t>, the electorate re-</w:t>
      </w:r>
      <w:r w:rsidR="009F107F">
        <w:rPr>
          <w:sz w:val="28"/>
          <w:szCs w:val="28"/>
        </w:rPr>
        <w:t>bak</w:t>
      </w:r>
      <w:r w:rsidR="0097648F">
        <w:rPr>
          <w:sz w:val="28"/>
          <w:szCs w:val="28"/>
        </w:rPr>
        <w:t xml:space="preserve">ed that </w:t>
      </w:r>
      <w:r w:rsidR="0092081E">
        <w:rPr>
          <w:sz w:val="28"/>
          <w:szCs w:val="28"/>
        </w:rPr>
        <w:t xml:space="preserve">common and original </w:t>
      </w:r>
      <w:r w:rsidR="0097648F">
        <w:rPr>
          <w:sz w:val="28"/>
          <w:szCs w:val="28"/>
        </w:rPr>
        <w:t xml:space="preserve">meaning into </w:t>
      </w:r>
      <w:r w:rsidR="009F107F">
        <w:rPr>
          <w:sz w:val="28"/>
          <w:szCs w:val="28"/>
        </w:rPr>
        <w:t xml:space="preserve">the Arizona Constitution. </w:t>
      </w:r>
      <w:r w:rsidR="006820A2">
        <w:rPr>
          <w:sz w:val="28"/>
          <w:szCs w:val="28"/>
        </w:rPr>
        <w:t xml:space="preserve"> </w:t>
      </w:r>
      <w:r w:rsidR="00C373D9">
        <w:rPr>
          <w:sz w:val="28"/>
          <w:szCs w:val="28"/>
        </w:rPr>
        <w:t xml:space="preserve"> </w:t>
      </w:r>
      <w:r w:rsidR="006318B3" w:rsidRPr="00C02BAA">
        <w:rPr>
          <w:i/>
          <w:iCs/>
          <w:sz w:val="28"/>
          <w:szCs w:val="28"/>
        </w:rPr>
        <w:t xml:space="preserve">See </w:t>
      </w:r>
      <w:r w:rsidR="00C02BAA" w:rsidRPr="00C02BAA">
        <w:rPr>
          <w:i/>
          <w:iCs/>
          <w:sz w:val="28"/>
          <w:szCs w:val="28"/>
        </w:rPr>
        <w:t>Sekhar v. United States</w:t>
      </w:r>
      <w:r w:rsidR="00C02BAA" w:rsidRPr="00C02BAA">
        <w:rPr>
          <w:sz w:val="28"/>
          <w:szCs w:val="28"/>
        </w:rPr>
        <w:t>, 570 U.S. 729, 733 (2013) (“[A]s Justice Frankfurter colorfully put it, ‘if a word is obviously transplanted from another legal source, whether the common law or other legislation, it brings the old soil with it.’” (quoting Felix Frankfurter, Some Reflections on the Reading of Statutes, 47 Colum. L. Rev. 527, 537 (1947))</w:t>
      </w:r>
      <w:r w:rsidR="000F69DC">
        <w:rPr>
          <w:sz w:val="28"/>
          <w:szCs w:val="28"/>
        </w:rPr>
        <w:t xml:space="preserve">.  </w:t>
      </w:r>
      <w:r w:rsidR="00C8758D">
        <w:rPr>
          <w:sz w:val="28"/>
          <w:szCs w:val="28"/>
        </w:rPr>
        <w:t>T</w:t>
      </w:r>
      <w:r w:rsidR="00B27002">
        <w:rPr>
          <w:sz w:val="28"/>
          <w:szCs w:val="28"/>
        </w:rPr>
        <w:t xml:space="preserve">he constitutional grant of authority </w:t>
      </w:r>
      <w:r w:rsidR="00C8758D">
        <w:rPr>
          <w:sz w:val="28"/>
          <w:szCs w:val="28"/>
        </w:rPr>
        <w:t xml:space="preserve">in Article 6 </w:t>
      </w:r>
      <w:r w:rsidR="00B27002">
        <w:rPr>
          <w:sz w:val="28"/>
          <w:szCs w:val="28"/>
        </w:rPr>
        <w:t xml:space="preserve">to issue writs of certiorari, mandamus, and </w:t>
      </w:r>
      <w:r w:rsidR="00525F71">
        <w:rPr>
          <w:sz w:val="28"/>
          <w:szCs w:val="28"/>
        </w:rPr>
        <w:t>prohibition</w:t>
      </w:r>
      <w:r w:rsidR="00C8758D">
        <w:rPr>
          <w:sz w:val="28"/>
          <w:szCs w:val="28"/>
        </w:rPr>
        <w:t xml:space="preserve"> is limited</w:t>
      </w:r>
      <w:r w:rsidR="00962E9D">
        <w:rPr>
          <w:sz w:val="28"/>
          <w:szCs w:val="28"/>
        </w:rPr>
        <w:t xml:space="preserve"> by the historical contours of those writs</w:t>
      </w:r>
      <w:r w:rsidR="0033566C">
        <w:rPr>
          <w:sz w:val="28"/>
          <w:szCs w:val="28"/>
        </w:rPr>
        <w:t>—</w:t>
      </w:r>
      <w:r w:rsidR="00C8758D">
        <w:rPr>
          <w:sz w:val="28"/>
          <w:szCs w:val="28"/>
        </w:rPr>
        <w:t>the scope of the writs determines the scope of the courts’ authority to issue them.</w:t>
      </w:r>
      <w:r w:rsidR="00525F71">
        <w:rPr>
          <w:sz w:val="28"/>
          <w:szCs w:val="28"/>
        </w:rPr>
        <w:t xml:space="preserve"> </w:t>
      </w:r>
      <w:r w:rsidR="00C8758D">
        <w:rPr>
          <w:sz w:val="28"/>
          <w:szCs w:val="28"/>
        </w:rPr>
        <w:t xml:space="preserve"> Thus, t</w:t>
      </w:r>
      <w:r w:rsidR="00CD6932">
        <w:rPr>
          <w:sz w:val="28"/>
          <w:szCs w:val="28"/>
        </w:rPr>
        <w:t xml:space="preserve">hat authority </w:t>
      </w:r>
      <w:r w:rsidR="00525F71">
        <w:rPr>
          <w:sz w:val="28"/>
          <w:szCs w:val="28"/>
        </w:rPr>
        <w:t>extends only to those situations where no adequate remedy by way of appeal is available.</w:t>
      </w:r>
      <w:r w:rsidR="00767243">
        <w:rPr>
          <w:sz w:val="28"/>
          <w:szCs w:val="28"/>
        </w:rPr>
        <w:t xml:space="preserve"> </w:t>
      </w:r>
      <w:r w:rsidR="0089252A">
        <w:rPr>
          <w:sz w:val="28"/>
          <w:szCs w:val="28"/>
        </w:rPr>
        <w:t xml:space="preserve"> </w:t>
      </w:r>
    </w:p>
    <w:p w14:paraId="501FCD22" w14:textId="4ED8124C" w:rsidR="00330FA0" w:rsidRPr="00112ABB" w:rsidRDefault="00112ABB" w:rsidP="00112ABB">
      <w:pPr>
        <w:spacing w:before="240" w:line="240" w:lineRule="auto"/>
        <w:ind w:left="90"/>
        <w:jc w:val="center"/>
        <w:rPr>
          <w:b/>
          <w:bCs/>
          <w:sz w:val="28"/>
          <w:szCs w:val="28"/>
        </w:rPr>
      </w:pPr>
      <w:r>
        <w:rPr>
          <w:b/>
          <w:bCs/>
          <w:sz w:val="28"/>
          <w:szCs w:val="28"/>
        </w:rPr>
        <w:t>IV.</w:t>
      </w:r>
    </w:p>
    <w:p w14:paraId="07E55619" w14:textId="1BD99A90" w:rsidR="00825F0F" w:rsidRPr="00E015D4" w:rsidRDefault="00E015D4" w:rsidP="00DB1F5D">
      <w:pPr>
        <w:pStyle w:val="ListParagraph"/>
        <w:spacing w:after="0" w:line="480" w:lineRule="exact"/>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The current rules of procedure for special action</w:t>
      </w:r>
      <w:r w:rsidR="007C5E7A">
        <w:rPr>
          <w:rFonts w:ascii="Times New Roman" w:hAnsi="Times New Roman" w:cs="Times New Roman"/>
          <w:sz w:val="28"/>
          <w:szCs w:val="28"/>
        </w:rPr>
        <w:t xml:space="preserve">s repeatedly </w:t>
      </w:r>
      <w:r w:rsidR="0092081E">
        <w:rPr>
          <w:rFonts w:ascii="Times New Roman" w:hAnsi="Times New Roman" w:cs="Times New Roman"/>
          <w:sz w:val="28"/>
          <w:szCs w:val="28"/>
        </w:rPr>
        <w:t xml:space="preserve">state </w:t>
      </w:r>
      <w:r w:rsidR="007C5E7A">
        <w:rPr>
          <w:rFonts w:ascii="Times New Roman" w:hAnsi="Times New Roman" w:cs="Times New Roman"/>
          <w:sz w:val="28"/>
          <w:szCs w:val="28"/>
        </w:rPr>
        <w:t>that the</w:t>
      </w:r>
      <w:r w:rsidR="00211E51">
        <w:rPr>
          <w:rFonts w:ascii="Times New Roman" w:hAnsi="Times New Roman" w:cs="Times New Roman"/>
          <w:sz w:val="28"/>
          <w:szCs w:val="28"/>
        </w:rPr>
        <w:t>y</w:t>
      </w:r>
      <w:r w:rsidR="007C5E7A">
        <w:rPr>
          <w:rFonts w:ascii="Times New Roman" w:hAnsi="Times New Roman" w:cs="Times New Roman"/>
          <w:sz w:val="28"/>
          <w:szCs w:val="28"/>
        </w:rPr>
        <w:t xml:space="preserve"> do not expand the scope of the</w:t>
      </w:r>
      <w:r w:rsidR="00E0384A">
        <w:rPr>
          <w:rFonts w:ascii="Times New Roman" w:hAnsi="Times New Roman" w:cs="Times New Roman"/>
          <w:sz w:val="28"/>
          <w:szCs w:val="28"/>
        </w:rPr>
        <w:t xml:space="preserve"> extraordinary writs and, therefore, special action </w:t>
      </w:r>
      <w:r w:rsidR="003F7C2C">
        <w:rPr>
          <w:rFonts w:ascii="Times New Roman" w:hAnsi="Times New Roman" w:cs="Times New Roman"/>
          <w:sz w:val="28"/>
          <w:szCs w:val="28"/>
        </w:rPr>
        <w:t xml:space="preserve">relief is </w:t>
      </w:r>
      <w:r w:rsidR="00DB1F5D">
        <w:rPr>
          <w:rFonts w:ascii="Times New Roman" w:hAnsi="Times New Roman" w:cs="Times New Roman"/>
          <w:sz w:val="28"/>
          <w:szCs w:val="28"/>
        </w:rPr>
        <w:t>un</w:t>
      </w:r>
      <w:r w:rsidR="003F7C2C">
        <w:rPr>
          <w:rFonts w:ascii="Times New Roman" w:hAnsi="Times New Roman" w:cs="Times New Roman"/>
          <w:sz w:val="28"/>
          <w:szCs w:val="28"/>
        </w:rPr>
        <w:t xml:space="preserve">available where there is an adequate remedy by way of appeal.  </w:t>
      </w:r>
      <w:r w:rsidR="00430372">
        <w:rPr>
          <w:rFonts w:ascii="Times New Roman" w:hAnsi="Times New Roman" w:cs="Times New Roman"/>
          <w:sz w:val="28"/>
          <w:szCs w:val="28"/>
        </w:rPr>
        <w:t>Thus</w:t>
      </w:r>
      <w:r w:rsidR="006C6836">
        <w:rPr>
          <w:rFonts w:ascii="Times New Roman" w:hAnsi="Times New Roman" w:cs="Times New Roman"/>
          <w:sz w:val="28"/>
          <w:szCs w:val="28"/>
        </w:rPr>
        <w:t xml:space="preserve">, the </w:t>
      </w:r>
      <w:r w:rsidR="00430372">
        <w:rPr>
          <w:rFonts w:ascii="Times New Roman" w:hAnsi="Times New Roman" w:cs="Times New Roman"/>
          <w:sz w:val="28"/>
          <w:szCs w:val="28"/>
        </w:rPr>
        <w:t xml:space="preserve">current </w:t>
      </w:r>
      <w:r w:rsidR="006C6836">
        <w:rPr>
          <w:rFonts w:ascii="Times New Roman" w:hAnsi="Times New Roman" w:cs="Times New Roman"/>
          <w:sz w:val="28"/>
          <w:szCs w:val="28"/>
        </w:rPr>
        <w:t>special action procedures cannot result in the issuance of relief where it would not have been available</w:t>
      </w:r>
      <w:r w:rsidR="0092081E">
        <w:rPr>
          <w:rFonts w:ascii="Times New Roman" w:hAnsi="Times New Roman" w:cs="Times New Roman"/>
          <w:sz w:val="28"/>
          <w:szCs w:val="28"/>
        </w:rPr>
        <w:t xml:space="preserve"> prior to 1970</w:t>
      </w:r>
      <w:r w:rsidR="006C6836">
        <w:rPr>
          <w:rFonts w:ascii="Times New Roman" w:hAnsi="Times New Roman" w:cs="Times New Roman"/>
          <w:sz w:val="28"/>
          <w:szCs w:val="28"/>
        </w:rPr>
        <w:t xml:space="preserve">, including where there is an adequate remedy by way of appeal.  </w:t>
      </w:r>
      <w:r w:rsidR="00FB40B1">
        <w:rPr>
          <w:rFonts w:ascii="Times New Roman" w:hAnsi="Times New Roman" w:cs="Times New Roman"/>
          <w:sz w:val="28"/>
          <w:szCs w:val="28"/>
        </w:rPr>
        <w:t>B</w:t>
      </w:r>
      <w:r w:rsidR="006C6836">
        <w:rPr>
          <w:rFonts w:ascii="Times New Roman" w:hAnsi="Times New Roman" w:cs="Times New Roman"/>
          <w:sz w:val="28"/>
          <w:szCs w:val="28"/>
        </w:rPr>
        <w:t xml:space="preserve">y incorporating traditional limitations on the extraordinary writs, </w:t>
      </w:r>
      <w:r w:rsidR="00426736">
        <w:rPr>
          <w:rFonts w:ascii="Times New Roman" w:hAnsi="Times New Roman" w:cs="Times New Roman"/>
          <w:sz w:val="28"/>
          <w:szCs w:val="28"/>
        </w:rPr>
        <w:lastRenderedPageBreak/>
        <w:t>the</w:t>
      </w:r>
      <w:r w:rsidR="006C6836">
        <w:rPr>
          <w:rFonts w:ascii="Times New Roman" w:hAnsi="Times New Roman" w:cs="Times New Roman"/>
          <w:sz w:val="28"/>
          <w:szCs w:val="28"/>
        </w:rPr>
        <w:t xml:space="preserve"> current rules </w:t>
      </w:r>
      <w:r w:rsidR="00B76856">
        <w:rPr>
          <w:rFonts w:ascii="Times New Roman" w:hAnsi="Times New Roman" w:cs="Times New Roman"/>
          <w:sz w:val="28"/>
          <w:szCs w:val="28"/>
        </w:rPr>
        <w:t xml:space="preserve">also </w:t>
      </w:r>
      <w:r w:rsidR="006C6836">
        <w:rPr>
          <w:rFonts w:ascii="Times New Roman" w:hAnsi="Times New Roman" w:cs="Times New Roman"/>
          <w:sz w:val="28"/>
          <w:szCs w:val="28"/>
        </w:rPr>
        <w:t>heed</w:t>
      </w:r>
      <w:r w:rsidR="007362CC">
        <w:rPr>
          <w:rFonts w:ascii="Times New Roman" w:hAnsi="Times New Roman" w:cs="Times New Roman"/>
          <w:sz w:val="28"/>
          <w:szCs w:val="28"/>
        </w:rPr>
        <w:t xml:space="preserve"> the </w:t>
      </w:r>
      <w:r w:rsidR="00CE6A16">
        <w:rPr>
          <w:rFonts w:ascii="Times New Roman" w:hAnsi="Times New Roman" w:cs="Times New Roman"/>
          <w:sz w:val="28"/>
          <w:szCs w:val="28"/>
        </w:rPr>
        <w:t xml:space="preserve">constitutional </w:t>
      </w:r>
      <w:r w:rsidR="007362CC">
        <w:rPr>
          <w:rFonts w:ascii="Times New Roman" w:hAnsi="Times New Roman" w:cs="Times New Roman"/>
          <w:sz w:val="28"/>
          <w:szCs w:val="28"/>
        </w:rPr>
        <w:t xml:space="preserve">limitations on </w:t>
      </w:r>
      <w:r w:rsidR="00A56816">
        <w:rPr>
          <w:rFonts w:ascii="Times New Roman" w:hAnsi="Times New Roman" w:cs="Times New Roman"/>
          <w:sz w:val="28"/>
          <w:szCs w:val="28"/>
        </w:rPr>
        <w:t>courts</w:t>
      </w:r>
      <w:r w:rsidR="00302BED">
        <w:rPr>
          <w:rFonts w:ascii="Times New Roman" w:hAnsi="Times New Roman" w:cs="Times New Roman"/>
          <w:sz w:val="28"/>
          <w:szCs w:val="28"/>
        </w:rPr>
        <w:t>’ authority</w:t>
      </w:r>
      <w:r w:rsidR="00413135">
        <w:rPr>
          <w:rFonts w:ascii="Times New Roman" w:hAnsi="Times New Roman" w:cs="Times New Roman"/>
          <w:sz w:val="28"/>
          <w:szCs w:val="28"/>
        </w:rPr>
        <w:t xml:space="preserve"> to issue those writs</w:t>
      </w:r>
      <w:r w:rsidR="00A81062">
        <w:rPr>
          <w:rFonts w:ascii="Times New Roman" w:hAnsi="Times New Roman" w:cs="Times New Roman"/>
          <w:sz w:val="28"/>
          <w:szCs w:val="28"/>
        </w:rPr>
        <w:t xml:space="preserve">.  </w:t>
      </w:r>
      <w:r w:rsidR="00A56816">
        <w:rPr>
          <w:rFonts w:ascii="Times New Roman" w:hAnsi="Times New Roman" w:cs="Times New Roman"/>
          <w:sz w:val="28"/>
          <w:szCs w:val="28"/>
        </w:rPr>
        <w:t xml:space="preserve"> </w:t>
      </w:r>
      <w:r w:rsidR="00A2592D">
        <w:rPr>
          <w:rFonts w:ascii="Times New Roman" w:hAnsi="Times New Roman" w:cs="Times New Roman"/>
          <w:sz w:val="28"/>
          <w:szCs w:val="28"/>
        </w:rPr>
        <w:t xml:space="preserve">  </w:t>
      </w:r>
    </w:p>
    <w:p w14:paraId="0C03EE8D" w14:textId="05E1FB07" w:rsidR="002B40E4" w:rsidRDefault="00413135" w:rsidP="00F51069">
      <w:pPr>
        <w:pStyle w:val="Body"/>
        <w:widowControl w:val="0"/>
        <w:ind w:firstLine="720"/>
        <w:jc w:val="both"/>
        <w:rPr>
          <w:sz w:val="28"/>
          <w:szCs w:val="28"/>
        </w:rPr>
      </w:pPr>
      <w:bookmarkStart w:id="3" w:name="_Hlk162949091"/>
      <w:bookmarkEnd w:id="2"/>
      <w:r>
        <w:rPr>
          <w:sz w:val="28"/>
          <w:szCs w:val="28"/>
        </w:rPr>
        <w:t xml:space="preserve">Start with </w:t>
      </w:r>
      <w:r w:rsidR="005D177A">
        <w:rPr>
          <w:sz w:val="28"/>
          <w:szCs w:val="28"/>
        </w:rPr>
        <w:t>Rule 1</w:t>
      </w:r>
      <w:r>
        <w:rPr>
          <w:sz w:val="28"/>
          <w:szCs w:val="28"/>
        </w:rPr>
        <w:t xml:space="preserve">.  </w:t>
      </w:r>
      <w:r w:rsidR="005D177A">
        <w:rPr>
          <w:sz w:val="28"/>
          <w:szCs w:val="28"/>
        </w:rPr>
        <w:t xml:space="preserve"> </w:t>
      </w:r>
      <w:r w:rsidR="00430372">
        <w:rPr>
          <w:sz w:val="28"/>
          <w:szCs w:val="28"/>
        </w:rPr>
        <w:t xml:space="preserve">That </w:t>
      </w:r>
      <w:r w:rsidR="00F56F6F">
        <w:rPr>
          <w:sz w:val="28"/>
          <w:szCs w:val="28"/>
        </w:rPr>
        <w:t>Rule states that “</w:t>
      </w:r>
      <w:r w:rsidR="00F51069">
        <w:rPr>
          <w:sz w:val="28"/>
          <w:szCs w:val="28"/>
        </w:rPr>
        <w:t>[e]</w:t>
      </w:r>
      <w:r w:rsidR="00F51069" w:rsidRPr="00F51069">
        <w:rPr>
          <w:sz w:val="28"/>
          <w:szCs w:val="28"/>
        </w:rPr>
        <w:t>xcept as authorized by statute, the special action shall not be available where there is an equally plain, speedy, and adequate remedy by appeal</w:t>
      </w:r>
      <w:r w:rsidR="00F51069">
        <w:rPr>
          <w:sz w:val="28"/>
          <w:szCs w:val="28"/>
        </w:rPr>
        <w:t xml:space="preserve">[.]”  Ariz. R. P. Spec. Act. 1(a).  </w:t>
      </w:r>
      <w:r w:rsidR="002F4200">
        <w:rPr>
          <w:sz w:val="28"/>
          <w:szCs w:val="28"/>
        </w:rPr>
        <w:t>Moreover, “</w:t>
      </w:r>
      <w:r w:rsidR="002F4200" w:rsidRPr="002F4200">
        <w:rPr>
          <w:sz w:val="28"/>
          <w:szCs w:val="28"/>
        </w:rPr>
        <w:t>nothing in these rules shall be construed as enlarging the scope of the relief traditionally granted under the writs of certiorari, mandamus, and prohibition</w:t>
      </w:r>
      <w:r w:rsidR="002F4200">
        <w:rPr>
          <w:sz w:val="28"/>
          <w:szCs w:val="28"/>
        </w:rPr>
        <w:t xml:space="preserve">.”  </w:t>
      </w:r>
      <w:r w:rsidR="002F4200" w:rsidRPr="002F4200">
        <w:rPr>
          <w:i/>
          <w:iCs/>
          <w:sz w:val="28"/>
          <w:szCs w:val="28"/>
        </w:rPr>
        <w:t>Id.</w:t>
      </w:r>
    </w:p>
    <w:p w14:paraId="33B3BFB4" w14:textId="2E52268B" w:rsidR="002F4200" w:rsidRDefault="002F4200" w:rsidP="00F51069">
      <w:pPr>
        <w:pStyle w:val="Body"/>
        <w:widowControl w:val="0"/>
        <w:ind w:firstLine="720"/>
        <w:jc w:val="both"/>
        <w:rPr>
          <w:sz w:val="28"/>
          <w:szCs w:val="28"/>
        </w:rPr>
      </w:pPr>
      <w:r>
        <w:rPr>
          <w:sz w:val="28"/>
          <w:szCs w:val="28"/>
        </w:rPr>
        <w:t xml:space="preserve">The comments to Rule 1 further emphasize the historical and constitutional limitations on the availability of special action relief.  </w:t>
      </w:r>
      <w:r w:rsidR="00915B81">
        <w:rPr>
          <w:sz w:val="28"/>
          <w:szCs w:val="28"/>
        </w:rPr>
        <w:t xml:space="preserve">Comment </w:t>
      </w:r>
      <w:r w:rsidR="00492F63">
        <w:rPr>
          <w:sz w:val="28"/>
          <w:szCs w:val="28"/>
        </w:rPr>
        <w:t>(</w:t>
      </w:r>
      <w:r w:rsidR="00915B81">
        <w:rPr>
          <w:sz w:val="28"/>
          <w:szCs w:val="28"/>
        </w:rPr>
        <w:t>a</w:t>
      </w:r>
      <w:r w:rsidR="00492F63">
        <w:rPr>
          <w:sz w:val="28"/>
          <w:szCs w:val="28"/>
        </w:rPr>
        <w:t>) says that “[t]</w:t>
      </w:r>
      <w:r w:rsidR="00492F63" w:rsidRPr="00492F63">
        <w:rPr>
          <w:sz w:val="28"/>
          <w:szCs w:val="28"/>
        </w:rPr>
        <w:t>his Rule proposes to combine the traditional writs of certiorari, mandamus and prohibition into one proceeding</w:t>
      </w:r>
      <w:r w:rsidR="00633B2B">
        <w:rPr>
          <w:sz w:val="28"/>
          <w:szCs w:val="28"/>
        </w:rPr>
        <w:t>[.]”  Comment (a) adds that “[t]</w:t>
      </w:r>
      <w:r w:rsidR="00633B2B" w:rsidRPr="00633B2B">
        <w:rPr>
          <w:sz w:val="28"/>
          <w:szCs w:val="28"/>
        </w:rPr>
        <w:t>he writs are constitutional in Arizona, Ariz.Const. Art. 6, §§ 5, 18, as amended, and the Rule does not alter their substance but merely establishes the procedure for obtaining their remedies.</w:t>
      </w:r>
      <w:r w:rsidR="00633B2B">
        <w:rPr>
          <w:sz w:val="28"/>
          <w:szCs w:val="28"/>
        </w:rPr>
        <w:t xml:space="preserve">”  </w:t>
      </w:r>
      <w:r w:rsidR="00BD4D98">
        <w:rPr>
          <w:sz w:val="28"/>
          <w:szCs w:val="28"/>
        </w:rPr>
        <w:t>Finally, comment (a) explains that</w:t>
      </w:r>
      <w:r w:rsidR="004B378F">
        <w:rPr>
          <w:sz w:val="28"/>
          <w:szCs w:val="28"/>
        </w:rPr>
        <w:t xml:space="preserve">, by not altering the substance of the writs, Rule 1 is consistent with A.R.S. § 12-109, which provides that </w:t>
      </w:r>
      <w:r w:rsidR="006F2C70">
        <w:rPr>
          <w:sz w:val="28"/>
          <w:szCs w:val="28"/>
        </w:rPr>
        <w:t>court rules shall not “</w:t>
      </w:r>
      <w:r w:rsidR="00104288">
        <w:rPr>
          <w:sz w:val="28"/>
          <w:szCs w:val="28"/>
        </w:rPr>
        <w:t>[a]</w:t>
      </w:r>
      <w:r w:rsidR="00104288" w:rsidRPr="00104288">
        <w:rPr>
          <w:sz w:val="28"/>
          <w:szCs w:val="28"/>
        </w:rPr>
        <w:t>bridge, enlarge or modify substantive rights of a litigant</w:t>
      </w:r>
      <w:r w:rsidR="00104288">
        <w:rPr>
          <w:sz w:val="28"/>
          <w:szCs w:val="28"/>
        </w:rPr>
        <w:t>” or “</w:t>
      </w:r>
      <w:r w:rsidR="0069346F">
        <w:rPr>
          <w:sz w:val="28"/>
          <w:szCs w:val="28"/>
        </w:rPr>
        <w:t>[a]</w:t>
      </w:r>
      <w:r w:rsidR="0069346F" w:rsidRPr="0069346F">
        <w:rPr>
          <w:sz w:val="28"/>
          <w:szCs w:val="28"/>
        </w:rPr>
        <w:t>bridge, enlarge or modify statutory, contractual or common law real property rights or questions of substantive law</w:t>
      </w:r>
      <w:r w:rsidR="0069346F">
        <w:rPr>
          <w:sz w:val="28"/>
          <w:szCs w:val="28"/>
        </w:rPr>
        <w:t xml:space="preserve">.”  A.R.S. § 12-109(B). </w:t>
      </w:r>
    </w:p>
    <w:p w14:paraId="710B679F" w14:textId="7C4D2ADE" w:rsidR="00861508" w:rsidRDefault="00196C0C" w:rsidP="00F51069">
      <w:pPr>
        <w:pStyle w:val="Body"/>
        <w:widowControl w:val="0"/>
        <w:ind w:firstLine="720"/>
        <w:jc w:val="both"/>
        <w:rPr>
          <w:sz w:val="28"/>
          <w:szCs w:val="28"/>
        </w:rPr>
      </w:pPr>
      <w:r>
        <w:rPr>
          <w:sz w:val="28"/>
          <w:szCs w:val="28"/>
        </w:rPr>
        <w:t>Rule 2 incorporates the limits on the extraordinary writs by providing that “[a]</w:t>
      </w:r>
      <w:r w:rsidRPr="00196C0C">
        <w:rPr>
          <w:sz w:val="28"/>
          <w:szCs w:val="28"/>
        </w:rPr>
        <w:t>ny person who previously could institute an application for a writ of mandamus, prohibition, or certiorari may institute proceedings for a special action.</w:t>
      </w:r>
      <w:r>
        <w:rPr>
          <w:sz w:val="28"/>
          <w:szCs w:val="28"/>
        </w:rPr>
        <w:t xml:space="preserve">”  </w:t>
      </w:r>
      <w:r w:rsidR="00456394">
        <w:rPr>
          <w:sz w:val="28"/>
          <w:szCs w:val="28"/>
        </w:rPr>
        <w:t xml:space="preserve">The comments to Rule 3 explain that </w:t>
      </w:r>
      <w:r w:rsidR="00021610">
        <w:rPr>
          <w:sz w:val="28"/>
          <w:szCs w:val="28"/>
        </w:rPr>
        <w:t>Rule</w:t>
      </w:r>
      <w:r w:rsidR="00456394">
        <w:rPr>
          <w:sz w:val="28"/>
          <w:szCs w:val="28"/>
        </w:rPr>
        <w:t xml:space="preserve"> 3</w:t>
      </w:r>
      <w:r w:rsidR="00021610">
        <w:rPr>
          <w:sz w:val="28"/>
          <w:szCs w:val="28"/>
        </w:rPr>
        <w:t>(a) “</w:t>
      </w:r>
      <w:r w:rsidR="005072E2" w:rsidRPr="005072E2">
        <w:rPr>
          <w:sz w:val="28"/>
          <w:szCs w:val="28"/>
        </w:rPr>
        <w:t>sets forth the traditional functions of the writ of mandamus</w:t>
      </w:r>
      <w:r w:rsidR="005072E2">
        <w:rPr>
          <w:sz w:val="28"/>
          <w:szCs w:val="28"/>
        </w:rPr>
        <w:t xml:space="preserve">” </w:t>
      </w:r>
      <w:r w:rsidR="00BA7DFB">
        <w:rPr>
          <w:sz w:val="28"/>
          <w:szCs w:val="28"/>
        </w:rPr>
        <w:t xml:space="preserve">and </w:t>
      </w:r>
      <w:r w:rsidR="005072E2">
        <w:rPr>
          <w:sz w:val="28"/>
          <w:szCs w:val="28"/>
        </w:rPr>
        <w:t>Rule</w:t>
      </w:r>
      <w:r w:rsidR="003E6E24">
        <w:rPr>
          <w:sz w:val="28"/>
          <w:szCs w:val="28"/>
        </w:rPr>
        <w:t>s</w:t>
      </w:r>
      <w:r w:rsidR="005072E2">
        <w:rPr>
          <w:sz w:val="28"/>
          <w:szCs w:val="28"/>
        </w:rPr>
        <w:t xml:space="preserve"> 3(b)</w:t>
      </w:r>
      <w:r w:rsidR="003E6E24">
        <w:rPr>
          <w:sz w:val="28"/>
          <w:szCs w:val="28"/>
        </w:rPr>
        <w:t xml:space="preserve"> and</w:t>
      </w:r>
      <w:r w:rsidR="005072E2">
        <w:rPr>
          <w:sz w:val="28"/>
          <w:szCs w:val="28"/>
        </w:rPr>
        <w:t xml:space="preserve"> </w:t>
      </w:r>
      <w:r w:rsidR="003E6E24">
        <w:rPr>
          <w:sz w:val="28"/>
          <w:szCs w:val="28"/>
        </w:rPr>
        <w:t xml:space="preserve">(c) </w:t>
      </w:r>
      <w:r w:rsidR="005072E2">
        <w:rPr>
          <w:sz w:val="28"/>
          <w:szCs w:val="28"/>
        </w:rPr>
        <w:t>“</w:t>
      </w:r>
      <w:r w:rsidR="003E6E24" w:rsidRPr="003E6E24">
        <w:rPr>
          <w:sz w:val="28"/>
          <w:szCs w:val="28"/>
        </w:rPr>
        <w:t>inherit the tradition of the writs of certiorari and prohibition</w:t>
      </w:r>
      <w:r w:rsidR="00BA7DFB">
        <w:rPr>
          <w:sz w:val="28"/>
          <w:szCs w:val="28"/>
        </w:rPr>
        <w:t>.</w:t>
      </w:r>
      <w:r w:rsidR="003E6E24">
        <w:rPr>
          <w:sz w:val="28"/>
          <w:szCs w:val="28"/>
        </w:rPr>
        <w:t xml:space="preserve">”  </w:t>
      </w:r>
      <w:r w:rsidR="00BA7DFB">
        <w:rPr>
          <w:sz w:val="28"/>
          <w:szCs w:val="28"/>
        </w:rPr>
        <w:t>The comment also explains that the language in Rule 3(c) “</w:t>
      </w:r>
      <w:r w:rsidR="00C226F5" w:rsidRPr="00C226F5">
        <w:rPr>
          <w:sz w:val="28"/>
          <w:szCs w:val="28"/>
        </w:rPr>
        <w:t>is a codification of existing extraordinary writ law in Arizona</w:t>
      </w:r>
      <w:r w:rsidR="00C226F5">
        <w:rPr>
          <w:sz w:val="28"/>
          <w:szCs w:val="28"/>
        </w:rPr>
        <w:t>,”</w:t>
      </w:r>
      <w:r w:rsidR="00C226F5" w:rsidRPr="00C226F5">
        <w:rPr>
          <w:sz w:val="28"/>
          <w:szCs w:val="28"/>
        </w:rPr>
        <w:t xml:space="preserve"> </w:t>
      </w:r>
      <w:r w:rsidR="00A200D5">
        <w:rPr>
          <w:sz w:val="28"/>
          <w:szCs w:val="28"/>
        </w:rPr>
        <w:t>and therefore “</w:t>
      </w:r>
      <w:r w:rsidR="00C226F5" w:rsidRPr="00C226F5">
        <w:rPr>
          <w:sz w:val="28"/>
          <w:szCs w:val="28"/>
        </w:rPr>
        <w:t>these words of art carry with them their traditional interpretations</w:t>
      </w:r>
      <w:r w:rsidR="00A200D5">
        <w:rPr>
          <w:sz w:val="28"/>
          <w:szCs w:val="28"/>
        </w:rPr>
        <w:t xml:space="preserve">.”  </w:t>
      </w:r>
      <w:r w:rsidR="00C32F06">
        <w:rPr>
          <w:sz w:val="28"/>
          <w:szCs w:val="28"/>
        </w:rPr>
        <w:t>T</w:t>
      </w:r>
      <w:r w:rsidR="00A200D5">
        <w:rPr>
          <w:sz w:val="28"/>
          <w:szCs w:val="28"/>
        </w:rPr>
        <w:t xml:space="preserve">he comments </w:t>
      </w:r>
      <w:r w:rsidR="00A200D5">
        <w:rPr>
          <w:sz w:val="28"/>
          <w:szCs w:val="28"/>
        </w:rPr>
        <w:lastRenderedPageBreak/>
        <w:t>to Rule 3 again emphasize “</w:t>
      </w:r>
      <w:r w:rsidR="00A1518D">
        <w:rPr>
          <w:sz w:val="28"/>
          <w:szCs w:val="28"/>
        </w:rPr>
        <w:t>[t]</w:t>
      </w:r>
      <w:r w:rsidR="00A1518D" w:rsidRPr="00A1518D">
        <w:rPr>
          <w:sz w:val="28"/>
          <w:szCs w:val="28"/>
        </w:rPr>
        <w:t>his section is of course subject to the basic limitation that there is no review by special action when there is an equally plain, speedy, or adequate remedy by appeal</w:t>
      </w:r>
      <w:r w:rsidR="00A1518D">
        <w:rPr>
          <w:sz w:val="28"/>
          <w:szCs w:val="28"/>
        </w:rPr>
        <w:t xml:space="preserve">.”  </w:t>
      </w:r>
      <w:r w:rsidR="00C32F06">
        <w:rPr>
          <w:sz w:val="28"/>
          <w:szCs w:val="28"/>
        </w:rPr>
        <w:t>Finally, c</w:t>
      </w:r>
      <w:r w:rsidR="00861508">
        <w:rPr>
          <w:sz w:val="28"/>
          <w:szCs w:val="28"/>
        </w:rPr>
        <w:t>omment (e) to Rule 7 explains that “[t]</w:t>
      </w:r>
      <w:r w:rsidR="00861508" w:rsidRPr="00861508">
        <w:rPr>
          <w:sz w:val="28"/>
          <w:szCs w:val="28"/>
        </w:rPr>
        <w:t xml:space="preserve">his Rule changes terminology, and we now refer to petitions for extraordinary relief as special actions. </w:t>
      </w:r>
      <w:r w:rsidR="00861508">
        <w:rPr>
          <w:sz w:val="28"/>
          <w:szCs w:val="28"/>
        </w:rPr>
        <w:t xml:space="preserve"> </w:t>
      </w:r>
      <w:r w:rsidR="00861508" w:rsidRPr="00861508">
        <w:rPr>
          <w:sz w:val="28"/>
          <w:szCs w:val="28"/>
        </w:rPr>
        <w:t>However, the change in terminology does not signal any relaxation of the standards heretofore used by the courts with regard to special writs.</w:t>
      </w:r>
      <w:r w:rsidR="00861508">
        <w:rPr>
          <w:sz w:val="28"/>
          <w:szCs w:val="28"/>
        </w:rPr>
        <w:t xml:space="preserve">” </w:t>
      </w:r>
    </w:p>
    <w:p w14:paraId="7EF86A0D" w14:textId="5E953595" w:rsidR="008C64D9" w:rsidRPr="00560EAF" w:rsidRDefault="00560EAF" w:rsidP="00560EAF">
      <w:pPr>
        <w:keepNext/>
        <w:keepLines/>
        <w:spacing w:before="240" w:line="240" w:lineRule="auto"/>
        <w:jc w:val="center"/>
        <w:rPr>
          <w:b/>
          <w:bCs/>
          <w:sz w:val="28"/>
          <w:szCs w:val="28"/>
        </w:rPr>
      </w:pPr>
      <w:r w:rsidRPr="00560EAF">
        <w:rPr>
          <w:b/>
          <w:bCs/>
          <w:sz w:val="28"/>
          <w:szCs w:val="28"/>
        </w:rPr>
        <w:t>V.</w:t>
      </w:r>
    </w:p>
    <w:p w14:paraId="0A01F064" w14:textId="1318ED58" w:rsidR="008B591A" w:rsidRDefault="00AB2B05" w:rsidP="00560EAF">
      <w:pPr>
        <w:pStyle w:val="Body"/>
        <w:widowControl w:val="0"/>
        <w:ind w:firstLine="720"/>
        <w:jc w:val="both"/>
        <w:rPr>
          <w:sz w:val="28"/>
          <w:szCs w:val="28"/>
        </w:rPr>
      </w:pPr>
      <w:r>
        <w:rPr>
          <w:sz w:val="28"/>
          <w:szCs w:val="28"/>
        </w:rPr>
        <w:t>T</w:t>
      </w:r>
      <w:r w:rsidR="00850FDD">
        <w:rPr>
          <w:sz w:val="28"/>
          <w:szCs w:val="28"/>
        </w:rPr>
        <w:t xml:space="preserve">he proposed </w:t>
      </w:r>
      <w:r w:rsidR="00D41547">
        <w:rPr>
          <w:sz w:val="28"/>
          <w:szCs w:val="28"/>
        </w:rPr>
        <w:t>rules</w:t>
      </w:r>
      <w:r>
        <w:rPr>
          <w:sz w:val="28"/>
          <w:szCs w:val="28"/>
        </w:rPr>
        <w:t xml:space="preserve"> explain that “[t]he writs</w:t>
      </w:r>
      <w:r w:rsidR="00850FDD">
        <w:rPr>
          <w:sz w:val="28"/>
          <w:szCs w:val="28"/>
        </w:rPr>
        <w:t xml:space="preserve"> </w:t>
      </w:r>
      <w:r w:rsidR="00904F1F">
        <w:rPr>
          <w:sz w:val="28"/>
          <w:szCs w:val="28"/>
        </w:rPr>
        <w:t>of certiorari, mandamus, or prohibition by which parties formerly obtained relief in proceedings</w:t>
      </w:r>
      <w:r w:rsidR="0077396F">
        <w:rPr>
          <w:sz w:val="28"/>
          <w:szCs w:val="28"/>
        </w:rPr>
        <w:t xml:space="preserve"> are now called special actions.”  Proposed Rule </w:t>
      </w:r>
      <w:r w:rsidR="00AF7DC7">
        <w:rPr>
          <w:sz w:val="28"/>
          <w:szCs w:val="28"/>
        </w:rPr>
        <w:t>2(c).</w:t>
      </w:r>
      <w:r w:rsidR="00D41547">
        <w:rPr>
          <w:sz w:val="28"/>
          <w:szCs w:val="28"/>
        </w:rPr>
        <w:t xml:space="preserve">  </w:t>
      </w:r>
      <w:r w:rsidR="00403F14">
        <w:rPr>
          <w:sz w:val="28"/>
          <w:szCs w:val="28"/>
        </w:rPr>
        <w:t xml:space="preserve">Like the current rules, they </w:t>
      </w:r>
      <w:r w:rsidR="001631B0">
        <w:rPr>
          <w:sz w:val="28"/>
          <w:szCs w:val="28"/>
        </w:rPr>
        <w:t xml:space="preserve">also </w:t>
      </w:r>
      <w:r w:rsidR="00403F14">
        <w:rPr>
          <w:sz w:val="28"/>
          <w:szCs w:val="28"/>
        </w:rPr>
        <w:t>state that “[t]hese rules do not enlarge the scope of relief</w:t>
      </w:r>
      <w:r w:rsidR="001631B0">
        <w:rPr>
          <w:sz w:val="28"/>
          <w:szCs w:val="28"/>
        </w:rPr>
        <w:t xml:space="preserve"> those writs formerly granted.”  </w:t>
      </w:r>
      <w:r w:rsidR="001631B0" w:rsidRPr="001631B0">
        <w:rPr>
          <w:i/>
          <w:iCs/>
          <w:sz w:val="28"/>
          <w:szCs w:val="28"/>
        </w:rPr>
        <w:t>Id.</w:t>
      </w:r>
      <w:r w:rsidR="00AF7DC7">
        <w:rPr>
          <w:sz w:val="28"/>
          <w:szCs w:val="28"/>
        </w:rPr>
        <w:t xml:space="preserve">  </w:t>
      </w:r>
      <w:r w:rsidR="00850FDD">
        <w:rPr>
          <w:sz w:val="28"/>
          <w:szCs w:val="28"/>
        </w:rPr>
        <w:t xml:space="preserve"> </w:t>
      </w:r>
      <w:r w:rsidR="00262AF0">
        <w:rPr>
          <w:sz w:val="28"/>
          <w:szCs w:val="28"/>
        </w:rPr>
        <w:t xml:space="preserve"> </w:t>
      </w:r>
    </w:p>
    <w:p w14:paraId="6ACF528C" w14:textId="06DC9052" w:rsidR="00FE4C54" w:rsidRDefault="0017566E" w:rsidP="00560EAF">
      <w:pPr>
        <w:pStyle w:val="Body"/>
        <w:widowControl w:val="0"/>
        <w:ind w:firstLine="720"/>
        <w:jc w:val="both"/>
        <w:rPr>
          <w:sz w:val="28"/>
          <w:szCs w:val="28"/>
        </w:rPr>
      </w:pPr>
      <w:r>
        <w:rPr>
          <w:sz w:val="28"/>
          <w:szCs w:val="28"/>
        </w:rPr>
        <w:t>But t</w:t>
      </w:r>
      <w:r w:rsidR="001631B0">
        <w:rPr>
          <w:sz w:val="28"/>
          <w:szCs w:val="28"/>
        </w:rPr>
        <w:t xml:space="preserve">he proposed rules do not </w:t>
      </w:r>
      <w:r w:rsidR="003B401B">
        <w:rPr>
          <w:sz w:val="28"/>
          <w:szCs w:val="28"/>
        </w:rPr>
        <w:t xml:space="preserve">state that special action relief is unavailable where there is an adequate remedy by way of appeal.  Instead, Proposed Rule </w:t>
      </w:r>
      <w:r w:rsidR="003F0AA8">
        <w:rPr>
          <w:sz w:val="28"/>
          <w:szCs w:val="28"/>
        </w:rPr>
        <w:t>11</w:t>
      </w:r>
      <w:r w:rsidR="005F4E7D">
        <w:rPr>
          <w:sz w:val="28"/>
          <w:szCs w:val="28"/>
        </w:rPr>
        <w:t xml:space="preserve"> lists factors a court should consider</w:t>
      </w:r>
      <w:r w:rsidR="00E15DCD">
        <w:rPr>
          <w:sz w:val="28"/>
          <w:szCs w:val="28"/>
        </w:rPr>
        <w:t xml:space="preserve"> for accepting or declining special action jurisdiction.  </w:t>
      </w:r>
      <w:r w:rsidR="00511A12">
        <w:rPr>
          <w:sz w:val="28"/>
          <w:szCs w:val="28"/>
        </w:rPr>
        <w:t xml:space="preserve">Proposed </w:t>
      </w:r>
      <w:r w:rsidR="00E35727">
        <w:rPr>
          <w:sz w:val="28"/>
          <w:szCs w:val="28"/>
        </w:rPr>
        <w:t>Rule 1</w:t>
      </w:r>
      <w:r w:rsidR="00511A12">
        <w:rPr>
          <w:sz w:val="28"/>
          <w:szCs w:val="28"/>
        </w:rPr>
        <w:t>1</w:t>
      </w:r>
      <w:r w:rsidR="00A07722">
        <w:rPr>
          <w:sz w:val="28"/>
          <w:szCs w:val="28"/>
        </w:rPr>
        <w:t>(b)(5)</w:t>
      </w:r>
      <w:r w:rsidR="00511A12">
        <w:rPr>
          <w:sz w:val="28"/>
          <w:szCs w:val="28"/>
        </w:rPr>
        <w:t xml:space="preserve"> </w:t>
      </w:r>
      <w:r w:rsidR="00A07722">
        <w:rPr>
          <w:sz w:val="28"/>
          <w:szCs w:val="28"/>
        </w:rPr>
        <w:t>provides</w:t>
      </w:r>
      <w:r w:rsidR="00511A12">
        <w:rPr>
          <w:sz w:val="28"/>
          <w:szCs w:val="28"/>
        </w:rPr>
        <w:t xml:space="preserve"> that one factor </w:t>
      </w:r>
      <w:r w:rsidR="003B1D04">
        <w:rPr>
          <w:sz w:val="28"/>
          <w:szCs w:val="28"/>
        </w:rPr>
        <w:t xml:space="preserve">that </w:t>
      </w:r>
      <w:r w:rsidR="00511A12">
        <w:rPr>
          <w:sz w:val="28"/>
          <w:szCs w:val="28"/>
        </w:rPr>
        <w:t>support</w:t>
      </w:r>
      <w:r w:rsidR="003B1D04">
        <w:rPr>
          <w:sz w:val="28"/>
          <w:szCs w:val="28"/>
        </w:rPr>
        <w:t>s</w:t>
      </w:r>
      <w:r w:rsidR="00511A12">
        <w:rPr>
          <w:sz w:val="28"/>
          <w:szCs w:val="28"/>
        </w:rPr>
        <w:t xml:space="preserve"> </w:t>
      </w:r>
      <w:r w:rsidR="003B1D04">
        <w:rPr>
          <w:sz w:val="28"/>
          <w:szCs w:val="28"/>
        </w:rPr>
        <w:t>accepting</w:t>
      </w:r>
      <w:r w:rsidR="00A818A0">
        <w:rPr>
          <w:sz w:val="28"/>
          <w:szCs w:val="28"/>
        </w:rPr>
        <w:t xml:space="preserve"> jurisdiction is where the petition asks the court to resolve questions “tending to evade review</w:t>
      </w:r>
      <w:r w:rsidR="00A07722">
        <w:rPr>
          <w:sz w:val="28"/>
          <w:szCs w:val="28"/>
        </w:rPr>
        <w:t>.”</w:t>
      </w:r>
      <w:r w:rsidR="00AE07A2">
        <w:rPr>
          <w:sz w:val="28"/>
          <w:szCs w:val="28"/>
        </w:rPr>
        <w:t xml:space="preserve">  Proposed Rule 11(c)(4) then provides that one </w:t>
      </w:r>
      <w:r w:rsidR="003B1D04">
        <w:rPr>
          <w:sz w:val="28"/>
          <w:szCs w:val="28"/>
        </w:rPr>
        <w:t>factor that supports declining jurisdiction is where the petition asks the court to resolve questions “</w:t>
      </w:r>
      <w:r w:rsidR="00F83BAC">
        <w:rPr>
          <w:sz w:val="28"/>
          <w:szCs w:val="28"/>
        </w:rPr>
        <w:t>equally appropriate to address by appeal.”</w:t>
      </w:r>
      <w:r w:rsidR="00AA2725">
        <w:rPr>
          <w:sz w:val="28"/>
          <w:szCs w:val="28"/>
        </w:rPr>
        <w:t xml:space="preserve">  </w:t>
      </w:r>
      <w:r w:rsidR="00200582">
        <w:rPr>
          <w:sz w:val="28"/>
          <w:szCs w:val="28"/>
        </w:rPr>
        <w:t xml:space="preserve">Proposed </w:t>
      </w:r>
      <w:r w:rsidR="00AA2725">
        <w:rPr>
          <w:sz w:val="28"/>
          <w:szCs w:val="28"/>
        </w:rPr>
        <w:t>Rule 11</w:t>
      </w:r>
      <w:r w:rsidR="00200582">
        <w:rPr>
          <w:sz w:val="28"/>
          <w:szCs w:val="28"/>
        </w:rPr>
        <w:t>(c)</w:t>
      </w:r>
      <w:r w:rsidR="00AA2725">
        <w:rPr>
          <w:sz w:val="28"/>
          <w:szCs w:val="28"/>
        </w:rPr>
        <w:t xml:space="preserve"> then </w:t>
      </w:r>
      <w:r w:rsidR="00200582">
        <w:rPr>
          <w:sz w:val="28"/>
          <w:szCs w:val="28"/>
        </w:rPr>
        <w:t xml:space="preserve">emphasizes that “[t]hese factors support but do not require declining </w:t>
      </w:r>
      <w:r w:rsidR="00F71C84">
        <w:rPr>
          <w:sz w:val="28"/>
          <w:szCs w:val="28"/>
        </w:rPr>
        <w:t>jurisdiction.”</w:t>
      </w:r>
      <w:r w:rsidR="00A07722">
        <w:rPr>
          <w:sz w:val="28"/>
          <w:szCs w:val="28"/>
        </w:rPr>
        <w:t xml:space="preserve"> </w:t>
      </w:r>
    </w:p>
    <w:p w14:paraId="561AC224" w14:textId="75783571" w:rsidR="001631B0" w:rsidRDefault="00FE4C54" w:rsidP="00560EAF">
      <w:pPr>
        <w:pStyle w:val="Body"/>
        <w:widowControl w:val="0"/>
        <w:ind w:firstLine="0"/>
        <w:jc w:val="center"/>
        <w:rPr>
          <w:b/>
          <w:bCs/>
          <w:sz w:val="28"/>
          <w:szCs w:val="28"/>
        </w:rPr>
      </w:pPr>
      <w:r w:rsidRPr="00FE4C54">
        <w:rPr>
          <w:b/>
          <w:bCs/>
          <w:sz w:val="28"/>
          <w:szCs w:val="28"/>
        </w:rPr>
        <w:t>V</w:t>
      </w:r>
      <w:r w:rsidR="00306770">
        <w:rPr>
          <w:b/>
          <w:bCs/>
          <w:sz w:val="28"/>
          <w:szCs w:val="28"/>
        </w:rPr>
        <w:t>I</w:t>
      </w:r>
      <w:r w:rsidRPr="00FE4C54">
        <w:rPr>
          <w:b/>
          <w:bCs/>
          <w:sz w:val="28"/>
          <w:szCs w:val="28"/>
        </w:rPr>
        <w:t>.</w:t>
      </w:r>
    </w:p>
    <w:p w14:paraId="486F385B" w14:textId="547FCD02" w:rsidR="009E26FD" w:rsidRDefault="00FE4C54" w:rsidP="00560EAF">
      <w:pPr>
        <w:pStyle w:val="Body"/>
        <w:widowControl w:val="0"/>
        <w:ind w:firstLine="0"/>
        <w:jc w:val="both"/>
        <w:rPr>
          <w:sz w:val="28"/>
          <w:szCs w:val="28"/>
        </w:rPr>
      </w:pPr>
      <w:r>
        <w:rPr>
          <w:sz w:val="28"/>
          <w:szCs w:val="28"/>
        </w:rPr>
        <w:tab/>
      </w:r>
      <w:r w:rsidR="00A54E99">
        <w:rPr>
          <w:sz w:val="28"/>
          <w:szCs w:val="28"/>
        </w:rPr>
        <w:t xml:space="preserve">The special action rules should continue to make clear that </w:t>
      </w:r>
      <w:r w:rsidR="0023448C">
        <w:rPr>
          <w:sz w:val="28"/>
          <w:szCs w:val="28"/>
        </w:rPr>
        <w:t xml:space="preserve">a </w:t>
      </w:r>
      <w:r w:rsidR="006F59CD">
        <w:rPr>
          <w:sz w:val="28"/>
          <w:szCs w:val="28"/>
        </w:rPr>
        <w:t xml:space="preserve">special action </w:t>
      </w:r>
      <w:r w:rsidR="0023448C">
        <w:rPr>
          <w:sz w:val="28"/>
          <w:szCs w:val="28"/>
        </w:rPr>
        <w:t xml:space="preserve">is not available where there is an adequate remedy by way of appeal.  </w:t>
      </w:r>
      <w:r w:rsidR="00436337">
        <w:rPr>
          <w:sz w:val="28"/>
          <w:szCs w:val="28"/>
        </w:rPr>
        <w:t xml:space="preserve">Failing to include that limitation, and instead </w:t>
      </w:r>
      <w:r w:rsidR="00C3512C">
        <w:rPr>
          <w:sz w:val="28"/>
          <w:szCs w:val="28"/>
        </w:rPr>
        <w:t xml:space="preserve">ostensibly </w:t>
      </w:r>
      <w:r w:rsidR="00436337">
        <w:rPr>
          <w:sz w:val="28"/>
          <w:szCs w:val="28"/>
        </w:rPr>
        <w:t xml:space="preserve">treating </w:t>
      </w:r>
      <w:r w:rsidR="00560EAF">
        <w:rPr>
          <w:sz w:val="28"/>
          <w:szCs w:val="28"/>
        </w:rPr>
        <w:t>it</w:t>
      </w:r>
      <w:r w:rsidR="00436337">
        <w:rPr>
          <w:sz w:val="28"/>
          <w:szCs w:val="28"/>
        </w:rPr>
        <w:t xml:space="preserve"> as </w:t>
      </w:r>
      <w:r w:rsidR="00A24BD0">
        <w:rPr>
          <w:sz w:val="28"/>
          <w:szCs w:val="28"/>
        </w:rPr>
        <w:t xml:space="preserve">one of several </w:t>
      </w:r>
      <w:r w:rsidR="00436337">
        <w:rPr>
          <w:sz w:val="28"/>
          <w:szCs w:val="28"/>
        </w:rPr>
        <w:t>factor</w:t>
      </w:r>
      <w:r w:rsidR="00A24BD0">
        <w:rPr>
          <w:sz w:val="28"/>
          <w:szCs w:val="28"/>
        </w:rPr>
        <w:t>s</w:t>
      </w:r>
      <w:r w:rsidR="00436337">
        <w:rPr>
          <w:sz w:val="28"/>
          <w:szCs w:val="28"/>
        </w:rPr>
        <w:t xml:space="preserve"> to be considered when deciding whether to accept special action jurisdiction</w:t>
      </w:r>
      <w:r w:rsidR="009E26FD">
        <w:rPr>
          <w:sz w:val="28"/>
          <w:szCs w:val="28"/>
        </w:rPr>
        <w:t xml:space="preserve"> is problematic for a few reasons</w:t>
      </w:r>
      <w:r w:rsidR="00193B56">
        <w:rPr>
          <w:sz w:val="28"/>
          <w:szCs w:val="28"/>
        </w:rPr>
        <w:t>, each of which is related to the other</w:t>
      </w:r>
      <w:r w:rsidR="009E26FD">
        <w:rPr>
          <w:sz w:val="28"/>
          <w:szCs w:val="28"/>
        </w:rPr>
        <w:t>.</w:t>
      </w:r>
    </w:p>
    <w:p w14:paraId="2BA2584E" w14:textId="3E6B6DEA" w:rsidR="00FE4C54" w:rsidRDefault="009E26FD" w:rsidP="00560EAF">
      <w:pPr>
        <w:pStyle w:val="Body"/>
        <w:widowControl w:val="0"/>
        <w:ind w:firstLine="0"/>
        <w:jc w:val="both"/>
        <w:rPr>
          <w:sz w:val="28"/>
          <w:szCs w:val="28"/>
        </w:rPr>
      </w:pPr>
      <w:r>
        <w:rPr>
          <w:sz w:val="28"/>
          <w:szCs w:val="28"/>
        </w:rPr>
        <w:lastRenderedPageBreak/>
        <w:tab/>
        <w:t xml:space="preserve">First, it risks expanding the courts’ </w:t>
      </w:r>
      <w:r w:rsidR="00C3512C">
        <w:rPr>
          <w:sz w:val="28"/>
          <w:szCs w:val="28"/>
        </w:rPr>
        <w:t>authority</w:t>
      </w:r>
      <w:r>
        <w:rPr>
          <w:sz w:val="28"/>
          <w:szCs w:val="28"/>
        </w:rPr>
        <w:t xml:space="preserve"> beyond that </w:t>
      </w:r>
      <w:r w:rsidR="002D3774">
        <w:rPr>
          <w:sz w:val="28"/>
          <w:szCs w:val="28"/>
        </w:rPr>
        <w:t xml:space="preserve">conferred in the Arizona Constitution. </w:t>
      </w:r>
      <w:r w:rsidR="00A24BD0">
        <w:rPr>
          <w:sz w:val="28"/>
          <w:szCs w:val="28"/>
        </w:rPr>
        <w:t xml:space="preserve"> As explained, the </w:t>
      </w:r>
      <w:r w:rsidR="00F701EB">
        <w:rPr>
          <w:sz w:val="28"/>
          <w:szCs w:val="28"/>
        </w:rPr>
        <w:t xml:space="preserve">Constitution grants only authority to issue writs of </w:t>
      </w:r>
      <w:r w:rsidR="00F50104">
        <w:rPr>
          <w:sz w:val="28"/>
          <w:szCs w:val="28"/>
        </w:rPr>
        <w:t>certiorari, mandamus, and prohibition.  Each of those writs was commonly understood in 1960 to come with a substantive limitation—</w:t>
      </w:r>
      <w:r w:rsidR="00A32701">
        <w:rPr>
          <w:sz w:val="28"/>
          <w:szCs w:val="28"/>
        </w:rPr>
        <w:t>they cannot issue when there is an adequate remedy by way of appeal.  By omitting that limitation</w:t>
      </w:r>
      <w:r w:rsidR="00864883">
        <w:rPr>
          <w:sz w:val="28"/>
          <w:szCs w:val="28"/>
        </w:rPr>
        <w:t xml:space="preserve"> </w:t>
      </w:r>
      <w:r w:rsidR="00A32701">
        <w:rPr>
          <w:sz w:val="28"/>
          <w:szCs w:val="28"/>
        </w:rPr>
        <w:t>on authority</w:t>
      </w:r>
      <w:r w:rsidR="00864883">
        <w:rPr>
          <w:sz w:val="28"/>
          <w:szCs w:val="28"/>
        </w:rPr>
        <w:t>—or relegating it to one factor among a multi-factor consideration—</w:t>
      </w:r>
      <w:r w:rsidR="00A32701">
        <w:rPr>
          <w:sz w:val="28"/>
          <w:szCs w:val="28"/>
        </w:rPr>
        <w:t>the Proposed Rules risk signaling to courts that they can accept jurisdiction and issue equitable relief even when there is an adequate remedy by way of appeal</w:t>
      </w:r>
      <w:r w:rsidR="00DA66B1">
        <w:rPr>
          <w:sz w:val="28"/>
          <w:szCs w:val="28"/>
        </w:rPr>
        <w:t xml:space="preserve">.  If a court did so, it would act beyond the authority the Constitution grants it.  </w:t>
      </w:r>
      <w:r w:rsidR="00C3512C">
        <w:rPr>
          <w:sz w:val="28"/>
          <w:szCs w:val="28"/>
        </w:rPr>
        <w:t xml:space="preserve"> </w:t>
      </w:r>
      <w:r w:rsidR="002D3774">
        <w:rPr>
          <w:sz w:val="28"/>
          <w:szCs w:val="28"/>
        </w:rPr>
        <w:t xml:space="preserve"> </w:t>
      </w:r>
      <w:r w:rsidR="006F59CD">
        <w:rPr>
          <w:sz w:val="28"/>
          <w:szCs w:val="28"/>
        </w:rPr>
        <w:t xml:space="preserve"> </w:t>
      </w:r>
    </w:p>
    <w:p w14:paraId="72F33E13" w14:textId="563FA04C" w:rsidR="006311B4" w:rsidRDefault="006311B4" w:rsidP="00560EAF">
      <w:pPr>
        <w:pStyle w:val="Body"/>
        <w:widowControl w:val="0"/>
        <w:ind w:firstLine="0"/>
        <w:jc w:val="both"/>
        <w:rPr>
          <w:sz w:val="28"/>
          <w:szCs w:val="28"/>
        </w:rPr>
      </w:pPr>
      <w:r>
        <w:rPr>
          <w:sz w:val="28"/>
          <w:szCs w:val="28"/>
        </w:rPr>
        <w:tab/>
        <w:t xml:space="preserve">Second, it is inconsistent with </w:t>
      </w:r>
      <w:r w:rsidR="000A5D72">
        <w:rPr>
          <w:sz w:val="28"/>
          <w:szCs w:val="28"/>
        </w:rPr>
        <w:t xml:space="preserve">the </w:t>
      </w:r>
      <w:r w:rsidR="005B5AFE">
        <w:rPr>
          <w:sz w:val="28"/>
          <w:szCs w:val="28"/>
        </w:rPr>
        <w:t>original meaning of the Constitution</w:t>
      </w:r>
      <w:r w:rsidR="000A5D72">
        <w:rPr>
          <w:sz w:val="28"/>
          <w:szCs w:val="28"/>
        </w:rPr>
        <w:t xml:space="preserve">.  </w:t>
      </w:r>
      <w:r w:rsidR="00E96053">
        <w:rPr>
          <w:sz w:val="28"/>
          <w:szCs w:val="28"/>
        </w:rPr>
        <w:t xml:space="preserve">Equitable relief—regardless of its form—is not available if there is an adequate remedy at law.  </w:t>
      </w:r>
      <w:r w:rsidR="005F23A6">
        <w:rPr>
          <w:sz w:val="28"/>
          <w:szCs w:val="28"/>
        </w:rPr>
        <w:t xml:space="preserve">Therefore, since before the dawn of statehood, Arizona courts </w:t>
      </w:r>
      <w:r w:rsidR="009B7AD8">
        <w:rPr>
          <w:sz w:val="28"/>
          <w:szCs w:val="28"/>
        </w:rPr>
        <w:t xml:space="preserve">have </w:t>
      </w:r>
      <w:r w:rsidR="005F23A6">
        <w:rPr>
          <w:sz w:val="28"/>
          <w:szCs w:val="28"/>
        </w:rPr>
        <w:t xml:space="preserve">recognized that the writs of </w:t>
      </w:r>
      <w:r w:rsidR="00864883">
        <w:rPr>
          <w:sz w:val="28"/>
          <w:szCs w:val="28"/>
        </w:rPr>
        <w:t>certiorari, mandamus, and prohibition c</w:t>
      </w:r>
      <w:r w:rsidR="009B7AD8">
        <w:rPr>
          <w:sz w:val="28"/>
          <w:szCs w:val="28"/>
        </w:rPr>
        <w:t>an</w:t>
      </w:r>
      <w:r w:rsidR="00864883">
        <w:rPr>
          <w:sz w:val="28"/>
          <w:szCs w:val="28"/>
        </w:rPr>
        <w:t xml:space="preserve">not issue </w:t>
      </w:r>
      <w:r w:rsidR="00160A31">
        <w:rPr>
          <w:sz w:val="28"/>
          <w:szCs w:val="28"/>
        </w:rPr>
        <w:t xml:space="preserve">when there is an adequate remedy by way of appeal.  </w:t>
      </w:r>
      <w:r w:rsidR="00601C96">
        <w:rPr>
          <w:sz w:val="28"/>
          <w:szCs w:val="28"/>
        </w:rPr>
        <w:t>And, w</w:t>
      </w:r>
      <w:r w:rsidR="00160A31">
        <w:rPr>
          <w:sz w:val="28"/>
          <w:szCs w:val="28"/>
        </w:rPr>
        <w:t>h</w:t>
      </w:r>
      <w:r w:rsidR="0010601C">
        <w:rPr>
          <w:sz w:val="28"/>
          <w:szCs w:val="28"/>
        </w:rPr>
        <w:t xml:space="preserve">en the electorate approved the current version of Article 6 in 1960, </w:t>
      </w:r>
      <w:r w:rsidR="00601C96">
        <w:rPr>
          <w:sz w:val="28"/>
          <w:szCs w:val="28"/>
        </w:rPr>
        <w:t xml:space="preserve">it was well understood that those writs cannot issue when there is an adequate remedy by way of appeal.  By continuing to </w:t>
      </w:r>
      <w:r w:rsidR="00510270">
        <w:rPr>
          <w:sz w:val="28"/>
          <w:szCs w:val="28"/>
        </w:rPr>
        <w:t>peg the courts’ authority to the terms “certiorari,” “mandamus,” and “</w:t>
      </w:r>
      <w:r w:rsidR="005C298D">
        <w:rPr>
          <w:sz w:val="28"/>
          <w:szCs w:val="28"/>
        </w:rPr>
        <w:t>prohibition,” the people brought the</w:t>
      </w:r>
      <w:r w:rsidR="00601C96">
        <w:rPr>
          <w:sz w:val="28"/>
          <w:szCs w:val="28"/>
        </w:rPr>
        <w:t xml:space="preserve"> old soil</w:t>
      </w:r>
      <w:r w:rsidR="005C298D">
        <w:rPr>
          <w:sz w:val="28"/>
          <w:szCs w:val="28"/>
        </w:rPr>
        <w:t xml:space="preserve"> with</w:t>
      </w:r>
      <w:r w:rsidR="003C6998">
        <w:rPr>
          <w:sz w:val="28"/>
          <w:szCs w:val="28"/>
        </w:rPr>
        <w:t>in Article 6</w:t>
      </w:r>
      <w:r w:rsidR="005C298D">
        <w:rPr>
          <w:sz w:val="28"/>
          <w:szCs w:val="28"/>
        </w:rPr>
        <w:t xml:space="preserve">.  </w:t>
      </w:r>
      <w:r w:rsidR="00FA08DD" w:rsidRPr="00FA08DD">
        <w:rPr>
          <w:i/>
          <w:iCs/>
          <w:sz w:val="28"/>
          <w:szCs w:val="28"/>
        </w:rPr>
        <w:t>See State v. Winegardner</w:t>
      </w:r>
      <w:r w:rsidR="00FA08DD">
        <w:rPr>
          <w:sz w:val="28"/>
          <w:szCs w:val="28"/>
        </w:rPr>
        <w:t xml:space="preserve">, 243 Ariz. 482, 485 ¶ 9 (2018).  </w:t>
      </w:r>
      <w:r w:rsidR="005C298D">
        <w:rPr>
          <w:sz w:val="28"/>
          <w:szCs w:val="28"/>
        </w:rPr>
        <w:t>By omitting the adequate remedy by way of appeal</w:t>
      </w:r>
      <w:r w:rsidR="00FA08DD">
        <w:rPr>
          <w:sz w:val="28"/>
          <w:szCs w:val="28"/>
        </w:rPr>
        <w:t xml:space="preserve"> requirement</w:t>
      </w:r>
      <w:r w:rsidR="005C298D">
        <w:rPr>
          <w:sz w:val="28"/>
          <w:szCs w:val="28"/>
        </w:rPr>
        <w:t xml:space="preserve">, the Proposed Rules </w:t>
      </w:r>
      <w:r w:rsidR="000149B0">
        <w:rPr>
          <w:sz w:val="28"/>
          <w:szCs w:val="28"/>
        </w:rPr>
        <w:t xml:space="preserve">risk disregarding that decision. </w:t>
      </w:r>
      <w:r w:rsidR="00601C96">
        <w:rPr>
          <w:sz w:val="28"/>
          <w:szCs w:val="28"/>
        </w:rPr>
        <w:t xml:space="preserve"> </w:t>
      </w:r>
    </w:p>
    <w:p w14:paraId="38A99B6F" w14:textId="3986993C" w:rsidR="000A5D72" w:rsidRDefault="000A5D72" w:rsidP="00560EAF">
      <w:pPr>
        <w:pStyle w:val="Body"/>
        <w:widowControl w:val="0"/>
        <w:ind w:firstLine="0"/>
        <w:jc w:val="both"/>
        <w:rPr>
          <w:sz w:val="28"/>
          <w:szCs w:val="28"/>
        </w:rPr>
      </w:pPr>
      <w:r>
        <w:rPr>
          <w:sz w:val="28"/>
          <w:szCs w:val="28"/>
        </w:rPr>
        <w:tab/>
        <w:t xml:space="preserve">Third, the </w:t>
      </w:r>
      <w:r w:rsidR="00193B56">
        <w:rPr>
          <w:sz w:val="28"/>
          <w:szCs w:val="28"/>
        </w:rPr>
        <w:t>Court risk</w:t>
      </w:r>
      <w:r w:rsidR="005B5AFE">
        <w:rPr>
          <w:sz w:val="28"/>
          <w:szCs w:val="28"/>
        </w:rPr>
        <w:t>s</w:t>
      </w:r>
      <w:r w:rsidR="00193B56">
        <w:rPr>
          <w:sz w:val="28"/>
          <w:szCs w:val="28"/>
        </w:rPr>
        <w:t xml:space="preserve"> </w:t>
      </w:r>
      <w:r w:rsidR="005B5AFE">
        <w:rPr>
          <w:sz w:val="28"/>
          <w:szCs w:val="28"/>
        </w:rPr>
        <w:t xml:space="preserve">violating § </w:t>
      </w:r>
      <w:r w:rsidR="00D05EFA">
        <w:rPr>
          <w:sz w:val="28"/>
          <w:szCs w:val="28"/>
        </w:rPr>
        <w:t>12-109</w:t>
      </w:r>
      <w:r w:rsidR="00152BE5">
        <w:rPr>
          <w:sz w:val="28"/>
          <w:szCs w:val="28"/>
        </w:rPr>
        <w:t xml:space="preserve"> by using a court rule to modify substantive rights and law.  </w:t>
      </w:r>
      <w:r w:rsidR="0097241C">
        <w:rPr>
          <w:sz w:val="28"/>
          <w:szCs w:val="28"/>
        </w:rPr>
        <w:t>The special action rules are merely a procedural device intended to</w:t>
      </w:r>
      <w:r w:rsidR="00C908D5">
        <w:rPr>
          <w:sz w:val="28"/>
          <w:szCs w:val="28"/>
        </w:rPr>
        <w:t xml:space="preserve"> remedy “</w:t>
      </w:r>
      <w:r w:rsidR="00C908D5" w:rsidRPr="00C908D5">
        <w:rPr>
          <w:sz w:val="28"/>
          <w:szCs w:val="28"/>
        </w:rPr>
        <w:t>the existing confusion as to the proper lines between these various writs, and by lack of a simple procedure which can be followed by all members of the bar and by the judiciary</w:t>
      </w:r>
      <w:r w:rsidR="00C30C2B">
        <w:rPr>
          <w:sz w:val="28"/>
          <w:szCs w:val="28"/>
        </w:rPr>
        <w:t>.</w:t>
      </w:r>
      <w:r w:rsidR="00C908D5">
        <w:rPr>
          <w:sz w:val="28"/>
          <w:szCs w:val="28"/>
        </w:rPr>
        <w:t xml:space="preserve">”  Ariz. R. </w:t>
      </w:r>
      <w:r w:rsidR="00DA7817">
        <w:rPr>
          <w:sz w:val="28"/>
          <w:szCs w:val="28"/>
        </w:rPr>
        <w:t>P. Spec. Act 1 cmt. (a).</w:t>
      </w:r>
      <w:r w:rsidR="00C30C2B">
        <w:rPr>
          <w:sz w:val="28"/>
          <w:szCs w:val="28"/>
        </w:rPr>
        <w:t xml:space="preserve">  But the adequate remedy </w:t>
      </w:r>
      <w:r w:rsidR="009B7AD8">
        <w:rPr>
          <w:sz w:val="28"/>
          <w:szCs w:val="28"/>
        </w:rPr>
        <w:t>by way of appeal</w:t>
      </w:r>
      <w:r w:rsidR="00C30C2B">
        <w:rPr>
          <w:sz w:val="28"/>
          <w:szCs w:val="28"/>
        </w:rPr>
        <w:t xml:space="preserve"> requirement was not merely a procedural device</w:t>
      </w:r>
      <w:r w:rsidR="00894215">
        <w:rPr>
          <w:sz w:val="28"/>
          <w:szCs w:val="28"/>
        </w:rPr>
        <w:t xml:space="preserve">.  </w:t>
      </w:r>
      <w:r w:rsidR="00894215">
        <w:rPr>
          <w:sz w:val="28"/>
          <w:szCs w:val="28"/>
        </w:rPr>
        <w:lastRenderedPageBreak/>
        <w:t>Rather, i</w:t>
      </w:r>
      <w:r w:rsidR="002F4ED8">
        <w:rPr>
          <w:sz w:val="28"/>
          <w:szCs w:val="28"/>
        </w:rPr>
        <w:t xml:space="preserve">t was a substantive limitation on </w:t>
      </w:r>
      <w:r w:rsidR="00B32F53">
        <w:rPr>
          <w:sz w:val="28"/>
          <w:szCs w:val="28"/>
        </w:rPr>
        <w:t>a court’s authority to issue an extraordinary writ, which is why the current special action rules repeatedly emphasize that the</w:t>
      </w:r>
      <w:r w:rsidR="00894215">
        <w:rPr>
          <w:sz w:val="28"/>
          <w:szCs w:val="28"/>
        </w:rPr>
        <w:t xml:space="preserve"> requirement must be met.  </w:t>
      </w:r>
      <w:r w:rsidR="00306770">
        <w:rPr>
          <w:sz w:val="28"/>
          <w:szCs w:val="28"/>
        </w:rPr>
        <w:t xml:space="preserve">Section 12-109(B) </w:t>
      </w:r>
      <w:r w:rsidR="00A543E1">
        <w:rPr>
          <w:sz w:val="28"/>
          <w:szCs w:val="28"/>
        </w:rPr>
        <w:t>says that court rules “shall not” “[a]</w:t>
      </w:r>
      <w:r w:rsidR="00EE1E53" w:rsidRPr="00EE1E53">
        <w:rPr>
          <w:sz w:val="28"/>
          <w:szCs w:val="28"/>
        </w:rPr>
        <w:t>bridge, enlarge or modify substantive rights of a litigant</w:t>
      </w:r>
      <w:r w:rsidR="00E94C5D">
        <w:rPr>
          <w:sz w:val="28"/>
          <w:szCs w:val="28"/>
        </w:rPr>
        <w:t>” or “</w:t>
      </w:r>
      <w:r w:rsidR="00E10206">
        <w:rPr>
          <w:sz w:val="28"/>
          <w:szCs w:val="28"/>
        </w:rPr>
        <w:t>[a]</w:t>
      </w:r>
      <w:r w:rsidR="00E10206" w:rsidRPr="00E10206">
        <w:rPr>
          <w:sz w:val="28"/>
          <w:szCs w:val="28"/>
        </w:rPr>
        <w:t xml:space="preserve">bridge, enlarge or modify </w:t>
      </w:r>
      <w:r w:rsidR="001332CB">
        <w:rPr>
          <w:sz w:val="28"/>
          <w:szCs w:val="28"/>
        </w:rPr>
        <w:t>statutory . . . rights or</w:t>
      </w:r>
      <w:r w:rsidR="00E10206">
        <w:rPr>
          <w:sz w:val="28"/>
          <w:szCs w:val="28"/>
        </w:rPr>
        <w:t xml:space="preserve"> </w:t>
      </w:r>
      <w:r w:rsidR="00E10206" w:rsidRPr="00E10206">
        <w:rPr>
          <w:sz w:val="28"/>
          <w:szCs w:val="28"/>
        </w:rPr>
        <w:t>questions of substantive law</w:t>
      </w:r>
      <w:r w:rsidR="001332CB">
        <w:rPr>
          <w:sz w:val="28"/>
          <w:szCs w:val="28"/>
        </w:rPr>
        <w:t>.”  By omitting the adequate remedy by way of appeal requirement, the Rules risk doing both</w:t>
      </w:r>
      <w:r w:rsidR="00306770">
        <w:rPr>
          <w:sz w:val="28"/>
          <w:szCs w:val="28"/>
        </w:rPr>
        <w:t>.</w:t>
      </w:r>
    </w:p>
    <w:p w14:paraId="3787C3DD" w14:textId="7E98AE2B" w:rsidR="003008D0" w:rsidRPr="00FE4C54" w:rsidRDefault="003008D0" w:rsidP="00560EAF">
      <w:pPr>
        <w:pStyle w:val="Body"/>
        <w:widowControl w:val="0"/>
        <w:ind w:firstLine="0"/>
        <w:jc w:val="both"/>
        <w:rPr>
          <w:sz w:val="28"/>
          <w:szCs w:val="28"/>
        </w:rPr>
      </w:pPr>
      <w:r>
        <w:rPr>
          <w:sz w:val="28"/>
          <w:szCs w:val="28"/>
        </w:rPr>
        <w:tab/>
        <w:t xml:space="preserve">Fourth, </w:t>
      </w:r>
      <w:r w:rsidR="00F9269F">
        <w:rPr>
          <w:sz w:val="28"/>
          <w:szCs w:val="28"/>
        </w:rPr>
        <w:t>the</w:t>
      </w:r>
      <w:r w:rsidR="004244B1">
        <w:rPr>
          <w:sz w:val="28"/>
          <w:szCs w:val="28"/>
        </w:rPr>
        <w:t xml:space="preserve"> special action</w:t>
      </w:r>
      <w:r w:rsidR="00F9269F">
        <w:rPr>
          <w:sz w:val="28"/>
          <w:szCs w:val="28"/>
        </w:rPr>
        <w:t xml:space="preserve"> rules will be internally inconsistent.  </w:t>
      </w:r>
      <w:r w:rsidR="00306770">
        <w:rPr>
          <w:sz w:val="28"/>
          <w:szCs w:val="28"/>
        </w:rPr>
        <w:t>On the one hand, Proposed Rule</w:t>
      </w:r>
      <w:r w:rsidR="00840AA3">
        <w:rPr>
          <w:sz w:val="28"/>
          <w:szCs w:val="28"/>
        </w:rPr>
        <w:t xml:space="preserve"> 2(C)</w:t>
      </w:r>
      <w:r w:rsidR="00306770">
        <w:rPr>
          <w:sz w:val="28"/>
          <w:szCs w:val="28"/>
        </w:rPr>
        <w:t xml:space="preserve"> claim</w:t>
      </w:r>
      <w:r w:rsidR="00840AA3">
        <w:rPr>
          <w:sz w:val="28"/>
          <w:szCs w:val="28"/>
        </w:rPr>
        <w:t>s</w:t>
      </w:r>
      <w:r w:rsidR="00306770">
        <w:rPr>
          <w:sz w:val="28"/>
          <w:szCs w:val="28"/>
        </w:rPr>
        <w:t xml:space="preserve"> that</w:t>
      </w:r>
      <w:r w:rsidR="00840AA3">
        <w:rPr>
          <w:sz w:val="28"/>
          <w:szCs w:val="28"/>
        </w:rPr>
        <w:t xml:space="preserve"> “[t]hese rules do not enlarge the scope of relief those writs formerly granted.”  On the other hand, the Proposed Rules risk doing </w:t>
      </w:r>
      <w:r w:rsidR="004244B1">
        <w:rPr>
          <w:sz w:val="28"/>
          <w:szCs w:val="28"/>
        </w:rPr>
        <w:t>just</w:t>
      </w:r>
      <w:r w:rsidR="00840AA3">
        <w:rPr>
          <w:sz w:val="28"/>
          <w:szCs w:val="28"/>
        </w:rPr>
        <w:t xml:space="preserve"> that by not making clear that the</w:t>
      </w:r>
      <w:r w:rsidR="00CC6D8F">
        <w:rPr>
          <w:sz w:val="28"/>
          <w:szCs w:val="28"/>
        </w:rPr>
        <w:t xml:space="preserve"> special action procedures are not available when there is an adequate remedy </w:t>
      </w:r>
      <w:r w:rsidR="00B8359D">
        <w:rPr>
          <w:sz w:val="28"/>
          <w:szCs w:val="28"/>
        </w:rPr>
        <w:t>by way of appeal</w:t>
      </w:r>
      <w:r w:rsidR="00CC6D8F">
        <w:rPr>
          <w:sz w:val="28"/>
          <w:szCs w:val="28"/>
        </w:rPr>
        <w:t>, and instead using a watered-down version of that requirement as one factor among many when deciding whether to accept special action jurisdiction.</w:t>
      </w:r>
      <w:r w:rsidR="00306770">
        <w:rPr>
          <w:sz w:val="28"/>
          <w:szCs w:val="28"/>
        </w:rPr>
        <w:t xml:space="preserve"> </w:t>
      </w:r>
    </w:p>
    <w:p w14:paraId="2681FFAC" w14:textId="055E341D" w:rsidR="00C20146" w:rsidRPr="0016338D" w:rsidRDefault="0016338D" w:rsidP="00353408">
      <w:pPr>
        <w:pStyle w:val="Body"/>
        <w:keepNext/>
        <w:keepLines/>
        <w:ind w:firstLine="0"/>
        <w:jc w:val="center"/>
        <w:rPr>
          <w:b/>
          <w:bCs/>
          <w:smallCaps/>
          <w:sz w:val="28"/>
          <w:szCs w:val="28"/>
        </w:rPr>
      </w:pPr>
      <w:r>
        <w:rPr>
          <w:b/>
          <w:bCs/>
          <w:smallCaps/>
          <w:sz w:val="28"/>
          <w:szCs w:val="28"/>
        </w:rPr>
        <w:t>Conclusion</w:t>
      </w:r>
    </w:p>
    <w:p w14:paraId="1E0DD089" w14:textId="46EED938" w:rsidR="00495714" w:rsidRDefault="0064450B" w:rsidP="002067F3">
      <w:pPr>
        <w:pStyle w:val="Body"/>
        <w:widowControl w:val="0"/>
        <w:ind w:firstLine="720"/>
        <w:jc w:val="both"/>
        <w:rPr>
          <w:sz w:val="28"/>
          <w:szCs w:val="28"/>
        </w:rPr>
      </w:pPr>
      <w:r>
        <w:rPr>
          <w:sz w:val="28"/>
          <w:szCs w:val="28"/>
        </w:rPr>
        <w:t>The amended special action rules should continue to make clear</w:t>
      </w:r>
      <w:r w:rsidR="00FA229D">
        <w:rPr>
          <w:sz w:val="28"/>
          <w:szCs w:val="28"/>
        </w:rPr>
        <w:t xml:space="preserve"> that the special action procedure</w:t>
      </w:r>
      <w:r w:rsidR="00306770">
        <w:rPr>
          <w:sz w:val="28"/>
          <w:szCs w:val="28"/>
        </w:rPr>
        <w:t>s</w:t>
      </w:r>
      <w:r w:rsidR="00FA229D">
        <w:rPr>
          <w:sz w:val="28"/>
          <w:szCs w:val="28"/>
        </w:rPr>
        <w:t xml:space="preserve"> </w:t>
      </w:r>
      <w:r w:rsidR="00306770">
        <w:rPr>
          <w:sz w:val="28"/>
          <w:szCs w:val="28"/>
        </w:rPr>
        <w:t>are</w:t>
      </w:r>
      <w:r w:rsidR="00FA229D">
        <w:rPr>
          <w:sz w:val="28"/>
          <w:szCs w:val="28"/>
        </w:rPr>
        <w:t xml:space="preserve"> not available where there is an adequate remedy by way of appeal.</w:t>
      </w:r>
      <w:r w:rsidR="001279BF">
        <w:rPr>
          <w:sz w:val="28"/>
          <w:szCs w:val="28"/>
        </w:rPr>
        <w:t xml:space="preserve">  I </w:t>
      </w:r>
      <w:r w:rsidR="00967966">
        <w:rPr>
          <w:sz w:val="28"/>
          <w:szCs w:val="28"/>
        </w:rPr>
        <w:t xml:space="preserve">also </w:t>
      </w:r>
      <w:r w:rsidR="001279BF">
        <w:rPr>
          <w:sz w:val="28"/>
          <w:szCs w:val="28"/>
        </w:rPr>
        <w:t xml:space="preserve">agree with many of the points Mr. Joel </w:t>
      </w:r>
      <w:r w:rsidR="00967966">
        <w:rPr>
          <w:sz w:val="28"/>
          <w:szCs w:val="28"/>
        </w:rPr>
        <w:t xml:space="preserve">W. </w:t>
      </w:r>
      <w:r w:rsidR="001279BF">
        <w:rPr>
          <w:sz w:val="28"/>
          <w:szCs w:val="28"/>
        </w:rPr>
        <w:t xml:space="preserve">Nomkin </w:t>
      </w:r>
      <w:r w:rsidR="00573851">
        <w:rPr>
          <w:sz w:val="28"/>
          <w:szCs w:val="28"/>
        </w:rPr>
        <w:t>makes in his comment and with his proposal for how to</w:t>
      </w:r>
      <w:r w:rsidR="00B51966">
        <w:rPr>
          <w:sz w:val="28"/>
          <w:szCs w:val="28"/>
        </w:rPr>
        <w:t xml:space="preserve"> incorporate the adequate remedy by way of appeal requirement into the updated version of the </w:t>
      </w:r>
      <w:r w:rsidR="00EC0840">
        <w:rPr>
          <w:sz w:val="28"/>
          <w:szCs w:val="28"/>
        </w:rPr>
        <w:t xml:space="preserve">special action </w:t>
      </w:r>
      <w:r w:rsidR="00B51966">
        <w:rPr>
          <w:sz w:val="28"/>
          <w:szCs w:val="28"/>
        </w:rPr>
        <w:t>rules.</w:t>
      </w:r>
    </w:p>
    <w:p w14:paraId="56DC022B" w14:textId="440A5453" w:rsidR="000C48A9" w:rsidRPr="006F63FD" w:rsidRDefault="000C48A9" w:rsidP="00DE52B1">
      <w:pPr>
        <w:pStyle w:val="Body"/>
        <w:keepNext/>
        <w:keepLines/>
        <w:tabs>
          <w:tab w:val="left" w:pos="720"/>
        </w:tabs>
        <w:ind w:firstLine="0"/>
        <w:rPr>
          <w:sz w:val="28"/>
          <w:szCs w:val="28"/>
        </w:rPr>
      </w:pPr>
      <w:r w:rsidRPr="006F63FD">
        <w:rPr>
          <w:sz w:val="28"/>
          <w:szCs w:val="28"/>
        </w:rPr>
        <w:t>RESPECTFULLY SUBMITTED this</w:t>
      </w:r>
      <w:r w:rsidR="00513E78">
        <w:rPr>
          <w:sz w:val="28"/>
          <w:szCs w:val="28"/>
        </w:rPr>
        <w:t xml:space="preserve"> </w:t>
      </w:r>
      <w:r w:rsidR="00B728DD">
        <w:rPr>
          <w:sz w:val="28"/>
          <w:szCs w:val="28"/>
        </w:rPr>
        <w:t>17th</w:t>
      </w:r>
      <w:r w:rsidR="00513E78">
        <w:rPr>
          <w:sz w:val="28"/>
          <w:szCs w:val="28"/>
        </w:rPr>
        <w:t xml:space="preserve"> </w:t>
      </w:r>
      <w:r w:rsidRPr="006F63FD">
        <w:rPr>
          <w:sz w:val="28"/>
          <w:szCs w:val="28"/>
        </w:rPr>
        <w:t>day of</w:t>
      </w:r>
      <w:r w:rsidR="00513E78">
        <w:rPr>
          <w:sz w:val="28"/>
          <w:szCs w:val="28"/>
        </w:rPr>
        <w:t xml:space="preserve"> </w:t>
      </w:r>
      <w:r w:rsidR="006D3034">
        <w:rPr>
          <w:sz w:val="28"/>
          <w:szCs w:val="28"/>
        </w:rPr>
        <w:t>May</w:t>
      </w:r>
      <w:r w:rsidR="00D60D9B">
        <w:rPr>
          <w:sz w:val="28"/>
          <w:szCs w:val="28"/>
        </w:rPr>
        <w:t>, 20</w:t>
      </w:r>
      <w:r w:rsidR="00954A5E">
        <w:rPr>
          <w:sz w:val="28"/>
          <w:szCs w:val="28"/>
        </w:rPr>
        <w:t>2</w:t>
      </w:r>
      <w:r w:rsidR="005E0586">
        <w:rPr>
          <w:sz w:val="28"/>
          <w:szCs w:val="28"/>
        </w:rPr>
        <w:t>4</w:t>
      </w:r>
      <w:r w:rsidRPr="006F63FD">
        <w:rPr>
          <w:sz w:val="28"/>
          <w:szCs w:val="28"/>
        </w:rPr>
        <w:t>.</w:t>
      </w:r>
    </w:p>
    <w:p w14:paraId="514BFEB7" w14:textId="77777777" w:rsidR="000C48A9" w:rsidRPr="000F7A7F" w:rsidRDefault="000C48A9" w:rsidP="00DE52B1">
      <w:pPr>
        <w:pStyle w:val="Body"/>
        <w:keepNext/>
        <w:keepLines/>
        <w:tabs>
          <w:tab w:val="left" w:pos="720"/>
        </w:tabs>
        <w:ind w:firstLine="0"/>
        <w:rPr>
          <w:szCs w:val="26"/>
        </w:rPr>
      </w:pPr>
    </w:p>
    <w:p w14:paraId="6B779D2D" w14:textId="4496F800" w:rsidR="000C48A9" w:rsidRPr="00186136" w:rsidRDefault="00186136" w:rsidP="00DE52B1">
      <w:pPr>
        <w:pStyle w:val="Body"/>
        <w:keepNext/>
        <w:keepLines/>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sidR="00494DDE">
        <w:rPr>
          <w:szCs w:val="26"/>
        </w:rPr>
        <w:t xml:space="preserve">  </w:t>
      </w:r>
      <w:r>
        <w:rPr>
          <w:i/>
          <w:iCs/>
          <w:szCs w:val="26"/>
        </w:rPr>
        <w:t xml:space="preserve">/s/ </w:t>
      </w:r>
      <w:r w:rsidR="006D3034">
        <w:rPr>
          <w:i/>
          <w:iCs/>
          <w:szCs w:val="26"/>
        </w:rPr>
        <w:t>Michael S. Catlett</w:t>
      </w:r>
    </w:p>
    <w:p w14:paraId="66D5BA5C" w14:textId="248C4405" w:rsidR="000C48A9" w:rsidRPr="006F63FD" w:rsidRDefault="006D3034" w:rsidP="00494DDE">
      <w:pPr>
        <w:pStyle w:val="PleadingSignature"/>
        <w:widowControl/>
        <w:pBdr>
          <w:top w:val="single" w:sz="4" w:space="1" w:color="auto"/>
        </w:pBdr>
        <w:spacing w:line="240" w:lineRule="auto"/>
        <w:ind w:left="5220"/>
        <w:rPr>
          <w:sz w:val="28"/>
          <w:szCs w:val="28"/>
        </w:rPr>
      </w:pPr>
      <w:r>
        <w:rPr>
          <w:sz w:val="28"/>
          <w:szCs w:val="28"/>
        </w:rPr>
        <w:t>Michael S. Catlett</w:t>
      </w:r>
    </w:p>
    <w:p w14:paraId="305B54BB" w14:textId="6EC18B4F" w:rsidR="000C48A9" w:rsidRPr="006F63FD" w:rsidRDefault="00EE03F1" w:rsidP="00494DDE">
      <w:pPr>
        <w:pStyle w:val="PleadingSignature"/>
        <w:widowControl/>
        <w:spacing w:line="240" w:lineRule="auto"/>
        <w:ind w:left="5220"/>
        <w:rPr>
          <w:sz w:val="28"/>
          <w:szCs w:val="28"/>
        </w:rPr>
      </w:pPr>
      <w:r>
        <w:rPr>
          <w:sz w:val="28"/>
          <w:szCs w:val="28"/>
        </w:rPr>
        <w:t xml:space="preserve">Judge of the </w:t>
      </w:r>
      <w:r w:rsidR="006D3034">
        <w:rPr>
          <w:sz w:val="28"/>
          <w:szCs w:val="28"/>
        </w:rPr>
        <w:t>Arizona Court of Appeals</w:t>
      </w:r>
      <w:r w:rsidR="00ED757C">
        <w:rPr>
          <w:sz w:val="28"/>
          <w:szCs w:val="28"/>
        </w:rPr>
        <w:t>, Division One</w:t>
      </w:r>
    </w:p>
    <w:p w14:paraId="3ACE66B2" w14:textId="77777777" w:rsidR="000C48A9" w:rsidRPr="000F7A7F" w:rsidRDefault="000C48A9" w:rsidP="00BB3BC7">
      <w:pPr>
        <w:pStyle w:val="PleadingSignature"/>
        <w:keepNext w:val="0"/>
        <w:keepLines w:val="0"/>
        <w:spacing w:line="240" w:lineRule="auto"/>
        <w:ind w:left="5070"/>
        <w:rPr>
          <w:szCs w:val="26"/>
        </w:rPr>
      </w:pPr>
    </w:p>
    <w:bookmarkEnd w:id="3"/>
    <w:p w14:paraId="1B468F8F" w14:textId="77777777" w:rsidR="000C48A9" w:rsidRPr="006F63FD" w:rsidRDefault="000C48A9" w:rsidP="00BB3BC7">
      <w:pPr>
        <w:pStyle w:val="PleadingSignature"/>
        <w:keepNext w:val="0"/>
        <w:keepLines w:val="0"/>
        <w:spacing w:line="240" w:lineRule="auto"/>
        <w:ind w:left="5070"/>
        <w:rPr>
          <w:sz w:val="28"/>
          <w:szCs w:val="28"/>
        </w:rPr>
      </w:pPr>
    </w:p>
    <w:sectPr w:rsidR="000C48A9" w:rsidRPr="006F63FD"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7ADA3" w14:textId="77777777" w:rsidR="00AD0D86" w:rsidRDefault="00AD0D86">
      <w:r>
        <w:separator/>
      </w:r>
    </w:p>
  </w:endnote>
  <w:endnote w:type="continuationSeparator" w:id="0">
    <w:p w14:paraId="083DE1BA" w14:textId="77777777" w:rsidR="00AD0D86" w:rsidRDefault="00AD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73925">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B9CF1" w14:textId="77777777" w:rsidR="00AD0D86" w:rsidRDefault="00AD0D86">
      <w:r>
        <w:separator/>
      </w:r>
    </w:p>
  </w:footnote>
  <w:footnote w:type="continuationSeparator" w:id="0">
    <w:p w14:paraId="634D0D77" w14:textId="77777777" w:rsidR="00AD0D86" w:rsidRDefault="00AD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39EEE" w14:textId="2F1358F4" w:rsidR="007870CB" w:rsidRDefault="002006D9">
    <w:pPr>
      <w:pStyle w:val="Header"/>
    </w:pPr>
    <w:r>
      <w:rPr>
        <w:noProof/>
      </w:rPr>
      <mc:AlternateContent>
        <mc:Choice Requires="wps">
          <w:drawing>
            <wp:anchor distT="0" distB="0" distL="114299" distR="114299" simplePos="0" relativeHeight="251658240" behindDoc="0" locked="0" layoutInCell="1" allowOverlap="1" wp14:anchorId="31213855" wp14:editId="47E1735C">
              <wp:simplePos x="0" y="0"/>
              <wp:positionH relativeFrom="margin">
                <wp:posOffset>6000749</wp:posOffset>
              </wp:positionH>
              <wp:positionV relativeFrom="page">
                <wp:posOffset>0</wp:posOffset>
              </wp:positionV>
              <wp:extent cx="0" cy="10058400"/>
              <wp:effectExtent l="0" t="0" r="19050" b="0"/>
              <wp:wrapNone/>
              <wp:docPr id="30215854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E4183" id="Straight Connector 4"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299" distR="114299" simplePos="0" relativeHeight="251657216" behindDoc="0" locked="0" layoutInCell="1" allowOverlap="1" wp14:anchorId="3381B13F" wp14:editId="32391256">
              <wp:simplePos x="0" y="0"/>
              <wp:positionH relativeFrom="margin">
                <wp:posOffset>-91441</wp:posOffset>
              </wp:positionH>
              <wp:positionV relativeFrom="page">
                <wp:posOffset>0</wp:posOffset>
              </wp:positionV>
              <wp:extent cx="0" cy="10058400"/>
              <wp:effectExtent l="0" t="0" r="19050" b="0"/>
              <wp:wrapNone/>
              <wp:docPr id="5659027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F6FF93" id="Straight Connector 3"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299" distR="114299" simplePos="0" relativeHeight="251656192" behindDoc="0" locked="0" layoutInCell="1" allowOverlap="1" wp14:anchorId="05A0BDDD" wp14:editId="7A959FA7">
              <wp:simplePos x="0" y="0"/>
              <wp:positionH relativeFrom="margin">
                <wp:posOffset>-45721</wp:posOffset>
              </wp:positionH>
              <wp:positionV relativeFrom="page">
                <wp:posOffset>0</wp:posOffset>
              </wp:positionV>
              <wp:extent cx="0" cy="10058400"/>
              <wp:effectExtent l="0" t="0" r="19050" b="0"/>
              <wp:wrapNone/>
              <wp:docPr id="223947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673E3B" id="Straight Connector 2"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204FF048" w:rsidR="007D5C49" w:rsidRDefault="002006D9">
    <w:r>
      <w:rPr>
        <w:noProof/>
      </w:rPr>
      <mc:AlternateContent>
        <mc:Choice Requires="wps">
          <w:drawing>
            <wp:anchor distT="0" distB="0" distL="114300" distR="114300" simplePos="0" relativeHeight="251659264" behindDoc="0" locked="0" layoutInCell="1" allowOverlap="1" wp14:anchorId="2F11FFCE" wp14:editId="70419DCF">
              <wp:simplePos x="0" y="0"/>
              <wp:positionH relativeFrom="margin">
                <wp:posOffset>-640080</wp:posOffset>
              </wp:positionH>
              <wp:positionV relativeFrom="margin">
                <wp:posOffset>-104775</wp:posOffset>
              </wp:positionV>
              <wp:extent cx="457200" cy="8248650"/>
              <wp:effectExtent l="0" t="0" r="0" b="0"/>
              <wp:wrapNone/>
              <wp:docPr id="3330265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F11FFCE" id="_x0000_t202" coordsize="21600,21600" o:spt="202" path="m,l,21600r21600,l21600,xe">
              <v:stroke joinstyle="miter"/>
              <v:path gradientshapeok="t" o:connecttype="rect"/>
            </v:shapetype>
            <v:shape id="Text Box 1"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E7EA933E"/>
    <w:lvl w:ilvl="0" w:tplc="59660E00">
      <w:start w:val="1"/>
      <w:numFmt w:val="upperRoman"/>
      <w:lvlText w:val="%1."/>
      <w:lvlJc w:val="left"/>
      <w:pPr>
        <w:ind w:left="81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0029977">
    <w:abstractNumId w:val="12"/>
  </w:num>
  <w:num w:numId="2" w16cid:durableId="717557523">
    <w:abstractNumId w:val="13"/>
  </w:num>
  <w:num w:numId="3" w16cid:durableId="995913688">
    <w:abstractNumId w:val="0"/>
  </w:num>
  <w:num w:numId="4" w16cid:durableId="1165515985">
    <w:abstractNumId w:val="4"/>
  </w:num>
  <w:num w:numId="5" w16cid:durableId="347828681">
    <w:abstractNumId w:val="7"/>
  </w:num>
  <w:num w:numId="6" w16cid:durableId="1237012168">
    <w:abstractNumId w:val="8"/>
  </w:num>
  <w:num w:numId="7" w16cid:durableId="533346723">
    <w:abstractNumId w:val="1"/>
  </w:num>
  <w:num w:numId="8" w16cid:durableId="2040351953">
    <w:abstractNumId w:val="14"/>
  </w:num>
  <w:num w:numId="9" w16cid:durableId="903179556">
    <w:abstractNumId w:val="9"/>
  </w:num>
  <w:num w:numId="10" w16cid:durableId="1127354173">
    <w:abstractNumId w:val="11"/>
  </w:num>
  <w:num w:numId="11" w16cid:durableId="505901022">
    <w:abstractNumId w:val="10"/>
  </w:num>
  <w:num w:numId="12" w16cid:durableId="792359189">
    <w:abstractNumId w:val="5"/>
  </w:num>
  <w:num w:numId="13" w16cid:durableId="17312709">
    <w:abstractNumId w:val="2"/>
  </w:num>
  <w:num w:numId="14" w16cid:durableId="1773087965">
    <w:abstractNumId w:val="3"/>
  </w:num>
  <w:num w:numId="15" w16cid:durableId="1192689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01EB5"/>
    <w:rsid w:val="0000225E"/>
    <w:rsid w:val="0000721E"/>
    <w:rsid w:val="00013CEF"/>
    <w:rsid w:val="000149B0"/>
    <w:rsid w:val="00021610"/>
    <w:rsid w:val="00026142"/>
    <w:rsid w:val="0004082C"/>
    <w:rsid w:val="000410B3"/>
    <w:rsid w:val="00043143"/>
    <w:rsid w:val="00043D4D"/>
    <w:rsid w:val="00052372"/>
    <w:rsid w:val="000666D1"/>
    <w:rsid w:val="0008003D"/>
    <w:rsid w:val="00081D9E"/>
    <w:rsid w:val="000917C0"/>
    <w:rsid w:val="000960BE"/>
    <w:rsid w:val="000A05CF"/>
    <w:rsid w:val="000A1D6B"/>
    <w:rsid w:val="000A4E9B"/>
    <w:rsid w:val="000A5D72"/>
    <w:rsid w:val="000B325D"/>
    <w:rsid w:val="000B7924"/>
    <w:rsid w:val="000C1175"/>
    <w:rsid w:val="000C48A9"/>
    <w:rsid w:val="000D5F3B"/>
    <w:rsid w:val="000E6975"/>
    <w:rsid w:val="000F25D4"/>
    <w:rsid w:val="000F5167"/>
    <w:rsid w:val="000F69DC"/>
    <w:rsid w:val="000F7A7F"/>
    <w:rsid w:val="000F7C13"/>
    <w:rsid w:val="001016F3"/>
    <w:rsid w:val="00104288"/>
    <w:rsid w:val="0010601C"/>
    <w:rsid w:val="00107020"/>
    <w:rsid w:val="00112ABB"/>
    <w:rsid w:val="00112AFE"/>
    <w:rsid w:val="001164F4"/>
    <w:rsid w:val="001277F9"/>
    <w:rsid w:val="001279BF"/>
    <w:rsid w:val="001300C5"/>
    <w:rsid w:val="001309F2"/>
    <w:rsid w:val="001332CB"/>
    <w:rsid w:val="00134DA6"/>
    <w:rsid w:val="00135326"/>
    <w:rsid w:val="00152BE5"/>
    <w:rsid w:val="00153EF6"/>
    <w:rsid w:val="00160A31"/>
    <w:rsid w:val="001631B0"/>
    <w:rsid w:val="0016338D"/>
    <w:rsid w:val="00164677"/>
    <w:rsid w:val="00166170"/>
    <w:rsid w:val="00170852"/>
    <w:rsid w:val="0017566E"/>
    <w:rsid w:val="00180BD9"/>
    <w:rsid w:val="00186136"/>
    <w:rsid w:val="00192F3D"/>
    <w:rsid w:val="00193B56"/>
    <w:rsid w:val="00195FB4"/>
    <w:rsid w:val="00196C0C"/>
    <w:rsid w:val="001A2520"/>
    <w:rsid w:val="001A3B17"/>
    <w:rsid w:val="001D092F"/>
    <w:rsid w:val="001D624D"/>
    <w:rsid w:val="001E7483"/>
    <w:rsid w:val="001F591C"/>
    <w:rsid w:val="00200582"/>
    <w:rsid w:val="002006D9"/>
    <w:rsid w:val="00205F09"/>
    <w:rsid w:val="002067F3"/>
    <w:rsid w:val="00207336"/>
    <w:rsid w:val="00211E51"/>
    <w:rsid w:val="00213758"/>
    <w:rsid w:val="002146D2"/>
    <w:rsid w:val="00223D7B"/>
    <w:rsid w:val="0023448C"/>
    <w:rsid w:val="00244505"/>
    <w:rsid w:val="00252629"/>
    <w:rsid w:val="00252BD3"/>
    <w:rsid w:val="002543FB"/>
    <w:rsid w:val="00262AF0"/>
    <w:rsid w:val="0026472D"/>
    <w:rsid w:val="00267AF9"/>
    <w:rsid w:val="002702D8"/>
    <w:rsid w:val="00274D6A"/>
    <w:rsid w:val="00282420"/>
    <w:rsid w:val="002A4AD8"/>
    <w:rsid w:val="002B1DC2"/>
    <w:rsid w:val="002B40E4"/>
    <w:rsid w:val="002C0AF5"/>
    <w:rsid w:val="002D3774"/>
    <w:rsid w:val="002E6C73"/>
    <w:rsid w:val="002F0D6C"/>
    <w:rsid w:val="002F36E7"/>
    <w:rsid w:val="002F4200"/>
    <w:rsid w:val="002F4ED8"/>
    <w:rsid w:val="002F5D5E"/>
    <w:rsid w:val="003008D0"/>
    <w:rsid w:val="00302BED"/>
    <w:rsid w:val="00303ADE"/>
    <w:rsid w:val="00306770"/>
    <w:rsid w:val="003072D3"/>
    <w:rsid w:val="00314B73"/>
    <w:rsid w:val="003223E2"/>
    <w:rsid w:val="003226F5"/>
    <w:rsid w:val="00330FA0"/>
    <w:rsid w:val="003333E4"/>
    <w:rsid w:val="00334B42"/>
    <w:rsid w:val="0033566C"/>
    <w:rsid w:val="00343504"/>
    <w:rsid w:val="00352347"/>
    <w:rsid w:val="00353408"/>
    <w:rsid w:val="003566D6"/>
    <w:rsid w:val="00356939"/>
    <w:rsid w:val="00357F4D"/>
    <w:rsid w:val="003610EB"/>
    <w:rsid w:val="003617D1"/>
    <w:rsid w:val="00377199"/>
    <w:rsid w:val="00381613"/>
    <w:rsid w:val="003866DA"/>
    <w:rsid w:val="00395237"/>
    <w:rsid w:val="003A28AC"/>
    <w:rsid w:val="003A478C"/>
    <w:rsid w:val="003B1C8F"/>
    <w:rsid w:val="003B1D04"/>
    <w:rsid w:val="003B401B"/>
    <w:rsid w:val="003B5FBC"/>
    <w:rsid w:val="003C5273"/>
    <w:rsid w:val="003C6037"/>
    <w:rsid w:val="003C6998"/>
    <w:rsid w:val="003D295D"/>
    <w:rsid w:val="003D3D22"/>
    <w:rsid w:val="003E01A2"/>
    <w:rsid w:val="003E4B2E"/>
    <w:rsid w:val="003E6E24"/>
    <w:rsid w:val="003F0AA8"/>
    <w:rsid w:val="003F4E23"/>
    <w:rsid w:val="003F7C2C"/>
    <w:rsid w:val="00403F14"/>
    <w:rsid w:val="00407E2D"/>
    <w:rsid w:val="0041229D"/>
    <w:rsid w:val="00413135"/>
    <w:rsid w:val="00417DE0"/>
    <w:rsid w:val="004203C8"/>
    <w:rsid w:val="004244B1"/>
    <w:rsid w:val="00426736"/>
    <w:rsid w:val="00430372"/>
    <w:rsid w:val="004331B2"/>
    <w:rsid w:val="00436337"/>
    <w:rsid w:val="00440E4C"/>
    <w:rsid w:val="00453C36"/>
    <w:rsid w:val="00454A1D"/>
    <w:rsid w:val="00456394"/>
    <w:rsid w:val="00461299"/>
    <w:rsid w:val="0046142F"/>
    <w:rsid w:val="00463734"/>
    <w:rsid w:val="0048688F"/>
    <w:rsid w:val="00491B2B"/>
    <w:rsid w:val="004926DC"/>
    <w:rsid w:val="00492F63"/>
    <w:rsid w:val="00494BDF"/>
    <w:rsid w:val="00494DDE"/>
    <w:rsid w:val="0049511D"/>
    <w:rsid w:val="00495714"/>
    <w:rsid w:val="00496702"/>
    <w:rsid w:val="004A2471"/>
    <w:rsid w:val="004A3DEB"/>
    <w:rsid w:val="004B378F"/>
    <w:rsid w:val="004B4C19"/>
    <w:rsid w:val="004B615D"/>
    <w:rsid w:val="004B63A9"/>
    <w:rsid w:val="004C3AE3"/>
    <w:rsid w:val="004E2F05"/>
    <w:rsid w:val="004F2A6B"/>
    <w:rsid w:val="004F4931"/>
    <w:rsid w:val="00504E1E"/>
    <w:rsid w:val="005058FA"/>
    <w:rsid w:val="00506859"/>
    <w:rsid w:val="005072E2"/>
    <w:rsid w:val="00510270"/>
    <w:rsid w:val="00511A12"/>
    <w:rsid w:val="00513E78"/>
    <w:rsid w:val="00520F93"/>
    <w:rsid w:val="00525F71"/>
    <w:rsid w:val="00526BA1"/>
    <w:rsid w:val="00527755"/>
    <w:rsid w:val="00527C21"/>
    <w:rsid w:val="00533AB1"/>
    <w:rsid w:val="00541D85"/>
    <w:rsid w:val="0054365D"/>
    <w:rsid w:val="00560EAF"/>
    <w:rsid w:val="00562AA9"/>
    <w:rsid w:val="005651BE"/>
    <w:rsid w:val="00565AFE"/>
    <w:rsid w:val="00566856"/>
    <w:rsid w:val="00573851"/>
    <w:rsid w:val="005845AE"/>
    <w:rsid w:val="00584842"/>
    <w:rsid w:val="005906C2"/>
    <w:rsid w:val="0059227F"/>
    <w:rsid w:val="0059333B"/>
    <w:rsid w:val="005A21B0"/>
    <w:rsid w:val="005B5161"/>
    <w:rsid w:val="005B5AFE"/>
    <w:rsid w:val="005C298D"/>
    <w:rsid w:val="005C3284"/>
    <w:rsid w:val="005C3623"/>
    <w:rsid w:val="005D177A"/>
    <w:rsid w:val="005D6AD4"/>
    <w:rsid w:val="005D7D52"/>
    <w:rsid w:val="005E0586"/>
    <w:rsid w:val="005E260B"/>
    <w:rsid w:val="005E267D"/>
    <w:rsid w:val="005E68F5"/>
    <w:rsid w:val="005F23A6"/>
    <w:rsid w:val="005F2FFC"/>
    <w:rsid w:val="005F4E7D"/>
    <w:rsid w:val="00601C96"/>
    <w:rsid w:val="0060778D"/>
    <w:rsid w:val="00613A03"/>
    <w:rsid w:val="0061505C"/>
    <w:rsid w:val="00615188"/>
    <w:rsid w:val="0062763B"/>
    <w:rsid w:val="006276D7"/>
    <w:rsid w:val="006311B4"/>
    <w:rsid w:val="006318B3"/>
    <w:rsid w:val="006338C1"/>
    <w:rsid w:val="00633B2B"/>
    <w:rsid w:val="00636F5E"/>
    <w:rsid w:val="00636F86"/>
    <w:rsid w:val="0064450B"/>
    <w:rsid w:val="00656C06"/>
    <w:rsid w:val="00665CCF"/>
    <w:rsid w:val="006666D1"/>
    <w:rsid w:val="006721EC"/>
    <w:rsid w:val="006766BF"/>
    <w:rsid w:val="006820A2"/>
    <w:rsid w:val="00682932"/>
    <w:rsid w:val="00692391"/>
    <w:rsid w:val="006932BA"/>
    <w:rsid w:val="0069346F"/>
    <w:rsid w:val="00693AD2"/>
    <w:rsid w:val="006A062C"/>
    <w:rsid w:val="006A0BAB"/>
    <w:rsid w:val="006B4F9A"/>
    <w:rsid w:val="006C6836"/>
    <w:rsid w:val="006D3034"/>
    <w:rsid w:val="006E4770"/>
    <w:rsid w:val="006E5866"/>
    <w:rsid w:val="006F2C70"/>
    <w:rsid w:val="006F59BA"/>
    <w:rsid w:val="006F59CD"/>
    <w:rsid w:val="006F63FD"/>
    <w:rsid w:val="007150EC"/>
    <w:rsid w:val="007153E6"/>
    <w:rsid w:val="00721208"/>
    <w:rsid w:val="007248C7"/>
    <w:rsid w:val="00732169"/>
    <w:rsid w:val="00735659"/>
    <w:rsid w:val="00735CE1"/>
    <w:rsid w:val="007362CC"/>
    <w:rsid w:val="00736DB4"/>
    <w:rsid w:val="007427C6"/>
    <w:rsid w:val="0074724E"/>
    <w:rsid w:val="00747AED"/>
    <w:rsid w:val="007555B7"/>
    <w:rsid w:val="00767243"/>
    <w:rsid w:val="0077110E"/>
    <w:rsid w:val="0077396F"/>
    <w:rsid w:val="007809E2"/>
    <w:rsid w:val="00781127"/>
    <w:rsid w:val="007870CB"/>
    <w:rsid w:val="007871E5"/>
    <w:rsid w:val="007A3F0F"/>
    <w:rsid w:val="007B2EC5"/>
    <w:rsid w:val="007B4186"/>
    <w:rsid w:val="007B5AA4"/>
    <w:rsid w:val="007B6870"/>
    <w:rsid w:val="007C1291"/>
    <w:rsid w:val="007C5E7A"/>
    <w:rsid w:val="007D5C49"/>
    <w:rsid w:val="007D73FF"/>
    <w:rsid w:val="007E3CCB"/>
    <w:rsid w:val="008006ED"/>
    <w:rsid w:val="00811663"/>
    <w:rsid w:val="008223A4"/>
    <w:rsid w:val="00822598"/>
    <w:rsid w:val="00825F0F"/>
    <w:rsid w:val="00835B8A"/>
    <w:rsid w:val="008360A1"/>
    <w:rsid w:val="00837CA5"/>
    <w:rsid w:val="00840AA3"/>
    <w:rsid w:val="00850FDD"/>
    <w:rsid w:val="00857CA6"/>
    <w:rsid w:val="00861508"/>
    <w:rsid w:val="00861563"/>
    <w:rsid w:val="00864883"/>
    <w:rsid w:val="00867283"/>
    <w:rsid w:val="00867EF8"/>
    <w:rsid w:val="00871AAA"/>
    <w:rsid w:val="00876F57"/>
    <w:rsid w:val="00887F23"/>
    <w:rsid w:val="008907F6"/>
    <w:rsid w:val="008912A0"/>
    <w:rsid w:val="00891AAA"/>
    <w:rsid w:val="0089252A"/>
    <w:rsid w:val="00894215"/>
    <w:rsid w:val="008A0CDF"/>
    <w:rsid w:val="008A4D01"/>
    <w:rsid w:val="008A4EB3"/>
    <w:rsid w:val="008B591A"/>
    <w:rsid w:val="008C64D9"/>
    <w:rsid w:val="008D61DD"/>
    <w:rsid w:val="008E6972"/>
    <w:rsid w:val="008F6D7A"/>
    <w:rsid w:val="0090076C"/>
    <w:rsid w:val="00904F1F"/>
    <w:rsid w:val="00905730"/>
    <w:rsid w:val="00907F5D"/>
    <w:rsid w:val="00915B81"/>
    <w:rsid w:val="00916634"/>
    <w:rsid w:val="00917981"/>
    <w:rsid w:val="0092081E"/>
    <w:rsid w:val="009230CD"/>
    <w:rsid w:val="0092387C"/>
    <w:rsid w:val="00925868"/>
    <w:rsid w:val="00933EA1"/>
    <w:rsid w:val="0094449C"/>
    <w:rsid w:val="00951416"/>
    <w:rsid w:val="00954A5E"/>
    <w:rsid w:val="0095731B"/>
    <w:rsid w:val="00960D21"/>
    <w:rsid w:val="00960DDA"/>
    <w:rsid w:val="00962E9D"/>
    <w:rsid w:val="00967966"/>
    <w:rsid w:val="0097241C"/>
    <w:rsid w:val="0097648F"/>
    <w:rsid w:val="00981D29"/>
    <w:rsid w:val="00981E11"/>
    <w:rsid w:val="009843B0"/>
    <w:rsid w:val="00986C23"/>
    <w:rsid w:val="009B7AD8"/>
    <w:rsid w:val="009C1823"/>
    <w:rsid w:val="009D14B7"/>
    <w:rsid w:val="009D3D9E"/>
    <w:rsid w:val="009D5422"/>
    <w:rsid w:val="009E04C9"/>
    <w:rsid w:val="009E26FD"/>
    <w:rsid w:val="009E2E4A"/>
    <w:rsid w:val="009E3512"/>
    <w:rsid w:val="009F107F"/>
    <w:rsid w:val="009F6202"/>
    <w:rsid w:val="00A00269"/>
    <w:rsid w:val="00A00D20"/>
    <w:rsid w:val="00A070AD"/>
    <w:rsid w:val="00A07722"/>
    <w:rsid w:val="00A1518D"/>
    <w:rsid w:val="00A1564B"/>
    <w:rsid w:val="00A200D5"/>
    <w:rsid w:val="00A219D9"/>
    <w:rsid w:val="00A22B0B"/>
    <w:rsid w:val="00A2366C"/>
    <w:rsid w:val="00A24BD0"/>
    <w:rsid w:val="00A2592D"/>
    <w:rsid w:val="00A25DA1"/>
    <w:rsid w:val="00A30613"/>
    <w:rsid w:val="00A32701"/>
    <w:rsid w:val="00A36948"/>
    <w:rsid w:val="00A4249C"/>
    <w:rsid w:val="00A5194F"/>
    <w:rsid w:val="00A543E1"/>
    <w:rsid w:val="00A54E99"/>
    <w:rsid w:val="00A56816"/>
    <w:rsid w:val="00A64FEE"/>
    <w:rsid w:val="00A81062"/>
    <w:rsid w:val="00A818A0"/>
    <w:rsid w:val="00A82621"/>
    <w:rsid w:val="00A871D6"/>
    <w:rsid w:val="00A93A7C"/>
    <w:rsid w:val="00AA2725"/>
    <w:rsid w:val="00AB286C"/>
    <w:rsid w:val="00AB2B05"/>
    <w:rsid w:val="00AB43B4"/>
    <w:rsid w:val="00AC1C0A"/>
    <w:rsid w:val="00AC3C7D"/>
    <w:rsid w:val="00AD0D86"/>
    <w:rsid w:val="00AD4A1D"/>
    <w:rsid w:val="00AE07A2"/>
    <w:rsid w:val="00AF282C"/>
    <w:rsid w:val="00AF3FF7"/>
    <w:rsid w:val="00AF5CE5"/>
    <w:rsid w:val="00AF7DC7"/>
    <w:rsid w:val="00B13817"/>
    <w:rsid w:val="00B1491D"/>
    <w:rsid w:val="00B16A4A"/>
    <w:rsid w:val="00B20F19"/>
    <w:rsid w:val="00B24A9B"/>
    <w:rsid w:val="00B251A2"/>
    <w:rsid w:val="00B256F3"/>
    <w:rsid w:val="00B27002"/>
    <w:rsid w:val="00B32F53"/>
    <w:rsid w:val="00B36385"/>
    <w:rsid w:val="00B47B7D"/>
    <w:rsid w:val="00B51966"/>
    <w:rsid w:val="00B52DF3"/>
    <w:rsid w:val="00B7228D"/>
    <w:rsid w:val="00B728DD"/>
    <w:rsid w:val="00B74E47"/>
    <w:rsid w:val="00B76856"/>
    <w:rsid w:val="00B8359D"/>
    <w:rsid w:val="00B93F2F"/>
    <w:rsid w:val="00B94385"/>
    <w:rsid w:val="00B9508E"/>
    <w:rsid w:val="00BA7B7E"/>
    <w:rsid w:val="00BA7CCE"/>
    <w:rsid w:val="00BA7DFB"/>
    <w:rsid w:val="00BB3BC7"/>
    <w:rsid w:val="00BC271E"/>
    <w:rsid w:val="00BD3CD2"/>
    <w:rsid w:val="00BD4D98"/>
    <w:rsid w:val="00BF291C"/>
    <w:rsid w:val="00C02BAA"/>
    <w:rsid w:val="00C03E0F"/>
    <w:rsid w:val="00C0748D"/>
    <w:rsid w:val="00C07604"/>
    <w:rsid w:val="00C140AE"/>
    <w:rsid w:val="00C20146"/>
    <w:rsid w:val="00C20C96"/>
    <w:rsid w:val="00C226F5"/>
    <w:rsid w:val="00C30C2B"/>
    <w:rsid w:val="00C32F06"/>
    <w:rsid w:val="00C3512C"/>
    <w:rsid w:val="00C373D9"/>
    <w:rsid w:val="00C40E20"/>
    <w:rsid w:val="00C411B9"/>
    <w:rsid w:val="00C4333E"/>
    <w:rsid w:val="00C52E56"/>
    <w:rsid w:val="00C5407A"/>
    <w:rsid w:val="00C56AE2"/>
    <w:rsid w:val="00C63E4D"/>
    <w:rsid w:val="00C662B0"/>
    <w:rsid w:val="00C67341"/>
    <w:rsid w:val="00C70D65"/>
    <w:rsid w:val="00C75FE0"/>
    <w:rsid w:val="00C84FD4"/>
    <w:rsid w:val="00C8758D"/>
    <w:rsid w:val="00C908D5"/>
    <w:rsid w:val="00C90D21"/>
    <w:rsid w:val="00C958EE"/>
    <w:rsid w:val="00CA0F4B"/>
    <w:rsid w:val="00CC06AA"/>
    <w:rsid w:val="00CC6D8F"/>
    <w:rsid w:val="00CC7FB1"/>
    <w:rsid w:val="00CD20D4"/>
    <w:rsid w:val="00CD21FB"/>
    <w:rsid w:val="00CD27BF"/>
    <w:rsid w:val="00CD30F3"/>
    <w:rsid w:val="00CD3339"/>
    <w:rsid w:val="00CD6932"/>
    <w:rsid w:val="00CD782E"/>
    <w:rsid w:val="00CE6A16"/>
    <w:rsid w:val="00CE736E"/>
    <w:rsid w:val="00CF04F1"/>
    <w:rsid w:val="00CF0ECB"/>
    <w:rsid w:val="00CF6562"/>
    <w:rsid w:val="00D0016A"/>
    <w:rsid w:val="00D05EFA"/>
    <w:rsid w:val="00D176AB"/>
    <w:rsid w:val="00D365B2"/>
    <w:rsid w:val="00D41547"/>
    <w:rsid w:val="00D423FE"/>
    <w:rsid w:val="00D4383D"/>
    <w:rsid w:val="00D442E4"/>
    <w:rsid w:val="00D52C11"/>
    <w:rsid w:val="00D60D9B"/>
    <w:rsid w:val="00D6679E"/>
    <w:rsid w:val="00D75165"/>
    <w:rsid w:val="00D768F1"/>
    <w:rsid w:val="00D77ADA"/>
    <w:rsid w:val="00D80EDC"/>
    <w:rsid w:val="00D84F52"/>
    <w:rsid w:val="00D86135"/>
    <w:rsid w:val="00DA0189"/>
    <w:rsid w:val="00DA47D4"/>
    <w:rsid w:val="00DA66B1"/>
    <w:rsid w:val="00DA7817"/>
    <w:rsid w:val="00DB1110"/>
    <w:rsid w:val="00DB129A"/>
    <w:rsid w:val="00DB1F5D"/>
    <w:rsid w:val="00DC13C1"/>
    <w:rsid w:val="00DC2643"/>
    <w:rsid w:val="00DC7444"/>
    <w:rsid w:val="00DD204C"/>
    <w:rsid w:val="00DE52B1"/>
    <w:rsid w:val="00DF4F15"/>
    <w:rsid w:val="00DF52E6"/>
    <w:rsid w:val="00E01447"/>
    <w:rsid w:val="00E015D4"/>
    <w:rsid w:val="00E0384A"/>
    <w:rsid w:val="00E047D3"/>
    <w:rsid w:val="00E06529"/>
    <w:rsid w:val="00E10206"/>
    <w:rsid w:val="00E1538A"/>
    <w:rsid w:val="00E15DCD"/>
    <w:rsid w:val="00E16240"/>
    <w:rsid w:val="00E16666"/>
    <w:rsid w:val="00E266B7"/>
    <w:rsid w:val="00E321C5"/>
    <w:rsid w:val="00E32E39"/>
    <w:rsid w:val="00E35727"/>
    <w:rsid w:val="00E439A2"/>
    <w:rsid w:val="00E446B1"/>
    <w:rsid w:val="00E5202D"/>
    <w:rsid w:val="00E5557B"/>
    <w:rsid w:val="00E5772B"/>
    <w:rsid w:val="00E64B08"/>
    <w:rsid w:val="00E67511"/>
    <w:rsid w:val="00E70D14"/>
    <w:rsid w:val="00E81026"/>
    <w:rsid w:val="00E81CBC"/>
    <w:rsid w:val="00E82A1D"/>
    <w:rsid w:val="00E82D0F"/>
    <w:rsid w:val="00E833F2"/>
    <w:rsid w:val="00E87013"/>
    <w:rsid w:val="00E87B25"/>
    <w:rsid w:val="00E94C5D"/>
    <w:rsid w:val="00E950B5"/>
    <w:rsid w:val="00E96053"/>
    <w:rsid w:val="00EA3D7D"/>
    <w:rsid w:val="00EB0D34"/>
    <w:rsid w:val="00EC0840"/>
    <w:rsid w:val="00EC6B1A"/>
    <w:rsid w:val="00ED23DA"/>
    <w:rsid w:val="00ED757C"/>
    <w:rsid w:val="00EE03F1"/>
    <w:rsid w:val="00EE1E53"/>
    <w:rsid w:val="00EF5852"/>
    <w:rsid w:val="00F00850"/>
    <w:rsid w:val="00F01297"/>
    <w:rsid w:val="00F01798"/>
    <w:rsid w:val="00F05879"/>
    <w:rsid w:val="00F06F5B"/>
    <w:rsid w:val="00F148A6"/>
    <w:rsid w:val="00F14ACE"/>
    <w:rsid w:val="00F15EF3"/>
    <w:rsid w:val="00F2485D"/>
    <w:rsid w:val="00F33926"/>
    <w:rsid w:val="00F50104"/>
    <w:rsid w:val="00F51069"/>
    <w:rsid w:val="00F56F6F"/>
    <w:rsid w:val="00F60C61"/>
    <w:rsid w:val="00F633F6"/>
    <w:rsid w:val="00F64B52"/>
    <w:rsid w:val="00F701EB"/>
    <w:rsid w:val="00F71C84"/>
    <w:rsid w:val="00F73925"/>
    <w:rsid w:val="00F83BAC"/>
    <w:rsid w:val="00F8447B"/>
    <w:rsid w:val="00F850BE"/>
    <w:rsid w:val="00F9269F"/>
    <w:rsid w:val="00F970A4"/>
    <w:rsid w:val="00F972DF"/>
    <w:rsid w:val="00FA08DD"/>
    <w:rsid w:val="00FA229D"/>
    <w:rsid w:val="00FA7307"/>
    <w:rsid w:val="00FB40B1"/>
    <w:rsid w:val="00FB5291"/>
    <w:rsid w:val="00FB5E84"/>
    <w:rsid w:val="00FC0F0B"/>
    <w:rsid w:val="00FC49DE"/>
    <w:rsid w:val="00FD2161"/>
    <w:rsid w:val="00FE4C54"/>
    <w:rsid w:val="00FF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F33E"/>
  <w15:docId w15:val="{BDAB6B90-A2AD-4492-BD59-AC8A45B5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186136"/>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E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7499">
      <w:bodyDiv w:val="1"/>
      <w:marLeft w:val="0"/>
      <w:marRight w:val="0"/>
      <w:marTop w:val="0"/>
      <w:marBottom w:val="0"/>
      <w:divBdr>
        <w:top w:val="none" w:sz="0" w:space="0" w:color="auto"/>
        <w:left w:val="none" w:sz="0" w:space="0" w:color="auto"/>
        <w:bottom w:val="none" w:sz="0" w:space="0" w:color="auto"/>
        <w:right w:val="none" w:sz="0" w:space="0" w:color="auto"/>
      </w:divBdr>
      <w:divsChild>
        <w:div w:id="98139355">
          <w:marLeft w:val="0"/>
          <w:marRight w:val="0"/>
          <w:marTop w:val="0"/>
          <w:marBottom w:val="0"/>
          <w:divBdr>
            <w:top w:val="none" w:sz="0" w:space="0" w:color="3D3D3D"/>
            <w:left w:val="none" w:sz="0" w:space="0" w:color="3D3D3D"/>
            <w:bottom w:val="none" w:sz="0" w:space="0" w:color="3D3D3D"/>
            <w:right w:val="none" w:sz="0" w:space="0" w:color="3D3D3D"/>
          </w:divBdr>
          <w:divsChild>
            <w:div w:id="1920478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4600556">
      <w:bodyDiv w:val="1"/>
      <w:marLeft w:val="0"/>
      <w:marRight w:val="0"/>
      <w:marTop w:val="0"/>
      <w:marBottom w:val="0"/>
      <w:divBdr>
        <w:top w:val="none" w:sz="0" w:space="0" w:color="auto"/>
        <w:left w:val="none" w:sz="0" w:space="0" w:color="auto"/>
        <w:bottom w:val="none" w:sz="0" w:space="0" w:color="auto"/>
        <w:right w:val="none" w:sz="0" w:space="0" w:color="auto"/>
      </w:divBdr>
      <w:divsChild>
        <w:div w:id="291135599">
          <w:marLeft w:val="0"/>
          <w:marRight w:val="0"/>
          <w:marTop w:val="0"/>
          <w:marBottom w:val="0"/>
          <w:divBdr>
            <w:top w:val="none" w:sz="0" w:space="0" w:color="3D3D3D"/>
            <w:left w:val="none" w:sz="0" w:space="0" w:color="3D3D3D"/>
            <w:bottom w:val="none" w:sz="0" w:space="0" w:color="3D3D3D"/>
            <w:right w:val="none" w:sz="0" w:space="0" w:color="3D3D3D"/>
          </w:divBdr>
          <w:divsChild>
            <w:div w:id="7715164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2473170">
      <w:bodyDiv w:val="1"/>
      <w:marLeft w:val="0"/>
      <w:marRight w:val="0"/>
      <w:marTop w:val="0"/>
      <w:marBottom w:val="0"/>
      <w:divBdr>
        <w:top w:val="none" w:sz="0" w:space="0" w:color="auto"/>
        <w:left w:val="none" w:sz="0" w:space="0" w:color="auto"/>
        <w:bottom w:val="none" w:sz="0" w:space="0" w:color="auto"/>
        <w:right w:val="none" w:sz="0" w:space="0" w:color="auto"/>
      </w:divBdr>
      <w:divsChild>
        <w:div w:id="740828727">
          <w:marLeft w:val="0"/>
          <w:marRight w:val="0"/>
          <w:marTop w:val="0"/>
          <w:marBottom w:val="0"/>
          <w:divBdr>
            <w:top w:val="none" w:sz="0" w:space="0" w:color="3D3D3D"/>
            <w:left w:val="none" w:sz="0" w:space="0" w:color="3D3D3D"/>
            <w:bottom w:val="none" w:sz="0" w:space="0" w:color="3D3D3D"/>
            <w:right w:val="none" w:sz="0" w:space="0" w:color="3D3D3D"/>
          </w:divBdr>
          <w:divsChild>
            <w:div w:id="1270044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2719249">
      <w:bodyDiv w:val="1"/>
      <w:marLeft w:val="0"/>
      <w:marRight w:val="0"/>
      <w:marTop w:val="0"/>
      <w:marBottom w:val="0"/>
      <w:divBdr>
        <w:top w:val="none" w:sz="0" w:space="0" w:color="auto"/>
        <w:left w:val="none" w:sz="0" w:space="0" w:color="auto"/>
        <w:bottom w:val="none" w:sz="0" w:space="0" w:color="auto"/>
        <w:right w:val="none" w:sz="0" w:space="0" w:color="auto"/>
      </w:divBdr>
      <w:divsChild>
        <w:div w:id="425198950">
          <w:marLeft w:val="0"/>
          <w:marRight w:val="0"/>
          <w:marTop w:val="0"/>
          <w:marBottom w:val="0"/>
          <w:divBdr>
            <w:top w:val="none" w:sz="0" w:space="0" w:color="3D3D3D"/>
            <w:left w:val="none" w:sz="0" w:space="0" w:color="3D3D3D"/>
            <w:bottom w:val="none" w:sz="0" w:space="0" w:color="3D3D3D"/>
            <w:right w:val="none" w:sz="0" w:space="0" w:color="3D3D3D"/>
          </w:divBdr>
          <w:divsChild>
            <w:div w:id="1158958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3207352">
      <w:bodyDiv w:val="1"/>
      <w:marLeft w:val="0"/>
      <w:marRight w:val="0"/>
      <w:marTop w:val="0"/>
      <w:marBottom w:val="0"/>
      <w:divBdr>
        <w:top w:val="none" w:sz="0" w:space="0" w:color="auto"/>
        <w:left w:val="none" w:sz="0" w:space="0" w:color="auto"/>
        <w:bottom w:val="none" w:sz="0" w:space="0" w:color="auto"/>
        <w:right w:val="none" w:sz="0" w:space="0" w:color="auto"/>
      </w:divBdr>
      <w:divsChild>
        <w:div w:id="1211111611">
          <w:marLeft w:val="0"/>
          <w:marRight w:val="0"/>
          <w:marTop w:val="0"/>
          <w:marBottom w:val="0"/>
          <w:divBdr>
            <w:top w:val="none" w:sz="0" w:space="0" w:color="3D3D3D"/>
            <w:left w:val="none" w:sz="0" w:space="0" w:color="3D3D3D"/>
            <w:bottom w:val="none" w:sz="0" w:space="0" w:color="3D3D3D"/>
            <w:right w:val="none" w:sz="0" w:space="0" w:color="3D3D3D"/>
          </w:divBdr>
          <w:divsChild>
            <w:div w:id="689768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3687496">
      <w:bodyDiv w:val="1"/>
      <w:marLeft w:val="0"/>
      <w:marRight w:val="0"/>
      <w:marTop w:val="0"/>
      <w:marBottom w:val="0"/>
      <w:divBdr>
        <w:top w:val="none" w:sz="0" w:space="0" w:color="auto"/>
        <w:left w:val="none" w:sz="0" w:space="0" w:color="auto"/>
        <w:bottom w:val="none" w:sz="0" w:space="0" w:color="auto"/>
        <w:right w:val="none" w:sz="0" w:space="0" w:color="auto"/>
      </w:divBdr>
      <w:divsChild>
        <w:div w:id="179859389">
          <w:marLeft w:val="0"/>
          <w:marRight w:val="0"/>
          <w:marTop w:val="0"/>
          <w:marBottom w:val="0"/>
          <w:divBdr>
            <w:top w:val="none" w:sz="0" w:space="0" w:color="3D3D3D"/>
            <w:left w:val="none" w:sz="0" w:space="0" w:color="3D3D3D"/>
            <w:bottom w:val="none" w:sz="0" w:space="0" w:color="3D3D3D"/>
            <w:right w:val="none" w:sz="0" w:space="0" w:color="3D3D3D"/>
          </w:divBdr>
          <w:divsChild>
            <w:div w:id="14009035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7018098">
      <w:bodyDiv w:val="1"/>
      <w:marLeft w:val="0"/>
      <w:marRight w:val="0"/>
      <w:marTop w:val="0"/>
      <w:marBottom w:val="0"/>
      <w:divBdr>
        <w:top w:val="none" w:sz="0" w:space="0" w:color="auto"/>
        <w:left w:val="none" w:sz="0" w:space="0" w:color="auto"/>
        <w:bottom w:val="none" w:sz="0" w:space="0" w:color="auto"/>
        <w:right w:val="none" w:sz="0" w:space="0" w:color="auto"/>
      </w:divBdr>
      <w:divsChild>
        <w:div w:id="83307108">
          <w:marLeft w:val="0"/>
          <w:marRight w:val="0"/>
          <w:marTop w:val="0"/>
          <w:marBottom w:val="0"/>
          <w:divBdr>
            <w:top w:val="none" w:sz="0" w:space="0" w:color="3D3D3D"/>
            <w:left w:val="none" w:sz="0" w:space="0" w:color="3D3D3D"/>
            <w:bottom w:val="none" w:sz="0" w:space="0" w:color="3D3D3D"/>
            <w:right w:val="none" w:sz="0" w:space="0" w:color="3D3D3D"/>
          </w:divBdr>
          <w:divsChild>
            <w:div w:id="2060089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184554">
      <w:bodyDiv w:val="1"/>
      <w:marLeft w:val="0"/>
      <w:marRight w:val="0"/>
      <w:marTop w:val="0"/>
      <w:marBottom w:val="0"/>
      <w:divBdr>
        <w:top w:val="none" w:sz="0" w:space="0" w:color="auto"/>
        <w:left w:val="none" w:sz="0" w:space="0" w:color="auto"/>
        <w:bottom w:val="none" w:sz="0" w:space="0" w:color="auto"/>
        <w:right w:val="none" w:sz="0" w:space="0" w:color="auto"/>
      </w:divBdr>
      <w:divsChild>
        <w:div w:id="1673487456">
          <w:marLeft w:val="0"/>
          <w:marRight w:val="0"/>
          <w:marTop w:val="0"/>
          <w:marBottom w:val="0"/>
          <w:divBdr>
            <w:top w:val="none" w:sz="0" w:space="0" w:color="3D3D3D"/>
            <w:left w:val="none" w:sz="0" w:space="0" w:color="3D3D3D"/>
            <w:bottom w:val="none" w:sz="0" w:space="0" w:color="3D3D3D"/>
            <w:right w:val="none" w:sz="0" w:space="0" w:color="3D3D3D"/>
          </w:divBdr>
          <w:divsChild>
            <w:div w:id="18201520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6953268">
      <w:bodyDiv w:val="1"/>
      <w:marLeft w:val="0"/>
      <w:marRight w:val="0"/>
      <w:marTop w:val="0"/>
      <w:marBottom w:val="0"/>
      <w:divBdr>
        <w:top w:val="none" w:sz="0" w:space="0" w:color="auto"/>
        <w:left w:val="none" w:sz="0" w:space="0" w:color="auto"/>
        <w:bottom w:val="none" w:sz="0" w:space="0" w:color="auto"/>
        <w:right w:val="none" w:sz="0" w:space="0" w:color="auto"/>
      </w:divBdr>
      <w:divsChild>
        <w:div w:id="1607081695">
          <w:marLeft w:val="0"/>
          <w:marRight w:val="0"/>
          <w:marTop w:val="0"/>
          <w:marBottom w:val="0"/>
          <w:divBdr>
            <w:top w:val="none" w:sz="0" w:space="0" w:color="3D3D3D"/>
            <w:left w:val="none" w:sz="0" w:space="0" w:color="3D3D3D"/>
            <w:bottom w:val="none" w:sz="0" w:space="0" w:color="3D3D3D"/>
            <w:right w:val="none" w:sz="0" w:space="0" w:color="3D3D3D"/>
          </w:divBdr>
          <w:divsChild>
            <w:div w:id="8939278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8835165">
      <w:bodyDiv w:val="1"/>
      <w:marLeft w:val="0"/>
      <w:marRight w:val="0"/>
      <w:marTop w:val="0"/>
      <w:marBottom w:val="0"/>
      <w:divBdr>
        <w:top w:val="none" w:sz="0" w:space="0" w:color="auto"/>
        <w:left w:val="none" w:sz="0" w:space="0" w:color="auto"/>
        <w:bottom w:val="none" w:sz="0" w:space="0" w:color="auto"/>
        <w:right w:val="none" w:sz="0" w:space="0" w:color="auto"/>
      </w:divBdr>
      <w:divsChild>
        <w:div w:id="1218393575">
          <w:marLeft w:val="0"/>
          <w:marRight w:val="0"/>
          <w:marTop w:val="0"/>
          <w:marBottom w:val="0"/>
          <w:divBdr>
            <w:top w:val="none" w:sz="0" w:space="0" w:color="3D3D3D"/>
            <w:left w:val="none" w:sz="0" w:space="0" w:color="3D3D3D"/>
            <w:bottom w:val="none" w:sz="0" w:space="0" w:color="3D3D3D"/>
            <w:right w:val="none" w:sz="0" w:space="0" w:color="3D3D3D"/>
          </w:divBdr>
          <w:divsChild>
            <w:div w:id="17666056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D4F6-2CCE-485A-8CEE-9599A177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11</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D. Douglas</dc:creator>
  <cp:keywords/>
  <dc:description/>
  <cp:lastModifiedBy>Catlett, Michael S.</cp:lastModifiedBy>
  <cp:revision>377</cp:revision>
  <cp:lastPrinted>2024-05-17T17:48:00Z</cp:lastPrinted>
  <dcterms:created xsi:type="dcterms:W3CDTF">2024-04-29T21:21:00Z</dcterms:created>
  <dcterms:modified xsi:type="dcterms:W3CDTF">2024-05-17T18:21:00Z</dcterms:modified>
</cp:coreProperties>
</file>