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14:paraId="2DD96AE8" w14:textId="77777777" w:rsidTr="006F63FD">
        <w:trPr>
          <w:cantSplit/>
          <w:trHeight w:val="1987"/>
        </w:trPr>
        <w:tc>
          <w:tcPr>
            <w:tcW w:w="4836" w:type="dxa"/>
          </w:tcPr>
          <w:p w14:paraId="7C784B7E" w14:textId="77777777" w:rsidR="00EC1FC5" w:rsidRDefault="00EC1FC5" w:rsidP="00EC1FC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>
              <w:rPr>
                <w:sz w:val="28"/>
                <w:szCs w:val="28"/>
              </w:rPr>
              <w:t>Lisa M. Panahi, Bar No. 023421</w:t>
            </w:r>
            <w:r>
              <w:rPr>
                <w:sz w:val="28"/>
                <w:szCs w:val="28"/>
              </w:rPr>
              <w:br/>
            </w:r>
            <w:r w:rsidRPr="006F63FD">
              <w:rPr>
                <w:sz w:val="28"/>
                <w:szCs w:val="28"/>
              </w:rPr>
              <w:t>General Counsel</w:t>
            </w:r>
          </w:p>
          <w:p w14:paraId="2DF520D4" w14:textId="77777777" w:rsidR="00EC1FC5" w:rsidRPr="006F63FD" w:rsidRDefault="00EC1FC5" w:rsidP="00EC1FC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State Bar of Arizona</w:t>
            </w:r>
          </w:p>
          <w:p w14:paraId="2FF928D4" w14:textId="77777777" w:rsidR="00EC1FC5" w:rsidRPr="006F63FD" w:rsidRDefault="00EC1FC5" w:rsidP="00EC1FC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4201 N. 24th Street, Suite 100</w:t>
            </w:r>
          </w:p>
          <w:p w14:paraId="04A00F42" w14:textId="77777777" w:rsidR="00EC1FC5" w:rsidRPr="006F63FD" w:rsidRDefault="00EC1FC5" w:rsidP="00EC1FC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85016-6288</w:t>
            </w:r>
          </w:p>
          <w:p w14:paraId="7B3DBC20" w14:textId="0B75F9F9" w:rsidR="006F63FD" w:rsidRPr="00735659" w:rsidRDefault="00EC1FC5" w:rsidP="00EC1FC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14:paraId="0A670938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  <w:bookmarkEnd w:id="0"/>
    </w:tbl>
    <w:p w14:paraId="08E71DA7" w14:textId="77777777" w:rsidR="00357F4D" w:rsidRPr="000F7A7F" w:rsidRDefault="00357F4D" w:rsidP="00735659">
      <w:pPr>
        <w:pStyle w:val="Court"/>
        <w:spacing w:line="508" w:lineRule="exact"/>
        <w:jc w:val="left"/>
        <w:rPr>
          <w:b/>
        </w:rPr>
      </w:pPr>
    </w:p>
    <w:p w14:paraId="25693B34" w14:textId="77777777"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024B1021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01D2" w14:textId="77777777"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5F7F4F4D" w14:textId="384B7119" w:rsidR="00357F4D" w:rsidRDefault="00E67511" w:rsidP="001A5F4E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1A5F4E">
              <w:rPr>
                <w:b/>
                <w:sz w:val="28"/>
                <w:szCs w:val="28"/>
              </w:rPr>
              <w:t xml:space="preserve">AMEND RULES 14.4 </w:t>
            </w:r>
            <w:r w:rsidR="00EC1FC5">
              <w:rPr>
                <w:b/>
                <w:sz w:val="28"/>
                <w:szCs w:val="28"/>
              </w:rPr>
              <w:t>AND</w:t>
            </w:r>
            <w:r w:rsidR="001A5F4E">
              <w:rPr>
                <w:b/>
                <w:sz w:val="28"/>
                <w:szCs w:val="28"/>
              </w:rPr>
              <w:t xml:space="preserve"> 17.2 OF THE ARIZONA RULES OF CRIMINAL PROCEDURE</w:t>
            </w:r>
          </w:p>
          <w:p w14:paraId="03963DD5" w14:textId="09D3A569" w:rsidR="001A5F4E" w:rsidRPr="001A5F4E" w:rsidRDefault="001A5F4E" w:rsidP="001A5F4E"/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35CED5CB" w14:textId="1789D4A7" w:rsidR="00357F4D" w:rsidRPr="00EC1FC5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EC1FC5">
              <w:rPr>
                <w:sz w:val="28"/>
                <w:szCs w:val="28"/>
              </w:rPr>
              <w:t>Supreme Court No. R-</w:t>
            </w:r>
            <w:r w:rsidR="008A4EB3" w:rsidRPr="00EC1FC5">
              <w:rPr>
                <w:sz w:val="28"/>
                <w:szCs w:val="28"/>
              </w:rPr>
              <w:t>2</w:t>
            </w:r>
            <w:r w:rsidR="00931F22" w:rsidRPr="00EC1FC5">
              <w:rPr>
                <w:sz w:val="28"/>
                <w:szCs w:val="28"/>
              </w:rPr>
              <w:t>4</w:t>
            </w:r>
            <w:r w:rsidR="00F850BE" w:rsidRPr="00EC1FC5">
              <w:rPr>
                <w:sz w:val="28"/>
                <w:szCs w:val="28"/>
              </w:rPr>
              <w:t>-</w:t>
            </w:r>
            <w:r w:rsidR="001A5F4E" w:rsidRPr="00EC1FC5">
              <w:rPr>
                <w:sz w:val="28"/>
                <w:szCs w:val="28"/>
              </w:rPr>
              <w:t>0025</w:t>
            </w:r>
          </w:p>
          <w:p w14:paraId="5AEC962D" w14:textId="7187355E" w:rsidR="00357F4D" w:rsidRPr="00EC1FC5" w:rsidRDefault="00EC1FC5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EC1FC5">
              <w:rPr>
                <w:b/>
                <w:sz w:val="28"/>
                <w:szCs w:val="28"/>
              </w:rPr>
              <w:t>STATE BAR OF ARIZONA COMMENT</w:t>
            </w:r>
          </w:p>
          <w:p w14:paraId="414A167D" w14:textId="77777777" w:rsidR="00357F4D" w:rsidRPr="00EC1FC5" w:rsidRDefault="00357F4D" w:rsidP="00E321C5">
            <w:pPr>
              <w:pStyle w:val="DocumentTitle"/>
              <w:rPr>
                <w:szCs w:val="26"/>
              </w:rPr>
            </w:pPr>
          </w:p>
          <w:p w14:paraId="524D8097" w14:textId="77777777" w:rsidR="00357F4D" w:rsidRPr="00EC1FC5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14:paraId="14B66B5A" w14:textId="77777777" w:rsidR="004331B2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</w:p>
    <w:p w14:paraId="3541195D" w14:textId="751D24E5" w:rsidR="001F591C" w:rsidRDefault="0008003D" w:rsidP="006766B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7B7449">
        <w:rPr>
          <w:sz w:val="28"/>
          <w:szCs w:val="28"/>
        </w:rPr>
        <w:t>Pursuant to Rule 28(</w:t>
      </w:r>
      <w:r w:rsidR="00A4249C">
        <w:rPr>
          <w:sz w:val="28"/>
          <w:szCs w:val="28"/>
        </w:rPr>
        <w:t>e</w:t>
      </w:r>
      <w:r w:rsidRPr="007B7449">
        <w:rPr>
          <w:sz w:val="28"/>
          <w:szCs w:val="28"/>
        </w:rPr>
        <w:t xml:space="preserve">) of the Arizona Rules of Supreme Court, the State Bar of Arizona (the “State Bar”) hereby </w:t>
      </w:r>
      <w:r w:rsidR="00A4249C">
        <w:rPr>
          <w:sz w:val="28"/>
          <w:szCs w:val="28"/>
        </w:rPr>
        <w:t xml:space="preserve">submits the following as its comment to the above-captioned Petition. </w:t>
      </w:r>
      <w:r w:rsidR="00954A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03E0F" w:rsidRPr="006F63FD">
        <w:rPr>
          <w:sz w:val="28"/>
          <w:szCs w:val="28"/>
        </w:rPr>
        <w:t xml:space="preserve"> </w:t>
      </w:r>
    </w:p>
    <w:p w14:paraId="1D76E213" w14:textId="3FDF7E9B" w:rsidR="004331B2" w:rsidRDefault="000B6389" w:rsidP="006766BF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 xml:space="preserve">After review by the State Bar’s Criminal Practice and Procedure Committee, the State Bar supports </w:t>
      </w:r>
      <w:r w:rsidR="0004660C">
        <w:rPr>
          <w:rStyle w:val="BodyTextChar"/>
          <w:sz w:val="28"/>
          <w:szCs w:val="28"/>
        </w:rPr>
        <w:t xml:space="preserve">the </w:t>
      </w:r>
      <w:r w:rsidR="00EC1FC5">
        <w:rPr>
          <w:rStyle w:val="BodyTextChar"/>
          <w:sz w:val="28"/>
          <w:szCs w:val="28"/>
        </w:rPr>
        <w:t>P</w:t>
      </w:r>
      <w:r w:rsidR="0004660C">
        <w:rPr>
          <w:rStyle w:val="BodyTextChar"/>
          <w:sz w:val="28"/>
          <w:szCs w:val="28"/>
        </w:rPr>
        <w:t xml:space="preserve">etition, apart from its proposal to </w:t>
      </w:r>
      <w:r w:rsidR="003D3A65">
        <w:rPr>
          <w:rStyle w:val="BodyTextChar"/>
          <w:sz w:val="28"/>
          <w:szCs w:val="28"/>
        </w:rPr>
        <w:t>add a new Rule 17.2(b)(3).</w:t>
      </w:r>
    </w:p>
    <w:p w14:paraId="1E77F000" w14:textId="633516C7" w:rsidR="0021089B" w:rsidRDefault="00FD48B7" w:rsidP="006766BF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 xml:space="preserve">The State Bar agrees with the aim of the </w:t>
      </w:r>
      <w:r w:rsidR="008B7235">
        <w:rPr>
          <w:rStyle w:val="BodyTextChar"/>
          <w:sz w:val="28"/>
          <w:szCs w:val="28"/>
        </w:rPr>
        <w:t>p</w:t>
      </w:r>
      <w:r>
        <w:rPr>
          <w:rStyle w:val="BodyTextChar"/>
          <w:sz w:val="28"/>
          <w:szCs w:val="28"/>
        </w:rPr>
        <w:t>roposed</w:t>
      </w:r>
      <w:r w:rsidR="008B7235">
        <w:rPr>
          <w:rStyle w:val="BodyTextChar"/>
          <w:sz w:val="28"/>
          <w:szCs w:val="28"/>
        </w:rPr>
        <w:t xml:space="preserve"> amended r</w:t>
      </w:r>
      <w:r>
        <w:rPr>
          <w:rStyle w:val="BodyTextChar"/>
          <w:sz w:val="28"/>
          <w:szCs w:val="28"/>
        </w:rPr>
        <w:t xml:space="preserve">ule to </w:t>
      </w:r>
      <w:r w:rsidR="00B94EC8">
        <w:rPr>
          <w:rStyle w:val="BodyTextChar"/>
          <w:sz w:val="28"/>
          <w:szCs w:val="28"/>
        </w:rPr>
        <w:t>better inform</w:t>
      </w:r>
      <w:r>
        <w:rPr>
          <w:rStyle w:val="BodyTextChar"/>
          <w:sz w:val="28"/>
          <w:szCs w:val="28"/>
        </w:rPr>
        <w:t xml:space="preserve"> criminal defendants </w:t>
      </w:r>
      <w:r w:rsidR="00B94EC8">
        <w:rPr>
          <w:rStyle w:val="BodyTextChar"/>
          <w:sz w:val="28"/>
          <w:szCs w:val="28"/>
        </w:rPr>
        <w:t>about</w:t>
      </w:r>
      <w:r>
        <w:rPr>
          <w:rStyle w:val="BodyTextChar"/>
          <w:sz w:val="28"/>
          <w:szCs w:val="28"/>
        </w:rPr>
        <w:t xml:space="preserve"> collateral consequences associated with a guilty plea.</w:t>
      </w:r>
      <w:r w:rsidR="00EF13B3">
        <w:rPr>
          <w:rStyle w:val="BodyTextChar"/>
          <w:sz w:val="28"/>
          <w:szCs w:val="28"/>
        </w:rPr>
        <w:t xml:space="preserve">  The State Bar believes that the </w:t>
      </w:r>
      <w:r w:rsidR="000761DE">
        <w:rPr>
          <w:rStyle w:val="BodyTextChar"/>
          <w:sz w:val="28"/>
          <w:szCs w:val="28"/>
        </w:rPr>
        <w:t>proposal adding Rule 14.4</w:t>
      </w:r>
      <w:r w:rsidR="00D5793D">
        <w:rPr>
          <w:rStyle w:val="BodyTextChar"/>
          <w:sz w:val="28"/>
          <w:szCs w:val="28"/>
        </w:rPr>
        <w:t>(e)</w:t>
      </w:r>
      <w:r w:rsidR="000761DE">
        <w:rPr>
          <w:rStyle w:val="BodyTextChar"/>
          <w:sz w:val="28"/>
          <w:szCs w:val="28"/>
        </w:rPr>
        <w:t xml:space="preserve">(7)–(8) and Rule </w:t>
      </w:r>
      <w:r w:rsidR="0021089B">
        <w:rPr>
          <w:rStyle w:val="BodyTextChar"/>
          <w:sz w:val="28"/>
          <w:szCs w:val="28"/>
        </w:rPr>
        <w:t xml:space="preserve">17.2(b)(1) accomplish this.  However, the State Bar is concerned that the proposal </w:t>
      </w:r>
      <w:r w:rsidR="0021089B">
        <w:rPr>
          <w:rStyle w:val="BodyTextChar"/>
          <w:sz w:val="28"/>
          <w:szCs w:val="28"/>
        </w:rPr>
        <w:lastRenderedPageBreak/>
        <w:t>to add Rule 17.2(b)(3) (Other Collateral Consequences)</w:t>
      </w:r>
      <w:r w:rsidR="0085794D">
        <w:rPr>
          <w:rStyle w:val="BodyTextChar"/>
          <w:sz w:val="28"/>
          <w:szCs w:val="28"/>
        </w:rPr>
        <w:t xml:space="preserve"> could confuse criminal defendants</w:t>
      </w:r>
      <w:r w:rsidR="007E32DC">
        <w:rPr>
          <w:rStyle w:val="BodyTextChar"/>
          <w:sz w:val="28"/>
          <w:szCs w:val="28"/>
        </w:rPr>
        <w:t xml:space="preserve">, lead to </w:t>
      </w:r>
      <w:r w:rsidR="00FC322E">
        <w:rPr>
          <w:rStyle w:val="BodyTextChar"/>
          <w:sz w:val="28"/>
          <w:szCs w:val="28"/>
        </w:rPr>
        <w:t>delays,</w:t>
      </w:r>
      <w:r w:rsidR="007E32DC">
        <w:rPr>
          <w:rStyle w:val="BodyTextChar"/>
          <w:sz w:val="28"/>
          <w:szCs w:val="28"/>
        </w:rPr>
        <w:t xml:space="preserve"> and </w:t>
      </w:r>
      <w:r w:rsidR="005305EB">
        <w:rPr>
          <w:rStyle w:val="BodyTextChar"/>
          <w:sz w:val="28"/>
          <w:szCs w:val="28"/>
        </w:rPr>
        <w:t>invite litigation concerning the adequacy of the court’s advisement</w:t>
      </w:r>
      <w:r w:rsidR="00212071">
        <w:rPr>
          <w:rStyle w:val="BodyTextChar"/>
          <w:sz w:val="28"/>
          <w:szCs w:val="28"/>
        </w:rPr>
        <w:t>.</w:t>
      </w:r>
    </w:p>
    <w:p w14:paraId="54779EF5" w14:textId="30B04F92" w:rsidR="00212071" w:rsidRDefault="00212071" w:rsidP="006766BF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>Proposed Rule 17.2(b)(3) would require courts to “advise that a plea may have other collateral consequences, depending on the nature of the case.”</w:t>
      </w:r>
      <w:r w:rsidR="007E32DC">
        <w:rPr>
          <w:rStyle w:val="BodyTextChar"/>
          <w:sz w:val="28"/>
          <w:szCs w:val="28"/>
        </w:rPr>
        <w:t xml:space="preserve">  This requirement is vague</w:t>
      </w:r>
      <w:r w:rsidR="00204F6D">
        <w:rPr>
          <w:rStyle w:val="BodyTextChar"/>
          <w:sz w:val="28"/>
          <w:szCs w:val="28"/>
        </w:rPr>
        <w:t xml:space="preserve"> and does not provide courts guidance as to what additional collateral consequences</w:t>
      </w:r>
      <w:r w:rsidR="00FC322E">
        <w:rPr>
          <w:rStyle w:val="BodyTextChar"/>
          <w:sz w:val="28"/>
          <w:szCs w:val="28"/>
        </w:rPr>
        <w:t xml:space="preserve"> it is required to advise a defendant of</w:t>
      </w:r>
      <w:r w:rsidR="00204F6D">
        <w:rPr>
          <w:rStyle w:val="BodyTextChar"/>
          <w:sz w:val="28"/>
          <w:szCs w:val="28"/>
        </w:rPr>
        <w:t>.</w:t>
      </w:r>
      <w:r w:rsidR="00FC322E">
        <w:rPr>
          <w:rStyle w:val="BodyTextChar"/>
          <w:sz w:val="28"/>
          <w:szCs w:val="28"/>
        </w:rPr>
        <w:t xml:space="preserve">  If the court provides the advisement as it is written in the rule, </w:t>
      </w:r>
      <w:r w:rsidR="00822D7C">
        <w:rPr>
          <w:rStyle w:val="BodyTextChar"/>
          <w:sz w:val="28"/>
          <w:szCs w:val="28"/>
        </w:rPr>
        <w:t>defendants may ask for clarity as to what the add</w:t>
      </w:r>
      <w:r w:rsidR="008F30CA">
        <w:rPr>
          <w:rStyle w:val="BodyTextChar"/>
          <w:sz w:val="28"/>
          <w:szCs w:val="28"/>
        </w:rPr>
        <w:t>itional collateral consequences may be.  This</w:t>
      </w:r>
      <w:r w:rsidR="00215D98">
        <w:rPr>
          <w:rStyle w:val="BodyTextChar"/>
          <w:sz w:val="28"/>
          <w:szCs w:val="28"/>
        </w:rPr>
        <w:t xml:space="preserve">, in turn, could result in delays in the case </w:t>
      </w:r>
      <w:r w:rsidR="00724918">
        <w:rPr>
          <w:rStyle w:val="BodyTextChar"/>
          <w:sz w:val="28"/>
          <w:szCs w:val="28"/>
        </w:rPr>
        <w:t>as continuances are requested to allow counsel to further advise defendants concerning what those collateral consequences may be.</w:t>
      </w:r>
    </w:p>
    <w:p w14:paraId="29B20526" w14:textId="1B88677F" w:rsidR="00724918" w:rsidRDefault="006B3CF8" w:rsidP="006766BF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>Further, the vagueness in the rule could invite litigation in post-conviction relief proceedings</w:t>
      </w:r>
      <w:r w:rsidR="00042041">
        <w:rPr>
          <w:rStyle w:val="BodyTextChar"/>
          <w:sz w:val="28"/>
          <w:szCs w:val="28"/>
        </w:rPr>
        <w:t>.  Defendants could assert that their plea was not knowing, intelligent or voluntary</w:t>
      </w:r>
      <w:r w:rsidR="00177697">
        <w:rPr>
          <w:rStyle w:val="BodyTextChar"/>
          <w:sz w:val="28"/>
          <w:szCs w:val="28"/>
        </w:rPr>
        <w:t xml:space="preserve"> because the court did not specifically advise the defendant of every conceivable collateral consequence of their guilty plea.  Likewise, it could lead </w:t>
      </w:r>
      <w:r w:rsidR="00E54A5E">
        <w:rPr>
          <w:rStyle w:val="BodyTextChar"/>
          <w:sz w:val="28"/>
          <w:szCs w:val="28"/>
        </w:rPr>
        <w:t xml:space="preserve">assertions that trial counsel was ineffective for failing to make sure that </w:t>
      </w:r>
      <w:r w:rsidR="00DF1712">
        <w:rPr>
          <w:rStyle w:val="BodyTextChar"/>
          <w:sz w:val="28"/>
          <w:szCs w:val="28"/>
        </w:rPr>
        <w:t>the trial court advised the defendant of a specific collateral consequence.</w:t>
      </w:r>
    </w:p>
    <w:p w14:paraId="1991A1CA" w14:textId="59E76E26" w:rsidR="00E90A5C" w:rsidRPr="006F63FD" w:rsidRDefault="000822A0" w:rsidP="006766BF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 xml:space="preserve">Because of the uncertainty created by the vague language contained in Proposed Rule 17.2(b)(3), the State Bar does not support its adoption as part of </w:t>
      </w:r>
      <w:r w:rsidR="005178A5">
        <w:rPr>
          <w:rStyle w:val="BodyTextChar"/>
          <w:sz w:val="28"/>
          <w:szCs w:val="28"/>
        </w:rPr>
        <w:t xml:space="preserve">Rule </w:t>
      </w:r>
      <w:r w:rsidR="005178A5">
        <w:rPr>
          <w:rStyle w:val="BodyTextChar"/>
          <w:sz w:val="28"/>
          <w:szCs w:val="28"/>
        </w:rPr>
        <w:lastRenderedPageBreak/>
        <w:t>Petition.</w:t>
      </w:r>
      <w:r w:rsidR="005178A5">
        <w:rPr>
          <w:rStyle w:val="FootnoteReference"/>
          <w:sz w:val="28"/>
          <w:szCs w:val="28"/>
        </w:rPr>
        <w:footnoteReference w:id="1"/>
      </w:r>
      <w:r w:rsidR="005178A5">
        <w:rPr>
          <w:rStyle w:val="BodyTextChar"/>
          <w:sz w:val="28"/>
          <w:szCs w:val="28"/>
        </w:rPr>
        <w:t xml:space="preserve">  </w:t>
      </w:r>
      <w:r w:rsidR="001D77E2">
        <w:rPr>
          <w:rStyle w:val="BodyTextChar"/>
          <w:sz w:val="28"/>
          <w:szCs w:val="28"/>
        </w:rPr>
        <w:t>The State Bar otherwise supports the Petition.</w:t>
      </w:r>
    </w:p>
    <w:p w14:paraId="74CBABD8" w14:textId="77777777" w:rsidR="000C48A9" w:rsidRPr="006F63FD" w:rsidRDefault="007A3F0F" w:rsidP="006766BF">
      <w:pPr>
        <w:pStyle w:val="Body"/>
        <w:widowControl w:val="0"/>
        <w:spacing w:line="480" w:lineRule="auto"/>
        <w:ind w:firstLine="0"/>
        <w:jc w:val="center"/>
        <w:rPr>
          <w:rStyle w:val="BodyTextChar"/>
          <w:b/>
          <w:sz w:val="28"/>
          <w:szCs w:val="28"/>
        </w:rPr>
      </w:pPr>
      <w:r w:rsidRPr="006F63FD">
        <w:rPr>
          <w:rStyle w:val="BodyTextChar"/>
          <w:b/>
          <w:sz w:val="28"/>
          <w:szCs w:val="28"/>
        </w:rPr>
        <w:t>CONCLUSION</w:t>
      </w:r>
    </w:p>
    <w:p w14:paraId="5D02FE20" w14:textId="03E55106" w:rsidR="000F7A7F" w:rsidRPr="00EC1FC5" w:rsidRDefault="000C48A9" w:rsidP="00EC1FC5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pacing w:val="-3"/>
          <w:sz w:val="28"/>
          <w:szCs w:val="28"/>
        </w:rPr>
      </w:pPr>
      <w:r w:rsidRPr="006F63FD">
        <w:rPr>
          <w:sz w:val="28"/>
          <w:szCs w:val="28"/>
        </w:rPr>
        <w:tab/>
      </w:r>
      <w:r w:rsidR="000F7C13" w:rsidRPr="006F63FD">
        <w:rPr>
          <w:sz w:val="28"/>
          <w:szCs w:val="28"/>
        </w:rPr>
        <w:t>The State Bar</w:t>
      </w:r>
      <w:r w:rsidR="00735659">
        <w:rPr>
          <w:sz w:val="28"/>
          <w:szCs w:val="28"/>
        </w:rPr>
        <w:t xml:space="preserve"> of Arizona</w:t>
      </w:r>
      <w:r w:rsidR="000F7C13" w:rsidRPr="006F63FD">
        <w:rPr>
          <w:sz w:val="28"/>
          <w:szCs w:val="28"/>
        </w:rPr>
        <w:t xml:space="preserve"> respectfully requests that </w:t>
      </w:r>
      <w:r w:rsidR="001D77E2">
        <w:rPr>
          <w:sz w:val="28"/>
          <w:szCs w:val="28"/>
        </w:rPr>
        <w:t xml:space="preserve">this Court adopt the Proposed Rule, except for </w:t>
      </w:r>
      <w:r w:rsidR="00D5793D">
        <w:rPr>
          <w:sz w:val="28"/>
          <w:szCs w:val="28"/>
        </w:rPr>
        <w:t>Proposed Rule 17.2(b)(3).</w:t>
      </w:r>
    </w:p>
    <w:p w14:paraId="6A656971" w14:textId="77777777" w:rsidR="00EC1FC5" w:rsidRPr="006F63FD" w:rsidRDefault="00EC1FC5" w:rsidP="00EC1FC5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Cs w:val="26"/>
        </w:rPr>
        <w:t xml:space="preserve">       </w:t>
      </w:r>
      <w:r w:rsidRPr="006F63FD">
        <w:rPr>
          <w:sz w:val="28"/>
          <w:szCs w:val="28"/>
        </w:rPr>
        <w:t xml:space="preserve">RESPECTFULLY SUBMITTED this </w:t>
      </w:r>
      <w:r w:rsidRPr="001F21C4">
        <w:rPr>
          <w:sz w:val="28"/>
          <w:szCs w:val="28"/>
          <w:u w:val="single"/>
        </w:rPr>
        <w:t>1</w:t>
      </w:r>
      <w:r w:rsidRPr="001F21C4">
        <w:rPr>
          <w:sz w:val="28"/>
          <w:szCs w:val="28"/>
          <w:u w:val="single"/>
          <w:vertAlign w:val="superscript"/>
        </w:rPr>
        <w:t>st</w:t>
      </w:r>
      <w:r w:rsidRPr="001F21C4">
        <w:rPr>
          <w:sz w:val="28"/>
          <w:szCs w:val="28"/>
          <w:u w:val="single"/>
        </w:rPr>
        <w:t xml:space="preserve"> </w:t>
      </w:r>
      <w:r w:rsidRPr="006F63FD">
        <w:rPr>
          <w:sz w:val="28"/>
          <w:szCs w:val="28"/>
        </w:rPr>
        <w:t>day of</w:t>
      </w:r>
      <w:r>
        <w:rPr>
          <w:sz w:val="28"/>
          <w:szCs w:val="28"/>
        </w:rPr>
        <w:t xml:space="preserve"> </w:t>
      </w:r>
      <w:r w:rsidRPr="001F21C4">
        <w:rPr>
          <w:sz w:val="28"/>
          <w:szCs w:val="28"/>
          <w:u w:val="single"/>
        </w:rPr>
        <w:t>May</w:t>
      </w:r>
      <w:r>
        <w:rPr>
          <w:sz w:val="28"/>
          <w:szCs w:val="28"/>
        </w:rPr>
        <w:t xml:space="preserve"> 2024</w:t>
      </w:r>
      <w:r w:rsidRPr="006F63FD">
        <w:rPr>
          <w:sz w:val="28"/>
          <w:szCs w:val="28"/>
        </w:rPr>
        <w:t>.</w:t>
      </w:r>
    </w:p>
    <w:p w14:paraId="4F8B0DA9" w14:textId="77777777" w:rsidR="00EC1FC5" w:rsidRPr="000F7A7F" w:rsidRDefault="00EC1FC5" w:rsidP="00EC1FC5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14:paraId="2497DEAB" w14:textId="77777777" w:rsidR="00EC1FC5" w:rsidRPr="000F7A7F" w:rsidRDefault="00EC1FC5" w:rsidP="00EC1FC5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noProof/>
          <w:sz w:val="28"/>
          <w:szCs w:val="28"/>
        </w:rPr>
        <w:drawing>
          <wp:inline distT="0" distB="0" distL="0" distR="0" wp14:anchorId="556CDAD3" wp14:editId="4C13B92D">
            <wp:extent cx="1104900" cy="327701"/>
            <wp:effectExtent l="0" t="0" r="0" b="0"/>
            <wp:docPr id="1995728512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728512" name="Picture 1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781" cy="35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60A87" w14:textId="77777777" w:rsidR="00EC1FC5" w:rsidRPr="006F63FD" w:rsidRDefault="00EC1FC5" w:rsidP="00EC1FC5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>
        <w:rPr>
          <w:sz w:val="28"/>
          <w:szCs w:val="28"/>
        </w:rPr>
        <w:t>Lisa M. Panahi</w:t>
      </w:r>
    </w:p>
    <w:p w14:paraId="270ED707" w14:textId="77777777" w:rsidR="00EC1FC5" w:rsidRPr="006F63FD" w:rsidRDefault="00EC1FC5" w:rsidP="00EC1FC5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  <w:r w:rsidRPr="006F63FD">
        <w:rPr>
          <w:sz w:val="28"/>
          <w:szCs w:val="28"/>
        </w:rPr>
        <w:t>General Counsel</w:t>
      </w:r>
    </w:p>
    <w:p w14:paraId="7F5BF64A" w14:textId="77777777" w:rsidR="00EC1FC5" w:rsidRPr="000F7A7F" w:rsidRDefault="00EC1FC5" w:rsidP="00EC1FC5">
      <w:pPr>
        <w:pStyle w:val="PleadingSignature"/>
        <w:keepNext w:val="0"/>
        <w:keepLines w:val="0"/>
        <w:spacing w:line="240" w:lineRule="auto"/>
        <w:ind w:left="5070"/>
        <w:rPr>
          <w:szCs w:val="26"/>
        </w:rPr>
      </w:pPr>
    </w:p>
    <w:p w14:paraId="0604716B" w14:textId="77777777" w:rsidR="00EC1FC5" w:rsidRPr="006F63FD" w:rsidRDefault="00EC1FC5" w:rsidP="00EC1FC5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14:paraId="737FC526" w14:textId="77777777" w:rsidR="00EC1FC5" w:rsidRDefault="00EC1FC5" w:rsidP="00EC1FC5">
      <w:pPr>
        <w:widowControl w:val="0"/>
        <w:spacing w:line="240" w:lineRule="auto"/>
        <w:ind w:right="4140"/>
        <w:rPr>
          <w:sz w:val="28"/>
          <w:szCs w:val="28"/>
        </w:rPr>
      </w:pPr>
    </w:p>
    <w:p w14:paraId="07BB3440" w14:textId="77777777" w:rsidR="00EC1FC5" w:rsidRDefault="00EC1FC5" w:rsidP="00EC1FC5">
      <w:pPr>
        <w:widowControl w:val="0"/>
        <w:spacing w:line="240" w:lineRule="auto"/>
        <w:ind w:right="4140"/>
        <w:rPr>
          <w:sz w:val="28"/>
          <w:szCs w:val="28"/>
        </w:rPr>
      </w:pPr>
    </w:p>
    <w:p w14:paraId="33D02F07" w14:textId="77777777" w:rsidR="00EC1FC5" w:rsidRPr="00C52E56" w:rsidRDefault="00EC1FC5" w:rsidP="00EC1FC5">
      <w:pPr>
        <w:widowControl w:val="0"/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Electronic copy filed with the</w:t>
      </w:r>
    </w:p>
    <w:p w14:paraId="54A8E6B9" w14:textId="77777777" w:rsidR="00EC1FC5" w:rsidRPr="00C52E56" w:rsidRDefault="00EC1FC5" w:rsidP="00EC1FC5">
      <w:pPr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 xml:space="preserve">Clerk of the </w:t>
      </w:r>
      <w:r>
        <w:rPr>
          <w:sz w:val="28"/>
          <w:szCs w:val="28"/>
        </w:rPr>
        <w:t>Supreme Court of Arizona</w:t>
      </w:r>
    </w:p>
    <w:p w14:paraId="6EA83679" w14:textId="77777777" w:rsidR="00EC1FC5" w:rsidRPr="00C52E56" w:rsidRDefault="00EC1FC5" w:rsidP="00EC1FC5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C52E56">
        <w:rPr>
          <w:sz w:val="28"/>
          <w:szCs w:val="28"/>
        </w:rPr>
        <w:t xml:space="preserve">this </w:t>
      </w:r>
      <w:r w:rsidRPr="001F21C4">
        <w:rPr>
          <w:sz w:val="28"/>
          <w:szCs w:val="28"/>
          <w:u w:val="single"/>
        </w:rPr>
        <w:t>1</w:t>
      </w:r>
      <w:r w:rsidRPr="001F21C4">
        <w:rPr>
          <w:sz w:val="28"/>
          <w:szCs w:val="28"/>
          <w:u w:val="single"/>
          <w:vertAlign w:val="superscript"/>
        </w:rPr>
        <w:t>st</w:t>
      </w:r>
      <w:r w:rsidRPr="001F21C4">
        <w:rPr>
          <w:sz w:val="28"/>
          <w:szCs w:val="28"/>
          <w:u w:val="single"/>
        </w:rPr>
        <w:t xml:space="preserve"> </w:t>
      </w:r>
      <w:r w:rsidRPr="00C52E56">
        <w:rPr>
          <w:sz w:val="28"/>
          <w:szCs w:val="28"/>
        </w:rPr>
        <w:t xml:space="preserve">day of </w:t>
      </w:r>
      <w:r w:rsidRPr="001F21C4">
        <w:rPr>
          <w:sz w:val="28"/>
          <w:szCs w:val="28"/>
          <w:u w:val="single"/>
        </w:rPr>
        <w:t>May</w:t>
      </w:r>
      <w:r w:rsidRPr="00C52E56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C52E56">
        <w:rPr>
          <w:sz w:val="28"/>
          <w:szCs w:val="28"/>
        </w:rPr>
        <w:t>.</w:t>
      </w:r>
    </w:p>
    <w:p w14:paraId="463EB60B" w14:textId="77777777" w:rsidR="00EC1FC5" w:rsidRPr="00C52E56" w:rsidRDefault="00EC1FC5" w:rsidP="00EC1FC5">
      <w:pPr>
        <w:spacing w:line="240" w:lineRule="auto"/>
        <w:ind w:right="4572"/>
        <w:rPr>
          <w:sz w:val="28"/>
          <w:szCs w:val="28"/>
        </w:rPr>
      </w:pPr>
    </w:p>
    <w:p w14:paraId="6EDAA806" w14:textId="77777777" w:rsidR="00EC1FC5" w:rsidRPr="00C52E56" w:rsidRDefault="00EC1FC5" w:rsidP="00EC1FC5">
      <w:pPr>
        <w:spacing w:line="240" w:lineRule="auto"/>
        <w:ind w:right="4572"/>
        <w:rPr>
          <w:sz w:val="28"/>
          <w:szCs w:val="28"/>
        </w:rPr>
      </w:pPr>
      <w:r w:rsidRPr="00C52E56">
        <w:rPr>
          <w:sz w:val="28"/>
          <w:szCs w:val="28"/>
        </w:rPr>
        <w:t xml:space="preserve">by: </w:t>
      </w:r>
      <w:r>
        <w:rPr>
          <w:sz w:val="28"/>
          <w:szCs w:val="28"/>
          <w:u w:val="single"/>
        </w:rPr>
        <w:t>PSeguin</w:t>
      </w:r>
    </w:p>
    <w:p w14:paraId="514D6FB1" w14:textId="77777777" w:rsidR="00494BDF" w:rsidRPr="000F7A7F" w:rsidRDefault="00494BDF" w:rsidP="000C48A9">
      <w:pPr>
        <w:pStyle w:val="Body"/>
        <w:widowControl w:val="0"/>
        <w:ind w:firstLine="0"/>
        <w:jc w:val="both"/>
        <w:rPr>
          <w:szCs w:val="26"/>
        </w:rPr>
      </w:pPr>
    </w:p>
    <w:p w14:paraId="22C2C8B9" w14:textId="77777777" w:rsidR="00933EA1" w:rsidRPr="000F7A7F" w:rsidRDefault="00933EA1" w:rsidP="000F7C13">
      <w:pPr>
        <w:spacing w:line="240" w:lineRule="auto"/>
        <w:rPr>
          <w:strike/>
          <w:sz w:val="26"/>
          <w:szCs w:val="26"/>
        </w:rPr>
      </w:pPr>
    </w:p>
    <w:p w14:paraId="259B1882" w14:textId="77777777" w:rsidR="00933EA1" w:rsidRPr="000F7A7F" w:rsidRDefault="00933EA1" w:rsidP="00933EA1">
      <w:pPr>
        <w:rPr>
          <w:sz w:val="26"/>
          <w:szCs w:val="26"/>
        </w:rPr>
      </w:pPr>
    </w:p>
    <w:p w14:paraId="4A07E8A6" w14:textId="77777777" w:rsidR="00052372" w:rsidRPr="000F7A7F" w:rsidRDefault="00052372" w:rsidP="00933EA1">
      <w:pPr>
        <w:tabs>
          <w:tab w:val="left" w:pos="8145"/>
        </w:tabs>
        <w:rPr>
          <w:sz w:val="26"/>
          <w:szCs w:val="26"/>
        </w:rPr>
      </w:pPr>
    </w:p>
    <w:sectPr w:rsidR="00052372" w:rsidRPr="000F7A7F" w:rsidSect="00E372E6">
      <w:headerReference w:type="default" r:id="rId9"/>
      <w:footerReference w:type="even" r:id="rId10"/>
      <w:footerReference w:type="default" r:id="rId11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A6D0" w14:textId="77777777" w:rsidR="00E372E6" w:rsidRDefault="00E372E6">
      <w:r>
        <w:separator/>
      </w:r>
    </w:p>
  </w:endnote>
  <w:endnote w:type="continuationSeparator" w:id="0">
    <w:p w14:paraId="5D29504B" w14:textId="77777777" w:rsidR="00E372E6" w:rsidRDefault="00E3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9B982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1E722A" w14:textId="77777777" w:rsidR="007870CB" w:rsidRDefault="007870CB" w:rsidP="00861563">
    <w:pPr>
      <w:pStyle w:val="Footer"/>
      <w:ind w:right="360"/>
    </w:pPr>
  </w:p>
  <w:p w14:paraId="180E891B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438E4540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E81026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44037EDE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FEE91" w14:textId="77777777" w:rsidR="00E372E6" w:rsidRDefault="00E372E6">
      <w:r>
        <w:separator/>
      </w:r>
    </w:p>
  </w:footnote>
  <w:footnote w:type="continuationSeparator" w:id="0">
    <w:p w14:paraId="6125D601" w14:textId="77777777" w:rsidR="00E372E6" w:rsidRDefault="00E372E6">
      <w:r>
        <w:continuationSeparator/>
      </w:r>
    </w:p>
  </w:footnote>
  <w:footnote w:id="1">
    <w:p w14:paraId="62F4653A" w14:textId="7922C35E" w:rsidR="005178A5" w:rsidRDefault="005178A5" w:rsidP="00F55538">
      <w:pPr>
        <w:pStyle w:val="FootnoteText"/>
      </w:pPr>
      <w:r w:rsidRPr="005178A5">
        <w:rPr>
          <w:rStyle w:val="FootnoteReference"/>
          <w:sz w:val="28"/>
          <w:szCs w:val="28"/>
        </w:rPr>
        <w:footnoteRef/>
      </w:r>
      <w:r w:rsidRPr="005178A5">
        <w:rPr>
          <w:sz w:val="28"/>
          <w:szCs w:val="28"/>
        </w:rPr>
        <w:t xml:space="preserve"> </w:t>
      </w:r>
      <w:r>
        <w:rPr>
          <w:sz w:val="28"/>
          <w:szCs w:val="28"/>
        </w:rPr>
        <w:t>While Proposed Rule 14.4(</w:t>
      </w:r>
      <w:r w:rsidR="00323EB4">
        <w:rPr>
          <w:sz w:val="28"/>
          <w:szCs w:val="28"/>
        </w:rPr>
        <w:t>e)(7)–(8) is similarly vague</w:t>
      </w:r>
      <w:r w:rsidR="00F55538">
        <w:rPr>
          <w:sz w:val="28"/>
          <w:szCs w:val="28"/>
        </w:rPr>
        <w:t xml:space="preserve"> in terms of identifying possible collateral consequences</w:t>
      </w:r>
      <w:r w:rsidR="00323EB4">
        <w:rPr>
          <w:sz w:val="28"/>
          <w:szCs w:val="28"/>
        </w:rPr>
        <w:t xml:space="preserve">, because this advisement is given as part of the arraignment, </w:t>
      </w:r>
      <w:r w:rsidR="00F55538">
        <w:rPr>
          <w:sz w:val="28"/>
          <w:szCs w:val="28"/>
        </w:rPr>
        <w:t xml:space="preserve">the State Bar does not have the same concerns </w:t>
      </w:r>
      <w:r w:rsidR="00E84504">
        <w:rPr>
          <w:sz w:val="28"/>
          <w:szCs w:val="28"/>
        </w:rPr>
        <w:t>that it would lead to delays and invite unnecessary litigation.</w:t>
      </w:r>
      <w:r w:rsidR="00F55538">
        <w:rPr>
          <w:sz w:val="28"/>
          <w:szCs w:val="2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9EEE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198E9B" wp14:editId="628086A1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8A961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B9C2C6" wp14:editId="2C722289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10C258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rMJPJ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A3BE4F" wp14:editId="71C89CAF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01ED28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>
              <w10:wrap anchorx="margin" anchory="page"/>
            </v:line>
          </w:pict>
        </mc:Fallback>
      </mc:AlternateContent>
    </w:r>
  </w:p>
  <w:p w14:paraId="5BF4D0D3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FEA6C" wp14:editId="21410D06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D663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4C6706F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2782703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5218DDC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1F01F52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292711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5AC882F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59551A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30D7C9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6152E8C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44B9685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17E4E57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4342E1F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77E47AC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134621C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048A4C8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48A66ED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33F831B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5397DEA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04453D6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6F5079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7D436DA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1ED2A6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124334A4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3747286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3FE6EE4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FEA6C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" stroked="f">
              <v:textbox inset="0,0,0,0">
                <w:txbxContent>
                  <w:p w14:paraId="579D663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4C6706F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2782703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5218DDC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1F01F52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292711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5AC882F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59551A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30D7C9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6152E8C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44B9685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17E4E57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4342E1F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77E47AC0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134621C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048A4C8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48A66ED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33F831B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5397DEA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04453D62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6F5079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7D436DA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1ED2A6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124334A4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3747286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3FE6EE4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8288678">
    <w:abstractNumId w:val="11"/>
  </w:num>
  <w:num w:numId="2" w16cid:durableId="1338851655">
    <w:abstractNumId w:val="12"/>
  </w:num>
  <w:num w:numId="3" w16cid:durableId="1296182094">
    <w:abstractNumId w:val="0"/>
  </w:num>
  <w:num w:numId="4" w16cid:durableId="736973399">
    <w:abstractNumId w:val="4"/>
  </w:num>
  <w:num w:numId="5" w16cid:durableId="1994602185">
    <w:abstractNumId w:val="6"/>
  </w:num>
  <w:num w:numId="6" w16cid:durableId="705905435">
    <w:abstractNumId w:val="7"/>
  </w:num>
  <w:num w:numId="7" w16cid:durableId="1829319839">
    <w:abstractNumId w:val="1"/>
  </w:num>
  <w:num w:numId="8" w16cid:durableId="1136950692">
    <w:abstractNumId w:val="13"/>
  </w:num>
  <w:num w:numId="9" w16cid:durableId="1542329543">
    <w:abstractNumId w:val="8"/>
  </w:num>
  <w:num w:numId="10" w16cid:durableId="451173854">
    <w:abstractNumId w:val="10"/>
  </w:num>
  <w:num w:numId="11" w16cid:durableId="21368526">
    <w:abstractNumId w:val="9"/>
  </w:num>
  <w:num w:numId="12" w16cid:durableId="1141196481">
    <w:abstractNumId w:val="5"/>
  </w:num>
  <w:num w:numId="13" w16cid:durableId="984310016">
    <w:abstractNumId w:val="2"/>
  </w:num>
  <w:num w:numId="14" w16cid:durableId="102000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410B3"/>
    <w:rsid w:val="00042041"/>
    <w:rsid w:val="00043D4D"/>
    <w:rsid w:val="0004660C"/>
    <w:rsid w:val="00052372"/>
    <w:rsid w:val="000666D1"/>
    <w:rsid w:val="000761DE"/>
    <w:rsid w:val="0008003D"/>
    <w:rsid w:val="000822A0"/>
    <w:rsid w:val="000917C0"/>
    <w:rsid w:val="000A1D6B"/>
    <w:rsid w:val="000B6389"/>
    <w:rsid w:val="000C48A9"/>
    <w:rsid w:val="000F7A7F"/>
    <w:rsid w:val="000F7C13"/>
    <w:rsid w:val="00135326"/>
    <w:rsid w:val="00177697"/>
    <w:rsid w:val="001A2520"/>
    <w:rsid w:val="001A5F4E"/>
    <w:rsid w:val="001D77E2"/>
    <w:rsid w:val="001F591C"/>
    <w:rsid w:val="00204F6D"/>
    <w:rsid w:val="00207336"/>
    <w:rsid w:val="0021089B"/>
    <w:rsid w:val="00212071"/>
    <w:rsid w:val="00215D98"/>
    <w:rsid w:val="00274D6A"/>
    <w:rsid w:val="003072DD"/>
    <w:rsid w:val="00323EB4"/>
    <w:rsid w:val="00334B42"/>
    <w:rsid w:val="00352347"/>
    <w:rsid w:val="003566D6"/>
    <w:rsid w:val="00357F4D"/>
    <w:rsid w:val="003617D1"/>
    <w:rsid w:val="00377199"/>
    <w:rsid w:val="003A28AC"/>
    <w:rsid w:val="003D3A65"/>
    <w:rsid w:val="00407E2D"/>
    <w:rsid w:val="004331B2"/>
    <w:rsid w:val="00440E4C"/>
    <w:rsid w:val="00463734"/>
    <w:rsid w:val="00466BBF"/>
    <w:rsid w:val="00494BDF"/>
    <w:rsid w:val="004C3AE3"/>
    <w:rsid w:val="00504E1E"/>
    <w:rsid w:val="00506859"/>
    <w:rsid w:val="005178A5"/>
    <w:rsid w:val="00520F93"/>
    <w:rsid w:val="005305EB"/>
    <w:rsid w:val="00566856"/>
    <w:rsid w:val="005845AE"/>
    <w:rsid w:val="00593A6F"/>
    <w:rsid w:val="005A21B0"/>
    <w:rsid w:val="005B5161"/>
    <w:rsid w:val="005D6AD4"/>
    <w:rsid w:val="006160B9"/>
    <w:rsid w:val="006338C1"/>
    <w:rsid w:val="00636F5E"/>
    <w:rsid w:val="00665CCF"/>
    <w:rsid w:val="006666D1"/>
    <w:rsid w:val="006721EC"/>
    <w:rsid w:val="006766BF"/>
    <w:rsid w:val="00692391"/>
    <w:rsid w:val="006932BA"/>
    <w:rsid w:val="006B3CF8"/>
    <w:rsid w:val="006B4F9A"/>
    <w:rsid w:val="006E4770"/>
    <w:rsid w:val="006F63FD"/>
    <w:rsid w:val="00724918"/>
    <w:rsid w:val="00732169"/>
    <w:rsid w:val="00735659"/>
    <w:rsid w:val="007427C6"/>
    <w:rsid w:val="0077110E"/>
    <w:rsid w:val="007870CB"/>
    <w:rsid w:val="007A3F0F"/>
    <w:rsid w:val="007D5C49"/>
    <w:rsid w:val="007D73FF"/>
    <w:rsid w:val="007E32DC"/>
    <w:rsid w:val="007E3CCB"/>
    <w:rsid w:val="008006ED"/>
    <w:rsid w:val="00822598"/>
    <w:rsid w:val="00822D7C"/>
    <w:rsid w:val="008360A1"/>
    <w:rsid w:val="0085794D"/>
    <w:rsid w:val="00861563"/>
    <w:rsid w:val="00871AAA"/>
    <w:rsid w:val="00876F57"/>
    <w:rsid w:val="00891AAA"/>
    <w:rsid w:val="008A4EB3"/>
    <w:rsid w:val="008B7235"/>
    <w:rsid w:val="008F30CA"/>
    <w:rsid w:val="00931F22"/>
    <w:rsid w:val="00933EA1"/>
    <w:rsid w:val="00951416"/>
    <w:rsid w:val="00954A5E"/>
    <w:rsid w:val="00960D21"/>
    <w:rsid w:val="00981D29"/>
    <w:rsid w:val="00981E11"/>
    <w:rsid w:val="00A1564B"/>
    <w:rsid w:val="00A4249C"/>
    <w:rsid w:val="00A5194F"/>
    <w:rsid w:val="00A871D6"/>
    <w:rsid w:val="00A93A7C"/>
    <w:rsid w:val="00AF282C"/>
    <w:rsid w:val="00AF3FF7"/>
    <w:rsid w:val="00B1491D"/>
    <w:rsid w:val="00B47B7D"/>
    <w:rsid w:val="00B94EC8"/>
    <w:rsid w:val="00C03E0F"/>
    <w:rsid w:val="00C52E56"/>
    <w:rsid w:val="00C5407A"/>
    <w:rsid w:val="00C662B0"/>
    <w:rsid w:val="00C84FD4"/>
    <w:rsid w:val="00C958EE"/>
    <w:rsid w:val="00CD21FB"/>
    <w:rsid w:val="00D423FE"/>
    <w:rsid w:val="00D442E4"/>
    <w:rsid w:val="00D5793D"/>
    <w:rsid w:val="00D60D9B"/>
    <w:rsid w:val="00D80EDC"/>
    <w:rsid w:val="00DD478C"/>
    <w:rsid w:val="00DF1712"/>
    <w:rsid w:val="00DF4F15"/>
    <w:rsid w:val="00E047D3"/>
    <w:rsid w:val="00E24E22"/>
    <w:rsid w:val="00E266B7"/>
    <w:rsid w:val="00E321C5"/>
    <w:rsid w:val="00E372E6"/>
    <w:rsid w:val="00E54A5E"/>
    <w:rsid w:val="00E5772B"/>
    <w:rsid w:val="00E67511"/>
    <w:rsid w:val="00E81026"/>
    <w:rsid w:val="00E82D0F"/>
    <w:rsid w:val="00E84504"/>
    <w:rsid w:val="00E90A5C"/>
    <w:rsid w:val="00E950B5"/>
    <w:rsid w:val="00EC1FC5"/>
    <w:rsid w:val="00EF13B3"/>
    <w:rsid w:val="00F05879"/>
    <w:rsid w:val="00F06F5B"/>
    <w:rsid w:val="00F2485D"/>
    <w:rsid w:val="00F33926"/>
    <w:rsid w:val="00F55538"/>
    <w:rsid w:val="00F60C61"/>
    <w:rsid w:val="00F64B52"/>
    <w:rsid w:val="00F850BE"/>
    <w:rsid w:val="00FB5291"/>
    <w:rsid w:val="00FB5E84"/>
    <w:rsid w:val="00FC322E"/>
    <w:rsid w:val="00FD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5F33E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2503A-9B6E-4526-B5D7-88469558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</Template>
  <TotalTime>3</TotalTime>
  <Pages>3</Pages>
  <Words>447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lisa.panahi@staff.azbar.org</cp:lastModifiedBy>
  <cp:revision>4</cp:revision>
  <cp:lastPrinted>2014-04-30T16:27:00Z</cp:lastPrinted>
  <dcterms:created xsi:type="dcterms:W3CDTF">2024-04-23T23:18:00Z</dcterms:created>
  <dcterms:modified xsi:type="dcterms:W3CDTF">2024-04-30T00:34:00Z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