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524D6" w14:textId="2543A8C4" w:rsidR="003D6070" w:rsidRDefault="003D6070"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442F9F02" w14:textId="664329B6"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r w:rsidR="00AE0F9E">
        <w:rPr>
          <w:rFonts w:ascii="Times New Roman" w:hAnsi="Times New Roman"/>
          <w:b/>
          <w:sz w:val="24"/>
          <w:szCs w:val="24"/>
        </w:rPr>
        <w:t>; Erin K. Sutherland, SB#027627</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570AF0AA" w:rsidR="00A74317" w:rsidRDefault="00A74317" w:rsidP="00A74317">
      <w:pPr>
        <w:pStyle w:val="AttorneyName"/>
        <w:spacing w:line="240" w:lineRule="auto"/>
        <w:rPr>
          <w:rFonts w:ascii="Times New Roman" w:hAnsi="Times New Roman"/>
          <w:b/>
          <w:sz w:val="24"/>
          <w:szCs w:val="24"/>
        </w:rPr>
      </w:pP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154135BA" w:rsidR="00A74317" w:rsidRDefault="00C63D94" w:rsidP="00A74317">
      <w:pPr>
        <w:pStyle w:val="AttorneyName"/>
        <w:spacing w:line="240" w:lineRule="auto"/>
        <w:rPr>
          <w:rStyle w:val="Hyperlink"/>
          <w:rFonts w:ascii="Times New Roman" w:hAnsi="Times New Roman"/>
          <w:b/>
          <w:sz w:val="24"/>
          <w:szCs w:val="24"/>
        </w:rPr>
      </w:pPr>
      <w:hyperlink r:id="rId11" w:history="1">
        <w:r w:rsidR="00AC3538" w:rsidRPr="00B370A5">
          <w:rPr>
            <w:rStyle w:val="Hyperlink"/>
            <w:rFonts w:ascii="Times New Roman" w:hAnsi="Times New Roman"/>
            <w:b/>
            <w:sz w:val="24"/>
            <w:szCs w:val="24"/>
          </w:rPr>
          <w:t>david.euchner@pima.gov</w:t>
        </w:r>
      </w:hyperlink>
      <w:r w:rsidR="00AE0F9E">
        <w:rPr>
          <w:rFonts w:ascii="Times New Roman" w:hAnsi="Times New Roman"/>
          <w:b/>
          <w:sz w:val="24"/>
          <w:szCs w:val="24"/>
        </w:rPr>
        <w:t xml:space="preserve">; </w:t>
      </w:r>
      <w:hyperlink r:id="rId12" w:history="1">
        <w:r w:rsidR="00AE0F9E" w:rsidRPr="00577318">
          <w:rPr>
            <w:rStyle w:val="Hyperlink"/>
            <w:rFonts w:ascii="Times New Roman" w:hAnsi="Times New Roman"/>
            <w:b/>
            <w:sz w:val="24"/>
            <w:szCs w:val="24"/>
          </w:rPr>
          <w:t>erin.sutherland@pima.gov</w:t>
        </w:r>
      </w:hyperlink>
      <w:r w:rsidR="00AE0F9E">
        <w:rPr>
          <w:rFonts w:ascii="Times New Roman" w:hAnsi="Times New Roman"/>
          <w:b/>
          <w:sz w:val="24"/>
          <w:szCs w:val="24"/>
        </w:rPr>
        <w:t xml:space="preserve"> </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place">
        <w:smartTag w:uri="urn:schemas-microsoft-com:office:smarttags" w:element="Stat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366C19E4"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3D6070">
              <w:rPr>
                <w:rFonts w:ascii="Times New Roman" w:hAnsi="Times New Roman"/>
                <w:sz w:val="28"/>
                <w:szCs w:val="28"/>
              </w:rPr>
              <w:t>mend</w:t>
            </w:r>
            <w:r w:rsidRPr="0014499B">
              <w:rPr>
                <w:rFonts w:ascii="Times New Roman" w:hAnsi="Times New Roman"/>
                <w:sz w:val="28"/>
                <w:szCs w:val="28"/>
              </w:rPr>
              <w:t xml:space="preserve"> </w:t>
            </w:r>
            <w:bookmarkEnd w:id="1"/>
            <w:r w:rsidR="003E5547" w:rsidRPr="003E5547">
              <w:rPr>
                <w:rFonts w:ascii="Times New Roman" w:hAnsi="Times New Roman"/>
                <w:sz w:val="28"/>
                <w:szCs w:val="28"/>
              </w:rPr>
              <w:t>Ariz</w:t>
            </w:r>
            <w:r w:rsidR="003E5547">
              <w:rPr>
                <w:rFonts w:ascii="Times New Roman" w:hAnsi="Times New Roman"/>
                <w:sz w:val="28"/>
                <w:szCs w:val="28"/>
              </w:rPr>
              <w:t>.</w:t>
            </w:r>
            <w:r w:rsidR="003E5547" w:rsidRPr="003E5547">
              <w:rPr>
                <w:rFonts w:ascii="Times New Roman" w:hAnsi="Times New Roman"/>
                <w:sz w:val="28"/>
                <w:szCs w:val="28"/>
              </w:rPr>
              <w:t xml:space="preserve"> R</w:t>
            </w:r>
            <w:r w:rsidR="003E5547">
              <w:rPr>
                <w:rFonts w:ascii="Times New Roman" w:hAnsi="Times New Roman"/>
                <w:sz w:val="28"/>
                <w:szCs w:val="28"/>
              </w:rPr>
              <w:t>.</w:t>
            </w:r>
            <w:r w:rsidR="003E5547" w:rsidRPr="003E5547">
              <w:rPr>
                <w:rFonts w:ascii="Times New Roman" w:hAnsi="Times New Roman"/>
                <w:sz w:val="28"/>
                <w:szCs w:val="28"/>
              </w:rPr>
              <w:t xml:space="preserve"> </w:t>
            </w:r>
            <w:r w:rsidR="003D6070">
              <w:rPr>
                <w:rFonts w:ascii="Times New Roman" w:hAnsi="Times New Roman"/>
                <w:sz w:val="28"/>
                <w:szCs w:val="28"/>
              </w:rPr>
              <w:t>Evid</w:t>
            </w:r>
            <w:r w:rsidR="003E5547">
              <w:rPr>
                <w:rFonts w:ascii="Times New Roman" w:hAnsi="Times New Roman"/>
                <w:sz w:val="28"/>
                <w:szCs w:val="28"/>
              </w:rPr>
              <w:t>.</w:t>
            </w:r>
            <w:r w:rsidR="003D6070">
              <w:rPr>
                <w:rFonts w:ascii="Times New Roman" w:hAnsi="Times New Roman"/>
                <w:sz w:val="28"/>
                <w:szCs w:val="28"/>
              </w:rPr>
              <w:t xml:space="preserve"> </w:t>
            </w:r>
            <w:r w:rsidR="00680F42" w:rsidRPr="00680F42">
              <w:rPr>
                <w:rFonts w:ascii="Times New Roman" w:hAnsi="Times New Roman"/>
                <w:sz w:val="28"/>
                <w:szCs w:val="28"/>
              </w:rPr>
              <w:t>4</w:t>
            </w:r>
            <w:r w:rsidR="003D6070">
              <w:rPr>
                <w:rFonts w:ascii="Times New Roman" w:hAnsi="Times New Roman"/>
                <w:sz w:val="28"/>
                <w:szCs w:val="28"/>
              </w:rPr>
              <w:t>12</w:t>
            </w:r>
            <w:r w:rsidR="003E5547" w:rsidRPr="003E5547">
              <w:rPr>
                <w:rFonts w:ascii="Times New Roman" w:hAnsi="Times New Roman"/>
                <w:sz w:val="28"/>
                <w:szCs w:val="28"/>
              </w:rPr>
              <w:t>.</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741A83F0"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3812FE">
              <w:rPr>
                <w:rFonts w:ascii="Times New Roman" w:hAnsi="Times New Roman"/>
                <w:sz w:val="28"/>
                <w:szCs w:val="28"/>
              </w:rPr>
              <w:t>24-</w:t>
            </w:r>
            <w:r w:rsidR="003D6070">
              <w:rPr>
                <w:rFonts w:ascii="Times New Roman" w:hAnsi="Times New Roman"/>
                <w:sz w:val="28"/>
                <w:szCs w:val="28"/>
              </w:rPr>
              <w:t>0018</w:t>
            </w:r>
          </w:p>
          <w:p w14:paraId="268AB802" w14:textId="748F7E60" w:rsidR="00DC38DE" w:rsidRPr="0014499B" w:rsidRDefault="00DC38DE" w:rsidP="00DB2614">
            <w:pPr>
              <w:pStyle w:val="SingleSpacing"/>
              <w:spacing w:line="240" w:lineRule="auto"/>
              <w:rPr>
                <w:rFonts w:ascii="Times New Roman" w:hAnsi="Times New Roman"/>
                <w:sz w:val="28"/>
                <w:szCs w:val="28"/>
              </w:rPr>
            </w:pPr>
          </w:p>
          <w:p w14:paraId="268AB803" w14:textId="6D658FD8" w:rsidR="00DC38DE" w:rsidRPr="00F84E06" w:rsidRDefault="003D6070" w:rsidP="00C76BAA">
            <w:pPr>
              <w:pStyle w:val="SingleSpacing"/>
              <w:spacing w:line="240" w:lineRule="auto"/>
              <w:rPr>
                <w:rFonts w:ascii="Times New Roman" w:hAnsi="Times New Roman"/>
                <w:b/>
                <w:i/>
                <w:sz w:val="28"/>
                <w:szCs w:val="28"/>
              </w:rPr>
            </w:pPr>
            <w:r>
              <w:rPr>
                <w:rFonts w:ascii="Times New Roman" w:hAnsi="Times New Roman"/>
                <w:b/>
                <w:sz w:val="28"/>
                <w:szCs w:val="28"/>
              </w:rPr>
              <w:t>Comment of Arizona Attorneys for Criminal Justice regarding Petition</w:t>
            </w:r>
            <w:r w:rsidR="003812FE">
              <w:rPr>
                <w:rFonts w:ascii="Times New Roman" w:hAnsi="Times New Roman"/>
                <w:b/>
                <w:sz w:val="28"/>
                <w:szCs w:val="28"/>
              </w:rPr>
              <w:t xml:space="preserve"> to Amend Arizona Rule of </w:t>
            </w:r>
            <w:r>
              <w:rPr>
                <w:rFonts w:ascii="Times New Roman" w:hAnsi="Times New Roman"/>
                <w:b/>
                <w:sz w:val="28"/>
                <w:szCs w:val="28"/>
              </w:rPr>
              <w:t>Evidence 412</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2086590F" w14:textId="0F268F5C" w:rsidR="003D6070" w:rsidRDefault="003D6070" w:rsidP="003D6070">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Pr>
          <w:rFonts w:ascii="Times New Roman" w:hAnsi="Times New Roman"/>
          <w:sz w:val="28"/>
          <w:szCs w:val="28"/>
        </w:rPr>
        <w:t xml:space="preserve">comment on the </w:t>
      </w:r>
      <w:r w:rsidRPr="0014499B">
        <w:rPr>
          <w:rFonts w:ascii="Times New Roman" w:hAnsi="Times New Roman"/>
          <w:sz w:val="28"/>
          <w:szCs w:val="28"/>
        </w:rPr>
        <w:t>petition</w:t>
      </w:r>
      <w:r>
        <w:rPr>
          <w:rFonts w:ascii="Times New Roman" w:hAnsi="Times New Roman"/>
          <w:sz w:val="28"/>
          <w:szCs w:val="28"/>
        </w:rPr>
        <w:t xml:space="preserve"> to amend Arizona Rule of Evidence 412.</w:t>
      </w:r>
    </w:p>
    <w:p w14:paraId="180EBEFD" w14:textId="77777777" w:rsidR="00AD3DC3" w:rsidRDefault="00AD3DC3" w:rsidP="00AD3DC3">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
    <w:p w14:paraId="5EE649A3" w14:textId="4CFA342C" w:rsidR="00EF7C20" w:rsidRDefault="00EF7C20" w:rsidP="00AD3DC3">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the Advisory Committee on Rules of Evidence, </w:t>
      </w:r>
      <w:r w:rsidR="000D6BB1">
        <w:rPr>
          <w:rFonts w:ascii="Times New Roman" w:hAnsi="Times New Roman"/>
          <w:sz w:val="28"/>
          <w:szCs w:val="28"/>
        </w:rPr>
        <w:t>cogently</w:t>
      </w:r>
      <w:r>
        <w:rPr>
          <w:rFonts w:ascii="Times New Roman" w:hAnsi="Times New Roman"/>
          <w:sz w:val="28"/>
          <w:szCs w:val="28"/>
        </w:rPr>
        <w:t xml:space="preserve"> lays </w:t>
      </w:r>
      <w:r w:rsidR="000D6BB1">
        <w:rPr>
          <w:rFonts w:ascii="Times New Roman" w:hAnsi="Times New Roman"/>
          <w:sz w:val="28"/>
          <w:szCs w:val="28"/>
        </w:rPr>
        <w:t>out the history of the rape shield in the federal system and under Arizona law. Petition at 2-3. AACJ takes no issue with Petitioner’s argument in favor of a civil rape shield law</w:t>
      </w:r>
      <w:r w:rsidR="008E3AD2">
        <w:rPr>
          <w:rFonts w:ascii="Times New Roman" w:hAnsi="Times New Roman"/>
          <w:sz w:val="28"/>
          <w:szCs w:val="28"/>
        </w:rPr>
        <w:t>, since one has existed in</w:t>
      </w:r>
      <w:r w:rsidR="000D6BB1">
        <w:rPr>
          <w:rFonts w:ascii="Times New Roman" w:hAnsi="Times New Roman"/>
          <w:sz w:val="28"/>
          <w:szCs w:val="28"/>
        </w:rPr>
        <w:t xml:space="preserve"> Federal Rule of Evidence 412</w:t>
      </w:r>
      <w:r w:rsidR="008E3AD2">
        <w:rPr>
          <w:rFonts w:ascii="Times New Roman" w:hAnsi="Times New Roman"/>
          <w:sz w:val="28"/>
          <w:szCs w:val="28"/>
        </w:rPr>
        <w:t xml:space="preserve"> for thirty years. AACJ also agrees with the Petition insofar as it asks this Court to </w:t>
      </w:r>
      <w:r w:rsidR="000D6BB1">
        <w:rPr>
          <w:rFonts w:ascii="Times New Roman" w:hAnsi="Times New Roman"/>
          <w:sz w:val="28"/>
          <w:szCs w:val="28"/>
        </w:rPr>
        <w:t>adopt</w:t>
      </w:r>
      <w:r w:rsidR="008E3AD2">
        <w:rPr>
          <w:rFonts w:ascii="Times New Roman" w:hAnsi="Times New Roman"/>
          <w:sz w:val="28"/>
          <w:szCs w:val="28"/>
        </w:rPr>
        <w:t xml:space="preserve"> a rape shield law in</w:t>
      </w:r>
      <w:r w:rsidR="000D6BB1">
        <w:rPr>
          <w:rFonts w:ascii="Times New Roman" w:hAnsi="Times New Roman"/>
          <w:sz w:val="28"/>
          <w:szCs w:val="28"/>
        </w:rPr>
        <w:t xml:space="preserve"> Arizona Rule of Evidence 412</w:t>
      </w:r>
      <w:r w:rsidR="008E3AD2">
        <w:rPr>
          <w:rFonts w:ascii="Times New Roman" w:hAnsi="Times New Roman"/>
          <w:sz w:val="28"/>
          <w:szCs w:val="28"/>
        </w:rPr>
        <w:t xml:space="preserve"> while diverging from some of the procedural requirements included in the corresponding federal rule</w:t>
      </w:r>
      <w:r w:rsidR="000D6BB1">
        <w:rPr>
          <w:rFonts w:ascii="Times New Roman" w:hAnsi="Times New Roman"/>
          <w:sz w:val="28"/>
          <w:szCs w:val="28"/>
        </w:rPr>
        <w:t>.</w:t>
      </w:r>
    </w:p>
    <w:p w14:paraId="0760AA7E" w14:textId="7BF15280" w:rsidR="00AD3DC3" w:rsidRDefault="008E3AD2" w:rsidP="00CD0255">
      <w:pPr>
        <w:spacing w:line="480" w:lineRule="auto"/>
        <w:ind w:firstLine="720"/>
        <w:jc w:val="both"/>
        <w:rPr>
          <w:rFonts w:ascii="Times New Roman" w:hAnsi="Times New Roman"/>
          <w:sz w:val="28"/>
          <w:szCs w:val="28"/>
        </w:rPr>
      </w:pPr>
      <w:r>
        <w:rPr>
          <w:rFonts w:ascii="Times New Roman" w:hAnsi="Times New Roman"/>
          <w:sz w:val="28"/>
          <w:szCs w:val="28"/>
        </w:rPr>
        <w:t xml:space="preserve">AACJ disagrees with the Petition </w:t>
      </w:r>
      <w:r w:rsidR="00E70AE1">
        <w:rPr>
          <w:rFonts w:ascii="Times New Roman" w:hAnsi="Times New Roman"/>
          <w:sz w:val="28"/>
          <w:szCs w:val="28"/>
        </w:rPr>
        <w:t xml:space="preserve">in two regards: 1) it eschews </w:t>
      </w:r>
      <w:r w:rsidR="00E70AE1">
        <w:rPr>
          <w:rFonts w:ascii="Times New Roman" w:hAnsi="Times New Roman"/>
          <w:i/>
          <w:iCs/>
          <w:sz w:val="28"/>
          <w:szCs w:val="28"/>
        </w:rPr>
        <w:t>all</w:t>
      </w:r>
      <w:r w:rsidR="00E70AE1">
        <w:rPr>
          <w:rFonts w:ascii="Times New Roman" w:hAnsi="Times New Roman"/>
          <w:sz w:val="28"/>
          <w:szCs w:val="28"/>
        </w:rPr>
        <w:t xml:space="preserve"> procedural requirements and thus would perpetuate the chaos that permeates trial court proceedings; and 2) it defers to A.R.S. § 13-1421 even though admission of evidence is a procedural matter that is properly the province of this Court rather than the legislature. This comment focuses on those areas of disagreement and offers a counter-proposal that is substantively consistent with the federal rule and procedurally consistent with the overall thrust of the Arizona rules.</w:t>
      </w:r>
    </w:p>
    <w:p w14:paraId="1825580F" w14:textId="2F9A3EEB" w:rsidR="00E70AE1" w:rsidRPr="00E70AE1" w:rsidRDefault="00E70AE1" w:rsidP="00E70AE1">
      <w:pPr>
        <w:pStyle w:val="ListParagraph"/>
        <w:numPr>
          <w:ilvl w:val="0"/>
          <w:numId w:val="22"/>
        </w:numPr>
        <w:spacing w:line="240" w:lineRule="auto"/>
        <w:ind w:left="720"/>
        <w:jc w:val="both"/>
        <w:rPr>
          <w:rFonts w:ascii="Times New Roman" w:hAnsi="Times New Roman"/>
          <w:b/>
          <w:bCs/>
          <w:sz w:val="28"/>
          <w:szCs w:val="28"/>
        </w:rPr>
      </w:pPr>
      <w:r w:rsidRPr="00E70AE1">
        <w:rPr>
          <w:rFonts w:ascii="Times New Roman" w:hAnsi="Times New Roman"/>
          <w:b/>
          <w:bCs/>
          <w:sz w:val="28"/>
          <w:szCs w:val="28"/>
        </w:rPr>
        <w:t xml:space="preserve">Ariz. R. Evid. 412 should include rules for admission of evidence in criminal cases, borrowing from but not mirroring A.R.S. § </w:t>
      </w:r>
      <w:r w:rsidR="00AE0F9E" w:rsidRPr="00E70AE1">
        <w:rPr>
          <w:rFonts w:ascii="Times New Roman" w:hAnsi="Times New Roman"/>
          <w:b/>
          <w:bCs/>
          <w:sz w:val="28"/>
          <w:szCs w:val="28"/>
        </w:rPr>
        <w:t>13-1421.</w:t>
      </w:r>
    </w:p>
    <w:p w14:paraId="399EA6E5" w14:textId="77777777" w:rsidR="00E70AE1" w:rsidRPr="00E70AE1" w:rsidRDefault="00E70AE1" w:rsidP="00E70AE1">
      <w:pPr>
        <w:spacing w:line="240" w:lineRule="auto"/>
        <w:ind w:left="720" w:firstLine="720"/>
        <w:jc w:val="both"/>
        <w:rPr>
          <w:rFonts w:ascii="Times New Roman" w:hAnsi="Times New Roman"/>
          <w:b/>
          <w:bCs/>
          <w:sz w:val="28"/>
          <w:szCs w:val="28"/>
        </w:rPr>
      </w:pPr>
    </w:p>
    <w:p w14:paraId="4E552AF9" w14:textId="3D232C31" w:rsidR="004F2D0B" w:rsidRDefault="004F2D0B" w:rsidP="004F2D0B">
      <w:pPr>
        <w:autoSpaceDE w:val="0"/>
        <w:autoSpaceDN w:val="0"/>
        <w:adjustRightInd w:val="0"/>
        <w:spacing w:line="480" w:lineRule="auto"/>
        <w:ind w:firstLine="720"/>
        <w:jc w:val="both"/>
        <w:rPr>
          <w:rFonts w:ascii="Times New Roman" w:hAnsi="Times New Roman"/>
          <w:sz w:val="28"/>
          <w:szCs w:val="28"/>
        </w:rPr>
      </w:pPr>
      <w:r>
        <w:rPr>
          <w:rFonts w:ascii="Times New Roman" w:hAnsi="Times New Roman"/>
          <w:sz w:val="28"/>
          <w:szCs w:val="28"/>
        </w:rPr>
        <w:t>The</w:t>
      </w:r>
      <w:r w:rsidRPr="004F2D0B">
        <w:rPr>
          <w:rFonts w:ascii="Times New Roman" w:hAnsi="Times New Roman"/>
          <w:sz w:val="28"/>
          <w:szCs w:val="28"/>
        </w:rPr>
        <w:t xml:space="preserve"> purpose of rape shield laws is to “protect victims of rape from being exposed at trial to harassment or irrelevant questions concerning their past sexual behavior.” </w:t>
      </w:r>
      <w:r w:rsidRPr="004F2D0B">
        <w:rPr>
          <w:rFonts w:ascii="Times New Roman" w:hAnsi="Times New Roman"/>
          <w:i/>
          <w:sz w:val="28"/>
          <w:szCs w:val="28"/>
        </w:rPr>
        <w:t>Michigan v. Lucas</w:t>
      </w:r>
      <w:r w:rsidRPr="004F2D0B">
        <w:rPr>
          <w:rFonts w:ascii="Times New Roman" w:hAnsi="Times New Roman"/>
          <w:sz w:val="28"/>
          <w:szCs w:val="28"/>
        </w:rPr>
        <w:t xml:space="preserve">, 500 U.S. 145, 146 (1991). </w:t>
      </w:r>
      <w:r>
        <w:rPr>
          <w:rFonts w:ascii="Times New Roman" w:hAnsi="Times New Roman"/>
          <w:sz w:val="28"/>
          <w:szCs w:val="28"/>
        </w:rPr>
        <w:t>S</w:t>
      </w:r>
      <w:r w:rsidRPr="004F2D0B">
        <w:rPr>
          <w:rFonts w:ascii="Times New Roman" w:hAnsi="Times New Roman"/>
          <w:sz w:val="28"/>
          <w:szCs w:val="28"/>
        </w:rPr>
        <w:t xml:space="preserve">tates have a legitimate </w:t>
      </w:r>
      <w:r w:rsidRPr="004F2D0B">
        <w:rPr>
          <w:rFonts w:ascii="Times New Roman" w:hAnsi="Times New Roman"/>
          <w:sz w:val="28"/>
          <w:szCs w:val="28"/>
        </w:rPr>
        <w:lastRenderedPageBreak/>
        <w:t xml:space="preserve">interest in determining that rape victims “deserve heightened protection against surprise, harassment and unnecessary invasions of privacy.” </w:t>
      </w:r>
      <w:r w:rsidRPr="004F2D0B">
        <w:rPr>
          <w:rFonts w:ascii="Times New Roman" w:hAnsi="Times New Roman"/>
          <w:i/>
          <w:sz w:val="28"/>
          <w:szCs w:val="28"/>
        </w:rPr>
        <w:t>Id</w:t>
      </w:r>
      <w:r w:rsidRPr="004F2D0B">
        <w:rPr>
          <w:rFonts w:ascii="Times New Roman" w:hAnsi="Times New Roman"/>
          <w:sz w:val="28"/>
          <w:szCs w:val="28"/>
        </w:rPr>
        <w:t>.</w:t>
      </w:r>
      <w:r>
        <w:rPr>
          <w:rFonts w:ascii="Times New Roman" w:hAnsi="Times New Roman"/>
          <w:sz w:val="28"/>
          <w:szCs w:val="28"/>
        </w:rPr>
        <w:t xml:space="preserve"> at 150</w:t>
      </w:r>
      <w:r w:rsidRPr="004F2D0B">
        <w:rPr>
          <w:rFonts w:ascii="Times New Roman" w:hAnsi="Times New Roman"/>
          <w:sz w:val="28"/>
          <w:szCs w:val="28"/>
        </w:rPr>
        <w:t xml:space="preserve">; </w:t>
      </w:r>
      <w:r w:rsidRPr="004F2D0B">
        <w:rPr>
          <w:rFonts w:ascii="Times New Roman" w:hAnsi="Times New Roman"/>
          <w:i/>
          <w:sz w:val="28"/>
          <w:szCs w:val="28"/>
        </w:rPr>
        <w:t>State v. Oliver</w:t>
      </w:r>
      <w:r w:rsidRPr="004F2D0B">
        <w:rPr>
          <w:rFonts w:ascii="Times New Roman" w:hAnsi="Times New Roman"/>
          <w:sz w:val="28"/>
          <w:szCs w:val="28"/>
        </w:rPr>
        <w:t xml:space="preserve">, 158 Ariz. 22, 26 (1988). The rationale behind such laws is to eliminate antiquated assumptions concerning the sexual morality of women and consent in rape cases. </w:t>
      </w:r>
      <w:r w:rsidRPr="004F2D0B">
        <w:rPr>
          <w:rFonts w:ascii="Times New Roman" w:hAnsi="Times New Roman"/>
          <w:i/>
          <w:sz w:val="28"/>
          <w:szCs w:val="28"/>
        </w:rPr>
        <w:t>Oliver</w:t>
      </w:r>
      <w:r w:rsidRPr="004F2D0B">
        <w:rPr>
          <w:rFonts w:ascii="Times New Roman" w:hAnsi="Times New Roman"/>
          <w:sz w:val="28"/>
          <w:szCs w:val="28"/>
        </w:rPr>
        <w:t xml:space="preserve">, 158 Ariz. </w:t>
      </w:r>
      <w:r>
        <w:rPr>
          <w:rFonts w:ascii="Times New Roman" w:hAnsi="Times New Roman"/>
          <w:sz w:val="28"/>
          <w:szCs w:val="28"/>
        </w:rPr>
        <w:t>at</w:t>
      </w:r>
      <w:r w:rsidRPr="004F2D0B">
        <w:rPr>
          <w:rFonts w:ascii="Times New Roman" w:hAnsi="Times New Roman"/>
          <w:sz w:val="28"/>
          <w:szCs w:val="28"/>
        </w:rPr>
        <w:t xml:space="preserve"> 26</w:t>
      </w:r>
      <w:r w:rsidR="001C5FF7">
        <w:rPr>
          <w:rFonts w:ascii="Times New Roman" w:hAnsi="Times New Roman"/>
          <w:sz w:val="28"/>
          <w:szCs w:val="28"/>
        </w:rPr>
        <w:t xml:space="preserve">; </w:t>
      </w:r>
      <w:r w:rsidR="001C5FF7" w:rsidRPr="001C5FF7">
        <w:rPr>
          <w:rFonts w:ascii="Times New Roman" w:hAnsi="Times New Roman"/>
          <w:i/>
          <w:iCs/>
          <w:sz w:val="28"/>
          <w:szCs w:val="28"/>
        </w:rPr>
        <w:t>see also</w:t>
      </w:r>
      <w:r w:rsidR="001C5FF7">
        <w:rPr>
          <w:rFonts w:ascii="Times New Roman" w:hAnsi="Times New Roman"/>
          <w:sz w:val="28"/>
          <w:szCs w:val="28"/>
        </w:rPr>
        <w:t xml:space="preserve"> </w:t>
      </w:r>
      <w:r w:rsidR="001C5FF7" w:rsidRPr="004F2D0B">
        <w:rPr>
          <w:rFonts w:ascii="Times New Roman" w:hAnsi="Times New Roman"/>
          <w:i/>
          <w:sz w:val="28"/>
          <w:szCs w:val="28"/>
        </w:rPr>
        <w:t>State ex rel. Pope v. Superior Court</w:t>
      </w:r>
      <w:r w:rsidR="001C5FF7" w:rsidRPr="004F2D0B">
        <w:rPr>
          <w:rFonts w:ascii="Times New Roman" w:hAnsi="Times New Roman"/>
          <w:sz w:val="28"/>
          <w:szCs w:val="28"/>
        </w:rPr>
        <w:t>, 113 Ariz. 22 (1976)</w:t>
      </w:r>
      <w:r>
        <w:rPr>
          <w:rFonts w:ascii="Times New Roman" w:hAnsi="Times New Roman"/>
          <w:sz w:val="28"/>
          <w:szCs w:val="28"/>
        </w:rPr>
        <w:t>.</w:t>
      </w:r>
      <w:r w:rsidRPr="004F2D0B">
        <w:rPr>
          <w:rFonts w:ascii="Times New Roman" w:hAnsi="Times New Roman"/>
          <w:sz w:val="28"/>
          <w:szCs w:val="28"/>
        </w:rPr>
        <w:t xml:space="preserve"> However, those interests must be carefully balanced on a </w:t>
      </w:r>
      <w:r w:rsidR="001C5FF7" w:rsidRPr="004F2D0B">
        <w:rPr>
          <w:rFonts w:ascii="Times New Roman" w:hAnsi="Times New Roman"/>
          <w:sz w:val="28"/>
          <w:szCs w:val="28"/>
        </w:rPr>
        <w:t>case-by-case</w:t>
      </w:r>
      <w:r w:rsidRPr="004F2D0B">
        <w:rPr>
          <w:rFonts w:ascii="Times New Roman" w:hAnsi="Times New Roman"/>
          <w:sz w:val="28"/>
          <w:szCs w:val="28"/>
        </w:rPr>
        <w:t xml:space="preserve"> basis against the defendant’s important interest in challenging the motive and credibility of the State’s witnesses or any other aspect of the State’s evidence and in presenting the defendant’s version of the facts to the jury. </w:t>
      </w:r>
      <w:r w:rsidRPr="004F2D0B">
        <w:rPr>
          <w:rFonts w:ascii="Times New Roman" w:hAnsi="Times New Roman"/>
          <w:i/>
          <w:sz w:val="28"/>
          <w:szCs w:val="28"/>
        </w:rPr>
        <w:t>Olden v. Kentucky</w:t>
      </w:r>
      <w:r w:rsidRPr="004F2D0B">
        <w:rPr>
          <w:rFonts w:ascii="Times New Roman" w:hAnsi="Times New Roman"/>
          <w:sz w:val="28"/>
          <w:szCs w:val="28"/>
        </w:rPr>
        <w:t xml:space="preserve">, 488 U.S. 227, 231 (1988); </w:t>
      </w:r>
      <w:r w:rsidRPr="004F2D0B">
        <w:rPr>
          <w:rFonts w:ascii="Times New Roman" w:hAnsi="Times New Roman"/>
          <w:i/>
          <w:sz w:val="28"/>
          <w:szCs w:val="28"/>
        </w:rPr>
        <w:t>Davis v. Alaska</w:t>
      </w:r>
      <w:r w:rsidRPr="004F2D0B">
        <w:rPr>
          <w:rFonts w:ascii="Times New Roman" w:hAnsi="Times New Roman"/>
          <w:sz w:val="28"/>
          <w:szCs w:val="28"/>
        </w:rPr>
        <w:t xml:space="preserve">, 415 U.S. 308, 316-17 (1974); </w:t>
      </w:r>
      <w:r w:rsidRPr="004F2D0B">
        <w:rPr>
          <w:rFonts w:ascii="Times New Roman" w:hAnsi="Times New Roman"/>
          <w:i/>
          <w:sz w:val="28"/>
          <w:szCs w:val="28"/>
        </w:rPr>
        <w:t>Washington v. Texas</w:t>
      </w:r>
      <w:r w:rsidRPr="004F2D0B">
        <w:rPr>
          <w:rFonts w:ascii="Times New Roman" w:hAnsi="Times New Roman"/>
          <w:sz w:val="28"/>
          <w:szCs w:val="28"/>
        </w:rPr>
        <w:t>, 388 U.S. 14, 19 (1967).</w:t>
      </w:r>
      <w:r w:rsidR="005E2629">
        <w:rPr>
          <w:rFonts w:ascii="Times New Roman" w:hAnsi="Times New Roman"/>
          <w:sz w:val="28"/>
          <w:szCs w:val="28"/>
        </w:rPr>
        <w:t xml:space="preserve"> </w:t>
      </w:r>
    </w:p>
    <w:p w14:paraId="77A01BE0" w14:textId="2612FEFF" w:rsidR="00DE69F4" w:rsidRPr="00D551D6" w:rsidRDefault="00D65E59" w:rsidP="00D551D6">
      <w:pPr>
        <w:pStyle w:val="ListParagraph"/>
        <w:numPr>
          <w:ilvl w:val="0"/>
          <w:numId w:val="24"/>
        </w:numPr>
        <w:autoSpaceDE w:val="0"/>
        <w:autoSpaceDN w:val="0"/>
        <w:adjustRightInd w:val="0"/>
        <w:spacing w:line="480" w:lineRule="auto"/>
        <w:ind w:right="720"/>
        <w:jc w:val="both"/>
        <w:rPr>
          <w:rFonts w:ascii="Times New Roman" w:hAnsi="Times New Roman"/>
          <w:b/>
          <w:bCs/>
          <w:sz w:val="28"/>
          <w:szCs w:val="28"/>
        </w:rPr>
      </w:pPr>
      <w:r>
        <w:rPr>
          <w:rFonts w:ascii="Times New Roman" w:hAnsi="Times New Roman"/>
          <w:b/>
          <w:bCs/>
          <w:sz w:val="28"/>
          <w:szCs w:val="28"/>
        </w:rPr>
        <w:t>The enactment of</w:t>
      </w:r>
      <w:r w:rsidR="00DE69F4" w:rsidRPr="00D551D6">
        <w:rPr>
          <w:rFonts w:ascii="Times New Roman" w:hAnsi="Times New Roman"/>
          <w:b/>
          <w:bCs/>
          <w:sz w:val="28"/>
          <w:szCs w:val="28"/>
        </w:rPr>
        <w:t xml:space="preserve"> </w:t>
      </w:r>
      <w:r>
        <w:rPr>
          <w:rFonts w:ascii="Times New Roman" w:hAnsi="Times New Roman"/>
          <w:b/>
          <w:bCs/>
          <w:sz w:val="28"/>
          <w:szCs w:val="28"/>
        </w:rPr>
        <w:t>A.R.S. § 13-1421</w:t>
      </w:r>
      <w:r w:rsidR="00D551D6">
        <w:rPr>
          <w:rFonts w:ascii="Times New Roman" w:hAnsi="Times New Roman"/>
          <w:b/>
          <w:bCs/>
          <w:sz w:val="28"/>
          <w:szCs w:val="28"/>
        </w:rPr>
        <w:t>.</w:t>
      </w:r>
    </w:p>
    <w:p w14:paraId="0BA1CAA0" w14:textId="5F65D0A8" w:rsidR="004F2D0B" w:rsidRDefault="004F2D0B" w:rsidP="004F2D0B">
      <w:pPr>
        <w:autoSpaceDE w:val="0"/>
        <w:autoSpaceDN w:val="0"/>
        <w:adjustRightInd w:val="0"/>
        <w:spacing w:line="480" w:lineRule="auto"/>
        <w:ind w:firstLine="720"/>
        <w:jc w:val="both"/>
        <w:rPr>
          <w:rFonts w:ascii="Times New Roman" w:hAnsi="Times New Roman"/>
          <w:sz w:val="28"/>
          <w:szCs w:val="28"/>
        </w:rPr>
      </w:pPr>
      <w:r w:rsidRPr="004F2D0B">
        <w:rPr>
          <w:rFonts w:ascii="Times New Roman" w:hAnsi="Times New Roman"/>
          <w:sz w:val="28"/>
          <w:szCs w:val="28"/>
        </w:rPr>
        <w:t xml:space="preserve">In </w:t>
      </w:r>
      <w:r w:rsidRPr="004F2D0B">
        <w:rPr>
          <w:rFonts w:ascii="Times New Roman" w:hAnsi="Times New Roman"/>
          <w:i/>
          <w:sz w:val="28"/>
          <w:szCs w:val="28"/>
        </w:rPr>
        <w:t>Oliver</w:t>
      </w:r>
      <w:r w:rsidRPr="004F2D0B">
        <w:rPr>
          <w:rFonts w:ascii="Times New Roman" w:hAnsi="Times New Roman"/>
          <w:sz w:val="28"/>
          <w:szCs w:val="28"/>
        </w:rPr>
        <w:t xml:space="preserve">, </w:t>
      </w:r>
      <w:r>
        <w:rPr>
          <w:rFonts w:ascii="Times New Roman" w:hAnsi="Times New Roman"/>
          <w:sz w:val="28"/>
          <w:szCs w:val="28"/>
        </w:rPr>
        <w:t>this</w:t>
      </w:r>
      <w:r w:rsidRPr="004F2D0B">
        <w:rPr>
          <w:rFonts w:ascii="Times New Roman" w:hAnsi="Times New Roman"/>
          <w:sz w:val="28"/>
          <w:szCs w:val="28"/>
        </w:rPr>
        <w:t xml:space="preserve"> Court allowed a defendant to present incidents of an alleged child victim’s prior abuse to show motive, propensity or ability to fabricate evidence because it was being “introduced for purposes other than to impugn or cast doubt on a victim’s moral character.” 158 Ariz. at 27. And in </w:t>
      </w:r>
      <w:r w:rsidRPr="004F2D0B">
        <w:rPr>
          <w:rFonts w:ascii="Times New Roman" w:hAnsi="Times New Roman"/>
          <w:i/>
          <w:sz w:val="28"/>
          <w:szCs w:val="28"/>
        </w:rPr>
        <w:t>State v. Lujan,</w:t>
      </w:r>
      <w:r w:rsidRPr="004F2D0B">
        <w:rPr>
          <w:rFonts w:ascii="Times New Roman" w:hAnsi="Times New Roman"/>
          <w:sz w:val="28"/>
          <w:szCs w:val="28"/>
        </w:rPr>
        <w:t xml:space="preserve"> 192 Ariz. 448, </w:t>
      </w:r>
      <w:r>
        <w:rPr>
          <w:rFonts w:ascii="Times New Roman" w:hAnsi="Times New Roman"/>
          <w:sz w:val="28"/>
          <w:szCs w:val="28"/>
        </w:rPr>
        <w:t xml:space="preserve">451 ¶ 8 </w:t>
      </w:r>
      <w:r w:rsidRPr="004F2D0B">
        <w:rPr>
          <w:rFonts w:ascii="Times New Roman" w:hAnsi="Times New Roman"/>
          <w:sz w:val="28"/>
          <w:szCs w:val="28"/>
        </w:rPr>
        <w:t>(1998)</w:t>
      </w:r>
      <w:r w:rsidR="00FB734C">
        <w:rPr>
          <w:rFonts w:ascii="Times New Roman" w:hAnsi="Times New Roman"/>
          <w:sz w:val="28"/>
          <w:szCs w:val="28"/>
        </w:rPr>
        <w:t>,</w:t>
      </w:r>
      <w:r w:rsidRPr="004F2D0B">
        <w:rPr>
          <w:rFonts w:ascii="Times New Roman" w:hAnsi="Times New Roman"/>
          <w:sz w:val="28"/>
          <w:szCs w:val="28"/>
        </w:rPr>
        <w:t xml:space="preserve"> the defendant was charged with molesting a nine-year-old girl in a swimming pool; his defense was that he dunked her in the pool but he never touched her in her private parts and she was hypersensitive because of a recent molest she had suffered. The trial court precluded the evidence, but th</w:t>
      </w:r>
      <w:r>
        <w:rPr>
          <w:rFonts w:ascii="Times New Roman" w:hAnsi="Times New Roman"/>
          <w:sz w:val="28"/>
          <w:szCs w:val="28"/>
        </w:rPr>
        <w:t>is</w:t>
      </w:r>
      <w:r w:rsidRPr="004F2D0B">
        <w:rPr>
          <w:rFonts w:ascii="Times New Roman" w:hAnsi="Times New Roman"/>
          <w:sz w:val="28"/>
          <w:szCs w:val="28"/>
        </w:rPr>
        <w:t xml:space="preserve"> Court reversed, holding </w:t>
      </w:r>
      <w:r w:rsidRPr="004F2D0B">
        <w:rPr>
          <w:rFonts w:ascii="Times New Roman" w:hAnsi="Times New Roman"/>
          <w:sz w:val="28"/>
          <w:szCs w:val="28"/>
        </w:rPr>
        <w:lastRenderedPageBreak/>
        <w:t xml:space="preserve">that such evidence was admissible because it was not offered to cast doubt on the alleged victim’s moral character but to help explain circumstances that may have affected her perception of the defendant’s actions. </w:t>
      </w:r>
      <w:r w:rsidRPr="004F2D0B">
        <w:rPr>
          <w:rFonts w:ascii="Times New Roman" w:hAnsi="Times New Roman"/>
          <w:i/>
          <w:sz w:val="28"/>
          <w:szCs w:val="28"/>
        </w:rPr>
        <w:t>Id</w:t>
      </w:r>
      <w:r w:rsidRPr="004F2D0B">
        <w:rPr>
          <w:rFonts w:ascii="Times New Roman" w:hAnsi="Times New Roman"/>
          <w:sz w:val="28"/>
          <w:szCs w:val="28"/>
        </w:rPr>
        <w:t xml:space="preserve">. </w:t>
      </w:r>
      <w:r>
        <w:rPr>
          <w:rFonts w:ascii="Times New Roman" w:hAnsi="Times New Roman"/>
          <w:sz w:val="28"/>
          <w:szCs w:val="28"/>
        </w:rPr>
        <w:t xml:space="preserve">at 452 </w:t>
      </w:r>
      <w:r w:rsidRPr="004F2D0B">
        <w:rPr>
          <w:rFonts w:ascii="Times New Roman" w:hAnsi="Times New Roman"/>
          <w:sz w:val="28"/>
          <w:szCs w:val="28"/>
        </w:rPr>
        <w:t>¶ 13.</w:t>
      </w:r>
    </w:p>
    <w:p w14:paraId="6431C2AF" w14:textId="1E3525BF" w:rsidR="00FB734C" w:rsidRDefault="001C5FF7" w:rsidP="004F2D0B">
      <w:pPr>
        <w:autoSpaceDE w:val="0"/>
        <w:autoSpaceDN w:val="0"/>
        <w:adjustRightInd w:val="0"/>
        <w:spacing w:line="480" w:lineRule="auto"/>
        <w:ind w:firstLine="720"/>
        <w:jc w:val="both"/>
        <w:rPr>
          <w:rFonts w:ascii="Times New Roman" w:hAnsi="Times New Roman"/>
          <w:sz w:val="28"/>
          <w:szCs w:val="28"/>
        </w:rPr>
      </w:pPr>
      <w:r w:rsidRPr="004F2D0B">
        <w:rPr>
          <w:rFonts w:ascii="Times New Roman" w:hAnsi="Times New Roman"/>
          <w:sz w:val="28"/>
          <w:szCs w:val="28"/>
        </w:rPr>
        <w:t xml:space="preserve">In the same year that </w:t>
      </w:r>
      <w:r w:rsidRPr="004F2D0B">
        <w:rPr>
          <w:rFonts w:ascii="Times New Roman" w:hAnsi="Times New Roman"/>
          <w:i/>
          <w:sz w:val="28"/>
          <w:szCs w:val="28"/>
        </w:rPr>
        <w:t>Lujan</w:t>
      </w:r>
      <w:r w:rsidRPr="004F2D0B">
        <w:rPr>
          <w:rFonts w:ascii="Times New Roman" w:hAnsi="Times New Roman"/>
          <w:sz w:val="28"/>
          <w:szCs w:val="28"/>
        </w:rPr>
        <w:t xml:space="preserve"> was decided, the Legislature enacted A.R.S. § 13-1421</w:t>
      </w:r>
      <w:r w:rsidR="00584A77">
        <w:rPr>
          <w:rFonts w:ascii="Times New Roman" w:hAnsi="Times New Roman"/>
          <w:sz w:val="28"/>
          <w:szCs w:val="28"/>
        </w:rPr>
        <w:t>, which</w:t>
      </w:r>
      <w:r w:rsidR="004F2D0B" w:rsidRPr="004F2D0B">
        <w:rPr>
          <w:rFonts w:ascii="Times New Roman" w:hAnsi="Times New Roman"/>
          <w:sz w:val="28"/>
          <w:szCs w:val="28"/>
        </w:rPr>
        <w:t xml:space="preserve"> general</w:t>
      </w:r>
      <w:r w:rsidR="00584A77">
        <w:rPr>
          <w:rFonts w:ascii="Times New Roman" w:hAnsi="Times New Roman"/>
          <w:sz w:val="28"/>
          <w:szCs w:val="28"/>
        </w:rPr>
        <w:t>ly excludes</w:t>
      </w:r>
      <w:r w:rsidR="004F2D0B" w:rsidRPr="004F2D0B">
        <w:rPr>
          <w:rFonts w:ascii="Times New Roman" w:hAnsi="Times New Roman"/>
          <w:sz w:val="28"/>
          <w:szCs w:val="28"/>
        </w:rPr>
        <w:t xml:space="preserve"> reputation and opinion evidence “relating to a victim’s chastity” in a criminal case</w:t>
      </w:r>
      <w:r w:rsidR="00584A77">
        <w:rPr>
          <w:rFonts w:ascii="Times New Roman" w:hAnsi="Times New Roman"/>
          <w:sz w:val="28"/>
          <w:szCs w:val="28"/>
        </w:rPr>
        <w:t>,</w:t>
      </w:r>
      <w:r w:rsidR="004F2D0B" w:rsidRPr="004F2D0B">
        <w:rPr>
          <w:rFonts w:ascii="Times New Roman" w:hAnsi="Times New Roman"/>
          <w:sz w:val="28"/>
          <w:szCs w:val="28"/>
        </w:rPr>
        <w:t xml:space="preserve"> </w:t>
      </w:r>
      <w:r w:rsidR="00584A77">
        <w:rPr>
          <w:rFonts w:ascii="Times New Roman" w:hAnsi="Times New Roman"/>
          <w:sz w:val="28"/>
          <w:szCs w:val="28"/>
        </w:rPr>
        <w:t>with</w:t>
      </w:r>
      <w:r w:rsidR="004F2D0B" w:rsidRPr="004F2D0B">
        <w:rPr>
          <w:rFonts w:ascii="Times New Roman" w:hAnsi="Times New Roman"/>
          <w:sz w:val="28"/>
          <w:szCs w:val="28"/>
        </w:rPr>
        <w:t xml:space="preserve"> five specific exceptions</w:t>
      </w:r>
      <w:r w:rsidR="00FB734C">
        <w:rPr>
          <w:rFonts w:ascii="Times New Roman" w:hAnsi="Times New Roman"/>
          <w:sz w:val="28"/>
          <w:szCs w:val="28"/>
        </w:rPr>
        <w:t>:</w:t>
      </w:r>
      <w:r w:rsidR="004F2D0B" w:rsidRPr="004F2D0B">
        <w:rPr>
          <w:rFonts w:ascii="Times New Roman" w:hAnsi="Times New Roman"/>
          <w:sz w:val="28"/>
          <w:szCs w:val="28"/>
        </w:rPr>
        <w:t xml:space="preserve"> </w:t>
      </w:r>
    </w:p>
    <w:p w14:paraId="5C22B724" w14:textId="0F206878" w:rsidR="00FB734C" w:rsidRDefault="00FB734C" w:rsidP="00B306CF">
      <w:pPr>
        <w:pStyle w:val="ListParagraph"/>
        <w:numPr>
          <w:ilvl w:val="0"/>
          <w:numId w:val="23"/>
        </w:numPr>
        <w:autoSpaceDE w:val="0"/>
        <w:autoSpaceDN w:val="0"/>
        <w:adjustRightInd w:val="0"/>
        <w:spacing w:line="240" w:lineRule="auto"/>
        <w:ind w:left="1080"/>
        <w:jc w:val="both"/>
        <w:rPr>
          <w:rFonts w:ascii="Times New Roman" w:hAnsi="Times New Roman"/>
          <w:sz w:val="28"/>
          <w:szCs w:val="28"/>
        </w:rPr>
      </w:pPr>
      <w:r>
        <w:rPr>
          <w:rFonts w:ascii="Times New Roman" w:hAnsi="Times New Roman"/>
          <w:sz w:val="28"/>
          <w:szCs w:val="28"/>
        </w:rPr>
        <w:t>Showing a victim’s past sexual conduct with the defendant.</w:t>
      </w:r>
    </w:p>
    <w:p w14:paraId="6C25F3CF" w14:textId="61CB86DB" w:rsidR="00FB734C" w:rsidRDefault="00FB734C" w:rsidP="00B306CF">
      <w:pPr>
        <w:pStyle w:val="ListParagraph"/>
        <w:numPr>
          <w:ilvl w:val="0"/>
          <w:numId w:val="23"/>
        </w:numPr>
        <w:autoSpaceDE w:val="0"/>
        <w:autoSpaceDN w:val="0"/>
        <w:adjustRightInd w:val="0"/>
        <w:spacing w:line="240" w:lineRule="auto"/>
        <w:ind w:left="1080"/>
        <w:jc w:val="both"/>
        <w:rPr>
          <w:rFonts w:ascii="Times New Roman" w:hAnsi="Times New Roman"/>
          <w:sz w:val="28"/>
          <w:szCs w:val="28"/>
        </w:rPr>
      </w:pPr>
      <w:r>
        <w:rPr>
          <w:rFonts w:ascii="Times New Roman" w:hAnsi="Times New Roman"/>
          <w:sz w:val="28"/>
          <w:szCs w:val="28"/>
        </w:rPr>
        <w:t xml:space="preserve">Explaining the source or origin of the semen, pregnancy, disease, or trauma with specific instances of sexual activity </w:t>
      </w:r>
    </w:p>
    <w:p w14:paraId="53BA71B4" w14:textId="3E1F8DDA" w:rsidR="00FB734C" w:rsidRDefault="00FB734C" w:rsidP="00B306CF">
      <w:pPr>
        <w:pStyle w:val="ListParagraph"/>
        <w:numPr>
          <w:ilvl w:val="0"/>
          <w:numId w:val="23"/>
        </w:numPr>
        <w:autoSpaceDE w:val="0"/>
        <w:autoSpaceDN w:val="0"/>
        <w:adjustRightInd w:val="0"/>
        <w:spacing w:line="240" w:lineRule="auto"/>
        <w:ind w:left="1080"/>
        <w:jc w:val="both"/>
        <w:rPr>
          <w:rFonts w:ascii="Times New Roman" w:hAnsi="Times New Roman"/>
          <w:sz w:val="28"/>
          <w:szCs w:val="28"/>
        </w:rPr>
      </w:pPr>
      <w:r>
        <w:rPr>
          <w:rFonts w:ascii="Times New Roman" w:hAnsi="Times New Roman"/>
          <w:sz w:val="28"/>
          <w:szCs w:val="28"/>
        </w:rPr>
        <w:t>Supporting a claim that the victim has a motive to accuse the defendant of the offense.</w:t>
      </w:r>
    </w:p>
    <w:p w14:paraId="05882D21" w14:textId="56A38200" w:rsidR="00FB734C" w:rsidRDefault="00FB734C" w:rsidP="00B306CF">
      <w:pPr>
        <w:pStyle w:val="ListParagraph"/>
        <w:numPr>
          <w:ilvl w:val="0"/>
          <w:numId w:val="23"/>
        </w:numPr>
        <w:autoSpaceDE w:val="0"/>
        <w:autoSpaceDN w:val="0"/>
        <w:adjustRightInd w:val="0"/>
        <w:spacing w:line="240" w:lineRule="auto"/>
        <w:ind w:left="1080"/>
        <w:jc w:val="both"/>
        <w:rPr>
          <w:rFonts w:ascii="Times New Roman" w:hAnsi="Times New Roman"/>
          <w:sz w:val="28"/>
          <w:szCs w:val="28"/>
        </w:rPr>
      </w:pPr>
      <w:r>
        <w:rPr>
          <w:rFonts w:ascii="Times New Roman" w:hAnsi="Times New Roman"/>
          <w:sz w:val="28"/>
          <w:szCs w:val="28"/>
        </w:rPr>
        <w:t>To impeach when the prosecutor puts the victim’s prior sexual conduct in issue.</w:t>
      </w:r>
    </w:p>
    <w:p w14:paraId="0439D664" w14:textId="51697767" w:rsidR="00FB734C" w:rsidRDefault="00FB734C" w:rsidP="00B306CF">
      <w:pPr>
        <w:pStyle w:val="ListParagraph"/>
        <w:numPr>
          <w:ilvl w:val="0"/>
          <w:numId w:val="23"/>
        </w:numPr>
        <w:autoSpaceDE w:val="0"/>
        <w:autoSpaceDN w:val="0"/>
        <w:adjustRightInd w:val="0"/>
        <w:spacing w:line="240" w:lineRule="auto"/>
        <w:ind w:left="1080"/>
        <w:jc w:val="both"/>
        <w:rPr>
          <w:rFonts w:ascii="Times New Roman" w:hAnsi="Times New Roman"/>
          <w:sz w:val="28"/>
          <w:szCs w:val="28"/>
        </w:rPr>
      </w:pPr>
      <w:r>
        <w:rPr>
          <w:rFonts w:ascii="Times New Roman" w:hAnsi="Times New Roman"/>
          <w:sz w:val="28"/>
          <w:szCs w:val="28"/>
        </w:rPr>
        <w:t>Demonstrating false allegations of sexual misconduct previously made by the victim against others.</w:t>
      </w:r>
    </w:p>
    <w:p w14:paraId="7EEA9094" w14:textId="77777777" w:rsidR="00B306CF" w:rsidRPr="00D551D6" w:rsidRDefault="00B306CF" w:rsidP="00B306CF">
      <w:pPr>
        <w:pStyle w:val="ListParagraph"/>
        <w:autoSpaceDE w:val="0"/>
        <w:autoSpaceDN w:val="0"/>
        <w:adjustRightInd w:val="0"/>
        <w:spacing w:line="240" w:lineRule="auto"/>
        <w:ind w:left="1080"/>
        <w:jc w:val="both"/>
        <w:rPr>
          <w:rFonts w:ascii="Times New Roman" w:hAnsi="Times New Roman"/>
          <w:sz w:val="28"/>
          <w:szCs w:val="28"/>
        </w:rPr>
      </w:pPr>
    </w:p>
    <w:p w14:paraId="49C4DDD4" w14:textId="6610DDE1" w:rsidR="004F2D0B" w:rsidRDefault="001C5FF7" w:rsidP="00D551D6">
      <w:pPr>
        <w:autoSpaceDE w:val="0"/>
        <w:autoSpaceDN w:val="0"/>
        <w:adjustRightInd w:val="0"/>
        <w:spacing w:line="480" w:lineRule="auto"/>
        <w:jc w:val="both"/>
        <w:rPr>
          <w:rFonts w:ascii="Times New Roman" w:hAnsi="Times New Roman"/>
          <w:sz w:val="28"/>
          <w:szCs w:val="28"/>
        </w:rPr>
      </w:pPr>
      <w:r>
        <w:rPr>
          <w:rFonts w:ascii="Times New Roman" w:hAnsi="Times New Roman"/>
          <w:sz w:val="28"/>
          <w:szCs w:val="28"/>
        </w:rPr>
        <w:t xml:space="preserve">§ 13-1421(A)(1)-(5). </w:t>
      </w:r>
      <w:r w:rsidR="00DE69F4">
        <w:rPr>
          <w:rFonts w:ascii="Times New Roman" w:hAnsi="Times New Roman"/>
          <w:sz w:val="28"/>
          <w:szCs w:val="28"/>
        </w:rPr>
        <w:t>The standard for admissibility for a defendant to introduce evidence under subsection (A) is clear and convincing evidence. § 13-1421(B).</w:t>
      </w:r>
    </w:p>
    <w:p w14:paraId="42614DC0" w14:textId="6BF46140" w:rsidR="00D40965" w:rsidRPr="00D551D6" w:rsidRDefault="00D40965" w:rsidP="00D551D6">
      <w:pPr>
        <w:pStyle w:val="ListParagraph"/>
        <w:numPr>
          <w:ilvl w:val="0"/>
          <w:numId w:val="24"/>
        </w:numPr>
        <w:autoSpaceDE w:val="0"/>
        <w:autoSpaceDN w:val="0"/>
        <w:adjustRightInd w:val="0"/>
        <w:spacing w:line="240" w:lineRule="auto"/>
        <w:ind w:right="720"/>
        <w:jc w:val="both"/>
        <w:rPr>
          <w:rFonts w:ascii="Times New Roman" w:hAnsi="Times New Roman"/>
          <w:b/>
          <w:bCs/>
          <w:sz w:val="28"/>
          <w:szCs w:val="28"/>
        </w:rPr>
      </w:pPr>
      <w:r w:rsidRPr="00D551D6">
        <w:rPr>
          <w:rFonts w:ascii="Times New Roman" w:hAnsi="Times New Roman"/>
          <w:b/>
          <w:bCs/>
          <w:sz w:val="28"/>
          <w:szCs w:val="28"/>
        </w:rPr>
        <w:t xml:space="preserve">Problems with the current </w:t>
      </w:r>
      <w:r w:rsidR="00D65E59">
        <w:rPr>
          <w:rFonts w:ascii="Times New Roman" w:hAnsi="Times New Roman"/>
          <w:b/>
          <w:bCs/>
          <w:sz w:val="28"/>
          <w:szCs w:val="28"/>
        </w:rPr>
        <w:t>standards</w:t>
      </w:r>
      <w:r w:rsidRPr="00D551D6">
        <w:rPr>
          <w:rFonts w:ascii="Times New Roman" w:hAnsi="Times New Roman"/>
          <w:b/>
          <w:bCs/>
          <w:sz w:val="28"/>
          <w:szCs w:val="28"/>
        </w:rPr>
        <w:t xml:space="preserve"> of </w:t>
      </w:r>
      <w:r w:rsidR="00D551D6" w:rsidRPr="00D551D6">
        <w:rPr>
          <w:rFonts w:ascii="Times New Roman" w:hAnsi="Times New Roman"/>
          <w:b/>
          <w:bCs/>
          <w:sz w:val="28"/>
          <w:szCs w:val="28"/>
        </w:rPr>
        <w:t>admissibility</w:t>
      </w:r>
      <w:r w:rsidRPr="00D551D6">
        <w:rPr>
          <w:rFonts w:ascii="Times New Roman" w:hAnsi="Times New Roman"/>
          <w:b/>
          <w:bCs/>
          <w:sz w:val="28"/>
          <w:szCs w:val="28"/>
        </w:rPr>
        <w:t xml:space="preserve"> </w:t>
      </w:r>
      <w:r w:rsidR="00D65E59">
        <w:rPr>
          <w:rFonts w:ascii="Times New Roman" w:hAnsi="Times New Roman"/>
          <w:b/>
          <w:bCs/>
          <w:sz w:val="28"/>
          <w:szCs w:val="28"/>
        </w:rPr>
        <w:t xml:space="preserve">in criminal cases </w:t>
      </w:r>
      <w:r w:rsidRPr="00D551D6">
        <w:rPr>
          <w:rFonts w:ascii="Times New Roman" w:hAnsi="Times New Roman"/>
          <w:b/>
          <w:bCs/>
          <w:sz w:val="28"/>
          <w:szCs w:val="28"/>
        </w:rPr>
        <w:t xml:space="preserve">under § 13-1421. </w:t>
      </w:r>
    </w:p>
    <w:p w14:paraId="339DC248" w14:textId="77777777" w:rsidR="00D40965" w:rsidRDefault="00D40965" w:rsidP="00B306CF">
      <w:pPr>
        <w:autoSpaceDE w:val="0"/>
        <w:autoSpaceDN w:val="0"/>
        <w:adjustRightInd w:val="0"/>
        <w:spacing w:line="240" w:lineRule="auto"/>
        <w:jc w:val="both"/>
        <w:rPr>
          <w:rFonts w:ascii="Times New Roman" w:hAnsi="Times New Roman"/>
          <w:sz w:val="28"/>
          <w:szCs w:val="28"/>
        </w:rPr>
      </w:pPr>
    </w:p>
    <w:p w14:paraId="4359DB43" w14:textId="17EB846C" w:rsidR="00D40965" w:rsidRPr="00D551D6" w:rsidRDefault="00D40965" w:rsidP="00D551D6">
      <w:pPr>
        <w:autoSpaceDE w:val="0"/>
        <w:autoSpaceDN w:val="0"/>
        <w:adjustRightInd w:val="0"/>
        <w:spacing w:line="480" w:lineRule="auto"/>
        <w:ind w:firstLine="720"/>
        <w:jc w:val="both"/>
        <w:rPr>
          <w:rFonts w:ascii="Times New Roman" w:hAnsi="Times New Roman"/>
          <w:sz w:val="28"/>
          <w:szCs w:val="28"/>
        </w:rPr>
      </w:pPr>
      <w:r>
        <w:rPr>
          <w:rFonts w:ascii="Times New Roman" w:hAnsi="Times New Roman"/>
          <w:sz w:val="28"/>
          <w:szCs w:val="28"/>
        </w:rPr>
        <w:t>U</w:t>
      </w:r>
      <w:r w:rsidRPr="004F2D0B">
        <w:rPr>
          <w:rFonts w:ascii="Times New Roman" w:hAnsi="Times New Roman"/>
          <w:sz w:val="28"/>
          <w:szCs w:val="28"/>
        </w:rPr>
        <w:t xml:space="preserve">nder the Due Process Clause of the Fifth and Fourteenth Amendments as well as the Compulsory Process and Confrontation Clauses of the Sixth Amendment, </w:t>
      </w:r>
      <w:r>
        <w:rPr>
          <w:rFonts w:ascii="Times New Roman" w:hAnsi="Times New Roman"/>
          <w:sz w:val="28"/>
          <w:szCs w:val="28"/>
        </w:rPr>
        <w:t>criminal defendants are</w:t>
      </w:r>
      <w:r w:rsidRPr="004F2D0B">
        <w:rPr>
          <w:rFonts w:ascii="Times New Roman" w:hAnsi="Times New Roman"/>
          <w:sz w:val="28"/>
          <w:szCs w:val="28"/>
        </w:rPr>
        <w:t xml:space="preserve"> guaranteed a meaningful opportunity to present a complete defense. </w:t>
      </w:r>
      <w:r w:rsidRPr="004F2D0B">
        <w:rPr>
          <w:rFonts w:ascii="Times New Roman" w:hAnsi="Times New Roman"/>
          <w:i/>
          <w:sz w:val="28"/>
          <w:szCs w:val="28"/>
        </w:rPr>
        <w:t>See, e.g.</w:t>
      </w:r>
      <w:r w:rsidRPr="004F2D0B">
        <w:rPr>
          <w:rFonts w:ascii="Times New Roman" w:hAnsi="Times New Roman"/>
          <w:iCs/>
          <w:sz w:val="28"/>
          <w:szCs w:val="28"/>
        </w:rPr>
        <w:t xml:space="preserve">, </w:t>
      </w:r>
      <w:r w:rsidR="00B306CF" w:rsidRPr="00B306CF">
        <w:rPr>
          <w:rFonts w:ascii="Times New Roman" w:hAnsi="Times New Roman"/>
          <w:i/>
          <w:sz w:val="28"/>
          <w:szCs w:val="28"/>
        </w:rPr>
        <w:t>Chambers v. Mississippi</w:t>
      </w:r>
      <w:r w:rsidR="00B306CF" w:rsidRPr="00B306CF">
        <w:rPr>
          <w:rFonts w:ascii="Times New Roman" w:hAnsi="Times New Roman"/>
          <w:sz w:val="28"/>
          <w:szCs w:val="28"/>
        </w:rPr>
        <w:t xml:space="preserve">, 410 U.S. 284, 290 n.3, 302 (1973); </w:t>
      </w:r>
      <w:r w:rsidR="00B306CF" w:rsidRPr="00B306CF">
        <w:rPr>
          <w:rFonts w:ascii="Times New Roman" w:hAnsi="Times New Roman"/>
          <w:i/>
          <w:sz w:val="28"/>
          <w:szCs w:val="28"/>
        </w:rPr>
        <w:t>Holmes v. South Carolina</w:t>
      </w:r>
      <w:r w:rsidR="00B306CF" w:rsidRPr="00B306CF">
        <w:rPr>
          <w:rFonts w:ascii="Times New Roman" w:hAnsi="Times New Roman"/>
          <w:sz w:val="28"/>
          <w:szCs w:val="28"/>
        </w:rPr>
        <w:t>, 547 U.S. 319, 324 (2006);</w:t>
      </w:r>
      <w:r w:rsidR="00B306CF" w:rsidRPr="00B306CF">
        <w:rPr>
          <w:rFonts w:ascii="Times New Roman" w:hAnsi="Times New Roman"/>
          <w:i/>
          <w:sz w:val="28"/>
          <w:szCs w:val="28"/>
        </w:rPr>
        <w:t xml:space="preserve"> </w:t>
      </w:r>
      <w:r w:rsidRPr="004F2D0B">
        <w:rPr>
          <w:rFonts w:ascii="Times New Roman" w:hAnsi="Times New Roman"/>
          <w:i/>
          <w:sz w:val="28"/>
          <w:szCs w:val="28"/>
        </w:rPr>
        <w:t>Crane v. Kentucky</w:t>
      </w:r>
      <w:r w:rsidRPr="004F2D0B">
        <w:rPr>
          <w:rFonts w:ascii="Times New Roman" w:hAnsi="Times New Roman"/>
          <w:sz w:val="28"/>
          <w:szCs w:val="28"/>
        </w:rPr>
        <w:t xml:space="preserve">, 476 U.S. 683, 690 (1986); </w:t>
      </w:r>
      <w:r>
        <w:rPr>
          <w:rFonts w:ascii="Times New Roman" w:hAnsi="Times New Roman"/>
          <w:i/>
          <w:sz w:val="28"/>
          <w:szCs w:val="28"/>
        </w:rPr>
        <w:t>R.S.</w:t>
      </w:r>
      <w:r w:rsidRPr="004F2D0B">
        <w:rPr>
          <w:rFonts w:ascii="Times New Roman" w:hAnsi="Times New Roman"/>
          <w:i/>
          <w:sz w:val="28"/>
          <w:szCs w:val="28"/>
        </w:rPr>
        <w:t xml:space="preserve"> v. </w:t>
      </w:r>
      <w:r>
        <w:rPr>
          <w:rFonts w:ascii="Times New Roman" w:hAnsi="Times New Roman"/>
          <w:i/>
          <w:sz w:val="28"/>
          <w:szCs w:val="28"/>
        </w:rPr>
        <w:t>Thompson (Vanders II)</w:t>
      </w:r>
      <w:r w:rsidRPr="004F2D0B">
        <w:rPr>
          <w:rFonts w:ascii="Times New Roman" w:hAnsi="Times New Roman"/>
          <w:sz w:val="28"/>
          <w:szCs w:val="28"/>
        </w:rPr>
        <w:t>, 2</w:t>
      </w:r>
      <w:r>
        <w:rPr>
          <w:rFonts w:ascii="Times New Roman" w:hAnsi="Times New Roman"/>
          <w:sz w:val="28"/>
          <w:szCs w:val="28"/>
        </w:rPr>
        <w:t>51</w:t>
      </w:r>
      <w:r w:rsidRPr="004F2D0B">
        <w:rPr>
          <w:rFonts w:ascii="Times New Roman" w:hAnsi="Times New Roman"/>
          <w:sz w:val="28"/>
          <w:szCs w:val="28"/>
        </w:rPr>
        <w:t xml:space="preserve"> Ariz. </w:t>
      </w:r>
      <w:r>
        <w:rPr>
          <w:rFonts w:ascii="Times New Roman" w:hAnsi="Times New Roman"/>
          <w:sz w:val="28"/>
          <w:szCs w:val="28"/>
        </w:rPr>
        <w:t>111</w:t>
      </w:r>
      <w:r w:rsidRPr="004F2D0B">
        <w:rPr>
          <w:rFonts w:ascii="Times New Roman" w:hAnsi="Times New Roman"/>
          <w:sz w:val="28"/>
          <w:szCs w:val="28"/>
        </w:rPr>
        <w:t xml:space="preserve">, </w:t>
      </w:r>
      <w:r>
        <w:rPr>
          <w:rFonts w:ascii="Times New Roman" w:hAnsi="Times New Roman"/>
          <w:sz w:val="28"/>
          <w:szCs w:val="28"/>
        </w:rPr>
        <w:t xml:space="preserve">117 </w:t>
      </w:r>
      <w:r w:rsidRPr="004F2D0B">
        <w:rPr>
          <w:rFonts w:ascii="Times New Roman" w:hAnsi="Times New Roman"/>
          <w:sz w:val="28"/>
          <w:szCs w:val="28"/>
        </w:rPr>
        <w:t>¶ 13 (20</w:t>
      </w:r>
      <w:r>
        <w:rPr>
          <w:rFonts w:ascii="Times New Roman" w:hAnsi="Times New Roman"/>
          <w:sz w:val="28"/>
          <w:szCs w:val="28"/>
        </w:rPr>
        <w:t>2</w:t>
      </w:r>
      <w:r w:rsidRPr="004F2D0B">
        <w:rPr>
          <w:rFonts w:ascii="Times New Roman" w:hAnsi="Times New Roman"/>
          <w:sz w:val="28"/>
          <w:szCs w:val="28"/>
        </w:rPr>
        <w:t>1).</w:t>
      </w:r>
      <w:r w:rsidR="00B306CF">
        <w:rPr>
          <w:rFonts w:ascii="Times New Roman" w:hAnsi="Times New Roman"/>
          <w:sz w:val="28"/>
          <w:szCs w:val="28"/>
        </w:rPr>
        <w:t xml:space="preserve"> </w:t>
      </w:r>
      <w:r w:rsidR="00B306CF">
        <w:rPr>
          <w:rFonts w:ascii="Times New Roman" w:hAnsi="Times New Roman"/>
          <w:sz w:val="28"/>
          <w:szCs w:val="28"/>
        </w:rPr>
        <w:lastRenderedPageBreak/>
        <w:t>“</w:t>
      </w:r>
      <w:r w:rsidR="00B306CF" w:rsidRPr="00B306CF">
        <w:rPr>
          <w:rFonts w:ascii="Times New Roman" w:hAnsi="Times New Roman"/>
          <w:sz w:val="28"/>
          <w:szCs w:val="28"/>
        </w:rPr>
        <w:t xml:space="preserve">Although the exercise of a defendant's right to present a defense generally must comply with those established rules of evidence </w:t>
      </w:r>
      <w:r w:rsidR="00B306CF">
        <w:rPr>
          <w:rFonts w:ascii="Times New Roman" w:hAnsi="Times New Roman"/>
          <w:sz w:val="28"/>
          <w:szCs w:val="28"/>
        </w:rPr>
        <w:t>‘</w:t>
      </w:r>
      <w:r w:rsidR="00B306CF" w:rsidRPr="00B306CF">
        <w:rPr>
          <w:rFonts w:ascii="Times New Roman" w:hAnsi="Times New Roman"/>
          <w:sz w:val="28"/>
          <w:szCs w:val="28"/>
        </w:rPr>
        <w:t>designed to assure both fairness and reliability in the ascertainment of guilt and innocence,</w:t>
      </w:r>
      <w:r w:rsidR="00B306CF">
        <w:rPr>
          <w:rFonts w:ascii="Times New Roman" w:hAnsi="Times New Roman"/>
          <w:sz w:val="28"/>
          <w:szCs w:val="28"/>
        </w:rPr>
        <w:t>’</w:t>
      </w:r>
      <w:r w:rsidR="00B306CF" w:rsidRPr="00B306CF">
        <w:rPr>
          <w:rFonts w:ascii="Times New Roman" w:hAnsi="Times New Roman"/>
          <w:sz w:val="28"/>
          <w:szCs w:val="28"/>
        </w:rPr>
        <w:t xml:space="preserve"> such rules </w:t>
      </w:r>
      <w:r w:rsidR="00B306CF">
        <w:rPr>
          <w:rFonts w:ascii="Times New Roman" w:hAnsi="Times New Roman"/>
          <w:sz w:val="28"/>
          <w:szCs w:val="28"/>
        </w:rPr>
        <w:t>‘</w:t>
      </w:r>
      <w:r w:rsidR="00B306CF" w:rsidRPr="00B306CF">
        <w:rPr>
          <w:rFonts w:ascii="Times New Roman" w:hAnsi="Times New Roman"/>
          <w:sz w:val="28"/>
          <w:szCs w:val="28"/>
        </w:rPr>
        <w:t>may not be applied mechanistically to defeat the ends of justice.</w:t>
      </w:r>
      <w:r w:rsidR="00B306CF">
        <w:rPr>
          <w:rFonts w:ascii="Times New Roman" w:hAnsi="Times New Roman"/>
          <w:sz w:val="28"/>
          <w:szCs w:val="28"/>
        </w:rPr>
        <w:t>’</w:t>
      </w:r>
      <w:r w:rsidR="00B306CF" w:rsidRPr="00B306CF">
        <w:rPr>
          <w:rFonts w:ascii="Times New Roman" w:hAnsi="Times New Roman"/>
          <w:sz w:val="28"/>
          <w:szCs w:val="28"/>
        </w:rPr>
        <w:t>”</w:t>
      </w:r>
      <w:r w:rsidR="00B306CF">
        <w:rPr>
          <w:rFonts w:ascii="Times New Roman" w:hAnsi="Times New Roman"/>
          <w:sz w:val="28"/>
          <w:szCs w:val="28"/>
        </w:rPr>
        <w:t xml:space="preserve"> </w:t>
      </w:r>
      <w:r w:rsidR="00B306CF" w:rsidRPr="00B306CF">
        <w:rPr>
          <w:rFonts w:ascii="Times New Roman" w:hAnsi="Times New Roman"/>
          <w:i/>
          <w:iCs/>
          <w:sz w:val="28"/>
          <w:szCs w:val="28"/>
        </w:rPr>
        <w:t>State v. Machado (I)</w:t>
      </w:r>
      <w:r w:rsidR="00B306CF">
        <w:rPr>
          <w:rFonts w:ascii="Times New Roman" w:hAnsi="Times New Roman"/>
          <w:sz w:val="28"/>
          <w:szCs w:val="28"/>
        </w:rPr>
        <w:t xml:space="preserve">, 224 Ariz. 343, 351 ¶ 13 (App. 2010), </w:t>
      </w:r>
      <w:r w:rsidR="00B306CF" w:rsidRPr="00B306CF">
        <w:rPr>
          <w:rFonts w:ascii="Times New Roman" w:hAnsi="Times New Roman"/>
          <w:i/>
          <w:iCs/>
          <w:sz w:val="28"/>
          <w:szCs w:val="28"/>
        </w:rPr>
        <w:t>affirmed</w:t>
      </w:r>
      <w:r w:rsidR="00B306CF">
        <w:rPr>
          <w:rFonts w:ascii="Times New Roman" w:hAnsi="Times New Roman"/>
          <w:sz w:val="28"/>
          <w:szCs w:val="28"/>
        </w:rPr>
        <w:t xml:space="preserve">, </w:t>
      </w:r>
      <w:r w:rsidR="00B306CF" w:rsidRPr="00B306CF">
        <w:rPr>
          <w:rFonts w:ascii="Times New Roman" w:hAnsi="Times New Roman"/>
          <w:i/>
          <w:iCs/>
          <w:sz w:val="28"/>
          <w:szCs w:val="28"/>
        </w:rPr>
        <w:t>State v. Machado (II)</w:t>
      </w:r>
      <w:r w:rsidR="00B306CF">
        <w:rPr>
          <w:rFonts w:ascii="Times New Roman" w:hAnsi="Times New Roman"/>
          <w:sz w:val="28"/>
          <w:szCs w:val="28"/>
        </w:rPr>
        <w:t xml:space="preserve">, 226 Ariz. 281 (2011) (quoting </w:t>
      </w:r>
      <w:r w:rsidR="00B306CF" w:rsidRPr="00B306CF">
        <w:rPr>
          <w:rFonts w:ascii="Times New Roman" w:hAnsi="Times New Roman"/>
          <w:i/>
          <w:iCs/>
          <w:sz w:val="28"/>
          <w:szCs w:val="28"/>
        </w:rPr>
        <w:t>Chambers</w:t>
      </w:r>
      <w:r w:rsidR="00B306CF">
        <w:rPr>
          <w:rFonts w:ascii="Times New Roman" w:hAnsi="Times New Roman"/>
          <w:sz w:val="28"/>
          <w:szCs w:val="28"/>
        </w:rPr>
        <w:t>, 410 U.S. at 302).</w:t>
      </w:r>
      <w:r w:rsidR="00B306CF" w:rsidRPr="00B306CF">
        <w:rPr>
          <w:rFonts w:ascii="Times New Roman" w:hAnsi="Times New Roman"/>
          <w:sz w:val="28"/>
          <w:szCs w:val="28"/>
        </w:rPr>
        <w:t xml:space="preserve"> These constitutional rights cannot be unreasonably or arbitrarily limited by state rules governing the admission of evidence. </w:t>
      </w:r>
      <w:r w:rsidR="00B306CF" w:rsidRPr="00B306CF">
        <w:rPr>
          <w:rFonts w:ascii="Times New Roman" w:hAnsi="Times New Roman"/>
          <w:i/>
          <w:sz w:val="28"/>
          <w:szCs w:val="28"/>
        </w:rPr>
        <w:t>Holmes</w:t>
      </w:r>
      <w:r w:rsidR="00B306CF" w:rsidRPr="00B306CF">
        <w:rPr>
          <w:rFonts w:ascii="Times New Roman" w:hAnsi="Times New Roman"/>
          <w:sz w:val="28"/>
          <w:szCs w:val="28"/>
        </w:rPr>
        <w:t>, 547 U.S. at 324-25.</w:t>
      </w:r>
      <w:r w:rsidR="00B306CF">
        <w:rPr>
          <w:rFonts w:ascii="Times New Roman" w:hAnsi="Times New Roman"/>
          <w:sz w:val="28"/>
          <w:szCs w:val="28"/>
        </w:rPr>
        <w:t xml:space="preserve"> </w:t>
      </w:r>
      <w:r w:rsidR="00B306CF" w:rsidRPr="00B306CF">
        <w:rPr>
          <w:rFonts w:ascii="Times New Roman" w:hAnsi="Times New Roman"/>
          <w:sz w:val="28"/>
          <w:szCs w:val="28"/>
        </w:rPr>
        <w:t xml:space="preserve">Evidentiary rules must bend to the constitutional right to present a complete defense when they are in conflict. </w:t>
      </w:r>
      <w:r w:rsidR="00B306CF" w:rsidRPr="00B306CF">
        <w:rPr>
          <w:rFonts w:ascii="Times New Roman" w:hAnsi="Times New Roman"/>
          <w:i/>
          <w:sz w:val="28"/>
          <w:szCs w:val="28"/>
        </w:rPr>
        <w:t>State ex rel. Montgomery v. Duncan</w:t>
      </w:r>
      <w:r w:rsidR="00B306CF" w:rsidRPr="00B306CF">
        <w:rPr>
          <w:rFonts w:ascii="Times New Roman" w:hAnsi="Times New Roman"/>
          <w:sz w:val="28"/>
          <w:szCs w:val="28"/>
        </w:rPr>
        <w:t xml:space="preserve">, 228 Ariz. 514, </w:t>
      </w:r>
      <w:r w:rsidR="00B306CF">
        <w:rPr>
          <w:rFonts w:ascii="Times New Roman" w:hAnsi="Times New Roman"/>
          <w:sz w:val="28"/>
          <w:szCs w:val="28"/>
        </w:rPr>
        <w:t xml:space="preserve">517 </w:t>
      </w:r>
      <w:r w:rsidR="00B306CF" w:rsidRPr="00B306CF">
        <w:rPr>
          <w:rFonts w:ascii="Times New Roman" w:hAnsi="Times New Roman"/>
          <w:sz w:val="28"/>
          <w:szCs w:val="28"/>
        </w:rPr>
        <w:t xml:space="preserve">¶ 8 (App. 2011). </w:t>
      </w:r>
    </w:p>
    <w:p w14:paraId="6CCD5CF3" w14:textId="072CEBC5" w:rsidR="00D551D6" w:rsidRDefault="00AE0F9E" w:rsidP="00D551D6">
      <w:pPr>
        <w:pStyle w:val="ListParagraph"/>
        <w:numPr>
          <w:ilvl w:val="0"/>
          <w:numId w:val="25"/>
        </w:numPr>
        <w:autoSpaceDE w:val="0"/>
        <w:autoSpaceDN w:val="0"/>
        <w:adjustRightInd w:val="0"/>
        <w:spacing w:line="240" w:lineRule="auto"/>
        <w:ind w:left="2160" w:right="720"/>
        <w:jc w:val="both"/>
        <w:rPr>
          <w:rFonts w:ascii="Times New Roman" w:hAnsi="Times New Roman"/>
          <w:sz w:val="28"/>
          <w:szCs w:val="28"/>
          <w:u w:val="single"/>
        </w:rPr>
      </w:pPr>
      <w:r>
        <w:rPr>
          <w:rFonts w:ascii="Times New Roman" w:hAnsi="Times New Roman"/>
          <w:sz w:val="28"/>
          <w:szCs w:val="28"/>
          <w:u w:val="single"/>
        </w:rPr>
        <w:t>“</w:t>
      </w:r>
      <w:r w:rsidR="00D40965" w:rsidRPr="00D551D6">
        <w:rPr>
          <w:rFonts w:ascii="Times New Roman" w:hAnsi="Times New Roman"/>
          <w:sz w:val="28"/>
          <w:szCs w:val="28"/>
          <w:u w:val="single"/>
        </w:rPr>
        <w:t xml:space="preserve">Clear and convincing” standard of admissibility places </w:t>
      </w:r>
      <w:r w:rsidR="00D551D6" w:rsidRPr="00D551D6">
        <w:rPr>
          <w:rFonts w:ascii="Times New Roman" w:hAnsi="Times New Roman"/>
          <w:sz w:val="28"/>
          <w:szCs w:val="28"/>
          <w:u w:val="single"/>
        </w:rPr>
        <w:t>a</w:t>
      </w:r>
      <w:r w:rsidR="00D40965" w:rsidRPr="00D551D6">
        <w:rPr>
          <w:rFonts w:ascii="Times New Roman" w:hAnsi="Times New Roman"/>
          <w:sz w:val="28"/>
          <w:szCs w:val="28"/>
          <w:u w:val="single"/>
        </w:rPr>
        <w:t xml:space="preserve">n unconstitutionally onerous burden upon criminal </w:t>
      </w:r>
      <w:r w:rsidR="00D551D6" w:rsidRPr="00D551D6">
        <w:rPr>
          <w:rFonts w:ascii="Times New Roman" w:hAnsi="Times New Roman"/>
          <w:sz w:val="28"/>
          <w:szCs w:val="28"/>
          <w:u w:val="single"/>
        </w:rPr>
        <w:t>defendants</w:t>
      </w:r>
      <w:r w:rsidR="00D40965" w:rsidRPr="00D551D6">
        <w:rPr>
          <w:rFonts w:ascii="Times New Roman" w:hAnsi="Times New Roman"/>
          <w:sz w:val="28"/>
          <w:szCs w:val="28"/>
          <w:u w:val="single"/>
        </w:rPr>
        <w:t>.</w:t>
      </w:r>
    </w:p>
    <w:p w14:paraId="5636F3B6" w14:textId="77777777" w:rsidR="00D551D6" w:rsidRPr="00D551D6" w:rsidRDefault="00D551D6" w:rsidP="00D551D6">
      <w:pPr>
        <w:pStyle w:val="ListParagraph"/>
        <w:autoSpaceDE w:val="0"/>
        <w:autoSpaceDN w:val="0"/>
        <w:adjustRightInd w:val="0"/>
        <w:spacing w:line="240" w:lineRule="auto"/>
        <w:ind w:left="1800" w:right="720"/>
        <w:jc w:val="both"/>
        <w:rPr>
          <w:rFonts w:ascii="Times New Roman" w:hAnsi="Times New Roman"/>
          <w:sz w:val="28"/>
          <w:szCs w:val="28"/>
          <w:u w:val="single"/>
        </w:rPr>
      </w:pPr>
    </w:p>
    <w:p w14:paraId="13ACDA62" w14:textId="21D9D298" w:rsidR="00D551D6" w:rsidRPr="00584A77" w:rsidRDefault="00D551D6" w:rsidP="00D551D6">
      <w:pPr>
        <w:widowControl w:val="0"/>
        <w:autoSpaceDE w:val="0"/>
        <w:autoSpaceDN w:val="0"/>
        <w:adjustRightInd w:val="0"/>
        <w:spacing w:line="480" w:lineRule="auto"/>
        <w:ind w:firstLine="720"/>
        <w:jc w:val="both"/>
        <w:rPr>
          <w:rFonts w:ascii="Times New Roman" w:hAnsi="Times New Roman"/>
          <w:sz w:val="28"/>
          <w:szCs w:val="28"/>
        </w:rPr>
      </w:pPr>
      <w:r>
        <w:rPr>
          <w:rFonts w:ascii="Times New Roman" w:hAnsi="Times New Roman"/>
          <w:sz w:val="28"/>
          <w:szCs w:val="28"/>
        </w:rPr>
        <w:t>P</w:t>
      </w:r>
      <w:r w:rsidRPr="00584A77">
        <w:rPr>
          <w:rFonts w:ascii="Times New Roman" w:hAnsi="Times New Roman"/>
          <w:sz w:val="28"/>
          <w:szCs w:val="28"/>
        </w:rPr>
        <w:t xml:space="preserve">lacing a burden of proof of “clear and convincing evidence” upon a defendant is an unconstitutionally onerous burden on his ability to put on a defense. There is no other provision in Arizona law for a defendant to meet this burden before evidence can be admitted on his behalf. There are certain affirmative defenses, which, when raised, must be proven by the defendant by clear and convincing evidence, such as insanity or entrapment. </w:t>
      </w:r>
      <w:r w:rsidRPr="00584A77">
        <w:rPr>
          <w:rFonts w:ascii="Times New Roman" w:hAnsi="Times New Roman"/>
          <w:i/>
          <w:sz w:val="28"/>
          <w:szCs w:val="28"/>
        </w:rPr>
        <w:t>See</w:t>
      </w:r>
      <w:r w:rsidRPr="00584A77">
        <w:rPr>
          <w:rFonts w:ascii="Times New Roman" w:hAnsi="Times New Roman"/>
          <w:sz w:val="28"/>
          <w:szCs w:val="28"/>
        </w:rPr>
        <w:t xml:space="preserve"> A.R.S. §§ 13-206(B) &amp; 13-502(C); </w:t>
      </w:r>
      <w:r w:rsidRPr="00584A77">
        <w:rPr>
          <w:rFonts w:ascii="Times New Roman" w:hAnsi="Times New Roman"/>
          <w:i/>
          <w:sz w:val="28"/>
          <w:szCs w:val="28"/>
        </w:rPr>
        <w:t>see also</w:t>
      </w:r>
      <w:r w:rsidRPr="00584A77">
        <w:rPr>
          <w:rFonts w:ascii="Times New Roman" w:hAnsi="Times New Roman"/>
          <w:sz w:val="28"/>
          <w:szCs w:val="28"/>
        </w:rPr>
        <w:t xml:space="preserve"> § 13-4033(C) (defendant whose absence from verdict delays sentencing more than ninety days must prove by clear and convincing evidence that absence was </w:t>
      </w:r>
      <w:r w:rsidRPr="00584A77">
        <w:rPr>
          <w:rFonts w:ascii="Times New Roman" w:hAnsi="Times New Roman"/>
          <w:sz w:val="28"/>
          <w:szCs w:val="28"/>
        </w:rPr>
        <w:lastRenderedPageBreak/>
        <w:t xml:space="preserve">involuntary or else waive right to appeal from verdicts of guilt). The United States Supreme Court has held that Arizona’s insanity laws do not violate due process, </w:t>
      </w:r>
      <w:r w:rsidRPr="00584A77">
        <w:rPr>
          <w:rFonts w:ascii="Times New Roman" w:hAnsi="Times New Roman"/>
          <w:i/>
          <w:sz w:val="28"/>
          <w:szCs w:val="28"/>
        </w:rPr>
        <w:t>see Clark v. Arizona</w:t>
      </w:r>
      <w:r w:rsidRPr="00584A77">
        <w:rPr>
          <w:rFonts w:ascii="Times New Roman" w:hAnsi="Times New Roman"/>
          <w:sz w:val="28"/>
          <w:szCs w:val="28"/>
        </w:rPr>
        <w:t>, 548 U.S. 735 (2006). But th</w:t>
      </w:r>
      <w:r w:rsidR="00847380">
        <w:rPr>
          <w:rFonts w:ascii="Times New Roman" w:hAnsi="Times New Roman"/>
          <w:sz w:val="28"/>
          <w:szCs w:val="28"/>
        </w:rPr>
        <w:t>is</w:t>
      </w:r>
      <w:r w:rsidRPr="00584A77">
        <w:rPr>
          <w:rFonts w:ascii="Times New Roman" w:hAnsi="Times New Roman"/>
          <w:sz w:val="28"/>
          <w:szCs w:val="28"/>
        </w:rPr>
        <w:t xml:space="preserve"> Court has negated the application of the clear and convincing evidence standard to third</w:t>
      </w:r>
      <w:r w:rsidR="00847380">
        <w:rPr>
          <w:rFonts w:ascii="Times New Roman" w:hAnsi="Times New Roman"/>
          <w:sz w:val="28"/>
          <w:szCs w:val="28"/>
        </w:rPr>
        <w:t>-</w:t>
      </w:r>
      <w:r w:rsidRPr="00584A77">
        <w:rPr>
          <w:rFonts w:ascii="Times New Roman" w:hAnsi="Times New Roman"/>
          <w:sz w:val="28"/>
          <w:szCs w:val="28"/>
        </w:rPr>
        <w:t xml:space="preserve">party culpability evidence, finding that “if Rule 404(b) were interpreted to exclude highly probative evidence … other due process concerns might be implicated.” </w:t>
      </w:r>
      <w:r w:rsidRPr="00584A77">
        <w:rPr>
          <w:rFonts w:ascii="Times New Roman" w:hAnsi="Times New Roman"/>
          <w:i/>
          <w:sz w:val="28"/>
          <w:szCs w:val="28"/>
        </w:rPr>
        <w:t>Machado</w:t>
      </w:r>
      <w:r w:rsidR="00B306CF">
        <w:rPr>
          <w:rFonts w:ascii="Times New Roman" w:hAnsi="Times New Roman"/>
          <w:i/>
          <w:sz w:val="28"/>
          <w:szCs w:val="28"/>
        </w:rPr>
        <w:t xml:space="preserve"> II</w:t>
      </w:r>
      <w:r w:rsidRPr="00584A77">
        <w:rPr>
          <w:rFonts w:ascii="Times New Roman" w:hAnsi="Times New Roman"/>
          <w:sz w:val="28"/>
          <w:szCs w:val="28"/>
        </w:rPr>
        <w:t xml:space="preserve">, 226 Ariz. </w:t>
      </w:r>
      <w:r w:rsidR="00B306CF">
        <w:rPr>
          <w:rFonts w:ascii="Times New Roman" w:hAnsi="Times New Roman"/>
          <w:sz w:val="28"/>
          <w:szCs w:val="28"/>
        </w:rPr>
        <w:t xml:space="preserve">at </w:t>
      </w:r>
      <w:r w:rsidRPr="00584A77">
        <w:rPr>
          <w:rFonts w:ascii="Times New Roman" w:hAnsi="Times New Roman"/>
          <w:sz w:val="28"/>
          <w:szCs w:val="28"/>
        </w:rPr>
        <w:t>28</w:t>
      </w:r>
      <w:r w:rsidR="00B306CF">
        <w:rPr>
          <w:rFonts w:ascii="Times New Roman" w:hAnsi="Times New Roman"/>
          <w:sz w:val="28"/>
          <w:szCs w:val="28"/>
        </w:rPr>
        <w:t>4</w:t>
      </w:r>
      <w:r w:rsidRPr="00584A77">
        <w:rPr>
          <w:rFonts w:ascii="Times New Roman" w:hAnsi="Times New Roman"/>
          <w:sz w:val="28"/>
          <w:szCs w:val="28"/>
        </w:rPr>
        <w:t xml:space="preserve"> ¶ 15 (citing </w:t>
      </w:r>
      <w:r w:rsidRPr="00584A77">
        <w:rPr>
          <w:rFonts w:ascii="Times New Roman" w:hAnsi="Times New Roman"/>
          <w:i/>
          <w:sz w:val="28"/>
          <w:szCs w:val="28"/>
        </w:rPr>
        <w:t>Chambers</w:t>
      </w:r>
      <w:r w:rsidRPr="00584A77">
        <w:rPr>
          <w:rFonts w:ascii="Times New Roman" w:hAnsi="Times New Roman"/>
          <w:sz w:val="28"/>
          <w:szCs w:val="28"/>
        </w:rPr>
        <w:t xml:space="preserve">, 410 U.S. </w:t>
      </w:r>
      <w:r w:rsidR="00B306CF">
        <w:rPr>
          <w:rFonts w:ascii="Times New Roman" w:hAnsi="Times New Roman"/>
          <w:sz w:val="28"/>
          <w:szCs w:val="28"/>
        </w:rPr>
        <w:t>at</w:t>
      </w:r>
      <w:r w:rsidRPr="00584A77">
        <w:rPr>
          <w:rFonts w:ascii="Times New Roman" w:hAnsi="Times New Roman"/>
          <w:sz w:val="28"/>
          <w:szCs w:val="28"/>
        </w:rPr>
        <w:t xml:space="preserve"> 302-03).</w:t>
      </w:r>
    </w:p>
    <w:p w14:paraId="76814386" w14:textId="19C82716" w:rsidR="00D551D6" w:rsidRPr="00D551D6" w:rsidRDefault="00D551D6" w:rsidP="00D65E59">
      <w:pPr>
        <w:spacing w:line="480" w:lineRule="auto"/>
        <w:ind w:firstLine="720"/>
        <w:jc w:val="both"/>
        <w:rPr>
          <w:rFonts w:ascii="Times New Roman" w:hAnsi="Times New Roman"/>
          <w:sz w:val="28"/>
          <w:szCs w:val="28"/>
        </w:rPr>
      </w:pPr>
      <w:r w:rsidRPr="00584A77">
        <w:rPr>
          <w:rFonts w:ascii="Times New Roman" w:hAnsi="Times New Roman"/>
          <w:sz w:val="28"/>
          <w:szCs w:val="28"/>
        </w:rPr>
        <w:t xml:space="preserve">It is precisely this kind of onerous burden on the introduction of defense evidence that the Supreme Court unanimously ruled unconstitutional in </w:t>
      </w:r>
      <w:r w:rsidRPr="00584A77">
        <w:rPr>
          <w:rFonts w:ascii="Times New Roman" w:hAnsi="Times New Roman"/>
          <w:i/>
          <w:sz w:val="28"/>
          <w:szCs w:val="28"/>
        </w:rPr>
        <w:t>Holmes</w:t>
      </w:r>
      <w:r w:rsidRPr="00584A77">
        <w:rPr>
          <w:rFonts w:ascii="Times New Roman" w:hAnsi="Times New Roman"/>
          <w:sz w:val="28"/>
          <w:szCs w:val="28"/>
        </w:rPr>
        <w:t xml:space="preserve">. Though rape shield laws exist in almost every state as well as the federal system, the “clear and convincing evidence” burden is exceptional; other jurisdictions require only the balancing test of relevance versus unfair prejudice. </w:t>
      </w:r>
      <w:r w:rsidR="00A275A0">
        <w:rPr>
          <w:rFonts w:ascii="Times New Roman" w:hAnsi="Times New Roman"/>
          <w:sz w:val="28"/>
          <w:szCs w:val="28"/>
        </w:rPr>
        <w:t>For example</w:t>
      </w:r>
      <w:r w:rsidRPr="00584A77">
        <w:rPr>
          <w:rFonts w:ascii="Times New Roman" w:hAnsi="Times New Roman"/>
          <w:sz w:val="28"/>
          <w:szCs w:val="28"/>
        </w:rPr>
        <w:t>, Fed</w:t>
      </w:r>
      <w:r w:rsidR="00A275A0">
        <w:rPr>
          <w:rFonts w:ascii="Times New Roman" w:hAnsi="Times New Roman"/>
          <w:sz w:val="28"/>
          <w:szCs w:val="28"/>
        </w:rPr>
        <w:t>eral</w:t>
      </w:r>
      <w:r w:rsidRPr="00584A77">
        <w:rPr>
          <w:rFonts w:ascii="Times New Roman" w:hAnsi="Times New Roman"/>
          <w:sz w:val="28"/>
          <w:szCs w:val="28"/>
        </w:rPr>
        <w:t xml:space="preserve"> R</w:t>
      </w:r>
      <w:r w:rsidR="00A275A0">
        <w:rPr>
          <w:rFonts w:ascii="Times New Roman" w:hAnsi="Times New Roman"/>
          <w:sz w:val="28"/>
          <w:szCs w:val="28"/>
        </w:rPr>
        <w:t>ule</w:t>
      </w:r>
      <w:r w:rsidRPr="00584A77">
        <w:rPr>
          <w:rFonts w:ascii="Times New Roman" w:hAnsi="Times New Roman"/>
          <w:sz w:val="28"/>
          <w:szCs w:val="28"/>
        </w:rPr>
        <w:t xml:space="preserve"> 412(</w:t>
      </w:r>
      <w:r w:rsidR="00A275A0">
        <w:rPr>
          <w:rFonts w:ascii="Times New Roman" w:hAnsi="Times New Roman"/>
          <w:sz w:val="28"/>
          <w:szCs w:val="28"/>
        </w:rPr>
        <w:t>b</w:t>
      </w:r>
      <w:r w:rsidRPr="00584A77">
        <w:rPr>
          <w:rFonts w:ascii="Times New Roman" w:hAnsi="Times New Roman"/>
          <w:sz w:val="28"/>
          <w:szCs w:val="28"/>
        </w:rPr>
        <w:t>)</w:t>
      </w:r>
      <w:r w:rsidR="00A275A0">
        <w:rPr>
          <w:rFonts w:ascii="Times New Roman" w:hAnsi="Times New Roman"/>
          <w:sz w:val="28"/>
          <w:szCs w:val="28"/>
        </w:rPr>
        <w:t xml:space="preserve"> requires that the probative value substantially outweigh the risk of unfair prejudice, which the Petition correctly recognizes reverses the balance of Rule 403; but Federal Rule 412(a) requires no such reversal in criminal cases, thereby maintaining the Rule 403 balance</w:t>
      </w:r>
      <w:r w:rsidRPr="00584A77">
        <w:rPr>
          <w:rFonts w:ascii="Times New Roman" w:hAnsi="Times New Roman"/>
          <w:sz w:val="28"/>
          <w:szCs w:val="28"/>
        </w:rPr>
        <w:t xml:space="preserve">. </w:t>
      </w:r>
    </w:p>
    <w:p w14:paraId="0295E6C1" w14:textId="7A5F0E12" w:rsidR="00D40965" w:rsidRDefault="00D551D6" w:rsidP="00D65E59">
      <w:pPr>
        <w:pStyle w:val="ListParagraph"/>
        <w:numPr>
          <w:ilvl w:val="0"/>
          <w:numId w:val="25"/>
        </w:numPr>
        <w:autoSpaceDE w:val="0"/>
        <w:autoSpaceDN w:val="0"/>
        <w:adjustRightInd w:val="0"/>
        <w:spacing w:line="240" w:lineRule="auto"/>
        <w:ind w:left="2160" w:right="720"/>
        <w:jc w:val="both"/>
        <w:rPr>
          <w:rFonts w:ascii="Times New Roman" w:hAnsi="Times New Roman"/>
          <w:sz w:val="28"/>
          <w:szCs w:val="28"/>
          <w:u w:val="single"/>
        </w:rPr>
      </w:pPr>
      <w:r w:rsidRPr="00D551D6">
        <w:rPr>
          <w:rFonts w:ascii="Times New Roman" w:hAnsi="Times New Roman"/>
          <w:sz w:val="28"/>
          <w:szCs w:val="28"/>
          <w:u w:val="single"/>
        </w:rPr>
        <w:t>Strict application often conflicts with a defendant’s constitutional right to present a complete defense.</w:t>
      </w:r>
    </w:p>
    <w:p w14:paraId="2B57B776" w14:textId="77777777" w:rsidR="00D65E59" w:rsidRPr="00D551D6" w:rsidRDefault="00D65E59" w:rsidP="00D65E59">
      <w:pPr>
        <w:pStyle w:val="ListParagraph"/>
        <w:autoSpaceDE w:val="0"/>
        <w:autoSpaceDN w:val="0"/>
        <w:adjustRightInd w:val="0"/>
        <w:spacing w:line="240" w:lineRule="auto"/>
        <w:ind w:left="2160" w:right="720"/>
        <w:jc w:val="both"/>
        <w:rPr>
          <w:rFonts w:ascii="Times New Roman" w:hAnsi="Times New Roman"/>
          <w:sz w:val="28"/>
          <w:szCs w:val="28"/>
          <w:u w:val="single"/>
        </w:rPr>
      </w:pPr>
    </w:p>
    <w:p w14:paraId="196ED337" w14:textId="3C70DAA6" w:rsidR="004F2D0B" w:rsidRPr="004F2D0B" w:rsidRDefault="00CD7EFC" w:rsidP="001C5FF7">
      <w:pPr>
        <w:autoSpaceDE w:val="0"/>
        <w:autoSpaceDN w:val="0"/>
        <w:adjustRightInd w:val="0"/>
        <w:spacing w:line="480" w:lineRule="auto"/>
        <w:ind w:firstLine="720"/>
        <w:jc w:val="both"/>
        <w:rPr>
          <w:rFonts w:ascii="Times New Roman" w:hAnsi="Times New Roman"/>
          <w:sz w:val="28"/>
          <w:szCs w:val="28"/>
        </w:rPr>
      </w:pPr>
      <w:r>
        <w:rPr>
          <w:rFonts w:ascii="Times New Roman" w:hAnsi="Times New Roman"/>
          <w:sz w:val="28"/>
          <w:szCs w:val="28"/>
        </w:rPr>
        <w:t>N</w:t>
      </w:r>
      <w:r w:rsidRPr="004F2D0B">
        <w:rPr>
          <w:rFonts w:ascii="Times New Roman" w:hAnsi="Times New Roman"/>
          <w:sz w:val="28"/>
          <w:szCs w:val="28"/>
        </w:rPr>
        <w:t>otwithstanding the statutory bar</w:t>
      </w:r>
      <w:r>
        <w:rPr>
          <w:rFonts w:ascii="Times New Roman" w:hAnsi="Times New Roman"/>
          <w:sz w:val="28"/>
          <w:szCs w:val="28"/>
        </w:rPr>
        <w:t>,</w:t>
      </w:r>
      <w:r w:rsidRPr="004F2D0B">
        <w:rPr>
          <w:rFonts w:ascii="Times New Roman" w:hAnsi="Times New Roman"/>
          <w:sz w:val="28"/>
          <w:szCs w:val="28"/>
        </w:rPr>
        <w:t xml:space="preserve"> </w:t>
      </w:r>
      <w:r>
        <w:rPr>
          <w:rFonts w:ascii="Times New Roman" w:hAnsi="Times New Roman"/>
          <w:sz w:val="28"/>
          <w:szCs w:val="28"/>
        </w:rPr>
        <w:t>e</w:t>
      </w:r>
      <w:r w:rsidR="004F2D0B" w:rsidRPr="004F2D0B">
        <w:rPr>
          <w:rFonts w:ascii="Times New Roman" w:hAnsi="Times New Roman"/>
          <w:sz w:val="28"/>
          <w:szCs w:val="28"/>
        </w:rPr>
        <w:t xml:space="preserve">vidence may be admissible if that evidence “‘has substantial probative value and when alternative evidence tending to prove the issue is not reasonably available.’” </w:t>
      </w:r>
      <w:r w:rsidR="004F2D0B" w:rsidRPr="004F2D0B">
        <w:rPr>
          <w:rFonts w:ascii="Times New Roman" w:hAnsi="Times New Roman"/>
          <w:i/>
          <w:sz w:val="28"/>
          <w:szCs w:val="28"/>
        </w:rPr>
        <w:t>Duncan</w:t>
      </w:r>
      <w:r w:rsidR="004F2D0B" w:rsidRPr="004F2D0B">
        <w:rPr>
          <w:rFonts w:ascii="Times New Roman" w:hAnsi="Times New Roman"/>
          <w:sz w:val="28"/>
          <w:szCs w:val="28"/>
        </w:rPr>
        <w:t xml:space="preserve">, 228 Ariz. </w:t>
      </w:r>
      <w:r>
        <w:rPr>
          <w:rFonts w:ascii="Times New Roman" w:hAnsi="Times New Roman"/>
          <w:sz w:val="28"/>
          <w:szCs w:val="28"/>
        </w:rPr>
        <w:t xml:space="preserve">at </w:t>
      </w:r>
      <w:r w:rsidR="004F2D0B" w:rsidRPr="004F2D0B">
        <w:rPr>
          <w:rFonts w:ascii="Times New Roman" w:hAnsi="Times New Roman"/>
          <w:sz w:val="28"/>
          <w:szCs w:val="28"/>
        </w:rPr>
        <w:t>51</w:t>
      </w:r>
      <w:r>
        <w:rPr>
          <w:rFonts w:ascii="Times New Roman" w:hAnsi="Times New Roman"/>
          <w:sz w:val="28"/>
          <w:szCs w:val="28"/>
        </w:rPr>
        <w:t>6</w:t>
      </w:r>
      <w:r w:rsidR="004F2D0B" w:rsidRPr="004F2D0B">
        <w:rPr>
          <w:rFonts w:ascii="Times New Roman" w:hAnsi="Times New Roman"/>
          <w:sz w:val="28"/>
          <w:szCs w:val="28"/>
        </w:rPr>
        <w:t xml:space="preserve"> </w:t>
      </w:r>
      <w:r>
        <w:rPr>
          <w:rFonts w:ascii="Times New Roman" w:hAnsi="Times New Roman"/>
          <w:sz w:val="28"/>
          <w:szCs w:val="28"/>
        </w:rPr>
        <w:t xml:space="preserve">¶ 5 </w:t>
      </w:r>
      <w:r w:rsidR="004F2D0B" w:rsidRPr="004F2D0B">
        <w:rPr>
          <w:rFonts w:ascii="Times New Roman" w:hAnsi="Times New Roman"/>
          <w:sz w:val="28"/>
          <w:szCs w:val="28"/>
        </w:rPr>
        <w:t xml:space="preserve">(quoting </w:t>
      </w:r>
      <w:r w:rsidR="001C5FF7" w:rsidRPr="004F2D0B">
        <w:rPr>
          <w:rFonts w:ascii="Times New Roman" w:hAnsi="Times New Roman"/>
          <w:i/>
          <w:sz w:val="28"/>
          <w:szCs w:val="28"/>
        </w:rPr>
        <w:lastRenderedPageBreak/>
        <w:t xml:space="preserve">State v. </w:t>
      </w:r>
      <w:r w:rsidR="004F2D0B" w:rsidRPr="004F2D0B">
        <w:rPr>
          <w:rFonts w:ascii="Times New Roman" w:hAnsi="Times New Roman"/>
          <w:i/>
          <w:sz w:val="28"/>
          <w:szCs w:val="28"/>
        </w:rPr>
        <w:t>Gilfillan</w:t>
      </w:r>
      <w:r w:rsidR="004F2D0B" w:rsidRPr="004F2D0B">
        <w:rPr>
          <w:rFonts w:ascii="Times New Roman" w:hAnsi="Times New Roman"/>
          <w:sz w:val="28"/>
          <w:szCs w:val="28"/>
        </w:rPr>
        <w:t xml:space="preserve">, 196 Ariz. 396, </w:t>
      </w:r>
      <w:r w:rsidR="001C5FF7">
        <w:rPr>
          <w:rFonts w:ascii="Times New Roman" w:hAnsi="Times New Roman"/>
          <w:sz w:val="28"/>
          <w:szCs w:val="28"/>
        </w:rPr>
        <w:t xml:space="preserve">403 </w:t>
      </w:r>
      <w:r w:rsidR="004F2D0B" w:rsidRPr="004F2D0B">
        <w:rPr>
          <w:rFonts w:ascii="Times New Roman" w:hAnsi="Times New Roman"/>
          <w:sz w:val="28"/>
          <w:szCs w:val="28"/>
        </w:rPr>
        <w:t>¶ 22</w:t>
      </w:r>
      <w:r w:rsidR="001C5FF7">
        <w:rPr>
          <w:rFonts w:ascii="Times New Roman" w:hAnsi="Times New Roman"/>
          <w:sz w:val="28"/>
          <w:szCs w:val="28"/>
        </w:rPr>
        <w:t xml:space="preserve"> (App. 2000</w:t>
      </w:r>
      <w:r w:rsidR="004F2D0B" w:rsidRPr="004F2D0B">
        <w:rPr>
          <w:rFonts w:ascii="Times New Roman" w:hAnsi="Times New Roman"/>
          <w:sz w:val="28"/>
          <w:szCs w:val="28"/>
        </w:rPr>
        <w:t xml:space="preserve">); </w:t>
      </w:r>
      <w:r w:rsidR="004F2D0B" w:rsidRPr="004F2D0B">
        <w:rPr>
          <w:rFonts w:ascii="Times New Roman" w:hAnsi="Times New Roman"/>
          <w:i/>
          <w:sz w:val="28"/>
          <w:szCs w:val="28"/>
        </w:rPr>
        <w:t>see also State ex rel. Romley v. Hutt</w:t>
      </w:r>
      <w:r w:rsidR="004F2D0B" w:rsidRPr="004F2D0B">
        <w:rPr>
          <w:rFonts w:ascii="Times New Roman" w:hAnsi="Times New Roman"/>
          <w:sz w:val="28"/>
          <w:szCs w:val="28"/>
        </w:rPr>
        <w:t xml:space="preserve">, 195 Ariz. 256, </w:t>
      </w:r>
      <w:r w:rsidR="001C5FF7">
        <w:rPr>
          <w:rFonts w:ascii="Times New Roman" w:hAnsi="Times New Roman"/>
          <w:sz w:val="28"/>
          <w:szCs w:val="28"/>
        </w:rPr>
        <w:t xml:space="preserve">259 </w:t>
      </w:r>
      <w:r w:rsidR="004F2D0B" w:rsidRPr="004F2D0B">
        <w:rPr>
          <w:rFonts w:ascii="Times New Roman" w:hAnsi="Times New Roman"/>
          <w:sz w:val="28"/>
          <w:szCs w:val="28"/>
        </w:rPr>
        <w:t xml:space="preserve">¶ 7 (App. 1999) (“[I]n some cases some victims’ rights may be required to give way to a defendant’s federal constitutional rights.”). </w:t>
      </w:r>
      <w:r w:rsidR="004F2D0B" w:rsidRPr="004F2D0B">
        <w:rPr>
          <w:rFonts w:ascii="Times New Roman" w:hAnsi="Times New Roman"/>
          <w:i/>
          <w:sz w:val="28"/>
          <w:szCs w:val="28"/>
        </w:rPr>
        <w:t>Gilfillan</w:t>
      </w:r>
      <w:r w:rsidR="004F2D0B" w:rsidRPr="004F2D0B">
        <w:rPr>
          <w:rFonts w:ascii="Times New Roman" w:hAnsi="Times New Roman"/>
          <w:sz w:val="28"/>
          <w:szCs w:val="28"/>
        </w:rPr>
        <w:t xml:space="preserve"> specifically permitted that, in appropriate cases, the statutory bar would have to give way to constitutional concerns. 196 Ariz. </w:t>
      </w:r>
      <w:r w:rsidR="001C5FF7">
        <w:rPr>
          <w:rFonts w:ascii="Times New Roman" w:hAnsi="Times New Roman"/>
          <w:sz w:val="28"/>
          <w:szCs w:val="28"/>
        </w:rPr>
        <w:t>at 403</w:t>
      </w:r>
      <w:r w:rsidR="004F2D0B" w:rsidRPr="004F2D0B">
        <w:rPr>
          <w:rFonts w:ascii="Times New Roman" w:hAnsi="Times New Roman"/>
          <w:sz w:val="28"/>
          <w:szCs w:val="28"/>
        </w:rPr>
        <w:t xml:space="preserve"> ¶ 22 (citing </w:t>
      </w:r>
      <w:r w:rsidR="004F2D0B" w:rsidRPr="004F2D0B">
        <w:rPr>
          <w:rFonts w:ascii="Times New Roman" w:hAnsi="Times New Roman"/>
          <w:i/>
          <w:sz w:val="28"/>
          <w:szCs w:val="28"/>
        </w:rPr>
        <w:t>Olden</w:t>
      </w:r>
      <w:r w:rsidR="004F2D0B" w:rsidRPr="004F2D0B">
        <w:rPr>
          <w:rFonts w:ascii="Times New Roman" w:hAnsi="Times New Roman"/>
          <w:sz w:val="28"/>
          <w:szCs w:val="28"/>
        </w:rPr>
        <w:t>).</w:t>
      </w:r>
    </w:p>
    <w:p w14:paraId="4BA99310" w14:textId="357BDCDA" w:rsidR="004F2D0B" w:rsidRPr="004F2D0B" w:rsidRDefault="004F2D0B" w:rsidP="004F2D0B">
      <w:pPr>
        <w:widowControl w:val="0"/>
        <w:autoSpaceDE w:val="0"/>
        <w:autoSpaceDN w:val="0"/>
        <w:adjustRightInd w:val="0"/>
        <w:spacing w:line="480" w:lineRule="auto"/>
        <w:jc w:val="both"/>
        <w:rPr>
          <w:rFonts w:ascii="Times New Roman" w:hAnsi="Times New Roman"/>
          <w:color w:val="000000"/>
          <w:sz w:val="28"/>
          <w:szCs w:val="28"/>
          <w:shd w:val="clear" w:color="auto" w:fill="FFFFFF"/>
        </w:rPr>
      </w:pPr>
      <w:r w:rsidRPr="004F2D0B">
        <w:rPr>
          <w:rFonts w:ascii="Times New Roman" w:hAnsi="Times New Roman"/>
          <w:sz w:val="28"/>
          <w:szCs w:val="28"/>
        </w:rPr>
        <w:tab/>
        <w:t xml:space="preserve">In </w:t>
      </w:r>
      <w:r w:rsidRPr="004F2D0B">
        <w:rPr>
          <w:rFonts w:ascii="Times New Roman" w:hAnsi="Times New Roman"/>
          <w:i/>
          <w:sz w:val="28"/>
          <w:szCs w:val="28"/>
        </w:rPr>
        <w:t>Duncan,</w:t>
      </w:r>
      <w:r w:rsidRPr="004F2D0B">
        <w:rPr>
          <w:rFonts w:ascii="Times New Roman" w:hAnsi="Times New Roman"/>
          <w:sz w:val="28"/>
          <w:szCs w:val="28"/>
        </w:rPr>
        <w:t xml:space="preserve"> </w:t>
      </w:r>
      <w:r w:rsidRPr="004F2D0B">
        <w:rPr>
          <w:rFonts w:ascii="Times New Roman" w:hAnsi="Times New Roman"/>
          <w:color w:val="000000"/>
          <w:sz w:val="28"/>
          <w:szCs w:val="28"/>
          <w:shd w:val="clear" w:color="auto" w:fill="FFFFFF"/>
        </w:rPr>
        <w:t xml:space="preserve">the defendant was charged with four counts of sexual conduct with a minor. 228 Ariz. </w:t>
      </w:r>
      <w:r w:rsidR="005E2629">
        <w:rPr>
          <w:rFonts w:ascii="Times New Roman" w:hAnsi="Times New Roman"/>
          <w:color w:val="000000"/>
          <w:sz w:val="28"/>
          <w:szCs w:val="28"/>
          <w:shd w:val="clear" w:color="auto" w:fill="FFFFFF"/>
        </w:rPr>
        <w:t>at 515</w:t>
      </w:r>
      <w:r w:rsidRPr="004F2D0B">
        <w:rPr>
          <w:rFonts w:ascii="Times New Roman" w:hAnsi="Times New Roman"/>
          <w:color w:val="000000"/>
          <w:sz w:val="28"/>
          <w:szCs w:val="28"/>
          <w:shd w:val="clear" w:color="auto" w:fill="FFFFFF"/>
        </w:rPr>
        <w:t xml:space="preserve"> ¶ 2. The defendant sought to introduce evidence that the alleged victim told the defendant that she had engaged in oral sex with two other individuals. </w:t>
      </w:r>
      <w:r w:rsidRPr="004F2D0B">
        <w:rPr>
          <w:rFonts w:ascii="Times New Roman" w:hAnsi="Times New Roman"/>
          <w:i/>
          <w:color w:val="000000"/>
          <w:sz w:val="28"/>
          <w:szCs w:val="28"/>
          <w:shd w:val="clear" w:color="auto" w:fill="FFFFFF"/>
        </w:rPr>
        <w:t>Id</w:t>
      </w:r>
      <w:r w:rsidRPr="004F2D0B">
        <w:rPr>
          <w:rFonts w:ascii="Times New Roman" w:hAnsi="Times New Roman"/>
          <w:color w:val="000000"/>
          <w:sz w:val="28"/>
          <w:szCs w:val="28"/>
          <w:shd w:val="clear" w:color="auto" w:fill="FFFFFF"/>
        </w:rPr>
        <w:t xml:space="preserve">. ¶ 3. The defendant asserted this was admissible because it goes to his belief that the alleged victim was eighteen or older. </w:t>
      </w:r>
      <w:r w:rsidRPr="004F2D0B">
        <w:rPr>
          <w:rFonts w:ascii="Times New Roman" w:hAnsi="Times New Roman"/>
          <w:i/>
          <w:color w:val="000000"/>
          <w:sz w:val="28"/>
          <w:szCs w:val="28"/>
          <w:shd w:val="clear" w:color="auto" w:fill="FFFFFF"/>
        </w:rPr>
        <w:t>Id</w:t>
      </w:r>
      <w:r w:rsidRPr="004F2D0B">
        <w:rPr>
          <w:rFonts w:ascii="Times New Roman" w:hAnsi="Times New Roman"/>
          <w:color w:val="000000"/>
          <w:sz w:val="28"/>
          <w:szCs w:val="28"/>
          <w:shd w:val="clear" w:color="auto" w:fill="FFFFFF"/>
        </w:rPr>
        <w:t xml:space="preserve">. The trial court ruled that the evidence was not prohibited by Arizona’s rape shield law, </w:t>
      </w:r>
      <w:r w:rsidRPr="004F2D0B">
        <w:rPr>
          <w:rFonts w:ascii="Times New Roman" w:hAnsi="Times New Roman"/>
          <w:i/>
          <w:color w:val="000000"/>
          <w:sz w:val="28"/>
          <w:szCs w:val="28"/>
          <w:shd w:val="clear" w:color="auto" w:fill="FFFFFF"/>
        </w:rPr>
        <w:t>id</w:t>
      </w:r>
      <w:r w:rsidRPr="004F2D0B">
        <w:rPr>
          <w:rFonts w:ascii="Times New Roman" w:hAnsi="Times New Roman"/>
          <w:color w:val="000000"/>
          <w:sz w:val="28"/>
          <w:szCs w:val="28"/>
          <w:shd w:val="clear" w:color="auto" w:fill="FFFFFF"/>
        </w:rPr>
        <w:t>., and the State filed a special action.</w:t>
      </w:r>
    </w:p>
    <w:p w14:paraId="437B9B7D" w14:textId="75E6E213" w:rsidR="004F2D0B" w:rsidRDefault="004F2D0B" w:rsidP="004F2D0B">
      <w:pPr>
        <w:widowControl w:val="0"/>
        <w:autoSpaceDE w:val="0"/>
        <w:autoSpaceDN w:val="0"/>
        <w:adjustRightInd w:val="0"/>
        <w:spacing w:line="480" w:lineRule="auto"/>
        <w:jc w:val="both"/>
        <w:rPr>
          <w:rFonts w:ascii="Times New Roman" w:hAnsi="Times New Roman"/>
          <w:color w:val="000000"/>
          <w:sz w:val="28"/>
          <w:szCs w:val="28"/>
          <w:shd w:val="clear" w:color="auto" w:fill="FFFFFF"/>
        </w:rPr>
      </w:pPr>
      <w:r w:rsidRPr="004F2D0B">
        <w:rPr>
          <w:rFonts w:ascii="Times New Roman" w:hAnsi="Times New Roman"/>
          <w:color w:val="000000"/>
          <w:sz w:val="28"/>
          <w:szCs w:val="28"/>
          <w:shd w:val="clear" w:color="auto" w:fill="FFFFFF"/>
        </w:rPr>
        <w:tab/>
        <w:t xml:space="preserve">First, the court found that the plain language of Arizona’s rape shield statute prohibited the evidence. </w:t>
      </w:r>
      <w:r w:rsidRPr="004F2D0B">
        <w:rPr>
          <w:rFonts w:ascii="Times New Roman" w:hAnsi="Times New Roman"/>
          <w:i/>
          <w:color w:val="000000"/>
          <w:sz w:val="28"/>
          <w:szCs w:val="28"/>
          <w:shd w:val="clear" w:color="auto" w:fill="FFFFFF"/>
        </w:rPr>
        <w:t>Id</w:t>
      </w:r>
      <w:r w:rsidRPr="004F2D0B">
        <w:rPr>
          <w:rFonts w:ascii="Times New Roman" w:hAnsi="Times New Roman"/>
          <w:color w:val="000000"/>
          <w:sz w:val="28"/>
          <w:szCs w:val="28"/>
          <w:shd w:val="clear" w:color="auto" w:fill="FFFFFF"/>
        </w:rPr>
        <w:t xml:space="preserve">. </w:t>
      </w:r>
      <w:r w:rsidR="005E2629">
        <w:rPr>
          <w:rFonts w:ascii="Times New Roman" w:hAnsi="Times New Roman"/>
          <w:color w:val="000000"/>
          <w:sz w:val="28"/>
          <w:szCs w:val="28"/>
          <w:shd w:val="clear" w:color="auto" w:fill="FFFFFF"/>
        </w:rPr>
        <w:t xml:space="preserve">at 516 </w:t>
      </w:r>
      <w:r w:rsidRPr="004F2D0B">
        <w:rPr>
          <w:rFonts w:ascii="Times New Roman" w:hAnsi="Times New Roman"/>
          <w:color w:val="000000"/>
          <w:sz w:val="28"/>
          <w:szCs w:val="28"/>
          <w:shd w:val="clear" w:color="auto" w:fill="FFFFFF"/>
        </w:rPr>
        <w:t xml:space="preserve">¶ 4. But the court went on to state that evidence may be admissible notwithstanding the statutory bar if that evidence “has substantial probative value and when alternative evidence tending to prove the issue is not reasonably available.” </w:t>
      </w:r>
      <w:r w:rsidRPr="004F2D0B">
        <w:rPr>
          <w:rFonts w:ascii="Times New Roman" w:hAnsi="Times New Roman"/>
          <w:i/>
          <w:color w:val="000000"/>
          <w:sz w:val="28"/>
          <w:szCs w:val="28"/>
          <w:shd w:val="clear" w:color="auto" w:fill="FFFFFF"/>
        </w:rPr>
        <w:t>Id</w:t>
      </w:r>
      <w:r w:rsidRPr="004F2D0B">
        <w:rPr>
          <w:rFonts w:ascii="Times New Roman" w:hAnsi="Times New Roman"/>
          <w:color w:val="000000"/>
          <w:sz w:val="28"/>
          <w:szCs w:val="28"/>
          <w:shd w:val="clear" w:color="auto" w:fill="FFFFFF"/>
        </w:rPr>
        <w:t xml:space="preserve">. ¶ 5. The court noted that the trial court did not engage in any balancing to determine whether there was a due process or other constitutional violation that would occur if the statute was given effect and the testimony was precluded. </w:t>
      </w:r>
      <w:r w:rsidRPr="004F2D0B">
        <w:rPr>
          <w:rFonts w:ascii="Times New Roman" w:hAnsi="Times New Roman"/>
          <w:i/>
          <w:color w:val="000000"/>
          <w:sz w:val="28"/>
          <w:szCs w:val="28"/>
          <w:shd w:val="clear" w:color="auto" w:fill="FFFFFF"/>
        </w:rPr>
        <w:t>Id</w:t>
      </w:r>
      <w:r w:rsidRPr="004F2D0B">
        <w:rPr>
          <w:rFonts w:ascii="Times New Roman" w:hAnsi="Times New Roman"/>
          <w:color w:val="000000"/>
          <w:sz w:val="28"/>
          <w:szCs w:val="28"/>
          <w:shd w:val="clear" w:color="auto" w:fill="FFFFFF"/>
        </w:rPr>
        <w:t xml:space="preserve">. ¶ 6. Thus, the case was remanded to the trial court to determine </w:t>
      </w:r>
      <w:r w:rsidRPr="004F2D0B">
        <w:rPr>
          <w:rFonts w:ascii="Times New Roman" w:hAnsi="Times New Roman"/>
          <w:color w:val="000000"/>
          <w:sz w:val="28"/>
          <w:szCs w:val="28"/>
          <w:shd w:val="clear" w:color="auto" w:fill="FFFFFF"/>
        </w:rPr>
        <w:lastRenderedPageBreak/>
        <w:t xml:space="preserve">whether there was such substantial probative value that the defendant’s constitutional rights would be impermissibly offended by the failure to permit the evidence. </w:t>
      </w:r>
      <w:r w:rsidRPr="004F2D0B">
        <w:rPr>
          <w:rFonts w:ascii="Times New Roman" w:hAnsi="Times New Roman"/>
          <w:i/>
          <w:color w:val="000000"/>
          <w:sz w:val="28"/>
          <w:szCs w:val="28"/>
          <w:shd w:val="clear" w:color="auto" w:fill="FFFFFF"/>
        </w:rPr>
        <w:t>Id</w:t>
      </w:r>
      <w:r w:rsidRPr="004F2D0B">
        <w:rPr>
          <w:rFonts w:ascii="Times New Roman" w:hAnsi="Times New Roman"/>
          <w:color w:val="000000"/>
          <w:sz w:val="28"/>
          <w:szCs w:val="28"/>
          <w:shd w:val="clear" w:color="auto" w:fill="FFFFFF"/>
        </w:rPr>
        <w:t xml:space="preserve">. </w:t>
      </w:r>
      <w:r w:rsidR="005E2629">
        <w:rPr>
          <w:rFonts w:ascii="Times New Roman" w:hAnsi="Times New Roman"/>
          <w:color w:val="000000"/>
          <w:sz w:val="28"/>
          <w:szCs w:val="28"/>
          <w:shd w:val="clear" w:color="auto" w:fill="FFFFFF"/>
        </w:rPr>
        <w:t xml:space="preserve">at 517 </w:t>
      </w:r>
      <w:r w:rsidRPr="004F2D0B">
        <w:rPr>
          <w:rFonts w:ascii="Times New Roman" w:hAnsi="Times New Roman"/>
          <w:color w:val="000000"/>
          <w:sz w:val="28"/>
          <w:szCs w:val="28"/>
          <w:shd w:val="clear" w:color="auto" w:fill="FFFFFF"/>
        </w:rPr>
        <w:t>¶ 8.</w:t>
      </w:r>
    </w:p>
    <w:p w14:paraId="40384F04" w14:textId="5F23F66D" w:rsidR="005E2629" w:rsidRPr="004E6EF6" w:rsidRDefault="004E6EF6" w:rsidP="004E6EF6">
      <w:pPr>
        <w:pStyle w:val="ListParagraph"/>
        <w:numPr>
          <w:ilvl w:val="0"/>
          <w:numId w:val="25"/>
        </w:numPr>
        <w:spacing w:line="240" w:lineRule="auto"/>
        <w:ind w:left="2160"/>
        <w:jc w:val="both"/>
        <w:rPr>
          <w:rFonts w:ascii="Times New Roman" w:hAnsi="Times New Roman"/>
          <w:sz w:val="28"/>
          <w:szCs w:val="28"/>
        </w:rPr>
      </w:pPr>
      <w:r>
        <w:rPr>
          <w:rFonts w:ascii="Times New Roman" w:hAnsi="Times New Roman"/>
          <w:sz w:val="28"/>
          <w:szCs w:val="28"/>
          <w:u w:val="single"/>
        </w:rPr>
        <w:t>Application of the</w:t>
      </w:r>
      <w:r w:rsidR="00D65E59">
        <w:rPr>
          <w:rFonts w:ascii="Times New Roman" w:hAnsi="Times New Roman"/>
          <w:sz w:val="28"/>
          <w:szCs w:val="28"/>
          <w:u w:val="single"/>
        </w:rPr>
        <w:t xml:space="preserve"> admissibility procedures </w:t>
      </w:r>
      <w:r>
        <w:rPr>
          <w:rFonts w:ascii="Times New Roman" w:hAnsi="Times New Roman"/>
          <w:sz w:val="28"/>
          <w:szCs w:val="28"/>
          <w:u w:val="single"/>
        </w:rPr>
        <w:t>provided by the statute violates separation of powers.</w:t>
      </w:r>
    </w:p>
    <w:p w14:paraId="275AF29F" w14:textId="77777777" w:rsidR="004E6EF6" w:rsidRPr="00D65E59" w:rsidRDefault="004E6EF6" w:rsidP="004E6EF6">
      <w:pPr>
        <w:pStyle w:val="ListParagraph"/>
        <w:spacing w:line="240" w:lineRule="auto"/>
        <w:ind w:left="2160"/>
        <w:jc w:val="both"/>
        <w:rPr>
          <w:rFonts w:ascii="Times New Roman" w:hAnsi="Times New Roman"/>
          <w:sz w:val="28"/>
          <w:szCs w:val="28"/>
        </w:rPr>
      </w:pPr>
    </w:p>
    <w:p w14:paraId="5D3FA0CC" w14:textId="1F45F4E8" w:rsidR="005E2629" w:rsidRDefault="00971CE9" w:rsidP="00CD0255">
      <w:pPr>
        <w:spacing w:line="480" w:lineRule="auto"/>
        <w:ind w:firstLine="720"/>
        <w:jc w:val="both"/>
        <w:rPr>
          <w:rFonts w:ascii="Times New Roman" w:hAnsi="Times New Roman"/>
          <w:sz w:val="28"/>
          <w:szCs w:val="28"/>
        </w:rPr>
      </w:pPr>
      <w:r w:rsidRPr="00971CE9">
        <w:rPr>
          <w:rFonts w:ascii="Times New Roman" w:hAnsi="Times New Roman"/>
          <w:sz w:val="28"/>
          <w:szCs w:val="28"/>
        </w:rPr>
        <w:t xml:space="preserve">The rape shield statute covers much the same ground as </w:t>
      </w:r>
      <w:r>
        <w:rPr>
          <w:rFonts w:ascii="Times New Roman" w:hAnsi="Times New Roman"/>
          <w:sz w:val="28"/>
          <w:szCs w:val="28"/>
        </w:rPr>
        <w:t xml:space="preserve">Evidence </w:t>
      </w:r>
      <w:r w:rsidRPr="00971CE9">
        <w:rPr>
          <w:rFonts w:ascii="Times New Roman" w:hAnsi="Times New Roman"/>
          <w:sz w:val="28"/>
          <w:szCs w:val="28"/>
        </w:rPr>
        <w:t xml:space="preserve">Rules 401-404 &amp; 608. </w:t>
      </w:r>
      <w:r w:rsidRPr="00971CE9">
        <w:rPr>
          <w:rFonts w:ascii="Times New Roman" w:hAnsi="Times New Roman"/>
          <w:i/>
          <w:iCs/>
          <w:sz w:val="28"/>
          <w:szCs w:val="28"/>
        </w:rPr>
        <w:t>Oliver</w:t>
      </w:r>
      <w:r w:rsidRPr="00971CE9">
        <w:rPr>
          <w:rFonts w:ascii="Times New Roman" w:hAnsi="Times New Roman"/>
          <w:sz w:val="28"/>
          <w:szCs w:val="28"/>
        </w:rPr>
        <w:t xml:space="preserve">, 158 Ariz. at 27-29. In </w:t>
      </w:r>
      <w:r w:rsidRPr="00971CE9">
        <w:rPr>
          <w:rFonts w:ascii="Times New Roman" w:hAnsi="Times New Roman"/>
          <w:i/>
          <w:iCs/>
          <w:sz w:val="28"/>
          <w:szCs w:val="28"/>
        </w:rPr>
        <w:t>Gilfillan</w:t>
      </w:r>
      <w:r w:rsidRPr="00971CE9">
        <w:rPr>
          <w:rFonts w:ascii="Times New Roman" w:hAnsi="Times New Roman"/>
          <w:sz w:val="28"/>
          <w:szCs w:val="28"/>
        </w:rPr>
        <w:t xml:space="preserve">, </w:t>
      </w:r>
      <w:r>
        <w:rPr>
          <w:rFonts w:ascii="Times New Roman" w:hAnsi="Times New Roman"/>
          <w:sz w:val="28"/>
          <w:szCs w:val="28"/>
        </w:rPr>
        <w:t>the court of appeals</w:t>
      </w:r>
      <w:r w:rsidRPr="00971CE9">
        <w:rPr>
          <w:rFonts w:ascii="Times New Roman" w:hAnsi="Times New Roman"/>
          <w:sz w:val="28"/>
          <w:szCs w:val="28"/>
        </w:rPr>
        <w:t xml:space="preserve"> held the statute does not violate the separation of powers doctrine because it involves a substantive matter (burden of proof) and does not conflict with the rules of evidence. 196 Ariz. </w:t>
      </w:r>
      <w:r>
        <w:rPr>
          <w:rFonts w:ascii="Times New Roman" w:hAnsi="Times New Roman"/>
          <w:sz w:val="28"/>
          <w:szCs w:val="28"/>
        </w:rPr>
        <w:t>at 403-04</w:t>
      </w:r>
      <w:r w:rsidRPr="00971CE9">
        <w:rPr>
          <w:rFonts w:ascii="Times New Roman" w:hAnsi="Times New Roman"/>
          <w:sz w:val="28"/>
          <w:szCs w:val="28"/>
        </w:rPr>
        <w:t xml:space="preserve"> ¶¶ 24-28. This analysis is unpersuasive and must be rejected. Arizona’s rape shield statute engulfs and conflicts with the rules of evidence as to a procedural matter, and as such it is an unconstitutional abridgement of </w:t>
      </w:r>
      <w:r w:rsidR="00CD7EFC">
        <w:rPr>
          <w:rFonts w:ascii="Times New Roman" w:hAnsi="Times New Roman"/>
          <w:sz w:val="28"/>
          <w:szCs w:val="28"/>
        </w:rPr>
        <w:t>this Court’s</w:t>
      </w:r>
      <w:r w:rsidRPr="00971CE9">
        <w:rPr>
          <w:rFonts w:ascii="Times New Roman" w:hAnsi="Times New Roman"/>
          <w:sz w:val="28"/>
          <w:szCs w:val="28"/>
        </w:rPr>
        <w:t xml:space="preserve"> rulemaking power as protected by the separation of powers doctrine.</w:t>
      </w:r>
    </w:p>
    <w:p w14:paraId="16618DF3" w14:textId="72A26E49" w:rsidR="00E70AE1" w:rsidRDefault="00971CE9" w:rsidP="00CD0255">
      <w:pPr>
        <w:spacing w:line="480" w:lineRule="auto"/>
        <w:ind w:firstLine="720"/>
        <w:jc w:val="both"/>
        <w:rPr>
          <w:rFonts w:ascii="Times New Roman" w:hAnsi="Times New Roman"/>
          <w:sz w:val="28"/>
          <w:szCs w:val="28"/>
        </w:rPr>
      </w:pPr>
      <w:r w:rsidRPr="00971CE9">
        <w:rPr>
          <w:rFonts w:ascii="Times New Roman" w:hAnsi="Times New Roman"/>
          <w:sz w:val="28"/>
          <w:szCs w:val="28"/>
        </w:rPr>
        <w:t xml:space="preserve">Article </w:t>
      </w:r>
      <w:r>
        <w:rPr>
          <w:rFonts w:ascii="Times New Roman" w:hAnsi="Times New Roman"/>
          <w:sz w:val="28"/>
          <w:szCs w:val="28"/>
        </w:rPr>
        <w:t>3</w:t>
      </w:r>
      <w:r w:rsidRPr="00971CE9">
        <w:rPr>
          <w:rFonts w:ascii="Times New Roman" w:hAnsi="Times New Roman"/>
          <w:sz w:val="28"/>
          <w:szCs w:val="28"/>
        </w:rPr>
        <w:t xml:space="preserve"> of the Arizona Constitution creates the three branches of government and states: “such departments shall be separate and distinct, and no one of such departments shall exercise the powers properly belonging to either of the others.” “The Arizona Constitution, written after generations of experience and experimentation under the United States Constitution, spells out the separation of powers doctrine even more specifically than does the national document.” </w:t>
      </w:r>
      <w:r w:rsidRPr="00971CE9">
        <w:rPr>
          <w:rFonts w:ascii="Times New Roman" w:hAnsi="Times New Roman"/>
          <w:i/>
          <w:sz w:val="28"/>
          <w:szCs w:val="28"/>
        </w:rPr>
        <w:t>State ex rel. Woods v. Block</w:t>
      </w:r>
      <w:r w:rsidRPr="00971CE9">
        <w:rPr>
          <w:rFonts w:ascii="Times New Roman" w:hAnsi="Times New Roman"/>
          <w:sz w:val="28"/>
          <w:szCs w:val="28"/>
        </w:rPr>
        <w:t xml:space="preserve">, 189 </w:t>
      </w:r>
      <w:smartTag w:uri="urn:schemas-microsoft-com:office:smarttags" w:element="State">
        <w:smartTag w:uri="urn:schemas-microsoft-com:office:smarttags" w:element="place">
          <w:r w:rsidRPr="00971CE9">
            <w:rPr>
              <w:rFonts w:ascii="Times New Roman" w:hAnsi="Times New Roman"/>
              <w:sz w:val="28"/>
              <w:szCs w:val="28"/>
            </w:rPr>
            <w:t>Ariz.</w:t>
          </w:r>
        </w:smartTag>
      </w:smartTag>
      <w:r w:rsidRPr="00971CE9">
        <w:rPr>
          <w:rFonts w:ascii="Times New Roman" w:hAnsi="Times New Roman"/>
          <w:sz w:val="28"/>
          <w:szCs w:val="28"/>
        </w:rPr>
        <w:t xml:space="preserve"> 269, 275 (1997). Though separation of powers is explicit in the Arizona Constitution, “[t]he separation of powers does not require a </w:t>
      </w:r>
      <w:r w:rsidRPr="00971CE9">
        <w:rPr>
          <w:rFonts w:ascii="Times New Roman" w:hAnsi="Times New Roman"/>
          <w:sz w:val="28"/>
          <w:szCs w:val="28"/>
        </w:rPr>
        <w:lastRenderedPageBreak/>
        <w:t xml:space="preserve">‘hermetic sealing off’ of the three branches of government.” </w:t>
      </w:r>
      <w:r w:rsidRPr="00971CE9">
        <w:rPr>
          <w:rFonts w:ascii="Times New Roman" w:hAnsi="Times New Roman"/>
          <w:i/>
          <w:sz w:val="28"/>
          <w:szCs w:val="28"/>
        </w:rPr>
        <w:t>State v. Prentiss</w:t>
      </w:r>
      <w:r w:rsidRPr="00971CE9">
        <w:rPr>
          <w:rFonts w:ascii="Times New Roman" w:hAnsi="Times New Roman"/>
          <w:sz w:val="28"/>
          <w:szCs w:val="28"/>
        </w:rPr>
        <w:t>, 163 Ariz. 81, 84 (1989).</w:t>
      </w:r>
      <w:r w:rsidR="00CD7EFC">
        <w:rPr>
          <w:rFonts w:ascii="Times New Roman" w:hAnsi="Times New Roman"/>
          <w:sz w:val="28"/>
          <w:szCs w:val="28"/>
        </w:rPr>
        <w:t xml:space="preserve"> </w:t>
      </w:r>
      <w:r w:rsidR="00CD7EFC" w:rsidRPr="00971CE9">
        <w:rPr>
          <w:rFonts w:ascii="Times New Roman" w:hAnsi="Times New Roman"/>
          <w:sz w:val="28"/>
          <w:szCs w:val="28"/>
        </w:rPr>
        <w:t xml:space="preserve">The powers of the three branches of government may be “blended” permissibly, however, so long as the result is not an outright usurpation of the powers of one branch by another. </w:t>
      </w:r>
      <w:r w:rsidR="00CD7EFC" w:rsidRPr="00971CE9">
        <w:rPr>
          <w:rFonts w:ascii="Times New Roman" w:hAnsi="Times New Roman"/>
          <w:i/>
          <w:sz w:val="28"/>
          <w:szCs w:val="28"/>
        </w:rPr>
        <w:t>Block</w:t>
      </w:r>
      <w:r w:rsidR="00CD7EFC" w:rsidRPr="00971CE9">
        <w:rPr>
          <w:rFonts w:ascii="Times New Roman" w:hAnsi="Times New Roman"/>
          <w:sz w:val="28"/>
          <w:szCs w:val="28"/>
        </w:rPr>
        <w:t xml:space="preserve">, 189 Ariz. at 276 (citing </w:t>
      </w:r>
      <w:r w:rsidR="00CD7EFC" w:rsidRPr="00971CE9">
        <w:rPr>
          <w:rFonts w:ascii="Times New Roman" w:hAnsi="Times New Roman"/>
          <w:i/>
          <w:sz w:val="28"/>
          <w:szCs w:val="28"/>
        </w:rPr>
        <w:t>J.W. Hancock Enters. v. Registrar of Contractors</w:t>
      </w:r>
      <w:r w:rsidR="00CD7EFC" w:rsidRPr="00971CE9">
        <w:rPr>
          <w:rFonts w:ascii="Times New Roman" w:hAnsi="Times New Roman"/>
          <w:sz w:val="28"/>
          <w:szCs w:val="28"/>
        </w:rPr>
        <w:t xml:space="preserve">, 142 </w:t>
      </w:r>
      <w:smartTag w:uri="urn:schemas-microsoft-com:office:smarttags" w:element="State">
        <w:smartTag w:uri="urn:schemas-microsoft-com:office:smarttags" w:element="place">
          <w:r w:rsidR="00CD7EFC" w:rsidRPr="00971CE9">
            <w:rPr>
              <w:rFonts w:ascii="Times New Roman" w:hAnsi="Times New Roman"/>
              <w:sz w:val="28"/>
              <w:szCs w:val="28"/>
            </w:rPr>
            <w:t>Ariz.</w:t>
          </w:r>
        </w:smartTag>
      </w:smartTag>
      <w:r w:rsidR="00CD7EFC" w:rsidRPr="00971CE9">
        <w:rPr>
          <w:rFonts w:ascii="Times New Roman" w:hAnsi="Times New Roman"/>
          <w:sz w:val="28"/>
          <w:szCs w:val="28"/>
        </w:rPr>
        <w:t xml:space="preserve"> 400, 405-06 (App. 1984)). Th</w:t>
      </w:r>
      <w:r w:rsidR="00CD7EFC">
        <w:rPr>
          <w:rFonts w:ascii="Times New Roman" w:hAnsi="Times New Roman"/>
          <w:sz w:val="28"/>
          <w:szCs w:val="28"/>
        </w:rPr>
        <w:t>is</w:t>
      </w:r>
      <w:r w:rsidR="00CD7EFC" w:rsidRPr="00971CE9">
        <w:rPr>
          <w:rFonts w:ascii="Times New Roman" w:hAnsi="Times New Roman"/>
          <w:sz w:val="28"/>
          <w:szCs w:val="28"/>
        </w:rPr>
        <w:t xml:space="preserve"> Court approved </w:t>
      </w:r>
      <w:r w:rsidR="00CD7EFC" w:rsidRPr="00971CE9">
        <w:rPr>
          <w:rFonts w:ascii="Times New Roman" w:hAnsi="Times New Roman"/>
          <w:i/>
          <w:sz w:val="28"/>
          <w:szCs w:val="28"/>
        </w:rPr>
        <w:t>Hancock</w:t>
      </w:r>
      <w:r w:rsidR="00CD7EFC" w:rsidRPr="00971CE9">
        <w:rPr>
          <w:rFonts w:ascii="Times New Roman" w:hAnsi="Times New Roman"/>
          <w:sz w:val="28"/>
          <w:szCs w:val="28"/>
        </w:rPr>
        <w:t xml:space="preserve">, </w:t>
      </w:r>
      <w:r w:rsidR="00CD7EFC">
        <w:rPr>
          <w:rFonts w:ascii="Times New Roman" w:hAnsi="Times New Roman"/>
          <w:sz w:val="28"/>
          <w:szCs w:val="28"/>
        </w:rPr>
        <w:t>which</w:t>
      </w:r>
      <w:r w:rsidR="00CD7EFC" w:rsidRPr="00971CE9">
        <w:rPr>
          <w:rFonts w:ascii="Times New Roman" w:hAnsi="Times New Roman"/>
          <w:sz w:val="28"/>
          <w:szCs w:val="28"/>
        </w:rPr>
        <w:t xml:space="preserve"> used four factors for consideration in determining whether a separation of powers violation has occurred. </w:t>
      </w:r>
      <w:r w:rsidR="00CD7EFC" w:rsidRPr="00971CE9">
        <w:rPr>
          <w:rFonts w:ascii="Times New Roman" w:hAnsi="Times New Roman"/>
          <w:i/>
          <w:sz w:val="28"/>
          <w:szCs w:val="28"/>
        </w:rPr>
        <w:t>Block</w:t>
      </w:r>
      <w:r w:rsidR="00CD7EFC" w:rsidRPr="00971CE9">
        <w:rPr>
          <w:rFonts w:ascii="Times New Roman" w:hAnsi="Times New Roman"/>
          <w:sz w:val="28"/>
          <w:szCs w:val="28"/>
        </w:rPr>
        <w:t xml:space="preserve">, 189 </w:t>
      </w:r>
      <w:smartTag w:uri="urn:schemas-microsoft-com:office:smarttags" w:element="State">
        <w:smartTag w:uri="urn:schemas-microsoft-com:office:smarttags" w:element="place">
          <w:r w:rsidR="00CD7EFC" w:rsidRPr="00971CE9">
            <w:rPr>
              <w:rFonts w:ascii="Times New Roman" w:hAnsi="Times New Roman"/>
              <w:sz w:val="28"/>
              <w:szCs w:val="28"/>
            </w:rPr>
            <w:t>Ariz.</w:t>
          </w:r>
        </w:smartTag>
      </w:smartTag>
      <w:r w:rsidR="00CD7EFC" w:rsidRPr="00971CE9">
        <w:rPr>
          <w:rFonts w:ascii="Times New Roman" w:hAnsi="Times New Roman"/>
          <w:sz w:val="28"/>
          <w:szCs w:val="28"/>
        </w:rPr>
        <w:t xml:space="preserve"> at 276. As stated in </w:t>
      </w:r>
      <w:r w:rsidR="00CD7EFC" w:rsidRPr="00971CE9">
        <w:rPr>
          <w:rFonts w:ascii="Times New Roman" w:hAnsi="Times New Roman"/>
          <w:i/>
          <w:sz w:val="28"/>
          <w:szCs w:val="28"/>
        </w:rPr>
        <w:t>State v. Donald</w:t>
      </w:r>
      <w:r w:rsidR="00CD7EFC" w:rsidRPr="00971CE9">
        <w:rPr>
          <w:rFonts w:ascii="Times New Roman" w:hAnsi="Times New Roman"/>
          <w:sz w:val="28"/>
          <w:szCs w:val="28"/>
        </w:rPr>
        <w:t xml:space="preserve">, 198 </w:t>
      </w:r>
      <w:smartTag w:uri="urn:schemas-microsoft-com:office:smarttags" w:element="State">
        <w:smartTag w:uri="urn:schemas-microsoft-com:office:smarttags" w:element="place">
          <w:r w:rsidR="00CD7EFC" w:rsidRPr="00971CE9">
            <w:rPr>
              <w:rFonts w:ascii="Times New Roman" w:hAnsi="Times New Roman"/>
              <w:sz w:val="28"/>
              <w:szCs w:val="28"/>
            </w:rPr>
            <w:t>Ariz.</w:t>
          </w:r>
        </w:smartTag>
      </w:smartTag>
      <w:r w:rsidR="00CD7EFC" w:rsidRPr="00971CE9">
        <w:rPr>
          <w:rFonts w:ascii="Times New Roman" w:hAnsi="Times New Roman"/>
          <w:sz w:val="28"/>
          <w:szCs w:val="28"/>
        </w:rPr>
        <w:t xml:space="preserve"> 406, </w:t>
      </w:r>
      <w:r w:rsidR="00CD7EFC">
        <w:rPr>
          <w:rFonts w:ascii="Times New Roman" w:hAnsi="Times New Roman"/>
          <w:sz w:val="28"/>
          <w:szCs w:val="28"/>
        </w:rPr>
        <w:t xml:space="preserve">416-17 </w:t>
      </w:r>
      <w:r w:rsidR="00CD7EFC" w:rsidRPr="00971CE9">
        <w:rPr>
          <w:rFonts w:ascii="Times New Roman" w:hAnsi="Times New Roman"/>
          <w:sz w:val="28"/>
          <w:szCs w:val="28"/>
        </w:rPr>
        <w:t>¶ 37 (App. 2000), those four factors are: “(1) the essential nature of the power exercised; (2) the … degree of control [that one branch assumes] in exercising the power [of another]; (3) the … objective [of the exercise]; (4) the practical consequences of the action.”</w:t>
      </w:r>
    </w:p>
    <w:p w14:paraId="61FFAB8B" w14:textId="74F76342" w:rsidR="00971CE9" w:rsidRDefault="00971CE9" w:rsidP="00CD0255">
      <w:pPr>
        <w:spacing w:line="480" w:lineRule="auto"/>
        <w:ind w:firstLine="720"/>
        <w:jc w:val="both"/>
        <w:rPr>
          <w:rFonts w:ascii="Times New Roman" w:hAnsi="Times New Roman"/>
          <w:sz w:val="28"/>
          <w:szCs w:val="28"/>
        </w:rPr>
      </w:pPr>
      <w:r w:rsidRPr="00971CE9">
        <w:rPr>
          <w:rFonts w:ascii="Times New Roman" w:hAnsi="Times New Roman"/>
          <w:sz w:val="28"/>
          <w:szCs w:val="28"/>
        </w:rPr>
        <w:t xml:space="preserve">It is axiomatic that the admissibility of evidence in court proceedings is a rulemaking function that is reserved to </w:t>
      </w:r>
      <w:r w:rsidR="00CD7EFC">
        <w:rPr>
          <w:rFonts w:ascii="Times New Roman" w:hAnsi="Times New Roman"/>
          <w:sz w:val="28"/>
          <w:szCs w:val="28"/>
        </w:rPr>
        <w:t>this</w:t>
      </w:r>
      <w:r w:rsidRPr="00971CE9">
        <w:rPr>
          <w:rFonts w:ascii="Times New Roman" w:hAnsi="Times New Roman"/>
          <w:sz w:val="28"/>
          <w:szCs w:val="28"/>
        </w:rPr>
        <w:t xml:space="preserve"> Court. </w:t>
      </w:r>
      <w:smartTag w:uri="urn:schemas-microsoft-com:office:smarttags" w:element="State">
        <w:smartTag w:uri="urn:schemas-microsoft-com:office:smarttags" w:element="place">
          <w:r w:rsidRPr="00971CE9">
            <w:rPr>
              <w:rFonts w:ascii="Times New Roman" w:hAnsi="Times New Roman"/>
              <w:sz w:val="28"/>
              <w:szCs w:val="28"/>
            </w:rPr>
            <w:t>Ariz.</w:t>
          </w:r>
        </w:smartTag>
      </w:smartTag>
      <w:r w:rsidRPr="00971CE9">
        <w:rPr>
          <w:rFonts w:ascii="Times New Roman" w:hAnsi="Times New Roman"/>
          <w:sz w:val="28"/>
          <w:szCs w:val="28"/>
        </w:rPr>
        <w:t xml:space="preserve"> Const., art. </w:t>
      </w:r>
      <w:r>
        <w:rPr>
          <w:rFonts w:ascii="Times New Roman" w:hAnsi="Times New Roman"/>
          <w:sz w:val="28"/>
          <w:szCs w:val="28"/>
        </w:rPr>
        <w:t>6</w:t>
      </w:r>
      <w:r w:rsidRPr="00971CE9">
        <w:rPr>
          <w:rFonts w:ascii="Times New Roman" w:hAnsi="Times New Roman"/>
          <w:sz w:val="28"/>
          <w:szCs w:val="28"/>
        </w:rPr>
        <w:t>, § 5; Ariz. R. Evid. 101</w:t>
      </w:r>
      <w:r>
        <w:rPr>
          <w:rFonts w:ascii="Times New Roman" w:hAnsi="Times New Roman"/>
          <w:sz w:val="28"/>
          <w:szCs w:val="28"/>
        </w:rPr>
        <w:t>.</w:t>
      </w:r>
      <w:r w:rsidRPr="00971CE9">
        <w:rPr>
          <w:rFonts w:ascii="Times New Roman" w:hAnsi="Times New Roman"/>
          <w:sz w:val="28"/>
          <w:szCs w:val="28"/>
        </w:rPr>
        <w:t xml:space="preserve"> In th</w:t>
      </w:r>
      <w:r w:rsidR="00CD7EFC">
        <w:rPr>
          <w:rFonts w:ascii="Times New Roman" w:hAnsi="Times New Roman"/>
          <w:sz w:val="28"/>
          <w:szCs w:val="28"/>
        </w:rPr>
        <w:t>e case of Arizona’s rape shield</w:t>
      </w:r>
      <w:r w:rsidRPr="00971CE9">
        <w:rPr>
          <w:rFonts w:ascii="Times New Roman" w:hAnsi="Times New Roman"/>
          <w:sz w:val="28"/>
          <w:szCs w:val="28"/>
        </w:rPr>
        <w:t xml:space="preserve">, </w:t>
      </w:r>
      <w:r w:rsidR="00CD7EFC">
        <w:rPr>
          <w:rFonts w:ascii="Times New Roman" w:hAnsi="Times New Roman"/>
          <w:sz w:val="28"/>
          <w:szCs w:val="28"/>
        </w:rPr>
        <w:t>A.R.S. § 13-1421</w:t>
      </w:r>
      <w:r w:rsidRPr="00971CE9">
        <w:rPr>
          <w:rFonts w:ascii="Times New Roman" w:hAnsi="Times New Roman"/>
          <w:sz w:val="28"/>
          <w:szCs w:val="28"/>
        </w:rPr>
        <w:t xml:space="preserve"> conflicts with and engulfs Ariz. R. Evid. 401-404 and 608 as well as the analysis of </w:t>
      </w:r>
      <w:r w:rsidRPr="00971CE9">
        <w:rPr>
          <w:rFonts w:ascii="Times New Roman" w:hAnsi="Times New Roman"/>
          <w:i/>
          <w:sz w:val="28"/>
          <w:szCs w:val="28"/>
        </w:rPr>
        <w:t>Oliver</w:t>
      </w:r>
      <w:r w:rsidRPr="00971CE9">
        <w:rPr>
          <w:rFonts w:ascii="Times New Roman" w:hAnsi="Times New Roman"/>
          <w:sz w:val="28"/>
          <w:szCs w:val="28"/>
        </w:rPr>
        <w:t xml:space="preserve">. That is, the statute has improperly replaced the analytical framework provided by the Rules of Evidence. For example, the statute limits prior sexual conduct to five specific exceptions, without provision for a “catch-all” exception to cover unanticipated, exceptional circumstances. </w:t>
      </w:r>
      <w:r w:rsidRPr="00971CE9">
        <w:rPr>
          <w:rFonts w:ascii="Times New Roman" w:hAnsi="Times New Roman"/>
          <w:i/>
          <w:sz w:val="28"/>
          <w:szCs w:val="28"/>
        </w:rPr>
        <w:t>See</w:t>
      </w:r>
      <w:r w:rsidRPr="00971CE9">
        <w:rPr>
          <w:rFonts w:ascii="Times New Roman" w:hAnsi="Times New Roman"/>
          <w:sz w:val="28"/>
          <w:szCs w:val="28"/>
        </w:rPr>
        <w:t xml:space="preserve"> §</w:t>
      </w:r>
      <w:r>
        <w:rPr>
          <w:rFonts w:ascii="Times New Roman" w:hAnsi="Times New Roman"/>
          <w:sz w:val="28"/>
          <w:szCs w:val="28"/>
        </w:rPr>
        <w:t xml:space="preserve"> </w:t>
      </w:r>
      <w:r w:rsidRPr="00971CE9">
        <w:rPr>
          <w:rFonts w:ascii="Times New Roman" w:hAnsi="Times New Roman"/>
          <w:sz w:val="28"/>
          <w:szCs w:val="28"/>
        </w:rPr>
        <w:t xml:space="preserve">13-1421(A)(1)-(5). The Rules of Evidence are crafted so that the trial courts have wide discretion to admit relevant evidence, and </w:t>
      </w:r>
      <w:r w:rsidRPr="00971CE9">
        <w:rPr>
          <w:rFonts w:ascii="Times New Roman" w:hAnsi="Times New Roman"/>
          <w:sz w:val="28"/>
          <w:szCs w:val="28"/>
        </w:rPr>
        <w:lastRenderedPageBreak/>
        <w:t xml:space="preserve">this threshold is not particularly high so long as the evidence is not unfairly prejudicial. </w:t>
      </w:r>
      <w:r w:rsidRPr="00971CE9">
        <w:rPr>
          <w:rFonts w:ascii="Times New Roman" w:hAnsi="Times New Roman"/>
          <w:i/>
          <w:sz w:val="28"/>
          <w:szCs w:val="28"/>
        </w:rPr>
        <w:t>See Oliver</w:t>
      </w:r>
      <w:r w:rsidRPr="00971CE9">
        <w:rPr>
          <w:rFonts w:ascii="Times New Roman" w:hAnsi="Times New Roman"/>
          <w:sz w:val="28"/>
          <w:szCs w:val="28"/>
        </w:rPr>
        <w:t xml:space="preserve">, 158 </w:t>
      </w:r>
      <w:smartTag w:uri="urn:schemas-microsoft-com:office:smarttags" w:element="State">
        <w:smartTag w:uri="urn:schemas-microsoft-com:office:smarttags" w:element="place">
          <w:r w:rsidRPr="00971CE9">
            <w:rPr>
              <w:rFonts w:ascii="Times New Roman" w:hAnsi="Times New Roman"/>
              <w:sz w:val="28"/>
              <w:szCs w:val="28"/>
            </w:rPr>
            <w:t>Ariz.</w:t>
          </w:r>
        </w:smartTag>
      </w:smartTag>
      <w:r w:rsidRPr="00971CE9">
        <w:rPr>
          <w:rFonts w:ascii="Times New Roman" w:hAnsi="Times New Roman"/>
          <w:sz w:val="28"/>
          <w:szCs w:val="28"/>
        </w:rPr>
        <w:t xml:space="preserve"> at 28. Other acts are admissible to show motive, opportunity, intent, plan, knowledge, and this list is not exclusive. </w:t>
      </w:r>
      <w:r w:rsidRPr="00971CE9">
        <w:rPr>
          <w:rFonts w:ascii="Times New Roman" w:hAnsi="Times New Roman"/>
          <w:i/>
          <w:sz w:val="28"/>
          <w:szCs w:val="28"/>
        </w:rPr>
        <w:t>See</w:t>
      </w:r>
      <w:r w:rsidRPr="00971CE9">
        <w:rPr>
          <w:rFonts w:ascii="Times New Roman" w:hAnsi="Times New Roman"/>
          <w:sz w:val="28"/>
          <w:szCs w:val="28"/>
        </w:rPr>
        <w:t xml:space="preserve"> Rule 404(b). In addition, pertinent character traits of a victim may be admissible and witness, including the victim, may be impeached with specific instances of conduct that relate to credibility. </w:t>
      </w:r>
      <w:r w:rsidRPr="00971CE9">
        <w:rPr>
          <w:rFonts w:ascii="Times New Roman" w:hAnsi="Times New Roman"/>
          <w:i/>
          <w:sz w:val="28"/>
          <w:szCs w:val="28"/>
        </w:rPr>
        <w:t>See</w:t>
      </w:r>
      <w:r w:rsidRPr="00971CE9">
        <w:rPr>
          <w:rFonts w:ascii="Times New Roman" w:hAnsi="Times New Roman"/>
          <w:sz w:val="28"/>
          <w:szCs w:val="28"/>
        </w:rPr>
        <w:t xml:space="preserve"> Rules 404(a) and Rule 608(b). Except for evidence of other bad acts by the defendant, governed by Rules 404(b) and 404(c), there is no requirement that the prior act be established by clear and convincing evidence. </w:t>
      </w:r>
      <w:r w:rsidRPr="00971CE9">
        <w:rPr>
          <w:rFonts w:ascii="Times New Roman" w:hAnsi="Times New Roman"/>
          <w:i/>
          <w:sz w:val="28"/>
          <w:szCs w:val="28"/>
        </w:rPr>
        <w:t>See State v. Terrazas</w:t>
      </w:r>
      <w:r w:rsidRPr="00971CE9">
        <w:rPr>
          <w:rFonts w:ascii="Times New Roman" w:hAnsi="Times New Roman"/>
          <w:sz w:val="28"/>
          <w:szCs w:val="28"/>
        </w:rPr>
        <w:t>, 189 Ariz. 580, 582 (1997);</w:t>
      </w:r>
      <w:r w:rsidRPr="00971CE9">
        <w:rPr>
          <w:rFonts w:ascii="Times New Roman" w:hAnsi="Times New Roman"/>
          <w:i/>
          <w:sz w:val="28"/>
          <w:szCs w:val="28"/>
        </w:rPr>
        <w:t xml:space="preserve"> Oliver</w:t>
      </w:r>
      <w:r w:rsidRPr="00971CE9">
        <w:rPr>
          <w:rFonts w:ascii="Times New Roman" w:hAnsi="Times New Roman"/>
          <w:sz w:val="28"/>
          <w:szCs w:val="28"/>
        </w:rPr>
        <w:t xml:space="preserve">, 158 Ariz. at 29; </w:t>
      </w:r>
      <w:r w:rsidRPr="00971CE9">
        <w:rPr>
          <w:rFonts w:ascii="Times New Roman" w:hAnsi="Times New Roman"/>
          <w:i/>
          <w:sz w:val="28"/>
          <w:szCs w:val="28"/>
        </w:rPr>
        <w:t>see also</w:t>
      </w:r>
      <w:r w:rsidRPr="00971CE9">
        <w:rPr>
          <w:rFonts w:ascii="Times New Roman" w:hAnsi="Times New Roman"/>
          <w:sz w:val="28"/>
          <w:szCs w:val="28"/>
        </w:rPr>
        <w:t xml:space="preserve"> Rule 404(a); Rule 608</w:t>
      </w:r>
      <w:r>
        <w:rPr>
          <w:rFonts w:ascii="Times New Roman" w:hAnsi="Times New Roman"/>
          <w:sz w:val="28"/>
          <w:szCs w:val="28"/>
        </w:rPr>
        <w:t>.</w:t>
      </w:r>
    </w:p>
    <w:p w14:paraId="4BEC3727" w14:textId="5CF1100A" w:rsidR="00971CE9" w:rsidRDefault="00971CE9" w:rsidP="00CD0255">
      <w:pPr>
        <w:spacing w:line="480" w:lineRule="auto"/>
        <w:ind w:firstLine="720"/>
        <w:jc w:val="both"/>
        <w:rPr>
          <w:rFonts w:ascii="Times New Roman" w:hAnsi="Times New Roman"/>
          <w:sz w:val="28"/>
          <w:szCs w:val="28"/>
        </w:rPr>
      </w:pPr>
      <w:r w:rsidRPr="00971CE9">
        <w:rPr>
          <w:rFonts w:ascii="Times New Roman" w:hAnsi="Times New Roman"/>
          <w:sz w:val="28"/>
          <w:szCs w:val="28"/>
        </w:rPr>
        <w:t xml:space="preserve">Without elaboration, </w:t>
      </w:r>
      <w:r w:rsidRPr="00971CE9">
        <w:rPr>
          <w:rFonts w:ascii="Times New Roman" w:hAnsi="Times New Roman"/>
          <w:i/>
          <w:sz w:val="28"/>
          <w:szCs w:val="28"/>
        </w:rPr>
        <w:t>Gilfillan</w:t>
      </w:r>
      <w:r w:rsidRPr="00971CE9">
        <w:rPr>
          <w:rFonts w:ascii="Times New Roman" w:hAnsi="Times New Roman"/>
          <w:sz w:val="28"/>
          <w:szCs w:val="28"/>
        </w:rPr>
        <w:t xml:space="preserve"> said that “the burden of proof is substantive, not procedural.” 196 Ariz. </w:t>
      </w:r>
      <w:r w:rsidR="00C63D94">
        <w:rPr>
          <w:rFonts w:ascii="Times New Roman" w:hAnsi="Times New Roman"/>
          <w:sz w:val="28"/>
          <w:szCs w:val="28"/>
        </w:rPr>
        <w:t>at 404</w:t>
      </w:r>
      <w:r w:rsidRPr="00971CE9">
        <w:rPr>
          <w:rFonts w:ascii="Times New Roman" w:hAnsi="Times New Roman"/>
          <w:sz w:val="28"/>
          <w:szCs w:val="28"/>
        </w:rPr>
        <w:t xml:space="preserve"> ¶ 27. But there is a distinction between the burden of proof of an element of an </w:t>
      </w:r>
      <w:r w:rsidRPr="00971CE9">
        <w:rPr>
          <w:rFonts w:ascii="Times New Roman" w:hAnsi="Times New Roman"/>
          <w:i/>
          <w:sz w:val="28"/>
          <w:szCs w:val="28"/>
        </w:rPr>
        <w:t>offense</w:t>
      </w:r>
      <w:r w:rsidRPr="00971CE9">
        <w:rPr>
          <w:rFonts w:ascii="Times New Roman" w:hAnsi="Times New Roman"/>
          <w:sz w:val="28"/>
          <w:szCs w:val="28"/>
        </w:rPr>
        <w:t xml:space="preserve"> or cause of action, which is substantive, and the burden of proof for admitting evidence, which is procedural.</w:t>
      </w:r>
    </w:p>
    <w:p w14:paraId="22D05A14" w14:textId="7C844491" w:rsidR="00971CE9" w:rsidRDefault="00971CE9" w:rsidP="00CD0255">
      <w:pPr>
        <w:spacing w:line="480" w:lineRule="auto"/>
        <w:ind w:firstLine="720"/>
        <w:jc w:val="both"/>
        <w:rPr>
          <w:rFonts w:ascii="Times New Roman" w:hAnsi="Times New Roman"/>
          <w:sz w:val="28"/>
          <w:szCs w:val="28"/>
        </w:rPr>
      </w:pPr>
      <w:r w:rsidRPr="00971CE9">
        <w:rPr>
          <w:rFonts w:ascii="Times New Roman" w:hAnsi="Times New Roman"/>
          <w:sz w:val="28"/>
          <w:szCs w:val="28"/>
        </w:rPr>
        <w:t xml:space="preserve">A procedural rule does not become substantive merely because one part of the rule contains a substantive provision. </w:t>
      </w:r>
      <w:r w:rsidRPr="00971CE9">
        <w:rPr>
          <w:rFonts w:ascii="Times New Roman" w:hAnsi="Times New Roman"/>
          <w:i/>
          <w:sz w:val="28"/>
          <w:szCs w:val="28"/>
        </w:rPr>
        <w:t>See, e.g.,</w:t>
      </w:r>
      <w:r w:rsidRPr="00971CE9">
        <w:rPr>
          <w:rFonts w:ascii="Times New Roman" w:hAnsi="Times New Roman"/>
          <w:sz w:val="28"/>
          <w:szCs w:val="28"/>
        </w:rPr>
        <w:t xml:space="preserve"> </w:t>
      </w:r>
      <w:r w:rsidRPr="00971CE9">
        <w:rPr>
          <w:rFonts w:ascii="Times New Roman" w:hAnsi="Times New Roman"/>
          <w:i/>
          <w:sz w:val="28"/>
          <w:szCs w:val="28"/>
        </w:rPr>
        <w:t>State ex rel. Napolitano v. Brown</w:t>
      </w:r>
      <w:r w:rsidRPr="00971CE9">
        <w:rPr>
          <w:rFonts w:ascii="Times New Roman" w:hAnsi="Times New Roman"/>
          <w:sz w:val="28"/>
          <w:szCs w:val="28"/>
        </w:rPr>
        <w:t xml:space="preserve">, 194 Ariz. 340 (1999) (striking down statute limiting time to file Rule 32 petitions); </w:t>
      </w:r>
      <w:r w:rsidRPr="00971CE9">
        <w:rPr>
          <w:rFonts w:ascii="Times New Roman" w:hAnsi="Times New Roman"/>
          <w:i/>
          <w:sz w:val="28"/>
          <w:szCs w:val="28"/>
        </w:rPr>
        <w:t>Pompa v. Superior Court</w:t>
      </w:r>
      <w:r w:rsidRPr="00971CE9">
        <w:rPr>
          <w:rFonts w:ascii="Times New Roman" w:hAnsi="Times New Roman"/>
          <w:sz w:val="28"/>
          <w:szCs w:val="28"/>
        </w:rPr>
        <w:t xml:space="preserve">, 187 </w:t>
      </w:r>
      <w:smartTag w:uri="urn:schemas-microsoft-com:office:smarttags" w:element="State">
        <w:smartTag w:uri="urn:schemas-microsoft-com:office:smarttags" w:element="place">
          <w:r w:rsidRPr="00971CE9">
            <w:rPr>
              <w:rFonts w:ascii="Times New Roman" w:hAnsi="Times New Roman"/>
              <w:sz w:val="28"/>
              <w:szCs w:val="28"/>
            </w:rPr>
            <w:t>Ariz.</w:t>
          </w:r>
        </w:smartTag>
      </w:smartTag>
      <w:r w:rsidRPr="00971CE9">
        <w:rPr>
          <w:rFonts w:ascii="Times New Roman" w:hAnsi="Times New Roman"/>
          <w:sz w:val="28"/>
          <w:szCs w:val="28"/>
        </w:rPr>
        <w:t xml:space="preserve"> 531, 534 (App. 1997) (rules of appeal procedural even though right to appeal substantive). The fact that the burden of proof for admitting certain kinds of evidence is a judicial function is demonstrated by th</w:t>
      </w:r>
      <w:r w:rsidR="00C63D94">
        <w:rPr>
          <w:rFonts w:ascii="Times New Roman" w:hAnsi="Times New Roman"/>
          <w:sz w:val="28"/>
          <w:szCs w:val="28"/>
        </w:rPr>
        <w:t>is</w:t>
      </w:r>
      <w:r w:rsidRPr="00971CE9">
        <w:rPr>
          <w:rFonts w:ascii="Times New Roman" w:hAnsi="Times New Roman"/>
          <w:sz w:val="28"/>
          <w:szCs w:val="28"/>
        </w:rPr>
        <w:t xml:space="preserve"> </w:t>
      </w:r>
      <w:r w:rsidRPr="00971CE9">
        <w:rPr>
          <w:rFonts w:ascii="Times New Roman" w:hAnsi="Times New Roman"/>
          <w:sz w:val="28"/>
          <w:szCs w:val="28"/>
        </w:rPr>
        <w:lastRenderedPageBreak/>
        <w:t xml:space="preserve">Court’s holding in </w:t>
      </w:r>
      <w:r w:rsidRPr="00971CE9">
        <w:rPr>
          <w:rFonts w:ascii="Times New Roman" w:hAnsi="Times New Roman"/>
          <w:i/>
          <w:sz w:val="28"/>
          <w:szCs w:val="28"/>
        </w:rPr>
        <w:t>Terrazas</w:t>
      </w:r>
      <w:r w:rsidRPr="00971CE9">
        <w:rPr>
          <w:rFonts w:ascii="Times New Roman" w:hAnsi="Times New Roman"/>
          <w:sz w:val="28"/>
          <w:szCs w:val="28"/>
        </w:rPr>
        <w:t>, 189 Ariz. at 582, that other act evidence sought to be admitted under Rule 404(b) (and, subsequently, Rule 404(c)) must be proven to the trial court’s satisfaction to be true by clear and convincing evidence.</w:t>
      </w:r>
    </w:p>
    <w:p w14:paraId="2949BA8E" w14:textId="4FA3277A" w:rsidR="00971CE9" w:rsidRDefault="00971CE9" w:rsidP="00CD0255">
      <w:pPr>
        <w:spacing w:line="480" w:lineRule="auto"/>
        <w:ind w:firstLine="720"/>
        <w:jc w:val="both"/>
        <w:rPr>
          <w:rFonts w:ascii="Times New Roman" w:hAnsi="Times New Roman"/>
          <w:sz w:val="28"/>
          <w:szCs w:val="28"/>
        </w:rPr>
      </w:pPr>
      <w:r>
        <w:rPr>
          <w:rFonts w:ascii="Times New Roman" w:hAnsi="Times New Roman"/>
          <w:sz w:val="28"/>
          <w:szCs w:val="28"/>
        </w:rPr>
        <w:t>N</w:t>
      </w:r>
      <w:r w:rsidRPr="00971CE9">
        <w:rPr>
          <w:rFonts w:ascii="Times New Roman" w:hAnsi="Times New Roman"/>
          <w:sz w:val="28"/>
          <w:szCs w:val="28"/>
        </w:rPr>
        <w:t xml:space="preserve">umerous cases </w:t>
      </w:r>
      <w:r>
        <w:rPr>
          <w:rFonts w:ascii="Times New Roman" w:hAnsi="Times New Roman"/>
          <w:sz w:val="28"/>
          <w:szCs w:val="28"/>
        </w:rPr>
        <w:t xml:space="preserve">show the error of </w:t>
      </w:r>
      <w:r w:rsidRPr="00971CE9">
        <w:rPr>
          <w:rFonts w:ascii="Times New Roman" w:hAnsi="Times New Roman"/>
          <w:i/>
          <w:iCs/>
          <w:sz w:val="28"/>
          <w:szCs w:val="28"/>
        </w:rPr>
        <w:t>Gilfillan</w:t>
      </w:r>
      <w:r>
        <w:rPr>
          <w:rFonts w:ascii="Times New Roman" w:hAnsi="Times New Roman"/>
          <w:sz w:val="28"/>
          <w:szCs w:val="28"/>
        </w:rPr>
        <w:t>’s reasoning on what constitutes a substantive law</w:t>
      </w:r>
      <w:r w:rsidRPr="00971CE9">
        <w:rPr>
          <w:rFonts w:ascii="Times New Roman" w:hAnsi="Times New Roman"/>
          <w:sz w:val="28"/>
          <w:szCs w:val="28"/>
        </w:rPr>
        <w:t xml:space="preserve">. </w:t>
      </w:r>
      <w:r w:rsidRPr="00971CE9">
        <w:rPr>
          <w:rFonts w:ascii="Times New Roman" w:hAnsi="Times New Roman"/>
          <w:i/>
          <w:sz w:val="28"/>
          <w:szCs w:val="28"/>
        </w:rPr>
        <w:t>See</w:t>
      </w:r>
      <w:r>
        <w:rPr>
          <w:rFonts w:ascii="Times New Roman" w:hAnsi="Times New Roman"/>
          <w:i/>
          <w:sz w:val="28"/>
          <w:szCs w:val="28"/>
        </w:rPr>
        <w:t>, e.g.</w:t>
      </w:r>
      <w:r w:rsidRPr="00971CE9">
        <w:rPr>
          <w:rFonts w:ascii="Times New Roman" w:hAnsi="Times New Roman"/>
          <w:iCs/>
          <w:sz w:val="28"/>
          <w:szCs w:val="28"/>
        </w:rPr>
        <w:t>,</w:t>
      </w:r>
      <w:r w:rsidRPr="00971CE9">
        <w:rPr>
          <w:rFonts w:ascii="Times New Roman" w:hAnsi="Times New Roman"/>
          <w:i/>
          <w:sz w:val="28"/>
          <w:szCs w:val="28"/>
        </w:rPr>
        <w:t xml:space="preserve"> </w:t>
      </w:r>
      <w:r>
        <w:rPr>
          <w:rFonts w:ascii="Times New Roman" w:hAnsi="Times New Roman"/>
          <w:i/>
          <w:sz w:val="28"/>
          <w:szCs w:val="28"/>
        </w:rPr>
        <w:t xml:space="preserve">State v. </w:t>
      </w:r>
      <w:r w:rsidRPr="00971CE9">
        <w:rPr>
          <w:rFonts w:ascii="Times New Roman" w:hAnsi="Times New Roman"/>
          <w:i/>
          <w:sz w:val="28"/>
          <w:szCs w:val="28"/>
        </w:rPr>
        <w:t>Moody</w:t>
      </w:r>
      <w:r w:rsidRPr="00971CE9">
        <w:rPr>
          <w:rFonts w:ascii="Times New Roman" w:hAnsi="Times New Roman"/>
          <w:sz w:val="28"/>
          <w:szCs w:val="28"/>
        </w:rPr>
        <w:t xml:space="preserve">, 208 Ariz. 424, </w:t>
      </w:r>
      <w:r>
        <w:rPr>
          <w:rFonts w:ascii="Times New Roman" w:hAnsi="Times New Roman"/>
          <w:sz w:val="28"/>
          <w:szCs w:val="28"/>
        </w:rPr>
        <w:t xml:space="preserve">466 </w:t>
      </w:r>
      <w:r w:rsidRPr="00971CE9">
        <w:rPr>
          <w:rFonts w:ascii="Times New Roman" w:hAnsi="Times New Roman"/>
          <w:sz w:val="28"/>
          <w:szCs w:val="28"/>
        </w:rPr>
        <w:t>¶ 191</w:t>
      </w:r>
      <w:r>
        <w:rPr>
          <w:rFonts w:ascii="Times New Roman" w:hAnsi="Times New Roman"/>
          <w:sz w:val="28"/>
          <w:szCs w:val="28"/>
        </w:rPr>
        <w:t xml:space="preserve"> (2004)</w:t>
      </w:r>
      <w:r w:rsidRPr="00971CE9">
        <w:rPr>
          <w:rFonts w:ascii="Times New Roman" w:hAnsi="Times New Roman"/>
          <w:sz w:val="28"/>
          <w:szCs w:val="28"/>
        </w:rPr>
        <w:t xml:space="preserve"> (change in statute is substantive if it deprives the defendant of a defense that existed at the time of offense); </w:t>
      </w:r>
      <w:r w:rsidRPr="00971CE9">
        <w:rPr>
          <w:rFonts w:ascii="Times New Roman" w:hAnsi="Times New Roman"/>
          <w:i/>
          <w:sz w:val="28"/>
          <w:szCs w:val="28"/>
        </w:rPr>
        <w:t>Garcia v. Browning</w:t>
      </w:r>
      <w:r w:rsidRPr="00971CE9">
        <w:rPr>
          <w:rFonts w:ascii="Times New Roman" w:hAnsi="Times New Roman"/>
          <w:sz w:val="28"/>
          <w:szCs w:val="28"/>
        </w:rPr>
        <w:t xml:space="preserve">, 214 </w:t>
      </w:r>
      <w:smartTag w:uri="urn:schemas-microsoft-com:office:smarttags" w:element="State">
        <w:r w:rsidRPr="00971CE9">
          <w:rPr>
            <w:rFonts w:ascii="Times New Roman" w:hAnsi="Times New Roman"/>
            <w:sz w:val="28"/>
            <w:szCs w:val="28"/>
          </w:rPr>
          <w:t>Ariz.</w:t>
        </w:r>
      </w:smartTag>
      <w:r w:rsidRPr="00971CE9">
        <w:rPr>
          <w:rFonts w:ascii="Times New Roman" w:hAnsi="Times New Roman"/>
          <w:sz w:val="28"/>
          <w:szCs w:val="28"/>
        </w:rPr>
        <w:t xml:space="preserve"> 250, </w:t>
      </w:r>
      <w:r>
        <w:rPr>
          <w:rFonts w:ascii="Times New Roman" w:hAnsi="Times New Roman"/>
          <w:sz w:val="28"/>
          <w:szCs w:val="28"/>
        </w:rPr>
        <w:t xml:space="preserve">253 </w:t>
      </w:r>
      <w:r w:rsidRPr="00971CE9">
        <w:rPr>
          <w:rFonts w:ascii="Times New Roman" w:hAnsi="Times New Roman"/>
          <w:sz w:val="28"/>
          <w:szCs w:val="28"/>
        </w:rPr>
        <w:t xml:space="preserve">¶ 14 (2007) (laws are substantive if they regulate primary conduct of defendant); </w:t>
      </w:r>
      <w:r w:rsidRPr="00971CE9">
        <w:rPr>
          <w:rFonts w:ascii="Times New Roman" w:hAnsi="Times New Roman"/>
          <w:i/>
          <w:sz w:val="28"/>
          <w:szCs w:val="28"/>
        </w:rPr>
        <w:t>In re Shane B</w:t>
      </w:r>
      <w:r w:rsidRPr="00971CE9">
        <w:rPr>
          <w:rFonts w:ascii="Times New Roman" w:hAnsi="Times New Roman"/>
          <w:sz w:val="28"/>
          <w:szCs w:val="28"/>
        </w:rPr>
        <w:t xml:space="preserve">., 198 Ariz. 85, </w:t>
      </w:r>
      <w:r>
        <w:rPr>
          <w:rFonts w:ascii="Times New Roman" w:hAnsi="Times New Roman"/>
          <w:sz w:val="28"/>
          <w:szCs w:val="28"/>
        </w:rPr>
        <w:t xml:space="preserve">88 </w:t>
      </w:r>
      <w:r w:rsidRPr="00971CE9">
        <w:rPr>
          <w:rFonts w:ascii="Times New Roman" w:hAnsi="Times New Roman"/>
          <w:sz w:val="28"/>
          <w:szCs w:val="28"/>
        </w:rPr>
        <w:t xml:space="preserve">¶ 9 (2000) (“substantive law either defines a crime or involves the length or type of punishment.”) (cites omitted). </w:t>
      </w:r>
      <w:r>
        <w:rPr>
          <w:rFonts w:ascii="Times New Roman" w:hAnsi="Times New Roman"/>
          <w:sz w:val="28"/>
          <w:szCs w:val="28"/>
        </w:rPr>
        <w:t>T</w:t>
      </w:r>
      <w:r w:rsidRPr="00971CE9">
        <w:rPr>
          <w:rFonts w:ascii="Times New Roman" w:hAnsi="Times New Roman"/>
          <w:sz w:val="28"/>
          <w:szCs w:val="28"/>
        </w:rPr>
        <w:t xml:space="preserve">he Arizona rape shield statute is </w:t>
      </w:r>
      <w:r>
        <w:rPr>
          <w:rFonts w:ascii="Times New Roman" w:hAnsi="Times New Roman"/>
          <w:sz w:val="28"/>
          <w:szCs w:val="28"/>
        </w:rPr>
        <w:t xml:space="preserve">plainly </w:t>
      </w:r>
      <w:r w:rsidRPr="00971CE9">
        <w:rPr>
          <w:rFonts w:ascii="Times New Roman" w:hAnsi="Times New Roman"/>
          <w:sz w:val="28"/>
          <w:szCs w:val="28"/>
        </w:rPr>
        <w:t xml:space="preserve">a procedural rule that contradicts the Arizona Rules of Evidence. </w:t>
      </w:r>
    </w:p>
    <w:p w14:paraId="0C8B076D" w14:textId="69B154FE" w:rsidR="00E3060D" w:rsidRDefault="00E3060D" w:rsidP="00CD0255">
      <w:pPr>
        <w:spacing w:line="480" w:lineRule="auto"/>
        <w:ind w:firstLine="720"/>
        <w:jc w:val="both"/>
        <w:rPr>
          <w:rFonts w:ascii="Times New Roman" w:hAnsi="Times New Roman"/>
          <w:sz w:val="28"/>
          <w:szCs w:val="28"/>
        </w:rPr>
      </w:pPr>
      <w:r>
        <w:rPr>
          <w:rFonts w:ascii="Times New Roman" w:hAnsi="Times New Roman"/>
          <w:sz w:val="28"/>
          <w:szCs w:val="28"/>
        </w:rPr>
        <w:t xml:space="preserve">This Court recently struck down two statutes as procedural and conflicting with rules of procedure in </w:t>
      </w:r>
      <w:r w:rsidRPr="00E3060D">
        <w:rPr>
          <w:rFonts w:ascii="Times New Roman" w:hAnsi="Times New Roman"/>
          <w:i/>
          <w:iCs/>
          <w:sz w:val="28"/>
          <w:szCs w:val="28"/>
        </w:rPr>
        <w:t>State v. Reed</w:t>
      </w:r>
      <w:r>
        <w:rPr>
          <w:rFonts w:ascii="Times New Roman" w:hAnsi="Times New Roman"/>
          <w:sz w:val="28"/>
          <w:szCs w:val="28"/>
        </w:rPr>
        <w:t xml:space="preserve">, 248 Ariz. 72 (2020), and </w:t>
      </w:r>
      <w:r w:rsidRPr="00E3060D">
        <w:rPr>
          <w:rFonts w:ascii="Times New Roman" w:hAnsi="Times New Roman"/>
          <w:i/>
          <w:iCs/>
          <w:sz w:val="28"/>
          <w:szCs w:val="28"/>
        </w:rPr>
        <w:t>State v. Bigger</w:t>
      </w:r>
      <w:r>
        <w:rPr>
          <w:rFonts w:ascii="Times New Roman" w:hAnsi="Times New Roman"/>
          <w:sz w:val="28"/>
          <w:szCs w:val="28"/>
        </w:rPr>
        <w:t xml:space="preserve">, 251 Ariz. 402 (2021). </w:t>
      </w:r>
      <w:r w:rsidR="000A3E11">
        <w:rPr>
          <w:rFonts w:ascii="Times New Roman" w:hAnsi="Times New Roman"/>
          <w:sz w:val="28"/>
          <w:szCs w:val="28"/>
        </w:rPr>
        <w:t xml:space="preserve">Whereas </w:t>
      </w:r>
      <w:r w:rsidR="00A7120E" w:rsidRPr="000A3E11">
        <w:rPr>
          <w:rFonts w:ascii="Times New Roman" w:hAnsi="Times New Roman"/>
          <w:i/>
          <w:iCs/>
          <w:sz w:val="28"/>
          <w:szCs w:val="28"/>
        </w:rPr>
        <w:t>Reed</w:t>
      </w:r>
      <w:r w:rsidR="00A7120E">
        <w:rPr>
          <w:rFonts w:ascii="Times New Roman" w:hAnsi="Times New Roman"/>
          <w:sz w:val="28"/>
          <w:szCs w:val="28"/>
        </w:rPr>
        <w:t xml:space="preserve"> involved striking down</w:t>
      </w:r>
      <w:r w:rsidR="000A3E11">
        <w:rPr>
          <w:rFonts w:ascii="Times New Roman" w:hAnsi="Times New Roman"/>
          <w:sz w:val="28"/>
          <w:szCs w:val="28"/>
        </w:rPr>
        <w:t xml:space="preserve"> a statute as facially unconstitutional because it sought to regulate procedure, 248 Ariz. at 77 ¶ 17, </w:t>
      </w:r>
      <w:r w:rsidR="000A3E11" w:rsidRPr="000A3E11">
        <w:rPr>
          <w:rFonts w:ascii="Times New Roman" w:hAnsi="Times New Roman"/>
          <w:i/>
          <w:iCs/>
          <w:sz w:val="28"/>
          <w:szCs w:val="28"/>
        </w:rPr>
        <w:t>Bigger</w:t>
      </w:r>
      <w:r w:rsidR="000A3E11">
        <w:rPr>
          <w:rFonts w:ascii="Times New Roman" w:hAnsi="Times New Roman"/>
          <w:sz w:val="28"/>
          <w:szCs w:val="28"/>
        </w:rPr>
        <w:t xml:space="preserve"> found a procedural statute unconstitutional as applied to any case where the statute conflicted with the rule, 251 Ariz. at 413 ¶ 37. Notably, </w:t>
      </w:r>
      <w:r w:rsidR="000A3E11" w:rsidRPr="000A3E11">
        <w:rPr>
          <w:rFonts w:ascii="Times New Roman" w:hAnsi="Times New Roman"/>
          <w:i/>
          <w:iCs/>
          <w:sz w:val="28"/>
          <w:szCs w:val="28"/>
        </w:rPr>
        <w:t>Bigger</w:t>
      </w:r>
      <w:r w:rsidR="000A3E11">
        <w:rPr>
          <w:rFonts w:ascii="Times New Roman" w:hAnsi="Times New Roman"/>
          <w:sz w:val="28"/>
          <w:szCs w:val="28"/>
        </w:rPr>
        <w:t xml:space="preserve"> involved a conflict between a statute enacted in the 1980s and a rule modification that was adopted in 2020. Because this Court governs the domain of procedural rules, it is free to adopt </w:t>
      </w:r>
      <w:r w:rsidR="000A3E11">
        <w:rPr>
          <w:rFonts w:ascii="Times New Roman" w:hAnsi="Times New Roman"/>
          <w:sz w:val="28"/>
          <w:szCs w:val="28"/>
        </w:rPr>
        <w:lastRenderedPageBreak/>
        <w:t>rules of evidence that conflict with statutes, because it is the rule that trumps the statute and not the other way around.</w:t>
      </w:r>
    </w:p>
    <w:p w14:paraId="4256D384" w14:textId="251B74A8" w:rsidR="004E6EF6" w:rsidRPr="00D551D6" w:rsidRDefault="004E6EF6" w:rsidP="004E6EF6">
      <w:pPr>
        <w:pStyle w:val="ListParagraph"/>
        <w:numPr>
          <w:ilvl w:val="0"/>
          <w:numId w:val="24"/>
        </w:numPr>
        <w:autoSpaceDE w:val="0"/>
        <w:autoSpaceDN w:val="0"/>
        <w:adjustRightInd w:val="0"/>
        <w:spacing w:line="240" w:lineRule="auto"/>
        <w:ind w:right="720"/>
        <w:jc w:val="both"/>
        <w:rPr>
          <w:rFonts w:ascii="Times New Roman" w:hAnsi="Times New Roman"/>
          <w:b/>
          <w:bCs/>
          <w:sz w:val="28"/>
          <w:szCs w:val="28"/>
        </w:rPr>
      </w:pPr>
      <w:r>
        <w:rPr>
          <w:rFonts w:ascii="Times New Roman" w:hAnsi="Times New Roman"/>
          <w:b/>
          <w:bCs/>
          <w:sz w:val="28"/>
          <w:szCs w:val="28"/>
        </w:rPr>
        <w:t>Like F</w:t>
      </w:r>
      <w:r w:rsidR="00E3060D">
        <w:rPr>
          <w:rFonts w:ascii="Times New Roman" w:hAnsi="Times New Roman"/>
          <w:b/>
          <w:bCs/>
          <w:sz w:val="28"/>
          <w:szCs w:val="28"/>
        </w:rPr>
        <w:t xml:space="preserve">ed. </w:t>
      </w:r>
      <w:r>
        <w:rPr>
          <w:rFonts w:ascii="Times New Roman" w:hAnsi="Times New Roman"/>
          <w:b/>
          <w:bCs/>
          <w:sz w:val="28"/>
          <w:szCs w:val="28"/>
        </w:rPr>
        <w:t>R</w:t>
      </w:r>
      <w:r w:rsidR="00E3060D">
        <w:rPr>
          <w:rFonts w:ascii="Times New Roman" w:hAnsi="Times New Roman"/>
          <w:b/>
          <w:bCs/>
          <w:sz w:val="28"/>
          <w:szCs w:val="28"/>
        </w:rPr>
        <w:t xml:space="preserve">. </w:t>
      </w:r>
      <w:r>
        <w:rPr>
          <w:rFonts w:ascii="Times New Roman" w:hAnsi="Times New Roman"/>
          <w:b/>
          <w:bCs/>
          <w:sz w:val="28"/>
          <w:szCs w:val="28"/>
        </w:rPr>
        <w:t>E</w:t>
      </w:r>
      <w:r w:rsidR="00E3060D">
        <w:rPr>
          <w:rFonts w:ascii="Times New Roman" w:hAnsi="Times New Roman"/>
          <w:b/>
          <w:bCs/>
          <w:sz w:val="28"/>
          <w:szCs w:val="28"/>
        </w:rPr>
        <w:t>vid.</w:t>
      </w:r>
      <w:r>
        <w:rPr>
          <w:rFonts w:ascii="Times New Roman" w:hAnsi="Times New Roman"/>
          <w:b/>
          <w:bCs/>
          <w:sz w:val="28"/>
          <w:szCs w:val="28"/>
        </w:rPr>
        <w:t xml:space="preserve"> 412, the </w:t>
      </w:r>
      <w:r w:rsidR="0052085E">
        <w:rPr>
          <w:rFonts w:ascii="Times New Roman" w:hAnsi="Times New Roman"/>
          <w:b/>
          <w:bCs/>
          <w:sz w:val="28"/>
          <w:szCs w:val="28"/>
        </w:rPr>
        <w:t>admissibility standards under Ariz. R. Evid. 412 should</w:t>
      </w:r>
      <w:r>
        <w:rPr>
          <w:rFonts w:ascii="Times New Roman" w:hAnsi="Times New Roman"/>
          <w:b/>
          <w:bCs/>
          <w:sz w:val="28"/>
          <w:szCs w:val="28"/>
        </w:rPr>
        <w:t xml:space="preserve"> apply to criminal cases as well as civil</w:t>
      </w:r>
      <w:r w:rsidR="0052085E">
        <w:rPr>
          <w:rFonts w:ascii="Times New Roman" w:hAnsi="Times New Roman"/>
          <w:b/>
          <w:bCs/>
          <w:sz w:val="28"/>
          <w:szCs w:val="28"/>
        </w:rPr>
        <w:t>.</w:t>
      </w:r>
    </w:p>
    <w:p w14:paraId="532EB807" w14:textId="77777777" w:rsidR="004E6EF6" w:rsidRDefault="004E6EF6" w:rsidP="00CD7EFC">
      <w:pPr>
        <w:spacing w:line="240" w:lineRule="auto"/>
        <w:ind w:firstLine="720"/>
        <w:jc w:val="both"/>
        <w:rPr>
          <w:rFonts w:ascii="Times New Roman" w:hAnsi="Times New Roman"/>
          <w:sz w:val="28"/>
          <w:szCs w:val="28"/>
        </w:rPr>
      </w:pPr>
    </w:p>
    <w:p w14:paraId="35F80987" w14:textId="0EC2D4D5" w:rsidR="00E70AE1" w:rsidRDefault="0052085E" w:rsidP="00CD0255">
      <w:pPr>
        <w:spacing w:line="480" w:lineRule="auto"/>
        <w:ind w:firstLine="720"/>
        <w:jc w:val="both"/>
        <w:rPr>
          <w:rFonts w:ascii="Times New Roman" w:hAnsi="Times New Roman"/>
          <w:sz w:val="28"/>
          <w:szCs w:val="28"/>
        </w:rPr>
      </w:pPr>
      <w:r>
        <w:rPr>
          <w:rFonts w:ascii="Times New Roman" w:hAnsi="Times New Roman"/>
          <w:sz w:val="28"/>
          <w:szCs w:val="28"/>
        </w:rPr>
        <w:t>The</w:t>
      </w:r>
      <w:r w:rsidR="00971CE9" w:rsidRPr="00971CE9">
        <w:rPr>
          <w:rFonts w:ascii="Times New Roman" w:hAnsi="Times New Roman"/>
          <w:sz w:val="28"/>
          <w:szCs w:val="28"/>
        </w:rPr>
        <w:t xml:space="preserve"> ultimate judicial authority, the United States Supreme Court, has promulgated Rule 412, Fed. R. Evid., which closely mirrors the language in A.R.S. § 13-1421, but for the “clear and convincing” standard of proof for introducing the evidence.</w:t>
      </w:r>
    </w:p>
    <w:p w14:paraId="1839BEDB" w14:textId="0F7DE72A" w:rsidR="00971CE9" w:rsidRDefault="00971CE9" w:rsidP="00CD0255">
      <w:pPr>
        <w:spacing w:line="480" w:lineRule="auto"/>
        <w:ind w:firstLine="720"/>
        <w:jc w:val="both"/>
        <w:rPr>
          <w:rFonts w:ascii="Times New Roman" w:hAnsi="Times New Roman"/>
          <w:sz w:val="28"/>
          <w:szCs w:val="28"/>
        </w:rPr>
      </w:pPr>
      <w:r w:rsidRPr="00971CE9">
        <w:rPr>
          <w:rFonts w:ascii="Times New Roman" w:hAnsi="Times New Roman"/>
          <w:sz w:val="28"/>
          <w:szCs w:val="28"/>
        </w:rPr>
        <w:t xml:space="preserve">The cases that are most analogous to the rape shield statute, and thus the cases which must control the outcome of this discussion, are </w:t>
      </w:r>
      <w:r w:rsidRPr="00971CE9">
        <w:rPr>
          <w:rFonts w:ascii="Times New Roman" w:hAnsi="Times New Roman"/>
          <w:i/>
          <w:sz w:val="28"/>
          <w:szCs w:val="28"/>
        </w:rPr>
        <w:t>State v. Robinson</w:t>
      </w:r>
      <w:r w:rsidRPr="00971CE9">
        <w:rPr>
          <w:rFonts w:ascii="Times New Roman" w:hAnsi="Times New Roman"/>
          <w:sz w:val="28"/>
          <w:szCs w:val="28"/>
        </w:rPr>
        <w:t xml:space="preserve">, 153 </w:t>
      </w:r>
      <w:smartTag w:uri="urn:schemas-microsoft-com:office:smarttags" w:element="State">
        <w:smartTag w:uri="urn:schemas-microsoft-com:office:smarttags" w:element="place">
          <w:r w:rsidRPr="00971CE9">
            <w:rPr>
              <w:rFonts w:ascii="Times New Roman" w:hAnsi="Times New Roman"/>
              <w:sz w:val="28"/>
              <w:szCs w:val="28"/>
            </w:rPr>
            <w:t>Ariz.</w:t>
          </w:r>
        </w:smartTag>
      </w:smartTag>
      <w:r w:rsidRPr="00971CE9">
        <w:rPr>
          <w:rFonts w:ascii="Times New Roman" w:hAnsi="Times New Roman"/>
          <w:sz w:val="28"/>
          <w:szCs w:val="28"/>
        </w:rPr>
        <w:t xml:space="preserve"> 191 (1987), and </w:t>
      </w:r>
      <w:r w:rsidRPr="00971CE9">
        <w:rPr>
          <w:rFonts w:ascii="Times New Roman" w:hAnsi="Times New Roman"/>
          <w:i/>
          <w:sz w:val="28"/>
          <w:szCs w:val="28"/>
        </w:rPr>
        <w:t xml:space="preserve">State v. </w:t>
      </w:r>
      <w:smartTag w:uri="urn:schemas-microsoft-com:office:smarttags" w:element="City">
        <w:r w:rsidRPr="00971CE9">
          <w:rPr>
            <w:rFonts w:ascii="Times New Roman" w:hAnsi="Times New Roman"/>
            <w:i/>
            <w:sz w:val="28"/>
            <w:szCs w:val="28"/>
          </w:rPr>
          <w:t>Taylor</w:t>
        </w:r>
      </w:smartTag>
      <w:r w:rsidRPr="00971CE9">
        <w:rPr>
          <w:rFonts w:ascii="Times New Roman" w:hAnsi="Times New Roman"/>
          <w:sz w:val="28"/>
          <w:szCs w:val="28"/>
        </w:rPr>
        <w:t xml:space="preserve">, 196 </w:t>
      </w:r>
      <w:smartTag w:uri="urn:schemas-microsoft-com:office:smarttags" w:element="State">
        <w:smartTag w:uri="urn:schemas-microsoft-com:office:smarttags" w:element="place">
          <w:r w:rsidRPr="00971CE9">
            <w:rPr>
              <w:rFonts w:ascii="Times New Roman" w:hAnsi="Times New Roman"/>
              <w:sz w:val="28"/>
              <w:szCs w:val="28"/>
            </w:rPr>
            <w:t>Ariz.</w:t>
          </w:r>
        </w:smartTag>
      </w:smartTag>
      <w:r w:rsidRPr="00971CE9">
        <w:rPr>
          <w:rFonts w:ascii="Times New Roman" w:hAnsi="Times New Roman"/>
          <w:sz w:val="28"/>
          <w:szCs w:val="28"/>
        </w:rPr>
        <w:t xml:space="preserve"> 584 (App. 1999). In </w:t>
      </w:r>
      <w:r w:rsidRPr="00971CE9">
        <w:rPr>
          <w:rFonts w:ascii="Times New Roman" w:hAnsi="Times New Roman"/>
          <w:i/>
          <w:sz w:val="28"/>
          <w:szCs w:val="28"/>
        </w:rPr>
        <w:t>Robinson</w:t>
      </w:r>
      <w:r w:rsidRPr="00971CE9">
        <w:rPr>
          <w:rFonts w:ascii="Times New Roman" w:hAnsi="Times New Roman"/>
          <w:sz w:val="28"/>
          <w:szCs w:val="28"/>
        </w:rPr>
        <w:t>, th</w:t>
      </w:r>
      <w:r>
        <w:rPr>
          <w:rFonts w:ascii="Times New Roman" w:hAnsi="Times New Roman"/>
          <w:sz w:val="28"/>
          <w:szCs w:val="28"/>
        </w:rPr>
        <w:t>is</w:t>
      </w:r>
      <w:r w:rsidRPr="00971CE9">
        <w:rPr>
          <w:rFonts w:ascii="Times New Roman" w:hAnsi="Times New Roman"/>
          <w:sz w:val="28"/>
          <w:szCs w:val="28"/>
        </w:rPr>
        <w:t xml:space="preserve"> Court invalidated A.R.S. § 13-1416, which authorized the admissibility of hearsay statements made by minors under the age of ten when the statements described acts of sexual or physical abuse. Since this statute was both more restrictive and less restrictive than the Rules of Evidence, the statute conflicted with and engulfed the rules. </w:t>
      </w:r>
      <w:smartTag w:uri="urn:schemas-microsoft-com:office:smarttags" w:element="State">
        <w:smartTag w:uri="urn:schemas-microsoft-com:office:smarttags" w:element="place">
          <w:r w:rsidRPr="00971CE9">
            <w:rPr>
              <w:rFonts w:ascii="Times New Roman" w:hAnsi="Times New Roman"/>
              <w:i/>
              <w:sz w:val="28"/>
              <w:szCs w:val="28"/>
            </w:rPr>
            <w:t>Id</w:t>
          </w:r>
          <w:r w:rsidRPr="00971CE9">
            <w:rPr>
              <w:rFonts w:ascii="Times New Roman" w:hAnsi="Times New Roman"/>
              <w:sz w:val="28"/>
              <w:szCs w:val="28"/>
            </w:rPr>
            <w:t>.</w:t>
          </w:r>
        </w:smartTag>
      </w:smartTag>
      <w:r w:rsidRPr="00971CE9">
        <w:rPr>
          <w:rFonts w:ascii="Times New Roman" w:hAnsi="Times New Roman"/>
          <w:sz w:val="28"/>
          <w:szCs w:val="28"/>
        </w:rPr>
        <w:t xml:space="preserve"> at 196-97. Consequently, the statute was struck down because it infringed on this Court’s exclusive authority, granted by the Arizona Constitution, “to makes rules relating to all procedural matters in any court.” </w:t>
      </w:r>
      <w:smartTag w:uri="urn:schemas-microsoft-com:office:smarttags" w:element="place">
        <w:smartTag w:uri="urn:schemas-microsoft-com:office:smarttags" w:element="State">
          <w:r w:rsidRPr="00971CE9">
            <w:rPr>
              <w:rFonts w:ascii="Times New Roman" w:hAnsi="Times New Roman"/>
              <w:i/>
              <w:sz w:val="28"/>
              <w:szCs w:val="28"/>
            </w:rPr>
            <w:t>Id</w:t>
          </w:r>
          <w:r w:rsidRPr="00971CE9">
            <w:rPr>
              <w:rFonts w:ascii="Times New Roman" w:hAnsi="Times New Roman"/>
              <w:sz w:val="28"/>
              <w:szCs w:val="28"/>
            </w:rPr>
            <w:t>.</w:t>
          </w:r>
        </w:smartTag>
      </w:smartTag>
      <w:r w:rsidRPr="00971CE9">
        <w:rPr>
          <w:rFonts w:ascii="Times New Roman" w:hAnsi="Times New Roman"/>
          <w:sz w:val="28"/>
          <w:szCs w:val="28"/>
        </w:rPr>
        <w:t xml:space="preserve"> And in </w:t>
      </w:r>
      <w:r w:rsidRPr="00971CE9">
        <w:rPr>
          <w:rFonts w:ascii="Times New Roman" w:hAnsi="Times New Roman"/>
          <w:i/>
          <w:sz w:val="28"/>
          <w:szCs w:val="28"/>
        </w:rPr>
        <w:t>Taylor</w:t>
      </w:r>
      <w:r w:rsidRPr="00971CE9">
        <w:rPr>
          <w:rFonts w:ascii="Times New Roman" w:hAnsi="Times New Roman"/>
          <w:sz w:val="28"/>
          <w:szCs w:val="28"/>
        </w:rPr>
        <w:t>, th</w:t>
      </w:r>
      <w:r w:rsidR="00CD7EFC">
        <w:rPr>
          <w:rFonts w:ascii="Times New Roman" w:hAnsi="Times New Roman"/>
          <w:sz w:val="28"/>
          <w:szCs w:val="28"/>
        </w:rPr>
        <w:t>e</w:t>
      </w:r>
      <w:r w:rsidRPr="00971CE9">
        <w:rPr>
          <w:rFonts w:ascii="Times New Roman" w:hAnsi="Times New Roman"/>
          <w:sz w:val="28"/>
          <w:szCs w:val="28"/>
        </w:rPr>
        <w:t xml:space="preserve"> </w:t>
      </w:r>
      <w:r w:rsidR="00CD7EFC">
        <w:rPr>
          <w:rFonts w:ascii="Times New Roman" w:hAnsi="Times New Roman"/>
          <w:sz w:val="28"/>
          <w:szCs w:val="28"/>
        </w:rPr>
        <w:t>c</w:t>
      </w:r>
      <w:r w:rsidRPr="00971CE9">
        <w:rPr>
          <w:rFonts w:ascii="Times New Roman" w:hAnsi="Times New Roman"/>
          <w:sz w:val="28"/>
          <w:szCs w:val="28"/>
        </w:rPr>
        <w:t>ourt</w:t>
      </w:r>
      <w:r w:rsidR="00CD7EFC">
        <w:rPr>
          <w:rFonts w:ascii="Times New Roman" w:hAnsi="Times New Roman"/>
          <w:sz w:val="28"/>
          <w:szCs w:val="28"/>
        </w:rPr>
        <w:t xml:space="preserve"> of appeals</w:t>
      </w:r>
      <w:r w:rsidRPr="00971CE9">
        <w:rPr>
          <w:rFonts w:ascii="Times New Roman" w:hAnsi="Times New Roman"/>
          <w:sz w:val="28"/>
          <w:szCs w:val="28"/>
        </w:rPr>
        <w:t xml:space="preserve"> applied the </w:t>
      </w:r>
      <w:r w:rsidRPr="00971CE9">
        <w:rPr>
          <w:rFonts w:ascii="Times New Roman" w:hAnsi="Times New Roman"/>
          <w:i/>
          <w:sz w:val="28"/>
          <w:szCs w:val="28"/>
        </w:rPr>
        <w:t>Robinson</w:t>
      </w:r>
      <w:r w:rsidRPr="00971CE9">
        <w:rPr>
          <w:rFonts w:ascii="Times New Roman" w:hAnsi="Times New Roman"/>
          <w:sz w:val="28"/>
          <w:szCs w:val="28"/>
        </w:rPr>
        <w:t xml:space="preserve"> analysis and found that A.R.S. § 13-4252, the video statement statute, similarly engulfed the rules of evidence because it was both less </w:t>
      </w:r>
      <w:r w:rsidRPr="00971CE9">
        <w:rPr>
          <w:rFonts w:ascii="Times New Roman" w:hAnsi="Times New Roman"/>
          <w:sz w:val="28"/>
          <w:szCs w:val="28"/>
        </w:rPr>
        <w:lastRenderedPageBreak/>
        <w:t xml:space="preserve">restrictive and more expansive than the rules of evidence and improperly replaced “the analytical framework provided by the Rules of Evidence.” </w:t>
      </w:r>
      <w:smartTag w:uri="urn:schemas-microsoft-com:office:smarttags" w:element="State">
        <w:smartTag w:uri="urn:schemas-microsoft-com:office:smarttags" w:element="place">
          <w:r w:rsidRPr="00971CE9">
            <w:rPr>
              <w:rFonts w:ascii="Times New Roman" w:hAnsi="Times New Roman"/>
              <w:i/>
              <w:sz w:val="28"/>
              <w:szCs w:val="28"/>
            </w:rPr>
            <w:t>Id</w:t>
          </w:r>
          <w:r w:rsidRPr="00971CE9">
            <w:rPr>
              <w:rFonts w:ascii="Times New Roman" w:hAnsi="Times New Roman"/>
              <w:sz w:val="28"/>
              <w:szCs w:val="28"/>
            </w:rPr>
            <w:t>.</w:t>
          </w:r>
        </w:smartTag>
      </w:smartTag>
      <w:r w:rsidRPr="00971CE9">
        <w:rPr>
          <w:rFonts w:ascii="Times New Roman" w:hAnsi="Times New Roman"/>
          <w:sz w:val="28"/>
          <w:szCs w:val="28"/>
        </w:rPr>
        <w:t xml:space="preserve"> </w:t>
      </w:r>
      <w:r>
        <w:rPr>
          <w:rFonts w:ascii="Times New Roman" w:hAnsi="Times New Roman"/>
          <w:sz w:val="28"/>
          <w:szCs w:val="28"/>
        </w:rPr>
        <w:t xml:space="preserve">at 588 </w:t>
      </w:r>
      <w:r w:rsidRPr="00971CE9">
        <w:rPr>
          <w:rFonts w:ascii="Times New Roman" w:hAnsi="Times New Roman"/>
          <w:sz w:val="28"/>
          <w:szCs w:val="28"/>
        </w:rPr>
        <w:t>¶ 11.</w:t>
      </w:r>
    </w:p>
    <w:p w14:paraId="341128FC" w14:textId="2E319201" w:rsidR="00971CE9" w:rsidRDefault="00971CE9" w:rsidP="00CD0255">
      <w:pPr>
        <w:spacing w:line="480" w:lineRule="auto"/>
        <w:ind w:firstLine="720"/>
        <w:jc w:val="both"/>
        <w:rPr>
          <w:rFonts w:ascii="Times New Roman" w:hAnsi="Times New Roman"/>
          <w:sz w:val="28"/>
          <w:szCs w:val="28"/>
        </w:rPr>
      </w:pPr>
      <w:r w:rsidRPr="00971CE9">
        <w:rPr>
          <w:rFonts w:ascii="Times New Roman" w:hAnsi="Times New Roman"/>
          <w:sz w:val="28"/>
          <w:szCs w:val="28"/>
        </w:rPr>
        <w:t xml:space="preserve">Like the rape shield statute, the statutes involved in </w:t>
      </w:r>
      <w:r w:rsidRPr="00971CE9">
        <w:rPr>
          <w:rFonts w:ascii="Times New Roman" w:hAnsi="Times New Roman"/>
          <w:i/>
          <w:sz w:val="28"/>
          <w:szCs w:val="28"/>
        </w:rPr>
        <w:t>Robinson</w:t>
      </w:r>
      <w:r w:rsidRPr="00971CE9">
        <w:rPr>
          <w:rFonts w:ascii="Times New Roman" w:hAnsi="Times New Roman"/>
          <w:sz w:val="28"/>
          <w:szCs w:val="28"/>
        </w:rPr>
        <w:t xml:space="preserve"> and </w:t>
      </w:r>
      <w:r w:rsidRPr="00971CE9">
        <w:rPr>
          <w:rFonts w:ascii="Times New Roman" w:hAnsi="Times New Roman"/>
          <w:i/>
          <w:sz w:val="28"/>
          <w:szCs w:val="28"/>
        </w:rPr>
        <w:t>Taylor</w:t>
      </w:r>
      <w:r w:rsidRPr="00971CE9">
        <w:rPr>
          <w:rFonts w:ascii="Times New Roman" w:hAnsi="Times New Roman"/>
          <w:sz w:val="28"/>
          <w:szCs w:val="28"/>
        </w:rPr>
        <w:t xml:space="preserve"> were enacted to protect child sex victims. The relevant issue, however, is not whether the legislature has an interest in protecting victims of crime, but whether the legislature can invade the province of the judiciary in creating rules of court for admission of evidence. Th</w:t>
      </w:r>
      <w:r>
        <w:rPr>
          <w:rFonts w:ascii="Times New Roman" w:hAnsi="Times New Roman"/>
          <w:sz w:val="28"/>
          <w:szCs w:val="28"/>
        </w:rPr>
        <w:t>is Court’s</w:t>
      </w:r>
      <w:r w:rsidRPr="00971CE9">
        <w:rPr>
          <w:rFonts w:ascii="Times New Roman" w:hAnsi="Times New Roman"/>
          <w:sz w:val="28"/>
          <w:szCs w:val="28"/>
        </w:rPr>
        <w:t xml:space="preserve"> rape shield doctrine</w:t>
      </w:r>
      <w:r>
        <w:rPr>
          <w:rFonts w:ascii="Times New Roman" w:hAnsi="Times New Roman"/>
          <w:sz w:val="28"/>
          <w:szCs w:val="28"/>
        </w:rPr>
        <w:t>,</w:t>
      </w:r>
      <w:r w:rsidRPr="00971CE9">
        <w:rPr>
          <w:rFonts w:ascii="Times New Roman" w:hAnsi="Times New Roman"/>
          <w:sz w:val="28"/>
          <w:szCs w:val="28"/>
        </w:rPr>
        <w:t xml:space="preserve"> established </w:t>
      </w:r>
      <w:r>
        <w:rPr>
          <w:rFonts w:ascii="Times New Roman" w:hAnsi="Times New Roman"/>
          <w:sz w:val="28"/>
          <w:szCs w:val="28"/>
        </w:rPr>
        <w:t>through</w:t>
      </w:r>
      <w:r w:rsidRPr="00971CE9">
        <w:rPr>
          <w:rFonts w:ascii="Times New Roman" w:hAnsi="Times New Roman"/>
          <w:sz w:val="28"/>
          <w:szCs w:val="28"/>
        </w:rPr>
        <w:t xml:space="preserve"> </w:t>
      </w:r>
      <w:r w:rsidRPr="00971CE9">
        <w:rPr>
          <w:rFonts w:ascii="Times New Roman" w:hAnsi="Times New Roman"/>
          <w:i/>
          <w:sz w:val="28"/>
          <w:szCs w:val="28"/>
        </w:rPr>
        <w:t>Pope</w:t>
      </w:r>
      <w:r w:rsidRPr="00971CE9">
        <w:rPr>
          <w:rFonts w:ascii="Times New Roman" w:hAnsi="Times New Roman"/>
          <w:sz w:val="28"/>
          <w:szCs w:val="28"/>
        </w:rPr>
        <w:t xml:space="preserve">, </w:t>
      </w:r>
      <w:r w:rsidRPr="00971CE9">
        <w:rPr>
          <w:rFonts w:ascii="Times New Roman" w:hAnsi="Times New Roman"/>
          <w:i/>
          <w:sz w:val="28"/>
          <w:szCs w:val="28"/>
        </w:rPr>
        <w:t>Oliver</w:t>
      </w:r>
      <w:r w:rsidRPr="00971CE9">
        <w:rPr>
          <w:rFonts w:ascii="Times New Roman" w:hAnsi="Times New Roman"/>
          <w:sz w:val="28"/>
          <w:szCs w:val="28"/>
        </w:rPr>
        <w:t xml:space="preserve">, and </w:t>
      </w:r>
      <w:r w:rsidRPr="00971CE9">
        <w:rPr>
          <w:rFonts w:ascii="Times New Roman" w:hAnsi="Times New Roman"/>
          <w:i/>
          <w:sz w:val="28"/>
          <w:szCs w:val="28"/>
        </w:rPr>
        <w:t>Lujan</w:t>
      </w:r>
      <w:r w:rsidRPr="00971CE9">
        <w:rPr>
          <w:rFonts w:ascii="Times New Roman" w:hAnsi="Times New Roman"/>
          <w:sz w:val="28"/>
          <w:szCs w:val="28"/>
        </w:rPr>
        <w:t xml:space="preserve">, </w:t>
      </w:r>
      <w:r w:rsidRPr="00971CE9">
        <w:rPr>
          <w:rFonts w:ascii="Times New Roman" w:hAnsi="Times New Roman"/>
          <w:i/>
          <w:sz w:val="28"/>
          <w:szCs w:val="28"/>
        </w:rPr>
        <w:t>inter alia</w:t>
      </w:r>
      <w:r w:rsidRPr="00971CE9">
        <w:rPr>
          <w:rFonts w:ascii="Times New Roman" w:hAnsi="Times New Roman"/>
          <w:sz w:val="28"/>
          <w:szCs w:val="28"/>
        </w:rPr>
        <w:t>, sufficiently protected crime victims from inquiry into irrelevant matters that served no purpose but to harass the victim. A.R.S. § 13-1421, on the other hand, expanded the reach of the protections of victims and narrowed the breadth of the defendant’s right to present a defense in such a manner that it clearly conflicts with and engulfs the rules of evidence.</w:t>
      </w:r>
    </w:p>
    <w:p w14:paraId="70E11CB7" w14:textId="06861616" w:rsidR="00E70AE1" w:rsidRPr="00E70AE1" w:rsidRDefault="00E70AE1" w:rsidP="00E70AE1">
      <w:pPr>
        <w:pStyle w:val="ListParagraph"/>
        <w:numPr>
          <w:ilvl w:val="0"/>
          <w:numId w:val="22"/>
        </w:numPr>
        <w:spacing w:line="240" w:lineRule="auto"/>
        <w:ind w:left="720"/>
        <w:jc w:val="both"/>
        <w:rPr>
          <w:rFonts w:ascii="Times New Roman" w:hAnsi="Times New Roman"/>
          <w:b/>
          <w:bCs/>
          <w:sz w:val="28"/>
          <w:szCs w:val="28"/>
        </w:rPr>
      </w:pPr>
      <w:r w:rsidRPr="00E70AE1">
        <w:rPr>
          <w:rFonts w:ascii="Times New Roman" w:hAnsi="Times New Roman"/>
          <w:b/>
          <w:bCs/>
          <w:sz w:val="28"/>
          <w:szCs w:val="28"/>
        </w:rPr>
        <w:t xml:space="preserve">Ariz. R. Evid. 412 should include </w:t>
      </w:r>
      <w:r>
        <w:rPr>
          <w:rFonts w:ascii="Times New Roman" w:hAnsi="Times New Roman"/>
          <w:b/>
          <w:bCs/>
          <w:sz w:val="28"/>
          <w:szCs w:val="28"/>
        </w:rPr>
        <w:t>procedural requirements so that parties will know what is required and trial judges can police disclosure violations and enforce motion deadlines.</w:t>
      </w:r>
    </w:p>
    <w:p w14:paraId="0717862E" w14:textId="77777777" w:rsidR="00E70AE1" w:rsidRPr="00E70AE1" w:rsidRDefault="00E70AE1" w:rsidP="00E70AE1">
      <w:pPr>
        <w:spacing w:line="240" w:lineRule="auto"/>
        <w:ind w:left="720" w:firstLine="720"/>
        <w:jc w:val="both"/>
        <w:rPr>
          <w:rFonts w:ascii="Times New Roman" w:hAnsi="Times New Roman"/>
          <w:b/>
          <w:bCs/>
          <w:sz w:val="28"/>
          <w:szCs w:val="28"/>
        </w:rPr>
      </w:pPr>
    </w:p>
    <w:p w14:paraId="217CB2E9" w14:textId="77777777" w:rsidR="002D1E61" w:rsidRDefault="00E70AE1" w:rsidP="00BF0341">
      <w:pPr>
        <w:spacing w:line="480" w:lineRule="auto"/>
        <w:ind w:firstLine="720"/>
        <w:jc w:val="both"/>
        <w:rPr>
          <w:rFonts w:ascii="Times New Roman" w:hAnsi="Times New Roman"/>
          <w:sz w:val="28"/>
          <w:szCs w:val="28"/>
        </w:rPr>
      </w:pPr>
      <w:r>
        <w:rPr>
          <w:rFonts w:ascii="Times New Roman" w:hAnsi="Times New Roman"/>
          <w:sz w:val="28"/>
          <w:szCs w:val="28"/>
        </w:rPr>
        <w:t xml:space="preserve">Federal Rule 412(c) contains </w:t>
      </w:r>
      <w:r w:rsidR="00BF0341">
        <w:rPr>
          <w:rFonts w:ascii="Times New Roman" w:hAnsi="Times New Roman"/>
          <w:sz w:val="28"/>
          <w:szCs w:val="28"/>
        </w:rPr>
        <w:t>strict procedural rules, some of which are sensible and others of which are inconsistent with Arizona law</w:t>
      </w:r>
      <w:r>
        <w:rPr>
          <w:rFonts w:ascii="Times New Roman" w:hAnsi="Times New Roman"/>
          <w:sz w:val="28"/>
          <w:szCs w:val="28"/>
        </w:rPr>
        <w:t>.</w:t>
      </w:r>
      <w:r w:rsidR="00BF0341">
        <w:rPr>
          <w:rFonts w:ascii="Times New Roman" w:hAnsi="Times New Roman"/>
          <w:sz w:val="28"/>
          <w:szCs w:val="28"/>
        </w:rPr>
        <w:t xml:space="preserve"> The Committee rejected inclusion of these requirements: “</w:t>
      </w:r>
      <w:r w:rsidR="00BF0341" w:rsidRPr="00BF0341">
        <w:rPr>
          <w:rFonts w:ascii="Times New Roman" w:hAnsi="Times New Roman"/>
          <w:sz w:val="28"/>
          <w:szCs w:val="28"/>
        </w:rPr>
        <w:t>These sorts of timing and notification issues may be set by</w:t>
      </w:r>
      <w:r w:rsidR="00BF0341">
        <w:rPr>
          <w:rFonts w:ascii="Times New Roman" w:hAnsi="Times New Roman"/>
          <w:sz w:val="28"/>
          <w:szCs w:val="28"/>
        </w:rPr>
        <w:t xml:space="preserve"> </w:t>
      </w:r>
      <w:r w:rsidR="00BF0341" w:rsidRPr="00BF0341">
        <w:rPr>
          <w:rFonts w:ascii="Times New Roman" w:hAnsi="Times New Roman"/>
          <w:sz w:val="28"/>
          <w:szCs w:val="28"/>
        </w:rPr>
        <w:t>individual judges in consultation with parties, and this Committee tends to</w:t>
      </w:r>
      <w:r w:rsidR="00BF0341">
        <w:rPr>
          <w:rFonts w:ascii="Times New Roman" w:hAnsi="Times New Roman"/>
          <w:sz w:val="28"/>
          <w:szCs w:val="28"/>
        </w:rPr>
        <w:t xml:space="preserve"> </w:t>
      </w:r>
      <w:r w:rsidR="00BF0341" w:rsidRPr="00BF0341">
        <w:rPr>
          <w:rFonts w:ascii="Times New Roman" w:hAnsi="Times New Roman"/>
          <w:sz w:val="28"/>
          <w:szCs w:val="28"/>
        </w:rPr>
        <w:t>consistently recommend that procedural rules not be melded into the</w:t>
      </w:r>
      <w:r w:rsidR="00BF0341">
        <w:rPr>
          <w:rFonts w:ascii="Times New Roman" w:hAnsi="Times New Roman"/>
          <w:sz w:val="28"/>
          <w:szCs w:val="28"/>
        </w:rPr>
        <w:t xml:space="preserve"> </w:t>
      </w:r>
      <w:r w:rsidR="00BF0341" w:rsidRPr="00BF0341">
        <w:rPr>
          <w:rFonts w:ascii="Times New Roman" w:hAnsi="Times New Roman"/>
          <w:sz w:val="28"/>
          <w:szCs w:val="28"/>
        </w:rPr>
        <w:t>evidentiary rules absent compelling reason.</w:t>
      </w:r>
      <w:r w:rsidR="00BF0341">
        <w:rPr>
          <w:rFonts w:ascii="Times New Roman" w:hAnsi="Times New Roman"/>
          <w:sz w:val="28"/>
          <w:szCs w:val="28"/>
        </w:rPr>
        <w:t xml:space="preserve">” Petition at 7. </w:t>
      </w:r>
    </w:p>
    <w:p w14:paraId="648FEB2B" w14:textId="62A29DA0" w:rsidR="004D3C86" w:rsidRDefault="00E212C5" w:rsidP="002D1E61">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The </w:t>
      </w:r>
      <w:hyperlink r:id="rId13" w:history="1">
        <w:r w:rsidRPr="00E212C5">
          <w:rPr>
            <w:rStyle w:val="Hyperlink"/>
            <w:rFonts w:ascii="Times New Roman" w:hAnsi="Times New Roman"/>
            <w:sz w:val="28"/>
            <w:szCs w:val="28"/>
          </w:rPr>
          <w:t>draft minutes</w:t>
        </w:r>
      </w:hyperlink>
      <w:r>
        <w:rPr>
          <w:rFonts w:ascii="Times New Roman" w:hAnsi="Times New Roman"/>
          <w:sz w:val="28"/>
          <w:szCs w:val="28"/>
        </w:rPr>
        <w:t xml:space="preserve"> of the Committee meeting at which it approved the filing of this Petition do not reflect what specific concerns the Committee may have had.</w:t>
      </w:r>
      <w:r w:rsidR="002D1E61">
        <w:rPr>
          <w:rFonts w:ascii="Times New Roman" w:hAnsi="Times New Roman"/>
          <w:sz w:val="28"/>
          <w:szCs w:val="28"/>
        </w:rPr>
        <w:t xml:space="preserve"> One judge member agreed with omitting procedural requirements, “</w:t>
      </w:r>
      <w:r w:rsidR="002D1E61" w:rsidRPr="002D1E61">
        <w:rPr>
          <w:rFonts w:ascii="Times New Roman" w:hAnsi="Times New Roman"/>
          <w:sz w:val="28"/>
          <w:szCs w:val="28"/>
        </w:rPr>
        <w:t>noting that it is a trap for the unwary to put procedures into the rules of evidence</w:t>
      </w:r>
      <w:r w:rsidR="002D1E61">
        <w:rPr>
          <w:rFonts w:ascii="Times New Roman" w:hAnsi="Times New Roman"/>
          <w:sz w:val="28"/>
          <w:szCs w:val="28"/>
        </w:rPr>
        <w:t>.” This statement is inconsistent with</w:t>
      </w:r>
      <w:r w:rsidR="00BF0341">
        <w:rPr>
          <w:rFonts w:ascii="Times New Roman" w:hAnsi="Times New Roman"/>
          <w:sz w:val="28"/>
          <w:szCs w:val="28"/>
        </w:rPr>
        <w:t xml:space="preserve"> Arizona Rule of Criminal Procedure</w:t>
      </w:r>
      <w:r w:rsidR="002D1E61">
        <w:rPr>
          <w:rFonts w:ascii="Times New Roman" w:hAnsi="Times New Roman"/>
          <w:sz w:val="28"/>
          <w:szCs w:val="28"/>
        </w:rPr>
        <w:t xml:space="preserve"> 16.1(b)</w:t>
      </w:r>
      <w:r w:rsidR="00BF0341">
        <w:rPr>
          <w:rStyle w:val="FootnoteReference"/>
          <w:rFonts w:ascii="Times New Roman" w:hAnsi="Times New Roman"/>
          <w:sz w:val="28"/>
          <w:szCs w:val="28"/>
        </w:rPr>
        <w:footnoteReference w:id="1"/>
      </w:r>
      <w:r w:rsidR="00BF0341">
        <w:rPr>
          <w:rFonts w:ascii="Times New Roman" w:hAnsi="Times New Roman"/>
          <w:sz w:val="28"/>
          <w:szCs w:val="28"/>
        </w:rPr>
        <w:t xml:space="preserve"> and Arizona Rule of Evidence</w:t>
      </w:r>
      <w:r w:rsidR="002D1E61">
        <w:rPr>
          <w:rFonts w:ascii="Times New Roman" w:hAnsi="Times New Roman"/>
          <w:sz w:val="28"/>
          <w:szCs w:val="28"/>
        </w:rPr>
        <w:t xml:space="preserve"> 404</w:t>
      </w:r>
      <w:r w:rsidR="001B1196">
        <w:rPr>
          <w:rFonts w:ascii="Times New Roman" w:hAnsi="Times New Roman"/>
          <w:sz w:val="28"/>
          <w:szCs w:val="28"/>
        </w:rPr>
        <w:t xml:space="preserve">, </w:t>
      </w:r>
      <w:r w:rsidR="002D1E61">
        <w:rPr>
          <w:rFonts w:ascii="Times New Roman" w:hAnsi="Times New Roman"/>
          <w:sz w:val="28"/>
          <w:szCs w:val="28"/>
        </w:rPr>
        <w:t>both</w:t>
      </w:r>
      <w:r w:rsidR="001B1196">
        <w:rPr>
          <w:rFonts w:ascii="Times New Roman" w:hAnsi="Times New Roman"/>
          <w:sz w:val="28"/>
          <w:szCs w:val="28"/>
        </w:rPr>
        <w:t xml:space="preserve"> of which </w:t>
      </w:r>
      <w:r w:rsidR="00BF0341">
        <w:rPr>
          <w:rFonts w:ascii="Times New Roman" w:hAnsi="Times New Roman"/>
          <w:sz w:val="28"/>
          <w:szCs w:val="28"/>
        </w:rPr>
        <w:t xml:space="preserve">set deadlines for pretrial motions. </w:t>
      </w:r>
      <w:r w:rsidR="00972189">
        <w:rPr>
          <w:rFonts w:ascii="Times New Roman" w:hAnsi="Times New Roman"/>
          <w:sz w:val="28"/>
          <w:szCs w:val="28"/>
        </w:rPr>
        <w:t>Some judges exercise their discretion by setting earlier deadlines</w:t>
      </w:r>
      <w:r w:rsidR="002D1E61">
        <w:rPr>
          <w:rFonts w:ascii="Times New Roman" w:hAnsi="Times New Roman"/>
          <w:sz w:val="28"/>
          <w:szCs w:val="28"/>
        </w:rPr>
        <w:t xml:space="preserve"> than the 20-day deadline in Criminal Rule 16.1(b)</w:t>
      </w:r>
      <w:r w:rsidR="00972189">
        <w:rPr>
          <w:rFonts w:ascii="Times New Roman" w:hAnsi="Times New Roman"/>
          <w:sz w:val="28"/>
          <w:szCs w:val="28"/>
        </w:rPr>
        <w:t xml:space="preserve">. </w:t>
      </w:r>
      <w:r w:rsidR="00972189" w:rsidRPr="00972189">
        <w:rPr>
          <w:rFonts w:ascii="Times New Roman" w:hAnsi="Times New Roman"/>
          <w:i/>
          <w:iCs/>
          <w:sz w:val="28"/>
          <w:szCs w:val="28"/>
        </w:rPr>
        <w:t>See Findlay v. Lewis</w:t>
      </w:r>
      <w:r w:rsidR="00972189">
        <w:rPr>
          <w:rFonts w:ascii="Times New Roman" w:hAnsi="Times New Roman"/>
          <w:sz w:val="28"/>
          <w:szCs w:val="28"/>
        </w:rPr>
        <w:t>, 172 Ariz. 343, 346 (1992) (“</w:t>
      </w:r>
      <w:r w:rsidR="00972189" w:rsidRPr="00972189">
        <w:rPr>
          <w:rFonts w:ascii="Times New Roman" w:hAnsi="Times New Roman"/>
          <w:sz w:val="28"/>
          <w:szCs w:val="28"/>
        </w:rPr>
        <w:t>A trial court has broad discretion over the management of its docket.</w:t>
      </w:r>
      <w:r w:rsidR="00972189">
        <w:rPr>
          <w:rFonts w:ascii="Times New Roman" w:hAnsi="Times New Roman"/>
          <w:sz w:val="28"/>
          <w:szCs w:val="28"/>
        </w:rPr>
        <w:t>”). The admission or exclusion of evidence</w:t>
      </w:r>
      <w:r w:rsidR="0033167F">
        <w:rPr>
          <w:rFonts w:ascii="Times New Roman" w:hAnsi="Times New Roman"/>
          <w:sz w:val="28"/>
          <w:szCs w:val="28"/>
        </w:rPr>
        <w:t xml:space="preserve"> based on application of rape shield laws is of paramount importance in a case where such evidence may be at issue; it is hardly a burden to ask attorneys to comply with the motions deadline. Furthermore, for evidence to be admitted under Evidence Rule 404(b)-(c) against a criminal defendant, the State is required to give pretrial notice in accordance with </w:t>
      </w:r>
      <w:r w:rsidR="004D3C86">
        <w:rPr>
          <w:rFonts w:ascii="Times New Roman" w:hAnsi="Times New Roman"/>
          <w:sz w:val="28"/>
          <w:szCs w:val="28"/>
        </w:rPr>
        <w:t xml:space="preserve">Criminal </w:t>
      </w:r>
      <w:r w:rsidR="0033167F">
        <w:rPr>
          <w:rFonts w:ascii="Times New Roman" w:hAnsi="Times New Roman"/>
          <w:sz w:val="28"/>
          <w:szCs w:val="28"/>
        </w:rPr>
        <w:t xml:space="preserve">Rule </w:t>
      </w:r>
      <w:r w:rsidR="004D3C86">
        <w:rPr>
          <w:rFonts w:ascii="Times New Roman" w:hAnsi="Times New Roman"/>
          <w:sz w:val="28"/>
          <w:szCs w:val="28"/>
        </w:rPr>
        <w:t>15.1</w:t>
      </w:r>
      <w:r w:rsidR="0033167F">
        <w:rPr>
          <w:rFonts w:ascii="Times New Roman" w:hAnsi="Times New Roman"/>
          <w:sz w:val="28"/>
          <w:szCs w:val="28"/>
        </w:rPr>
        <w:t>(</w:t>
      </w:r>
      <w:r w:rsidR="004D3C86">
        <w:rPr>
          <w:rFonts w:ascii="Times New Roman" w:hAnsi="Times New Roman"/>
          <w:sz w:val="28"/>
          <w:szCs w:val="28"/>
        </w:rPr>
        <w:t>b)(7</w:t>
      </w:r>
      <w:r w:rsidR="0033167F">
        <w:rPr>
          <w:rFonts w:ascii="Times New Roman" w:hAnsi="Times New Roman"/>
          <w:sz w:val="28"/>
          <w:szCs w:val="28"/>
        </w:rPr>
        <w:t>), and in the case of Rule 404(c), the court must also hold a hearing</w:t>
      </w:r>
      <w:r w:rsidR="004D3C86">
        <w:rPr>
          <w:rFonts w:ascii="Times New Roman" w:hAnsi="Times New Roman"/>
          <w:sz w:val="28"/>
          <w:szCs w:val="28"/>
        </w:rPr>
        <w:t xml:space="preserve"> and make particularized findings</w:t>
      </w:r>
      <w:r w:rsidR="0033167F">
        <w:rPr>
          <w:rFonts w:ascii="Times New Roman" w:hAnsi="Times New Roman"/>
          <w:sz w:val="28"/>
          <w:szCs w:val="28"/>
        </w:rPr>
        <w:t xml:space="preserve">. </w:t>
      </w:r>
      <w:r w:rsidR="004D3C86">
        <w:rPr>
          <w:rFonts w:ascii="Times New Roman" w:hAnsi="Times New Roman"/>
          <w:sz w:val="28"/>
          <w:szCs w:val="28"/>
        </w:rPr>
        <w:t xml:space="preserve">In codifying the rape shield, the legislature included the following procedural requirement: </w:t>
      </w:r>
    </w:p>
    <w:p w14:paraId="2C834331" w14:textId="3498CA26" w:rsidR="00E70AE1" w:rsidRDefault="004D3C86" w:rsidP="004D3C86">
      <w:pPr>
        <w:spacing w:line="240" w:lineRule="auto"/>
        <w:ind w:left="720" w:right="720"/>
        <w:jc w:val="both"/>
        <w:rPr>
          <w:rFonts w:ascii="Times New Roman" w:hAnsi="Times New Roman"/>
          <w:sz w:val="28"/>
          <w:szCs w:val="28"/>
        </w:rPr>
      </w:pPr>
      <w:r w:rsidRPr="004D3C86">
        <w:rPr>
          <w:rFonts w:ascii="Times New Roman" w:hAnsi="Times New Roman"/>
          <w:sz w:val="28"/>
          <w:szCs w:val="28"/>
        </w:rPr>
        <w:t xml:space="preserve">Evidence described in subsection A shall not be referred to in any statements to a jury or introduced at trial without a court order after a </w:t>
      </w:r>
      <w:r w:rsidRPr="004D3C86">
        <w:rPr>
          <w:rFonts w:ascii="Times New Roman" w:hAnsi="Times New Roman"/>
          <w:sz w:val="28"/>
          <w:szCs w:val="28"/>
        </w:rPr>
        <w:lastRenderedPageBreak/>
        <w:t>hearing on written motions is held to determine the admissibility of the evidence. If new information is discovered during the course of the trial that may make the evidence described in subsection A admissible, the court may hold a hearing to determine the admissibility of the evidence under subsection A.</w:t>
      </w:r>
    </w:p>
    <w:p w14:paraId="5D504E08" w14:textId="77777777" w:rsidR="004D3C86" w:rsidRDefault="004D3C86" w:rsidP="004D3C86">
      <w:pPr>
        <w:spacing w:line="240" w:lineRule="auto"/>
        <w:ind w:left="720" w:right="720" w:firstLine="720"/>
        <w:jc w:val="both"/>
        <w:rPr>
          <w:rFonts w:ascii="Times New Roman" w:hAnsi="Times New Roman"/>
          <w:sz w:val="28"/>
          <w:szCs w:val="28"/>
        </w:rPr>
      </w:pPr>
    </w:p>
    <w:p w14:paraId="46D7009D" w14:textId="0120E46B" w:rsidR="004D3C86" w:rsidRDefault="004D3C86" w:rsidP="004D3C86">
      <w:pPr>
        <w:spacing w:line="480" w:lineRule="auto"/>
        <w:jc w:val="both"/>
        <w:rPr>
          <w:rFonts w:ascii="Times New Roman" w:hAnsi="Times New Roman"/>
          <w:sz w:val="28"/>
          <w:szCs w:val="28"/>
        </w:rPr>
      </w:pPr>
      <w:r>
        <w:rPr>
          <w:rFonts w:ascii="Times New Roman" w:hAnsi="Times New Roman"/>
          <w:sz w:val="28"/>
          <w:szCs w:val="28"/>
        </w:rPr>
        <w:t>A.R.S. § 13-1421(B). Though not the model of clarity, the legislature expects some kind of procedure to be followed before admitting such evidence.</w:t>
      </w:r>
    </w:p>
    <w:p w14:paraId="46878CEF" w14:textId="3F5D4F61" w:rsidR="00E70AE1" w:rsidRDefault="002D1E61" w:rsidP="00171C46">
      <w:pPr>
        <w:spacing w:line="480" w:lineRule="auto"/>
        <w:ind w:firstLine="720"/>
        <w:jc w:val="both"/>
        <w:rPr>
          <w:rFonts w:ascii="Times New Roman" w:hAnsi="Times New Roman"/>
          <w:sz w:val="28"/>
          <w:szCs w:val="28"/>
        </w:rPr>
      </w:pPr>
      <w:r>
        <w:rPr>
          <w:rFonts w:ascii="Times New Roman" w:hAnsi="Times New Roman"/>
          <w:sz w:val="28"/>
          <w:szCs w:val="28"/>
        </w:rPr>
        <w:t xml:space="preserve">To the extent that “the unwary” may include </w:t>
      </w:r>
      <w:r w:rsidRPr="002D1E61">
        <w:rPr>
          <w:rFonts w:ascii="Times New Roman" w:hAnsi="Times New Roman"/>
          <w:i/>
          <w:iCs/>
          <w:sz w:val="28"/>
          <w:szCs w:val="28"/>
        </w:rPr>
        <w:t>pro se</w:t>
      </w:r>
      <w:r>
        <w:rPr>
          <w:rFonts w:ascii="Times New Roman" w:hAnsi="Times New Roman"/>
          <w:sz w:val="28"/>
          <w:szCs w:val="28"/>
        </w:rPr>
        <w:t xml:space="preserve"> litigants, </w:t>
      </w:r>
      <w:r w:rsidR="00D570E0">
        <w:rPr>
          <w:rFonts w:ascii="Times New Roman" w:hAnsi="Times New Roman"/>
          <w:sz w:val="28"/>
          <w:szCs w:val="28"/>
        </w:rPr>
        <w:t xml:space="preserve">it is well settled that </w:t>
      </w:r>
      <w:r w:rsidR="00A409D3">
        <w:rPr>
          <w:rFonts w:ascii="Times New Roman" w:hAnsi="Times New Roman"/>
          <w:sz w:val="28"/>
          <w:szCs w:val="28"/>
        </w:rPr>
        <w:t>“[w]</w:t>
      </w:r>
      <w:r w:rsidR="00A409D3" w:rsidRPr="00A409D3">
        <w:rPr>
          <w:rFonts w:ascii="Times New Roman" w:hAnsi="Times New Roman"/>
          <w:sz w:val="28"/>
          <w:szCs w:val="28"/>
        </w:rPr>
        <w:t>e hold unrepresented litigants in Arizona to the same standards as attorneys.</w:t>
      </w:r>
      <w:r w:rsidR="00A409D3">
        <w:rPr>
          <w:rFonts w:ascii="Times New Roman" w:hAnsi="Times New Roman"/>
          <w:sz w:val="28"/>
          <w:szCs w:val="28"/>
        </w:rPr>
        <w:t xml:space="preserve">” </w:t>
      </w:r>
      <w:r w:rsidR="00A409D3" w:rsidRPr="00A409D3">
        <w:rPr>
          <w:rFonts w:ascii="Times New Roman" w:hAnsi="Times New Roman"/>
          <w:i/>
          <w:iCs/>
          <w:sz w:val="28"/>
          <w:szCs w:val="28"/>
        </w:rPr>
        <w:t>Flynn v. Campbell</w:t>
      </w:r>
      <w:r w:rsidR="00A409D3">
        <w:rPr>
          <w:rFonts w:ascii="Times New Roman" w:hAnsi="Times New Roman"/>
          <w:sz w:val="28"/>
          <w:szCs w:val="28"/>
        </w:rPr>
        <w:t>, 243 Ariz. 76, 83 ¶ 24 (2017) (citing</w:t>
      </w:r>
      <w:r w:rsidR="00A409D3" w:rsidRPr="00A409D3">
        <w:rPr>
          <w:rFonts w:ascii="Times New Roman" w:hAnsi="Times New Roman"/>
          <w:sz w:val="28"/>
          <w:szCs w:val="28"/>
        </w:rPr>
        <w:t xml:space="preserve"> </w:t>
      </w:r>
      <w:r w:rsidR="00A409D3" w:rsidRPr="00A409D3">
        <w:rPr>
          <w:rFonts w:ascii="Times New Roman" w:hAnsi="Times New Roman"/>
          <w:i/>
          <w:iCs/>
          <w:sz w:val="28"/>
          <w:szCs w:val="28"/>
        </w:rPr>
        <w:t>Smith v. Rabb</w:t>
      </w:r>
      <w:r w:rsidR="00A409D3" w:rsidRPr="00A409D3">
        <w:rPr>
          <w:rFonts w:ascii="Times New Roman" w:hAnsi="Times New Roman"/>
          <w:sz w:val="28"/>
          <w:szCs w:val="28"/>
        </w:rPr>
        <w:t>, 95 Ariz. 49, 53 (1963)</w:t>
      </w:r>
      <w:r w:rsidR="00A409D3">
        <w:rPr>
          <w:rFonts w:ascii="Times New Roman" w:hAnsi="Times New Roman"/>
          <w:sz w:val="28"/>
          <w:szCs w:val="28"/>
        </w:rPr>
        <w:t>)</w:t>
      </w:r>
      <w:r w:rsidR="00D570E0">
        <w:rPr>
          <w:rFonts w:ascii="Times New Roman" w:hAnsi="Times New Roman"/>
          <w:sz w:val="28"/>
          <w:szCs w:val="28"/>
        </w:rPr>
        <w:t xml:space="preserve">. </w:t>
      </w:r>
      <w:r w:rsidR="00A409D3">
        <w:rPr>
          <w:rFonts w:ascii="Times New Roman" w:hAnsi="Times New Roman"/>
          <w:sz w:val="28"/>
          <w:szCs w:val="28"/>
        </w:rPr>
        <w:t>I</w:t>
      </w:r>
      <w:r w:rsidR="00D570E0">
        <w:rPr>
          <w:rFonts w:ascii="Times New Roman" w:hAnsi="Times New Roman"/>
          <w:sz w:val="28"/>
          <w:szCs w:val="28"/>
        </w:rPr>
        <w:t xml:space="preserve">t </w:t>
      </w:r>
      <w:r w:rsidR="00A409D3">
        <w:rPr>
          <w:rFonts w:ascii="Times New Roman" w:hAnsi="Times New Roman"/>
          <w:sz w:val="28"/>
          <w:szCs w:val="28"/>
        </w:rPr>
        <w:t xml:space="preserve">is exceedingly </w:t>
      </w:r>
      <w:r w:rsidR="00D570E0">
        <w:rPr>
          <w:rFonts w:ascii="Times New Roman" w:hAnsi="Times New Roman"/>
          <w:sz w:val="28"/>
          <w:szCs w:val="28"/>
        </w:rPr>
        <w:t xml:space="preserve">unlikely that </w:t>
      </w:r>
      <w:r w:rsidR="00A409D3">
        <w:rPr>
          <w:rFonts w:ascii="Times New Roman" w:hAnsi="Times New Roman"/>
          <w:sz w:val="28"/>
          <w:szCs w:val="28"/>
        </w:rPr>
        <w:t>a</w:t>
      </w:r>
      <w:r w:rsidR="00D570E0">
        <w:rPr>
          <w:rFonts w:ascii="Times New Roman" w:hAnsi="Times New Roman"/>
          <w:sz w:val="28"/>
          <w:szCs w:val="28"/>
        </w:rPr>
        <w:t xml:space="preserve"> rape-shield</w:t>
      </w:r>
      <w:r w:rsidR="00A409D3">
        <w:rPr>
          <w:rFonts w:ascii="Times New Roman" w:hAnsi="Times New Roman"/>
          <w:sz w:val="28"/>
          <w:szCs w:val="28"/>
        </w:rPr>
        <w:t xml:space="preserve"> issue</w:t>
      </w:r>
      <w:r w:rsidR="00D570E0">
        <w:rPr>
          <w:rFonts w:ascii="Times New Roman" w:hAnsi="Times New Roman"/>
          <w:sz w:val="28"/>
          <w:szCs w:val="28"/>
        </w:rPr>
        <w:t xml:space="preserve"> </w:t>
      </w:r>
      <w:r w:rsidR="00A409D3">
        <w:rPr>
          <w:rFonts w:ascii="Times New Roman" w:hAnsi="Times New Roman"/>
          <w:sz w:val="28"/>
          <w:szCs w:val="28"/>
        </w:rPr>
        <w:t>would appear in a jury trial with self-representing litigants, but if it did, the judge could raise the issue. In a criminal case, even if a self-representing defendant is unaware of the law, the prosecutor and the judge can raise the issue.</w:t>
      </w:r>
    </w:p>
    <w:p w14:paraId="60A18DA6" w14:textId="1AF2412F" w:rsidR="00620267" w:rsidRPr="00E70AE1" w:rsidRDefault="00620267" w:rsidP="00620267">
      <w:pPr>
        <w:pStyle w:val="ListParagraph"/>
        <w:numPr>
          <w:ilvl w:val="0"/>
          <w:numId w:val="22"/>
        </w:numPr>
        <w:spacing w:line="240" w:lineRule="auto"/>
        <w:ind w:left="720"/>
        <w:jc w:val="both"/>
        <w:rPr>
          <w:rFonts w:ascii="Times New Roman" w:hAnsi="Times New Roman"/>
          <w:b/>
          <w:bCs/>
          <w:sz w:val="28"/>
          <w:szCs w:val="28"/>
        </w:rPr>
      </w:pPr>
      <w:r>
        <w:rPr>
          <w:rFonts w:ascii="Times New Roman" w:hAnsi="Times New Roman"/>
          <w:b/>
          <w:bCs/>
          <w:sz w:val="28"/>
          <w:szCs w:val="28"/>
        </w:rPr>
        <w:t>AACJ proposes alternative language that tracks the federal rule.</w:t>
      </w:r>
    </w:p>
    <w:p w14:paraId="30C40008" w14:textId="77777777" w:rsidR="00620267" w:rsidRPr="00E70AE1" w:rsidRDefault="00620267" w:rsidP="00620267">
      <w:pPr>
        <w:spacing w:line="240" w:lineRule="auto"/>
        <w:ind w:left="720" w:firstLine="720"/>
        <w:jc w:val="both"/>
        <w:rPr>
          <w:rFonts w:ascii="Times New Roman" w:hAnsi="Times New Roman"/>
          <w:b/>
          <w:bCs/>
          <w:sz w:val="28"/>
          <w:szCs w:val="28"/>
        </w:rPr>
      </w:pPr>
    </w:p>
    <w:p w14:paraId="702D4CEE" w14:textId="4BCF9B0B" w:rsidR="00620267" w:rsidRDefault="00620267" w:rsidP="00620267">
      <w:pPr>
        <w:spacing w:line="480" w:lineRule="auto"/>
        <w:ind w:firstLine="720"/>
        <w:jc w:val="both"/>
        <w:rPr>
          <w:rFonts w:ascii="Times New Roman" w:hAnsi="Times New Roman"/>
          <w:sz w:val="28"/>
          <w:szCs w:val="28"/>
        </w:rPr>
      </w:pPr>
      <w:r>
        <w:rPr>
          <w:rFonts w:ascii="Times New Roman" w:hAnsi="Times New Roman"/>
          <w:sz w:val="28"/>
          <w:szCs w:val="28"/>
        </w:rPr>
        <w:t xml:space="preserve">AACJ </w:t>
      </w:r>
      <w:r w:rsidR="00E3060D">
        <w:rPr>
          <w:rFonts w:ascii="Times New Roman" w:hAnsi="Times New Roman"/>
          <w:sz w:val="28"/>
          <w:szCs w:val="28"/>
        </w:rPr>
        <w:t>asks</w:t>
      </w:r>
      <w:r w:rsidR="008C3E22">
        <w:rPr>
          <w:rFonts w:ascii="Times New Roman" w:hAnsi="Times New Roman"/>
          <w:sz w:val="28"/>
          <w:szCs w:val="28"/>
        </w:rPr>
        <w:t xml:space="preserve"> that the Court adopt </w:t>
      </w:r>
      <w:r w:rsidR="00E3060D">
        <w:rPr>
          <w:rFonts w:ascii="Times New Roman" w:hAnsi="Times New Roman"/>
          <w:sz w:val="28"/>
          <w:szCs w:val="28"/>
        </w:rPr>
        <w:t>AACJ’s proposal for a</w:t>
      </w:r>
      <w:r w:rsidR="008C3E22">
        <w:rPr>
          <w:rFonts w:ascii="Times New Roman" w:hAnsi="Times New Roman"/>
          <w:sz w:val="28"/>
          <w:szCs w:val="28"/>
        </w:rPr>
        <w:t xml:space="preserve"> new Rule 412</w:t>
      </w:r>
      <w:r w:rsidR="00E3060D">
        <w:rPr>
          <w:rFonts w:ascii="Times New Roman" w:hAnsi="Times New Roman"/>
          <w:sz w:val="28"/>
          <w:szCs w:val="28"/>
        </w:rPr>
        <w:t xml:space="preserve"> that more closely tracks the federal rule. This is the language of AACJ’s proposal</w:t>
      </w:r>
      <w:r w:rsidR="008C3E22">
        <w:rPr>
          <w:rFonts w:ascii="Times New Roman" w:hAnsi="Times New Roman"/>
          <w:sz w:val="28"/>
          <w:szCs w:val="28"/>
        </w:rPr>
        <w:t>:</w:t>
      </w:r>
    </w:p>
    <w:p w14:paraId="137FC220" w14:textId="342C3F54" w:rsidR="00620267" w:rsidRPr="00620267" w:rsidRDefault="00620267" w:rsidP="008C3E22">
      <w:pPr>
        <w:spacing w:line="240" w:lineRule="auto"/>
        <w:ind w:left="720" w:right="720"/>
        <w:jc w:val="both"/>
        <w:rPr>
          <w:rFonts w:ascii="Times New Roman" w:hAnsi="Times New Roman"/>
          <w:sz w:val="28"/>
          <w:szCs w:val="28"/>
        </w:rPr>
      </w:pPr>
      <w:r w:rsidRPr="00620267">
        <w:rPr>
          <w:rFonts w:ascii="Times New Roman" w:hAnsi="Times New Roman"/>
          <w:b/>
          <w:bCs/>
          <w:sz w:val="28"/>
          <w:szCs w:val="28"/>
        </w:rPr>
        <w:t>Rule 412</w:t>
      </w:r>
      <w:r>
        <w:rPr>
          <w:rFonts w:ascii="Times New Roman" w:hAnsi="Times New Roman"/>
          <w:b/>
          <w:bCs/>
          <w:sz w:val="28"/>
          <w:szCs w:val="28"/>
        </w:rPr>
        <w:t>. Sex-Offense Cases: The Victim’s Sexual Behavior or Predisposition</w:t>
      </w:r>
      <w:r w:rsidRPr="00620267">
        <w:rPr>
          <w:rFonts w:ascii="Times New Roman" w:hAnsi="Times New Roman"/>
          <w:sz w:val="28"/>
          <w:szCs w:val="28"/>
        </w:rPr>
        <w:t>.</w:t>
      </w:r>
    </w:p>
    <w:p w14:paraId="2D78D56E" w14:textId="77777777" w:rsidR="008C3E22" w:rsidRDefault="008C3E22" w:rsidP="008C3E22">
      <w:pPr>
        <w:spacing w:line="240" w:lineRule="auto"/>
        <w:ind w:left="720" w:right="720"/>
        <w:jc w:val="both"/>
        <w:rPr>
          <w:rFonts w:ascii="Times New Roman" w:hAnsi="Times New Roman"/>
          <w:sz w:val="28"/>
          <w:szCs w:val="28"/>
        </w:rPr>
      </w:pPr>
    </w:p>
    <w:p w14:paraId="05CE222A" w14:textId="1A2F8E75" w:rsidR="00620267" w:rsidRPr="00620267" w:rsidRDefault="00620267" w:rsidP="008C3E22">
      <w:pPr>
        <w:spacing w:line="240" w:lineRule="auto"/>
        <w:ind w:left="720" w:right="720"/>
        <w:jc w:val="both"/>
        <w:rPr>
          <w:rFonts w:ascii="Times New Roman" w:hAnsi="Times New Roman"/>
          <w:sz w:val="28"/>
          <w:szCs w:val="28"/>
        </w:rPr>
      </w:pPr>
      <w:r w:rsidRPr="008C3E22">
        <w:rPr>
          <w:rFonts w:ascii="Times New Roman" w:hAnsi="Times New Roman"/>
          <w:b/>
          <w:bCs/>
          <w:sz w:val="28"/>
          <w:szCs w:val="28"/>
        </w:rPr>
        <w:t>(a) Prohibited Uses.</w:t>
      </w:r>
      <w:r w:rsidRPr="00620267">
        <w:rPr>
          <w:rFonts w:ascii="Times New Roman" w:hAnsi="Times New Roman"/>
          <w:sz w:val="28"/>
          <w:szCs w:val="28"/>
        </w:rPr>
        <w:t xml:space="preserve"> </w:t>
      </w:r>
      <w:r>
        <w:rPr>
          <w:rFonts w:ascii="Times New Roman" w:hAnsi="Times New Roman"/>
          <w:sz w:val="28"/>
          <w:szCs w:val="28"/>
        </w:rPr>
        <w:t>T</w:t>
      </w:r>
      <w:r w:rsidRPr="00620267">
        <w:rPr>
          <w:rFonts w:ascii="Times New Roman" w:hAnsi="Times New Roman"/>
          <w:sz w:val="28"/>
          <w:szCs w:val="28"/>
        </w:rPr>
        <w:t>he following evidence is not</w:t>
      </w:r>
      <w:r>
        <w:rPr>
          <w:rFonts w:ascii="Times New Roman" w:hAnsi="Times New Roman"/>
          <w:sz w:val="28"/>
          <w:szCs w:val="28"/>
        </w:rPr>
        <w:t xml:space="preserve"> </w:t>
      </w:r>
      <w:r w:rsidRPr="00620267">
        <w:rPr>
          <w:rFonts w:ascii="Times New Roman" w:hAnsi="Times New Roman"/>
          <w:sz w:val="28"/>
          <w:szCs w:val="28"/>
        </w:rPr>
        <w:t>admissible</w:t>
      </w:r>
      <w:r>
        <w:rPr>
          <w:rFonts w:ascii="Times New Roman" w:hAnsi="Times New Roman"/>
          <w:sz w:val="28"/>
          <w:szCs w:val="28"/>
        </w:rPr>
        <w:t xml:space="preserve"> in a civil or criminal </w:t>
      </w:r>
      <w:r w:rsidRPr="00620267">
        <w:rPr>
          <w:rFonts w:ascii="Times New Roman" w:hAnsi="Times New Roman"/>
          <w:sz w:val="28"/>
          <w:szCs w:val="28"/>
        </w:rPr>
        <w:t>proceeding involving alleged sexual misconduct:</w:t>
      </w:r>
    </w:p>
    <w:p w14:paraId="1EA3C0EC" w14:textId="77777777" w:rsidR="008C3E22" w:rsidRDefault="008C3E22" w:rsidP="008C3E22">
      <w:pPr>
        <w:spacing w:line="240" w:lineRule="auto"/>
        <w:ind w:left="720" w:right="720"/>
        <w:jc w:val="both"/>
        <w:rPr>
          <w:rFonts w:ascii="Times New Roman" w:hAnsi="Times New Roman"/>
          <w:sz w:val="28"/>
          <w:szCs w:val="28"/>
        </w:rPr>
      </w:pPr>
    </w:p>
    <w:p w14:paraId="50016386" w14:textId="0FA095E9" w:rsidR="00620267" w:rsidRPr="00620267" w:rsidRDefault="00620267" w:rsidP="00E3060D">
      <w:pPr>
        <w:spacing w:line="240" w:lineRule="auto"/>
        <w:ind w:left="1440" w:right="720"/>
        <w:jc w:val="both"/>
        <w:rPr>
          <w:rFonts w:ascii="Times New Roman" w:hAnsi="Times New Roman"/>
          <w:sz w:val="28"/>
          <w:szCs w:val="28"/>
        </w:rPr>
      </w:pPr>
      <w:r w:rsidRPr="008C3E22">
        <w:rPr>
          <w:rFonts w:ascii="Times New Roman" w:hAnsi="Times New Roman"/>
          <w:b/>
          <w:bCs/>
          <w:sz w:val="28"/>
          <w:szCs w:val="28"/>
        </w:rPr>
        <w:t xml:space="preserve">(1) </w:t>
      </w:r>
      <w:r w:rsidRPr="00620267">
        <w:rPr>
          <w:rFonts w:ascii="Times New Roman" w:hAnsi="Times New Roman"/>
          <w:sz w:val="28"/>
          <w:szCs w:val="28"/>
        </w:rPr>
        <w:t>evidence offered to prove that a victim engaged in other sexual</w:t>
      </w:r>
    </w:p>
    <w:p w14:paraId="6053E358" w14:textId="77777777" w:rsidR="00620267" w:rsidRPr="00620267" w:rsidRDefault="00620267" w:rsidP="00E3060D">
      <w:pPr>
        <w:spacing w:line="240" w:lineRule="auto"/>
        <w:ind w:left="1440" w:right="720"/>
        <w:jc w:val="both"/>
        <w:rPr>
          <w:rFonts w:ascii="Times New Roman" w:hAnsi="Times New Roman"/>
          <w:sz w:val="28"/>
          <w:szCs w:val="28"/>
        </w:rPr>
      </w:pPr>
      <w:r w:rsidRPr="00620267">
        <w:rPr>
          <w:rFonts w:ascii="Times New Roman" w:hAnsi="Times New Roman"/>
          <w:sz w:val="28"/>
          <w:szCs w:val="28"/>
        </w:rPr>
        <w:t>behavior; or</w:t>
      </w:r>
    </w:p>
    <w:p w14:paraId="0D4594BE" w14:textId="37AB66F6" w:rsidR="00620267" w:rsidRPr="00620267" w:rsidRDefault="00620267" w:rsidP="00E3060D">
      <w:pPr>
        <w:spacing w:line="240" w:lineRule="auto"/>
        <w:ind w:left="1440" w:right="720"/>
        <w:jc w:val="both"/>
        <w:rPr>
          <w:rFonts w:ascii="Times New Roman" w:hAnsi="Times New Roman"/>
          <w:sz w:val="28"/>
          <w:szCs w:val="28"/>
        </w:rPr>
      </w:pPr>
      <w:r w:rsidRPr="008C3E22">
        <w:rPr>
          <w:rFonts w:ascii="Times New Roman" w:hAnsi="Times New Roman"/>
          <w:b/>
          <w:bCs/>
          <w:sz w:val="28"/>
          <w:szCs w:val="28"/>
        </w:rPr>
        <w:t>(2)</w:t>
      </w:r>
      <w:r>
        <w:rPr>
          <w:rFonts w:ascii="Times New Roman" w:hAnsi="Times New Roman"/>
          <w:sz w:val="28"/>
          <w:szCs w:val="28"/>
        </w:rPr>
        <w:t xml:space="preserve"> </w:t>
      </w:r>
      <w:r w:rsidRPr="00620267">
        <w:rPr>
          <w:rFonts w:ascii="Times New Roman" w:hAnsi="Times New Roman"/>
          <w:sz w:val="28"/>
          <w:szCs w:val="28"/>
        </w:rPr>
        <w:t>evidence offered to prove a victim’s sexual predisposition.</w:t>
      </w:r>
    </w:p>
    <w:p w14:paraId="523A6C97" w14:textId="77777777" w:rsidR="008C3E22" w:rsidRDefault="008C3E22" w:rsidP="008C3E22">
      <w:pPr>
        <w:spacing w:line="240" w:lineRule="auto"/>
        <w:ind w:left="720" w:right="720"/>
        <w:jc w:val="both"/>
        <w:rPr>
          <w:rFonts w:ascii="Times New Roman" w:hAnsi="Times New Roman"/>
          <w:sz w:val="28"/>
          <w:szCs w:val="28"/>
        </w:rPr>
      </w:pPr>
    </w:p>
    <w:p w14:paraId="226C4A3D" w14:textId="0B2CD6D5" w:rsidR="00620267" w:rsidRPr="008C3E22" w:rsidRDefault="00620267" w:rsidP="008C3E22">
      <w:pPr>
        <w:spacing w:line="240" w:lineRule="auto"/>
        <w:ind w:left="720" w:right="720"/>
        <w:jc w:val="both"/>
        <w:rPr>
          <w:rFonts w:ascii="Times New Roman" w:hAnsi="Times New Roman"/>
          <w:b/>
          <w:bCs/>
          <w:sz w:val="28"/>
          <w:szCs w:val="28"/>
        </w:rPr>
      </w:pPr>
      <w:r w:rsidRPr="008C3E22">
        <w:rPr>
          <w:rFonts w:ascii="Times New Roman" w:hAnsi="Times New Roman"/>
          <w:b/>
          <w:bCs/>
          <w:sz w:val="28"/>
          <w:szCs w:val="28"/>
        </w:rPr>
        <w:t xml:space="preserve">(b) Exceptions. </w:t>
      </w:r>
    </w:p>
    <w:p w14:paraId="005D00DE" w14:textId="77777777" w:rsidR="008C3E22" w:rsidRDefault="008C3E22" w:rsidP="008C3E22">
      <w:pPr>
        <w:spacing w:line="240" w:lineRule="auto"/>
        <w:ind w:left="720" w:right="720"/>
        <w:jc w:val="both"/>
        <w:rPr>
          <w:rFonts w:ascii="Times New Roman" w:hAnsi="Times New Roman"/>
          <w:sz w:val="28"/>
          <w:szCs w:val="28"/>
        </w:rPr>
      </w:pPr>
    </w:p>
    <w:p w14:paraId="40A8374C" w14:textId="2664B413" w:rsidR="00620267" w:rsidRDefault="00620267" w:rsidP="00E3060D">
      <w:pPr>
        <w:spacing w:line="240" w:lineRule="auto"/>
        <w:ind w:left="1440" w:right="720"/>
        <w:jc w:val="both"/>
        <w:rPr>
          <w:rFonts w:ascii="Times New Roman" w:hAnsi="Times New Roman"/>
          <w:sz w:val="28"/>
          <w:szCs w:val="28"/>
        </w:rPr>
      </w:pPr>
      <w:r w:rsidRPr="008C3E22">
        <w:rPr>
          <w:rFonts w:ascii="Times New Roman" w:hAnsi="Times New Roman"/>
          <w:b/>
          <w:bCs/>
          <w:sz w:val="28"/>
          <w:szCs w:val="28"/>
        </w:rPr>
        <w:t>(1) Criminal Cases.</w:t>
      </w:r>
      <w:r>
        <w:rPr>
          <w:rFonts w:ascii="Times New Roman" w:hAnsi="Times New Roman"/>
          <w:sz w:val="28"/>
          <w:szCs w:val="28"/>
        </w:rPr>
        <w:t xml:space="preserve"> The court may admit the following evidence in a criminal case:</w:t>
      </w:r>
    </w:p>
    <w:p w14:paraId="3E26E5FB" w14:textId="77777777" w:rsidR="008C3E22" w:rsidRDefault="008C3E22" w:rsidP="00E3060D">
      <w:pPr>
        <w:spacing w:line="240" w:lineRule="auto"/>
        <w:ind w:left="1440" w:right="720"/>
        <w:jc w:val="both"/>
        <w:rPr>
          <w:rFonts w:ascii="Times New Roman" w:hAnsi="Times New Roman"/>
          <w:sz w:val="28"/>
          <w:szCs w:val="28"/>
        </w:rPr>
      </w:pPr>
    </w:p>
    <w:p w14:paraId="27D67D23" w14:textId="0AF6EE76" w:rsidR="00620267" w:rsidRDefault="00620267" w:rsidP="00E3060D">
      <w:pPr>
        <w:spacing w:line="240" w:lineRule="auto"/>
        <w:ind w:left="1800" w:right="720"/>
        <w:jc w:val="both"/>
        <w:rPr>
          <w:rFonts w:ascii="Times New Roman" w:hAnsi="Times New Roman"/>
          <w:sz w:val="28"/>
          <w:szCs w:val="28"/>
        </w:rPr>
      </w:pPr>
      <w:r w:rsidRPr="008C3E22">
        <w:rPr>
          <w:rFonts w:ascii="Times New Roman" w:hAnsi="Times New Roman"/>
          <w:b/>
          <w:bCs/>
          <w:sz w:val="28"/>
          <w:szCs w:val="28"/>
        </w:rPr>
        <w:t>(A)</w:t>
      </w:r>
      <w:r>
        <w:rPr>
          <w:rFonts w:ascii="Times New Roman" w:hAnsi="Times New Roman"/>
          <w:sz w:val="28"/>
          <w:szCs w:val="28"/>
        </w:rPr>
        <w:t xml:space="preserve"> evidence of the victim’s past sexual conduct with the defendant;</w:t>
      </w:r>
    </w:p>
    <w:p w14:paraId="59EC3539" w14:textId="77777777" w:rsidR="008C3E22" w:rsidRDefault="008C3E22" w:rsidP="00E3060D">
      <w:pPr>
        <w:spacing w:line="240" w:lineRule="auto"/>
        <w:ind w:left="1800" w:right="720"/>
        <w:jc w:val="both"/>
        <w:rPr>
          <w:rFonts w:ascii="Times New Roman" w:hAnsi="Times New Roman"/>
          <w:sz w:val="28"/>
          <w:szCs w:val="28"/>
        </w:rPr>
      </w:pPr>
    </w:p>
    <w:p w14:paraId="56E70786" w14:textId="7551B07A" w:rsidR="00620267" w:rsidRDefault="00620267" w:rsidP="00E3060D">
      <w:pPr>
        <w:spacing w:line="240" w:lineRule="auto"/>
        <w:ind w:left="1800" w:right="720"/>
        <w:jc w:val="both"/>
        <w:rPr>
          <w:rFonts w:ascii="Times New Roman" w:hAnsi="Times New Roman"/>
          <w:sz w:val="28"/>
          <w:szCs w:val="28"/>
        </w:rPr>
      </w:pPr>
      <w:r w:rsidRPr="008C3E22">
        <w:rPr>
          <w:rFonts w:ascii="Times New Roman" w:hAnsi="Times New Roman"/>
          <w:b/>
          <w:bCs/>
          <w:sz w:val="28"/>
          <w:szCs w:val="28"/>
        </w:rPr>
        <w:t xml:space="preserve">(B) </w:t>
      </w:r>
      <w:r>
        <w:rPr>
          <w:rFonts w:ascii="Times New Roman" w:hAnsi="Times New Roman"/>
          <w:sz w:val="28"/>
          <w:szCs w:val="28"/>
        </w:rPr>
        <w:t>evidence of specific instances of sexual activity showing the source or origin of semen, pregnancy, disease, or trauma;</w:t>
      </w:r>
    </w:p>
    <w:p w14:paraId="2BEA88C5" w14:textId="77777777" w:rsidR="008C3E22" w:rsidRDefault="008C3E22" w:rsidP="00E3060D">
      <w:pPr>
        <w:spacing w:line="240" w:lineRule="auto"/>
        <w:ind w:left="1800" w:right="720"/>
        <w:jc w:val="both"/>
        <w:rPr>
          <w:rFonts w:ascii="Times New Roman" w:hAnsi="Times New Roman"/>
          <w:sz w:val="28"/>
          <w:szCs w:val="28"/>
        </w:rPr>
      </w:pPr>
    </w:p>
    <w:p w14:paraId="33762793" w14:textId="636BAF4A" w:rsidR="008C3E22" w:rsidRDefault="00620267" w:rsidP="00E3060D">
      <w:pPr>
        <w:spacing w:line="240" w:lineRule="auto"/>
        <w:ind w:left="1800" w:right="720"/>
        <w:jc w:val="both"/>
        <w:rPr>
          <w:rFonts w:ascii="Times New Roman" w:hAnsi="Times New Roman"/>
          <w:sz w:val="28"/>
          <w:szCs w:val="28"/>
        </w:rPr>
      </w:pPr>
      <w:r w:rsidRPr="008C3E22">
        <w:rPr>
          <w:rFonts w:ascii="Times New Roman" w:hAnsi="Times New Roman"/>
          <w:b/>
          <w:bCs/>
          <w:sz w:val="28"/>
          <w:szCs w:val="28"/>
        </w:rPr>
        <w:t>(C)</w:t>
      </w:r>
      <w:r>
        <w:rPr>
          <w:rFonts w:ascii="Times New Roman" w:hAnsi="Times New Roman"/>
          <w:sz w:val="28"/>
          <w:szCs w:val="28"/>
        </w:rPr>
        <w:t xml:space="preserve"> evidence that supports a claim </w:t>
      </w:r>
      <w:r w:rsidR="008C3E22">
        <w:rPr>
          <w:rFonts w:ascii="Times New Roman" w:hAnsi="Times New Roman"/>
          <w:sz w:val="28"/>
          <w:szCs w:val="28"/>
        </w:rPr>
        <w:t>that the victim has a motive in accusing th</w:t>
      </w:r>
      <w:r w:rsidR="0052085E">
        <w:rPr>
          <w:rFonts w:ascii="Times New Roman" w:hAnsi="Times New Roman"/>
          <w:sz w:val="28"/>
          <w:szCs w:val="28"/>
        </w:rPr>
        <w:t>e</w:t>
      </w:r>
      <w:r w:rsidR="008C3E22">
        <w:rPr>
          <w:rFonts w:ascii="Times New Roman" w:hAnsi="Times New Roman"/>
          <w:sz w:val="28"/>
          <w:szCs w:val="28"/>
        </w:rPr>
        <w:t xml:space="preserve"> defendant of the crime;</w:t>
      </w:r>
    </w:p>
    <w:p w14:paraId="5853AA10" w14:textId="77777777" w:rsidR="008C3E22" w:rsidRDefault="008C3E22" w:rsidP="00E3060D">
      <w:pPr>
        <w:spacing w:line="240" w:lineRule="auto"/>
        <w:ind w:left="1800" w:right="720"/>
        <w:jc w:val="both"/>
        <w:rPr>
          <w:rFonts w:ascii="Times New Roman" w:hAnsi="Times New Roman"/>
          <w:sz w:val="28"/>
          <w:szCs w:val="28"/>
        </w:rPr>
      </w:pPr>
    </w:p>
    <w:p w14:paraId="23F108C0" w14:textId="5F8DA72F" w:rsidR="008C3E22" w:rsidRDefault="008C3E22" w:rsidP="00E3060D">
      <w:pPr>
        <w:spacing w:line="240" w:lineRule="auto"/>
        <w:ind w:left="1800" w:right="720"/>
        <w:jc w:val="both"/>
        <w:rPr>
          <w:rFonts w:ascii="Times New Roman" w:hAnsi="Times New Roman"/>
          <w:sz w:val="28"/>
          <w:szCs w:val="28"/>
        </w:rPr>
      </w:pPr>
      <w:r w:rsidRPr="008C3E22">
        <w:rPr>
          <w:rFonts w:ascii="Times New Roman" w:hAnsi="Times New Roman"/>
          <w:b/>
          <w:bCs/>
          <w:sz w:val="28"/>
          <w:szCs w:val="28"/>
        </w:rPr>
        <w:t>(D)</w:t>
      </w:r>
      <w:r>
        <w:rPr>
          <w:rFonts w:ascii="Times New Roman" w:hAnsi="Times New Roman"/>
          <w:sz w:val="28"/>
          <w:szCs w:val="28"/>
        </w:rPr>
        <w:t xml:space="preserve"> evidence offered for the purpose of impeachment when the prosecutor puts the victim’s prior sexual conduct in issue; or</w:t>
      </w:r>
    </w:p>
    <w:p w14:paraId="2844A972" w14:textId="77777777" w:rsidR="008C3E22" w:rsidRDefault="008C3E22" w:rsidP="00E3060D">
      <w:pPr>
        <w:spacing w:line="240" w:lineRule="auto"/>
        <w:ind w:left="1800" w:right="720"/>
        <w:jc w:val="both"/>
        <w:rPr>
          <w:rFonts w:ascii="Times New Roman" w:hAnsi="Times New Roman"/>
          <w:sz w:val="28"/>
          <w:szCs w:val="28"/>
        </w:rPr>
      </w:pPr>
    </w:p>
    <w:p w14:paraId="40D79D32" w14:textId="77777777" w:rsidR="00CD7EFC" w:rsidRDefault="00CD7EFC" w:rsidP="00E3060D">
      <w:pPr>
        <w:spacing w:line="240" w:lineRule="auto"/>
        <w:ind w:left="1800" w:right="720"/>
        <w:jc w:val="both"/>
        <w:rPr>
          <w:rFonts w:ascii="Times New Roman" w:hAnsi="Times New Roman"/>
          <w:sz w:val="28"/>
          <w:szCs w:val="28"/>
        </w:rPr>
      </w:pPr>
      <w:r w:rsidRPr="008C3E22">
        <w:rPr>
          <w:rFonts w:ascii="Times New Roman" w:hAnsi="Times New Roman"/>
          <w:b/>
          <w:bCs/>
          <w:sz w:val="28"/>
          <w:szCs w:val="28"/>
        </w:rPr>
        <w:t>(E)</w:t>
      </w:r>
      <w:r>
        <w:rPr>
          <w:rFonts w:ascii="Times New Roman" w:hAnsi="Times New Roman"/>
          <w:sz w:val="28"/>
          <w:szCs w:val="28"/>
        </w:rPr>
        <w:t xml:space="preserve"> evidence of false allegations of sexual misconduct made by the victim against others.</w:t>
      </w:r>
    </w:p>
    <w:p w14:paraId="2AB65039" w14:textId="77777777" w:rsidR="00CD7EFC" w:rsidRDefault="00CD7EFC" w:rsidP="00E3060D">
      <w:pPr>
        <w:spacing w:line="240" w:lineRule="auto"/>
        <w:ind w:left="1800" w:right="720"/>
        <w:jc w:val="both"/>
        <w:rPr>
          <w:rFonts w:ascii="Times New Roman" w:hAnsi="Times New Roman"/>
          <w:sz w:val="28"/>
          <w:szCs w:val="28"/>
        </w:rPr>
      </w:pPr>
    </w:p>
    <w:p w14:paraId="0F08F949" w14:textId="5E688324" w:rsidR="008C3E22" w:rsidRDefault="008C3E22" w:rsidP="00E3060D">
      <w:pPr>
        <w:spacing w:line="240" w:lineRule="auto"/>
        <w:ind w:left="1800" w:right="720"/>
        <w:jc w:val="both"/>
        <w:rPr>
          <w:rFonts w:ascii="Times New Roman" w:hAnsi="Times New Roman"/>
          <w:sz w:val="28"/>
          <w:szCs w:val="28"/>
        </w:rPr>
      </w:pPr>
      <w:r w:rsidRPr="008C3E22">
        <w:rPr>
          <w:rFonts w:ascii="Times New Roman" w:hAnsi="Times New Roman"/>
          <w:b/>
          <w:bCs/>
          <w:sz w:val="28"/>
          <w:szCs w:val="28"/>
        </w:rPr>
        <w:t>(</w:t>
      </w:r>
      <w:r w:rsidR="00CD7EFC">
        <w:rPr>
          <w:rFonts w:ascii="Times New Roman" w:hAnsi="Times New Roman"/>
          <w:b/>
          <w:bCs/>
          <w:sz w:val="28"/>
          <w:szCs w:val="28"/>
        </w:rPr>
        <w:t>F</w:t>
      </w:r>
      <w:r w:rsidRPr="008C3E22">
        <w:rPr>
          <w:rFonts w:ascii="Times New Roman" w:hAnsi="Times New Roman"/>
          <w:b/>
          <w:bCs/>
          <w:sz w:val="28"/>
          <w:szCs w:val="28"/>
        </w:rPr>
        <w:t>)</w:t>
      </w:r>
      <w:r>
        <w:rPr>
          <w:rFonts w:ascii="Times New Roman" w:hAnsi="Times New Roman"/>
          <w:sz w:val="28"/>
          <w:szCs w:val="28"/>
        </w:rPr>
        <w:t xml:space="preserve"> </w:t>
      </w:r>
      <w:r w:rsidR="00CD7EFC">
        <w:rPr>
          <w:rFonts w:ascii="Times New Roman" w:hAnsi="Times New Roman"/>
          <w:sz w:val="28"/>
          <w:szCs w:val="28"/>
        </w:rPr>
        <w:t>any other circumstance where admission of evidence is required in order to ensure that the defendant receives a fair trial</w:t>
      </w:r>
      <w:r>
        <w:rPr>
          <w:rFonts w:ascii="Times New Roman" w:hAnsi="Times New Roman"/>
          <w:sz w:val="28"/>
          <w:szCs w:val="28"/>
        </w:rPr>
        <w:t>.</w:t>
      </w:r>
    </w:p>
    <w:p w14:paraId="46F98E84" w14:textId="77777777" w:rsidR="008C3E22" w:rsidRDefault="008C3E22" w:rsidP="00E3060D">
      <w:pPr>
        <w:spacing w:line="240" w:lineRule="auto"/>
        <w:ind w:left="1800" w:right="720"/>
        <w:jc w:val="both"/>
        <w:rPr>
          <w:rFonts w:ascii="Times New Roman" w:hAnsi="Times New Roman"/>
          <w:sz w:val="28"/>
          <w:szCs w:val="28"/>
        </w:rPr>
      </w:pPr>
    </w:p>
    <w:p w14:paraId="35823E6C" w14:textId="6D2531EF" w:rsidR="00620267" w:rsidRDefault="008C3E22" w:rsidP="00E3060D">
      <w:pPr>
        <w:spacing w:line="240" w:lineRule="auto"/>
        <w:ind w:left="1440" w:right="720"/>
        <w:jc w:val="both"/>
        <w:rPr>
          <w:rFonts w:ascii="Times New Roman" w:hAnsi="Times New Roman"/>
          <w:sz w:val="28"/>
          <w:szCs w:val="28"/>
        </w:rPr>
      </w:pPr>
      <w:r w:rsidRPr="008C3E22">
        <w:rPr>
          <w:rFonts w:ascii="Times New Roman" w:hAnsi="Times New Roman"/>
          <w:b/>
          <w:bCs/>
          <w:sz w:val="28"/>
          <w:szCs w:val="28"/>
        </w:rPr>
        <w:t>(2) Non-criminal Cases.</w:t>
      </w:r>
      <w:r>
        <w:rPr>
          <w:rFonts w:ascii="Times New Roman" w:hAnsi="Times New Roman"/>
          <w:sz w:val="28"/>
          <w:szCs w:val="28"/>
        </w:rPr>
        <w:t xml:space="preserve"> In non-criminal cases, t</w:t>
      </w:r>
      <w:r w:rsidR="00620267" w:rsidRPr="00620267">
        <w:rPr>
          <w:rFonts w:ascii="Times New Roman" w:hAnsi="Times New Roman"/>
          <w:sz w:val="28"/>
          <w:szCs w:val="28"/>
        </w:rPr>
        <w:t>he court may admit evidence offered to prove a victim’s</w:t>
      </w:r>
      <w:r w:rsidR="00620267">
        <w:rPr>
          <w:rFonts w:ascii="Times New Roman" w:hAnsi="Times New Roman"/>
          <w:sz w:val="28"/>
          <w:szCs w:val="28"/>
        </w:rPr>
        <w:t xml:space="preserve"> </w:t>
      </w:r>
      <w:r w:rsidR="00620267" w:rsidRPr="00620267">
        <w:rPr>
          <w:rFonts w:ascii="Times New Roman" w:hAnsi="Times New Roman"/>
          <w:sz w:val="28"/>
          <w:szCs w:val="28"/>
        </w:rPr>
        <w:t>sexual behavior or sexual predisposition if its probative value</w:t>
      </w:r>
      <w:r w:rsidR="00620267">
        <w:rPr>
          <w:rFonts w:ascii="Times New Roman" w:hAnsi="Times New Roman"/>
          <w:sz w:val="28"/>
          <w:szCs w:val="28"/>
        </w:rPr>
        <w:t xml:space="preserve"> </w:t>
      </w:r>
      <w:r w:rsidR="00620267" w:rsidRPr="00620267">
        <w:rPr>
          <w:rFonts w:ascii="Times New Roman" w:hAnsi="Times New Roman"/>
          <w:sz w:val="28"/>
          <w:szCs w:val="28"/>
        </w:rPr>
        <w:t>substantially outweighs the danger of harm to any victim and of unfair</w:t>
      </w:r>
      <w:r w:rsidR="00620267">
        <w:rPr>
          <w:rFonts w:ascii="Times New Roman" w:hAnsi="Times New Roman"/>
          <w:sz w:val="28"/>
          <w:szCs w:val="28"/>
        </w:rPr>
        <w:t xml:space="preserve"> </w:t>
      </w:r>
      <w:r w:rsidR="00620267" w:rsidRPr="00620267">
        <w:rPr>
          <w:rFonts w:ascii="Times New Roman" w:hAnsi="Times New Roman"/>
          <w:sz w:val="28"/>
          <w:szCs w:val="28"/>
        </w:rPr>
        <w:t>prejudice to any party. The court may admit evidence of a victim’s</w:t>
      </w:r>
      <w:r w:rsidR="00620267">
        <w:rPr>
          <w:rFonts w:ascii="Times New Roman" w:hAnsi="Times New Roman"/>
          <w:sz w:val="28"/>
          <w:szCs w:val="28"/>
        </w:rPr>
        <w:t xml:space="preserve"> </w:t>
      </w:r>
      <w:r w:rsidR="00620267" w:rsidRPr="00620267">
        <w:rPr>
          <w:rFonts w:ascii="Times New Roman" w:hAnsi="Times New Roman"/>
          <w:sz w:val="28"/>
          <w:szCs w:val="28"/>
        </w:rPr>
        <w:t xml:space="preserve">reputation only if the victim has placed it in controversy. </w:t>
      </w:r>
      <w:r w:rsidR="00620267" w:rsidRPr="00620267">
        <w:rPr>
          <w:rFonts w:ascii="Times New Roman" w:hAnsi="Times New Roman"/>
          <w:sz w:val="28"/>
          <w:szCs w:val="28"/>
        </w:rPr>
        <w:cr/>
      </w:r>
    </w:p>
    <w:p w14:paraId="115BC9A2" w14:textId="01585F79" w:rsidR="00E70AE1" w:rsidRDefault="008C3E22" w:rsidP="008C3E22">
      <w:pPr>
        <w:spacing w:line="480" w:lineRule="auto"/>
        <w:jc w:val="both"/>
        <w:rPr>
          <w:rFonts w:ascii="Times New Roman" w:hAnsi="Times New Roman"/>
          <w:sz w:val="28"/>
          <w:szCs w:val="28"/>
        </w:rPr>
      </w:pPr>
      <w:r>
        <w:rPr>
          <w:rFonts w:ascii="Times New Roman" w:hAnsi="Times New Roman"/>
          <w:sz w:val="28"/>
          <w:szCs w:val="28"/>
        </w:rPr>
        <w:t>This is identical to Federal Rule 412(a)-(b) except</w:t>
      </w:r>
      <w:r w:rsidR="00CD7EFC">
        <w:rPr>
          <w:rFonts w:ascii="Times New Roman" w:hAnsi="Times New Roman"/>
          <w:sz w:val="28"/>
          <w:szCs w:val="28"/>
        </w:rPr>
        <w:t xml:space="preserve"> for proposing language in</w:t>
      </w:r>
      <w:r>
        <w:rPr>
          <w:rFonts w:ascii="Times New Roman" w:hAnsi="Times New Roman"/>
          <w:sz w:val="28"/>
          <w:szCs w:val="28"/>
        </w:rPr>
        <w:t xml:space="preserve"> Rule 412(b)(1)</w:t>
      </w:r>
      <w:r w:rsidR="00CD7EFC">
        <w:rPr>
          <w:rFonts w:ascii="Times New Roman" w:hAnsi="Times New Roman"/>
          <w:sz w:val="28"/>
          <w:szCs w:val="28"/>
        </w:rPr>
        <w:t xml:space="preserve"> that modifies the rape shield for criminal cases. AACJ’s proposed Rule 412(b)(1)</w:t>
      </w:r>
      <w:r>
        <w:rPr>
          <w:rFonts w:ascii="Times New Roman" w:hAnsi="Times New Roman"/>
          <w:sz w:val="28"/>
          <w:szCs w:val="28"/>
        </w:rPr>
        <w:t xml:space="preserve"> tracks the five exceptions stated in A.R.S. § 13-1421(A)(1)-(5)</w:t>
      </w:r>
      <w:r w:rsidR="00CD7EFC">
        <w:rPr>
          <w:rFonts w:ascii="Times New Roman" w:hAnsi="Times New Roman"/>
          <w:sz w:val="28"/>
          <w:szCs w:val="28"/>
        </w:rPr>
        <w:t xml:space="preserve">, but it also provides a “catch-all” exception that ensures that defendants receive a fair trial, as </w:t>
      </w:r>
      <w:r w:rsidR="00CD7EFC">
        <w:rPr>
          <w:rFonts w:ascii="Times New Roman" w:hAnsi="Times New Roman"/>
          <w:sz w:val="28"/>
          <w:szCs w:val="28"/>
        </w:rPr>
        <w:lastRenderedPageBreak/>
        <w:t xml:space="preserve">required by </w:t>
      </w:r>
      <w:r w:rsidR="00CD7EFC" w:rsidRPr="00CD7EFC">
        <w:rPr>
          <w:rFonts w:ascii="Times New Roman" w:hAnsi="Times New Roman"/>
          <w:i/>
          <w:iCs/>
          <w:sz w:val="28"/>
          <w:szCs w:val="28"/>
        </w:rPr>
        <w:t>Oliver</w:t>
      </w:r>
      <w:r w:rsidR="00CD7EFC">
        <w:rPr>
          <w:rFonts w:ascii="Times New Roman" w:hAnsi="Times New Roman"/>
          <w:sz w:val="28"/>
          <w:szCs w:val="28"/>
        </w:rPr>
        <w:t xml:space="preserve"> and </w:t>
      </w:r>
      <w:r w:rsidR="00CD7EFC" w:rsidRPr="00CD7EFC">
        <w:rPr>
          <w:rFonts w:ascii="Times New Roman" w:hAnsi="Times New Roman"/>
          <w:i/>
          <w:iCs/>
          <w:sz w:val="28"/>
          <w:szCs w:val="28"/>
        </w:rPr>
        <w:t>Duncan</w:t>
      </w:r>
      <w:r w:rsidR="00CD7EFC">
        <w:rPr>
          <w:rFonts w:ascii="Times New Roman" w:hAnsi="Times New Roman"/>
          <w:sz w:val="28"/>
          <w:szCs w:val="28"/>
        </w:rPr>
        <w:t xml:space="preserve"> as well as U.S. Supreme Court cases interpreting the right to present a complete defense</w:t>
      </w:r>
      <w:r>
        <w:rPr>
          <w:rFonts w:ascii="Times New Roman" w:hAnsi="Times New Roman"/>
          <w:sz w:val="28"/>
          <w:szCs w:val="28"/>
        </w:rPr>
        <w:t xml:space="preserve">. </w:t>
      </w:r>
      <w:r w:rsidR="00CD7EFC">
        <w:rPr>
          <w:rFonts w:ascii="Times New Roman" w:hAnsi="Times New Roman"/>
          <w:sz w:val="28"/>
          <w:szCs w:val="28"/>
        </w:rPr>
        <w:t xml:space="preserve">An additional </w:t>
      </w:r>
      <w:r w:rsidR="00FF7F77">
        <w:rPr>
          <w:rFonts w:ascii="Times New Roman" w:hAnsi="Times New Roman"/>
          <w:sz w:val="28"/>
          <w:szCs w:val="28"/>
        </w:rPr>
        <w:t xml:space="preserve">distinction is </w:t>
      </w:r>
      <w:r w:rsidR="00CD7EFC">
        <w:rPr>
          <w:rFonts w:ascii="Times New Roman" w:hAnsi="Times New Roman"/>
          <w:sz w:val="28"/>
          <w:szCs w:val="28"/>
        </w:rPr>
        <w:t>this proposal</w:t>
      </w:r>
      <w:r w:rsidR="00FF7F77">
        <w:rPr>
          <w:rFonts w:ascii="Times New Roman" w:hAnsi="Times New Roman"/>
          <w:sz w:val="28"/>
          <w:szCs w:val="28"/>
        </w:rPr>
        <w:t xml:space="preserve"> removes </w:t>
      </w:r>
      <w:r w:rsidR="00E3060D">
        <w:rPr>
          <w:rFonts w:ascii="Times New Roman" w:hAnsi="Times New Roman"/>
          <w:sz w:val="28"/>
          <w:szCs w:val="28"/>
        </w:rPr>
        <w:t>§ 13-1421(B)’s unconstitutional</w:t>
      </w:r>
      <w:r w:rsidR="00FF7F77">
        <w:rPr>
          <w:rFonts w:ascii="Times New Roman" w:hAnsi="Times New Roman"/>
          <w:sz w:val="28"/>
          <w:szCs w:val="28"/>
        </w:rPr>
        <w:t xml:space="preserve"> clear-and-convincing-evidence burden.</w:t>
      </w:r>
    </w:p>
    <w:p w14:paraId="3B012FBD" w14:textId="20BDC99E" w:rsidR="00EF7C20" w:rsidRPr="00EF7C20" w:rsidRDefault="00EF7C20" w:rsidP="00EF7C20">
      <w:pPr>
        <w:spacing w:line="480" w:lineRule="auto"/>
        <w:jc w:val="both"/>
        <w:rPr>
          <w:rFonts w:ascii="Times New Roman" w:hAnsi="Times New Roman"/>
          <w:b/>
          <w:bCs/>
          <w:sz w:val="28"/>
          <w:szCs w:val="28"/>
          <w:u w:val="single"/>
        </w:rPr>
      </w:pPr>
      <w:r w:rsidRPr="00EF7C20">
        <w:rPr>
          <w:rFonts w:ascii="Times New Roman" w:hAnsi="Times New Roman"/>
          <w:b/>
          <w:bCs/>
          <w:sz w:val="28"/>
          <w:szCs w:val="28"/>
          <w:u w:val="single"/>
        </w:rPr>
        <w:t>CONCLUSION</w:t>
      </w:r>
    </w:p>
    <w:p w14:paraId="4CF4444C" w14:textId="6FDECF6C" w:rsidR="00A41C4A" w:rsidRDefault="004F456D" w:rsidP="00284416">
      <w:pPr>
        <w:spacing w:line="480" w:lineRule="auto"/>
        <w:ind w:firstLine="720"/>
        <w:jc w:val="both"/>
        <w:rPr>
          <w:rFonts w:ascii="Times New Roman" w:hAnsi="Times New Roman"/>
          <w:sz w:val="28"/>
          <w:szCs w:val="28"/>
        </w:rPr>
      </w:pPr>
      <w:r>
        <w:rPr>
          <w:rFonts w:ascii="Times New Roman" w:hAnsi="Times New Roman"/>
          <w:sz w:val="28"/>
          <w:szCs w:val="28"/>
        </w:rPr>
        <w:t xml:space="preserve">For these reasons, </w:t>
      </w:r>
      <w:r w:rsidR="003659B5">
        <w:rPr>
          <w:rFonts w:ascii="Times New Roman" w:hAnsi="Times New Roman"/>
          <w:sz w:val="28"/>
          <w:szCs w:val="28"/>
        </w:rPr>
        <w:t>AACJ r</w:t>
      </w:r>
      <w:r>
        <w:rPr>
          <w:rFonts w:ascii="Times New Roman" w:hAnsi="Times New Roman"/>
          <w:sz w:val="28"/>
          <w:szCs w:val="28"/>
        </w:rPr>
        <w:t xml:space="preserve">equests that </w:t>
      </w:r>
      <w:r w:rsidR="0075005A">
        <w:rPr>
          <w:rFonts w:ascii="Times New Roman" w:hAnsi="Times New Roman"/>
          <w:sz w:val="28"/>
          <w:szCs w:val="28"/>
        </w:rPr>
        <w:t xml:space="preserve">this Court adopt </w:t>
      </w:r>
      <w:r w:rsidR="003659B5">
        <w:rPr>
          <w:rFonts w:ascii="Times New Roman" w:hAnsi="Times New Roman"/>
          <w:sz w:val="28"/>
          <w:szCs w:val="28"/>
        </w:rPr>
        <w:t>Rule 41</w:t>
      </w:r>
      <w:r w:rsidR="00EF7C20">
        <w:rPr>
          <w:rFonts w:ascii="Times New Roman" w:hAnsi="Times New Roman"/>
          <w:sz w:val="28"/>
          <w:szCs w:val="28"/>
        </w:rPr>
        <w:t xml:space="preserve">2, but that this Court use the language </w:t>
      </w:r>
      <w:r w:rsidR="008E3AD2">
        <w:rPr>
          <w:rFonts w:ascii="Times New Roman" w:hAnsi="Times New Roman"/>
          <w:sz w:val="28"/>
          <w:szCs w:val="28"/>
        </w:rPr>
        <w:t>proposed in this Comment</w:t>
      </w:r>
      <w:r>
        <w:rPr>
          <w:rFonts w:ascii="Times New Roman" w:hAnsi="Times New Roman"/>
          <w:sz w:val="28"/>
          <w:szCs w:val="28"/>
        </w:rPr>
        <w:t>.</w:t>
      </w:r>
    </w:p>
    <w:p w14:paraId="233A8DC1" w14:textId="77777777" w:rsidR="00AD3DC3" w:rsidRDefault="00AD3DC3" w:rsidP="00284416">
      <w:pPr>
        <w:spacing w:line="480" w:lineRule="auto"/>
        <w:ind w:firstLine="720"/>
        <w:jc w:val="both"/>
        <w:rPr>
          <w:rFonts w:ascii="Times New Roman" w:hAnsi="Times New Roman"/>
          <w:sz w:val="28"/>
          <w:szCs w:val="28"/>
        </w:rPr>
      </w:pPr>
    </w:p>
    <w:p w14:paraId="268AB80E" w14:textId="57A74AE9" w:rsidR="00DC38DE"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AD3DC3">
        <w:rPr>
          <w:rFonts w:ascii="Times New Roman" w:hAnsi="Times New Roman"/>
          <w:sz w:val="28"/>
          <w:szCs w:val="28"/>
        </w:rPr>
        <w:t>May</w:t>
      </w:r>
      <w:r w:rsidR="002C660A">
        <w:rPr>
          <w:rFonts w:ascii="Times New Roman" w:hAnsi="Times New Roman"/>
          <w:sz w:val="28"/>
          <w:szCs w:val="28"/>
        </w:rPr>
        <w:t xml:space="preserve"> </w:t>
      </w:r>
      <w:r w:rsidR="00071B11">
        <w:rPr>
          <w:rFonts w:ascii="Times New Roman" w:hAnsi="Times New Roman"/>
          <w:sz w:val="28"/>
          <w:szCs w:val="28"/>
        </w:rPr>
        <w:t>1</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3812FE">
        <w:rPr>
          <w:rFonts w:ascii="Times New Roman" w:hAnsi="Times New Roman"/>
          <w:sz w:val="28"/>
          <w:szCs w:val="28"/>
        </w:rPr>
        <w:t>4</w:t>
      </w:r>
      <w:r w:rsidR="00DC38DE" w:rsidRPr="0014499B">
        <w:rPr>
          <w:rFonts w:ascii="Times New Roman" w:hAnsi="Times New Roman"/>
          <w:sz w:val="28"/>
          <w:szCs w:val="28"/>
        </w:rPr>
        <w:t>.</w:t>
      </w:r>
    </w:p>
    <w:p w14:paraId="268AB812" w14:textId="7017EBDD"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00AE0F9E">
        <w:rPr>
          <w:rFonts w:ascii="Times New Roman" w:hAnsi="Times New Roman"/>
          <w:sz w:val="28"/>
          <w:szCs w:val="28"/>
          <w:u w:val="single"/>
        </w:rPr>
        <w:tab/>
      </w:r>
      <w:r w:rsidR="00AE0F9E">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67E026BB"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r w:rsidR="00AE0F9E">
        <w:rPr>
          <w:rFonts w:ascii="Times New Roman" w:hAnsi="Times New Roman"/>
          <w:sz w:val="28"/>
          <w:szCs w:val="28"/>
        </w:rPr>
        <w:t xml:space="preserve"> &amp; Erin K. Sutherland</w:t>
      </w:r>
    </w:p>
    <w:p w14:paraId="21A9D8CE" w14:textId="77777777" w:rsidR="00AD3DC3" w:rsidRDefault="00AD3DC3" w:rsidP="006235B5">
      <w:pPr>
        <w:spacing w:line="240" w:lineRule="auto"/>
        <w:ind w:firstLine="720"/>
        <w:rPr>
          <w:rFonts w:ascii="Times New Roman" w:hAnsi="Times New Roman"/>
          <w:sz w:val="28"/>
          <w:szCs w:val="28"/>
        </w:rPr>
      </w:pPr>
    </w:p>
    <w:p w14:paraId="1C47B7D3" w14:textId="77777777" w:rsidR="00AD3DC3" w:rsidRDefault="00AD3DC3">
      <w:pPr>
        <w:spacing w:line="240" w:lineRule="auto"/>
        <w:rPr>
          <w:rFonts w:ascii="Times New Roman" w:hAnsi="Times New Roman"/>
          <w:sz w:val="28"/>
          <w:szCs w:val="28"/>
        </w:rPr>
      </w:pPr>
    </w:p>
    <w:p w14:paraId="4F1C28F0" w14:textId="47F1A4AF" w:rsidR="00AD3DC3" w:rsidRDefault="00AD3DC3">
      <w:pPr>
        <w:spacing w:line="240" w:lineRule="auto"/>
        <w:rPr>
          <w:rFonts w:ascii="Times New Roman" w:hAnsi="Times New Roman"/>
          <w:sz w:val="28"/>
          <w:szCs w:val="28"/>
        </w:rPr>
      </w:pPr>
      <w:r w:rsidRPr="00AD3DC3">
        <w:rPr>
          <w:rFonts w:ascii="Times New Roman" w:hAnsi="Times New Roman"/>
          <w:sz w:val="28"/>
          <w:szCs w:val="28"/>
        </w:rPr>
        <w:t>Cop</w:t>
      </w:r>
      <w:r>
        <w:rPr>
          <w:rFonts w:ascii="Times New Roman" w:hAnsi="Times New Roman"/>
          <w:sz w:val="28"/>
          <w:szCs w:val="28"/>
        </w:rPr>
        <w:t>y delivered to:</w:t>
      </w:r>
    </w:p>
    <w:p w14:paraId="17DAF771" w14:textId="77777777" w:rsidR="00AD3DC3" w:rsidRDefault="00AD3DC3">
      <w:pPr>
        <w:spacing w:line="240" w:lineRule="auto"/>
        <w:rPr>
          <w:rFonts w:ascii="Times New Roman" w:hAnsi="Times New Roman"/>
          <w:sz w:val="28"/>
          <w:szCs w:val="28"/>
        </w:rPr>
      </w:pPr>
    </w:p>
    <w:p w14:paraId="09207FBC" w14:textId="5808686D" w:rsidR="00AD3DC3" w:rsidRDefault="00AD3DC3">
      <w:pPr>
        <w:spacing w:line="240" w:lineRule="auto"/>
        <w:rPr>
          <w:rFonts w:ascii="Times New Roman" w:hAnsi="Times New Roman"/>
          <w:sz w:val="28"/>
          <w:szCs w:val="28"/>
        </w:rPr>
      </w:pPr>
      <w:r>
        <w:rPr>
          <w:rFonts w:ascii="Times New Roman" w:hAnsi="Times New Roman"/>
          <w:sz w:val="28"/>
          <w:szCs w:val="28"/>
        </w:rPr>
        <w:t>Hon. Sara J. Agne</w:t>
      </w:r>
    </w:p>
    <w:p w14:paraId="36441EA8" w14:textId="6372FE72" w:rsidR="00AD3DC3" w:rsidRDefault="00AD3DC3">
      <w:pPr>
        <w:spacing w:line="240" w:lineRule="auto"/>
        <w:rPr>
          <w:rFonts w:ascii="Times New Roman" w:hAnsi="Times New Roman"/>
          <w:sz w:val="28"/>
          <w:szCs w:val="28"/>
        </w:rPr>
      </w:pPr>
      <w:r>
        <w:rPr>
          <w:rFonts w:ascii="Times New Roman" w:hAnsi="Times New Roman"/>
          <w:sz w:val="28"/>
          <w:szCs w:val="28"/>
        </w:rPr>
        <w:t>Hon. Maria Elena Cruz</w:t>
      </w:r>
    </w:p>
    <w:p w14:paraId="682AD7A3" w14:textId="62E01064" w:rsidR="00AD3DC3" w:rsidRPr="00AD3DC3" w:rsidRDefault="00AD3DC3">
      <w:pPr>
        <w:spacing w:line="240" w:lineRule="auto"/>
        <w:rPr>
          <w:rFonts w:ascii="Times New Roman" w:hAnsi="Times New Roman"/>
          <w:sz w:val="28"/>
          <w:szCs w:val="28"/>
        </w:rPr>
      </w:pPr>
      <w:r>
        <w:rPr>
          <w:rFonts w:ascii="Times New Roman" w:hAnsi="Times New Roman"/>
          <w:sz w:val="28"/>
          <w:szCs w:val="28"/>
        </w:rPr>
        <w:t>Co-chairs, Advisory Committee on Rules of Evidence</w:t>
      </w:r>
    </w:p>
    <w:p w14:paraId="2C496D28" w14:textId="45F16CB5" w:rsidR="00F261DD" w:rsidRPr="00564A77" w:rsidRDefault="00F261DD" w:rsidP="00F261DD">
      <w:pPr>
        <w:spacing w:line="240" w:lineRule="auto"/>
        <w:rPr>
          <w:rFonts w:ascii="Times New Roman" w:hAnsi="Times New Roman"/>
          <w:b/>
          <w:bCs/>
          <w:sz w:val="28"/>
          <w:szCs w:val="28"/>
        </w:rPr>
      </w:pPr>
    </w:p>
    <w:p w14:paraId="5CC93670" w14:textId="77777777" w:rsidR="00F261DD" w:rsidRDefault="00F261DD" w:rsidP="00DC38DE">
      <w:pPr>
        <w:spacing w:line="240" w:lineRule="auto"/>
        <w:rPr>
          <w:rFonts w:ascii="Times New Roman" w:hAnsi="Times New Roman"/>
          <w:sz w:val="28"/>
          <w:szCs w:val="28"/>
        </w:rPr>
      </w:pPr>
    </w:p>
    <w:sectPr w:rsidR="00F261DD" w:rsidSect="00F54AA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E169E" w14:textId="77777777" w:rsidR="004724AE" w:rsidRDefault="004724AE">
      <w:r>
        <w:separator/>
      </w:r>
    </w:p>
  </w:endnote>
  <w:endnote w:type="continuationSeparator" w:id="0">
    <w:p w14:paraId="7EB90BA1" w14:textId="77777777" w:rsidR="004724AE" w:rsidRDefault="0047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E51FD" w14:textId="77777777" w:rsidR="004724AE" w:rsidRDefault="004724AE">
      <w:r>
        <w:separator/>
      </w:r>
    </w:p>
  </w:footnote>
  <w:footnote w:type="continuationSeparator" w:id="0">
    <w:p w14:paraId="2ADDEFAF" w14:textId="77777777" w:rsidR="004724AE" w:rsidRDefault="004724AE">
      <w:r>
        <w:continuationSeparator/>
      </w:r>
    </w:p>
  </w:footnote>
  <w:footnote w:id="1">
    <w:p w14:paraId="7E45328C" w14:textId="15544B79" w:rsidR="00BF0341" w:rsidRPr="00BF0341" w:rsidRDefault="00BF0341" w:rsidP="00972189">
      <w:pPr>
        <w:pStyle w:val="FootnoteText"/>
        <w:spacing w:line="240" w:lineRule="auto"/>
        <w:jc w:val="both"/>
        <w:rPr>
          <w:rFonts w:ascii="Times New Roman" w:hAnsi="Times New Roman"/>
          <w:sz w:val="28"/>
          <w:szCs w:val="28"/>
        </w:rPr>
      </w:pPr>
      <w:r w:rsidRPr="00BF0341">
        <w:rPr>
          <w:rStyle w:val="FootnoteReference"/>
          <w:rFonts w:ascii="Times New Roman" w:hAnsi="Times New Roman"/>
          <w:sz w:val="28"/>
          <w:szCs w:val="28"/>
        </w:rPr>
        <w:footnoteRef/>
      </w:r>
      <w:r w:rsidRPr="00BF0341">
        <w:rPr>
          <w:rFonts w:ascii="Times New Roman" w:hAnsi="Times New Roman"/>
          <w:sz w:val="28"/>
          <w:szCs w:val="28"/>
        </w:rPr>
        <w:t xml:space="preserve"> </w:t>
      </w:r>
      <w:r w:rsidR="001B1196">
        <w:rPr>
          <w:rFonts w:ascii="Times New Roman" w:hAnsi="Times New Roman"/>
          <w:sz w:val="28"/>
          <w:szCs w:val="28"/>
        </w:rPr>
        <w:t xml:space="preserve">It is also inconsistent with the </w:t>
      </w:r>
      <w:r w:rsidR="002D1E61">
        <w:rPr>
          <w:rFonts w:ascii="Times New Roman" w:hAnsi="Times New Roman"/>
          <w:sz w:val="28"/>
          <w:szCs w:val="28"/>
        </w:rPr>
        <w:t>rules of procedure in all other cases. As an association of criminal defense lawyers,</w:t>
      </w:r>
      <w:r w:rsidR="001B1196">
        <w:rPr>
          <w:rFonts w:ascii="Times New Roman" w:hAnsi="Times New Roman"/>
          <w:sz w:val="28"/>
          <w:szCs w:val="28"/>
        </w:rPr>
        <w:t xml:space="preserve"> AACJ focus</w:t>
      </w:r>
      <w:r w:rsidR="002D1E61">
        <w:rPr>
          <w:rFonts w:ascii="Times New Roman" w:hAnsi="Times New Roman"/>
          <w:sz w:val="28"/>
          <w:szCs w:val="28"/>
        </w:rPr>
        <w:t>es</w:t>
      </w:r>
      <w:r w:rsidR="001B1196">
        <w:rPr>
          <w:rFonts w:ascii="Times New Roman" w:hAnsi="Times New Roman"/>
          <w:sz w:val="28"/>
          <w:szCs w:val="28"/>
        </w:rPr>
        <w:t xml:space="preserve"> on the criminal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D51D2" w14:textId="77777777" w:rsidR="00CB1A60" w:rsidRDefault="00CB1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E6A07" w14:textId="77777777" w:rsidR="00CB1A60" w:rsidRDefault="00CB1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D99F8" w14:textId="01D5A090" w:rsidR="00CB1A60" w:rsidRDefault="00CB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395E"/>
    <w:multiLevelType w:val="hybridMultilevel"/>
    <w:tmpl w:val="5C5CA070"/>
    <w:lvl w:ilvl="0" w:tplc="8DB6E16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2C0833"/>
    <w:multiLevelType w:val="hybridMultilevel"/>
    <w:tmpl w:val="CAEE994C"/>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2A15318"/>
    <w:multiLevelType w:val="hybridMultilevel"/>
    <w:tmpl w:val="CFB25D0A"/>
    <w:lvl w:ilvl="0" w:tplc="C5E20F3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07114"/>
    <w:multiLevelType w:val="hybridMultilevel"/>
    <w:tmpl w:val="4F6C447C"/>
    <w:lvl w:ilvl="0" w:tplc="68A4C80E">
      <w:start w:val="1"/>
      <w:numFmt w:val="low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 w15:restartNumberingAfterBreak="0">
    <w:nsid w:val="2AD8633D"/>
    <w:multiLevelType w:val="hybridMultilevel"/>
    <w:tmpl w:val="97924C08"/>
    <w:lvl w:ilvl="0" w:tplc="E6909F0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306C2"/>
    <w:multiLevelType w:val="hybridMultilevel"/>
    <w:tmpl w:val="DBAACA88"/>
    <w:lvl w:ilvl="0" w:tplc="FFFFFFFF">
      <w:start w:val="1"/>
      <w:numFmt w:val="lowerLetter"/>
      <w:lvlText w:val="(%1)"/>
      <w:lvlJc w:val="left"/>
      <w:pPr>
        <w:ind w:left="1100" w:hanging="38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127444"/>
    <w:multiLevelType w:val="hybridMultilevel"/>
    <w:tmpl w:val="B56C9658"/>
    <w:lvl w:ilvl="0" w:tplc="7696EE40">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562B75"/>
    <w:multiLevelType w:val="hybridMultilevel"/>
    <w:tmpl w:val="86F60DA6"/>
    <w:lvl w:ilvl="0" w:tplc="D2386A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62521F2"/>
    <w:multiLevelType w:val="hybridMultilevel"/>
    <w:tmpl w:val="BF8A9B16"/>
    <w:lvl w:ilvl="0" w:tplc="5400183A">
      <w:start w:val="1"/>
      <w:numFmt w:val="upp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25C01"/>
    <w:multiLevelType w:val="hybridMultilevel"/>
    <w:tmpl w:val="CAEE994C"/>
    <w:lvl w:ilvl="0" w:tplc="BD4C9D0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E92485"/>
    <w:multiLevelType w:val="hybridMultilevel"/>
    <w:tmpl w:val="BF8A9B16"/>
    <w:lvl w:ilvl="0" w:tplc="FFFFFFFF">
      <w:start w:val="1"/>
      <w:numFmt w:val="upperLetter"/>
      <w:lvlText w:val="(%1)"/>
      <w:lvlJc w:val="left"/>
      <w:pPr>
        <w:ind w:left="740" w:hanging="3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2"/>
  </w:num>
  <w:num w:numId="2" w16cid:durableId="469400166">
    <w:abstractNumId w:val="1"/>
  </w:num>
  <w:num w:numId="3" w16cid:durableId="626275486">
    <w:abstractNumId w:val="6"/>
  </w:num>
  <w:num w:numId="4" w16cid:durableId="1237518553">
    <w:abstractNumId w:val="5"/>
  </w:num>
  <w:num w:numId="5" w16cid:durableId="1732536459">
    <w:abstractNumId w:val="19"/>
  </w:num>
  <w:num w:numId="6" w16cid:durableId="1378436400">
    <w:abstractNumId w:val="24"/>
  </w:num>
  <w:num w:numId="7" w16cid:durableId="991374513">
    <w:abstractNumId w:val="10"/>
  </w:num>
  <w:num w:numId="8" w16cid:durableId="1700660638">
    <w:abstractNumId w:val="13"/>
  </w:num>
  <w:num w:numId="9" w16cid:durableId="372001553">
    <w:abstractNumId w:val="22"/>
  </w:num>
  <w:num w:numId="10" w16cid:durableId="398214401">
    <w:abstractNumId w:val="18"/>
  </w:num>
  <w:num w:numId="11" w16cid:durableId="1932085538">
    <w:abstractNumId w:val="20"/>
  </w:num>
  <w:num w:numId="12" w16cid:durableId="212810470">
    <w:abstractNumId w:val="25"/>
  </w:num>
  <w:num w:numId="13" w16cid:durableId="154299559">
    <w:abstractNumId w:val="12"/>
  </w:num>
  <w:num w:numId="14" w16cid:durableId="2139762203">
    <w:abstractNumId w:val="23"/>
  </w:num>
  <w:num w:numId="15" w16cid:durableId="1779134998">
    <w:abstractNumId w:val="11"/>
  </w:num>
  <w:num w:numId="16" w16cid:durableId="1601137933">
    <w:abstractNumId w:val="4"/>
  </w:num>
  <w:num w:numId="17" w16cid:durableId="15499093">
    <w:abstractNumId w:val="16"/>
  </w:num>
  <w:num w:numId="18" w16cid:durableId="358897891">
    <w:abstractNumId w:val="7"/>
  </w:num>
  <w:num w:numId="19" w16cid:durableId="1631091077">
    <w:abstractNumId w:val="14"/>
  </w:num>
  <w:num w:numId="20" w16cid:durableId="1133525758">
    <w:abstractNumId w:val="21"/>
  </w:num>
  <w:num w:numId="21" w16cid:durableId="2047636258">
    <w:abstractNumId w:val="9"/>
  </w:num>
  <w:num w:numId="22" w16cid:durableId="1701322166">
    <w:abstractNumId w:val="8"/>
  </w:num>
  <w:num w:numId="23" w16cid:durableId="316150137">
    <w:abstractNumId w:val="0"/>
  </w:num>
  <w:num w:numId="24" w16cid:durableId="1405369219">
    <w:abstractNumId w:val="17"/>
  </w:num>
  <w:num w:numId="25" w16cid:durableId="976688191">
    <w:abstractNumId w:val="15"/>
  </w:num>
  <w:num w:numId="26" w16cid:durableId="793911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CF2"/>
    <w:rsid w:val="000506CE"/>
    <w:rsid w:val="00050775"/>
    <w:rsid w:val="000539C9"/>
    <w:rsid w:val="00054624"/>
    <w:rsid w:val="000574A7"/>
    <w:rsid w:val="00057960"/>
    <w:rsid w:val="00071B11"/>
    <w:rsid w:val="000759BB"/>
    <w:rsid w:val="000763D7"/>
    <w:rsid w:val="00076CBE"/>
    <w:rsid w:val="00083D10"/>
    <w:rsid w:val="00092D1D"/>
    <w:rsid w:val="00094BC9"/>
    <w:rsid w:val="00095786"/>
    <w:rsid w:val="000966E2"/>
    <w:rsid w:val="00097D48"/>
    <w:rsid w:val="000A3743"/>
    <w:rsid w:val="000A3E11"/>
    <w:rsid w:val="000B15C4"/>
    <w:rsid w:val="000B1D0D"/>
    <w:rsid w:val="000B3D5C"/>
    <w:rsid w:val="000B58EF"/>
    <w:rsid w:val="000B6489"/>
    <w:rsid w:val="000B7ACB"/>
    <w:rsid w:val="000D50D4"/>
    <w:rsid w:val="000D6BB1"/>
    <w:rsid w:val="000E2821"/>
    <w:rsid w:val="000E477A"/>
    <w:rsid w:val="000E6C47"/>
    <w:rsid w:val="000E7FAC"/>
    <w:rsid w:val="000F6163"/>
    <w:rsid w:val="00111A1A"/>
    <w:rsid w:val="00117CB3"/>
    <w:rsid w:val="0012054D"/>
    <w:rsid w:val="00125A1E"/>
    <w:rsid w:val="00125CA9"/>
    <w:rsid w:val="001269D9"/>
    <w:rsid w:val="001279AC"/>
    <w:rsid w:val="0013019E"/>
    <w:rsid w:val="00141C61"/>
    <w:rsid w:val="00142D09"/>
    <w:rsid w:val="00147D21"/>
    <w:rsid w:val="00147D30"/>
    <w:rsid w:val="001516C5"/>
    <w:rsid w:val="001551D3"/>
    <w:rsid w:val="0016125C"/>
    <w:rsid w:val="00170A1F"/>
    <w:rsid w:val="00171C46"/>
    <w:rsid w:val="0017448D"/>
    <w:rsid w:val="00175B0A"/>
    <w:rsid w:val="00176A8B"/>
    <w:rsid w:val="0017761F"/>
    <w:rsid w:val="001841BF"/>
    <w:rsid w:val="00186903"/>
    <w:rsid w:val="001942E5"/>
    <w:rsid w:val="001B1196"/>
    <w:rsid w:val="001B24C6"/>
    <w:rsid w:val="001B3667"/>
    <w:rsid w:val="001B408E"/>
    <w:rsid w:val="001C015F"/>
    <w:rsid w:val="001C02C6"/>
    <w:rsid w:val="001C2BDE"/>
    <w:rsid w:val="001C30CE"/>
    <w:rsid w:val="001C5FF7"/>
    <w:rsid w:val="001C60A4"/>
    <w:rsid w:val="001D0E6C"/>
    <w:rsid w:val="001D386D"/>
    <w:rsid w:val="001D4A80"/>
    <w:rsid w:val="001E74E4"/>
    <w:rsid w:val="001F54B7"/>
    <w:rsid w:val="001F6288"/>
    <w:rsid w:val="00205E43"/>
    <w:rsid w:val="002076F9"/>
    <w:rsid w:val="00221A90"/>
    <w:rsid w:val="00221BCC"/>
    <w:rsid w:val="00230545"/>
    <w:rsid w:val="00235C89"/>
    <w:rsid w:val="0023620C"/>
    <w:rsid w:val="00236BF8"/>
    <w:rsid w:val="00252BB8"/>
    <w:rsid w:val="002549CE"/>
    <w:rsid w:val="00255E07"/>
    <w:rsid w:val="00264A6D"/>
    <w:rsid w:val="0027258D"/>
    <w:rsid w:val="002763F8"/>
    <w:rsid w:val="00283A7C"/>
    <w:rsid w:val="00284416"/>
    <w:rsid w:val="00284E5B"/>
    <w:rsid w:val="00285283"/>
    <w:rsid w:val="002866FC"/>
    <w:rsid w:val="002901A9"/>
    <w:rsid w:val="002A24BA"/>
    <w:rsid w:val="002A3420"/>
    <w:rsid w:val="002A4DD3"/>
    <w:rsid w:val="002B5B1B"/>
    <w:rsid w:val="002B62C2"/>
    <w:rsid w:val="002B7481"/>
    <w:rsid w:val="002C0EDD"/>
    <w:rsid w:val="002C54D2"/>
    <w:rsid w:val="002C660A"/>
    <w:rsid w:val="002D0E9E"/>
    <w:rsid w:val="002D17D1"/>
    <w:rsid w:val="002D1E61"/>
    <w:rsid w:val="002D6A6A"/>
    <w:rsid w:val="002E545E"/>
    <w:rsid w:val="002F1FBD"/>
    <w:rsid w:val="002F2876"/>
    <w:rsid w:val="002F33EF"/>
    <w:rsid w:val="002F3B52"/>
    <w:rsid w:val="00301411"/>
    <w:rsid w:val="00304745"/>
    <w:rsid w:val="00304EAE"/>
    <w:rsid w:val="003055A7"/>
    <w:rsid w:val="00305778"/>
    <w:rsid w:val="00305CB1"/>
    <w:rsid w:val="00311552"/>
    <w:rsid w:val="00313AAF"/>
    <w:rsid w:val="00320C7A"/>
    <w:rsid w:val="003231B0"/>
    <w:rsid w:val="00323F32"/>
    <w:rsid w:val="00325AFE"/>
    <w:rsid w:val="0033167F"/>
    <w:rsid w:val="00331802"/>
    <w:rsid w:val="003353C5"/>
    <w:rsid w:val="003412D9"/>
    <w:rsid w:val="00345960"/>
    <w:rsid w:val="00350551"/>
    <w:rsid w:val="00351280"/>
    <w:rsid w:val="00356079"/>
    <w:rsid w:val="00357C78"/>
    <w:rsid w:val="003659B5"/>
    <w:rsid w:val="003732CB"/>
    <w:rsid w:val="0037686D"/>
    <w:rsid w:val="00380B0B"/>
    <w:rsid w:val="003812FE"/>
    <w:rsid w:val="003A2343"/>
    <w:rsid w:val="003A346F"/>
    <w:rsid w:val="003A63AE"/>
    <w:rsid w:val="003A66E3"/>
    <w:rsid w:val="003C15EA"/>
    <w:rsid w:val="003C4E9C"/>
    <w:rsid w:val="003C6246"/>
    <w:rsid w:val="003D6070"/>
    <w:rsid w:val="003E0313"/>
    <w:rsid w:val="003E3701"/>
    <w:rsid w:val="003E5547"/>
    <w:rsid w:val="003E5927"/>
    <w:rsid w:val="0041282A"/>
    <w:rsid w:val="0041704C"/>
    <w:rsid w:val="00420CBC"/>
    <w:rsid w:val="00421E9E"/>
    <w:rsid w:val="004434F1"/>
    <w:rsid w:val="00444BE7"/>
    <w:rsid w:val="004503FC"/>
    <w:rsid w:val="00451F00"/>
    <w:rsid w:val="00454AE0"/>
    <w:rsid w:val="004711E3"/>
    <w:rsid w:val="0047133B"/>
    <w:rsid w:val="004724AE"/>
    <w:rsid w:val="0047497F"/>
    <w:rsid w:val="00485FAA"/>
    <w:rsid w:val="00492362"/>
    <w:rsid w:val="00493A61"/>
    <w:rsid w:val="004963BA"/>
    <w:rsid w:val="004A2829"/>
    <w:rsid w:val="004B3410"/>
    <w:rsid w:val="004B6D4E"/>
    <w:rsid w:val="004B74D0"/>
    <w:rsid w:val="004B7790"/>
    <w:rsid w:val="004C7133"/>
    <w:rsid w:val="004D3C86"/>
    <w:rsid w:val="004D6A51"/>
    <w:rsid w:val="004D72A3"/>
    <w:rsid w:val="004E26B2"/>
    <w:rsid w:val="004E66AE"/>
    <w:rsid w:val="004E6839"/>
    <w:rsid w:val="004E6EF6"/>
    <w:rsid w:val="004F2D0B"/>
    <w:rsid w:val="004F3B51"/>
    <w:rsid w:val="004F456D"/>
    <w:rsid w:val="004F5419"/>
    <w:rsid w:val="00502211"/>
    <w:rsid w:val="00512EB9"/>
    <w:rsid w:val="00515CB2"/>
    <w:rsid w:val="0052085E"/>
    <w:rsid w:val="005252FB"/>
    <w:rsid w:val="00542196"/>
    <w:rsid w:val="0054468B"/>
    <w:rsid w:val="005453BE"/>
    <w:rsid w:val="00553515"/>
    <w:rsid w:val="005552C9"/>
    <w:rsid w:val="00556A2D"/>
    <w:rsid w:val="00564A77"/>
    <w:rsid w:val="00565858"/>
    <w:rsid w:val="00570AF9"/>
    <w:rsid w:val="00584A77"/>
    <w:rsid w:val="005924A7"/>
    <w:rsid w:val="0059751C"/>
    <w:rsid w:val="005A51D7"/>
    <w:rsid w:val="005A5826"/>
    <w:rsid w:val="005B0C4F"/>
    <w:rsid w:val="005B2350"/>
    <w:rsid w:val="005B53BE"/>
    <w:rsid w:val="005B7899"/>
    <w:rsid w:val="005C109B"/>
    <w:rsid w:val="005C3BDC"/>
    <w:rsid w:val="005C6E61"/>
    <w:rsid w:val="005D06D5"/>
    <w:rsid w:val="005D21EF"/>
    <w:rsid w:val="005D441D"/>
    <w:rsid w:val="005D7DCC"/>
    <w:rsid w:val="005E0339"/>
    <w:rsid w:val="005E11F3"/>
    <w:rsid w:val="005E162E"/>
    <w:rsid w:val="005E2629"/>
    <w:rsid w:val="005E40C0"/>
    <w:rsid w:val="005F0195"/>
    <w:rsid w:val="005F145E"/>
    <w:rsid w:val="005F4669"/>
    <w:rsid w:val="0060208D"/>
    <w:rsid w:val="006068F4"/>
    <w:rsid w:val="0061055B"/>
    <w:rsid w:val="006114B6"/>
    <w:rsid w:val="00614C0B"/>
    <w:rsid w:val="00620267"/>
    <w:rsid w:val="00621C77"/>
    <w:rsid w:val="006235B5"/>
    <w:rsid w:val="0062703F"/>
    <w:rsid w:val="00627605"/>
    <w:rsid w:val="00627DBE"/>
    <w:rsid w:val="00635786"/>
    <w:rsid w:val="00636918"/>
    <w:rsid w:val="006378F2"/>
    <w:rsid w:val="00642CC1"/>
    <w:rsid w:val="006463AE"/>
    <w:rsid w:val="00646589"/>
    <w:rsid w:val="00656061"/>
    <w:rsid w:val="006650FE"/>
    <w:rsid w:val="00666490"/>
    <w:rsid w:val="00666F70"/>
    <w:rsid w:val="00671A36"/>
    <w:rsid w:val="00674178"/>
    <w:rsid w:val="00680F42"/>
    <w:rsid w:val="006876D6"/>
    <w:rsid w:val="00692962"/>
    <w:rsid w:val="006A3EB6"/>
    <w:rsid w:val="006A78C5"/>
    <w:rsid w:val="006C0F08"/>
    <w:rsid w:val="006C2808"/>
    <w:rsid w:val="006C5B68"/>
    <w:rsid w:val="006C648E"/>
    <w:rsid w:val="006D1C00"/>
    <w:rsid w:val="006D30E7"/>
    <w:rsid w:val="006D4397"/>
    <w:rsid w:val="006D4E43"/>
    <w:rsid w:val="006E34AB"/>
    <w:rsid w:val="006F12DA"/>
    <w:rsid w:val="006F5562"/>
    <w:rsid w:val="006F594D"/>
    <w:rsid w:val="006F6CD5"/>
    <w:rsid w:val="00701CE7"/>
    <w:rsid w:val="00701DAA"/>
    <w:rsid w:val="0070604A"/>
    <w:rsid w:val="007109BB"/>
    <w:rsid w:val="00714CCA"/>
    <w:rsid w:val="00716D4F"/>
    <w:rsid w:val="00720596"/>
    <w:rsid w:val="007232A9"/>
    <w:rsid w:val="007320B0"/>
    <w:rsid w:val="00734F6C"/>
    <w:rsid w:val="00741690"/>
    <w:rsid w:val="00744748"/>
    <w:rsid w:val="0075005A"/>
    <w:rsid w:val="00753D22"/>
    <w:rsid w:val="00757D2B"/>
    <w:rsid w:val="00760549"/>
    <w:rsid w:val="007626EF"/>
    <w:rsid w:val="00764591"/>
    <w:rsid w:val="00765DAF"/>
    <w:rsid w:val="007669E7"/>
    <w:rsid w:val="00781317"/>
    <w:rsid w:val="00783BC1"/>
    <w:rsid w:val="00783DA3"/>
    <w:rsid w:val="00785725"/>
    <w:rsid w:val="007862DA"/>
    <w:rsid w:val="00787905"/>
    <w:rsid w:val="00794743"/>
    <w:rsid w:val="00796B36"/>
    <w:rsid w:val="007973A8"/>
    <w:rsid w:val="007A2304"/>
    <w:rsid w:val="007A3B11"/>
    <w:rsid w:val="007A5AD8"/>
    <w:rsid w:val="007A6AC6"/>
    <w:rsid w:val="007B3529"/>
    <w:rsid w:val="007B4B94"/>
    <w:rsid w:val="007C17AC"/>
    <w:rsid w:val="007D2D04"/>
    <w:rsid w:val="007D3933"/>
    <w:rsid w:val="007E229C"/>
    <w:rsid w:val="007F091F"/>
    <w:rsid w:val="007F35A8"/>
    <w:rsid w:val="00802B79"/>
    <w:rsid w:val="00806D9C"/>
    <w:rsid w:val="00807277"/>
    <w:rsid w:val="008107F7"/>
    <w:rsid w:val="0081372C"/>
    <w:rsid w:val="00814F81"/>
    <w:rsid w:val="0081534B"/>
    <w:rsid w:val="008163D1"/>
    <w:rsid w:val="008272AA"/>
    <w:rsid w:val="00830B14"/>
    <w:rsid w:val="00831FE6"/>
    <w:rsid w:val="0083406F"/>
    <w:rsid w:val="00836008"/>
    <w:rsid w:val="008367DA"/>
    <w:rsid w:val="008375B4"/>
    <w:rsid w:val="008409ED"/>
    <w:rsid w:val="00840EFC"/>
    <w:rsid w:val="00841349"/>
    <w:rsid w:val="00841AB1"/>
    <w:rsid w:val="008425DB"/>
    <w:rsid w:val="00847380"/>
    <w:rsid w:val="0084744C"/>
    <w:rsid w:val="0085222A"/>
    <w:rsid w:val="00852F68"/>
    <w:rsid w:val="00854B4F"/>
    <w:rsid w:val="008579E3"/>
    <w:rsid w:val="0086347A"/>
    <w:rsid w:val="0086599B"/>
    <w:rsid w:val="00871FC2"/>
    <w:rsid w:val="00876503"/>
    <w:rsid w:val="008828FB"/>
    <w:rsid w:val="008940B3"/>
    <w:rsid w:val="008A079D"/>
    <w:rsid w:val="008B54C8"/>
    <w:rsid w:val="008B7D55"/>
    <w:rsid w:val="008C0DF8"/>
    <w:rsid w:val="008C3E22"/>
    <w:rsid w:val="008C682F"/>
    <w:rsid w:val="008D1F4D"/>
    <w:rsid w:val="008D4E4D"/>
    <w:rsid w:val="008D575C"/>
    <w:rsid w:val="008D6170"/>
    <w:rsid w:val="008D75BF"/>
    <w:rsid w:val="008E04BA"/>
    <w:rsid w:val="008E3AD2"/>
    <w:rsid w:val="009040C7"/>
    <w:rsid w:val="009049C6"/>
    <w:rsid w:val="00911858"/>
    <w:rsid w:val="00917829"/>
    <w:rsid w:val="00923420"/>
    <w:rsid w:val="00936450"/>
    <w:rsid w:val="00943146"/>
    <w:rsid w:val="00952A62"/>
    <w:rsid w:val="00956F98"/>
    <w:rsid w:val="00963B50"/>
    <w:rsid w:val="00964D71"/>
    <w:rsid w:val="00971CE9"/>
    <w:rsid w:val="00972189"/>
    <w:rsid w:val="00972DF1"/>
    <w:rsid w:val="00973C53"/>
    <w:rsid w:val="00975B5C"/>
    <w:rsid w:val="009815B4"/>
    <w:rsid w:val="009823DE"/>
    <w:rsid w:val="00984935"/>
    <w:rsid w:val="009923CC"/>
    <w:rsid w:val="009B090F"/>
    <w:rsid w:val="009B5BAF"/>
    <w:rsid w:val="009C525E"/>
    <w:rsid w:val="009C5D36"/>
    <w:rsid w:val="009C79C4"/>
    <w:rsid w:val="009D6065"/>
    <w:rsid w:val="009F0094"/>
    <w:rsid w:val="009F0CE6"/>
    <w:rsid w:val="009F189B"/>
    <w:rsid w:val="009F697C"/>
    <w:rsid w:val="00A00B20"/>
    <w:rsid w:val="00A03454"/>
    <w:rsid w:val="00A0443C"/>
    <w:rsid w:val="00A05C99"/>
    <w:rsid w:val="00A066BB"/>
    <w:rsid w:val="00A25E18"/>
    <w:rsid w:val="00A275A0"/>
    <w:rsid w:val="00A32130"/>
    <w:rsid w:val="00A409D3"/>
    <w:rsid w:val="00A41AA3"/>
    <w:rsid w:val="00A41C4A"/>
    <w:rsid w:val="00A42EAA"/>
    <w:rsid w:val="00A51530"/>
    <w:rsid w:val="00A610E3"/>
    <w:rsid w:val="00A629F8"/>
    <w:rsid w:val="00A7120E"/>
    <w:rsid w:val="00A729B8"/>
    <w:rsid w:val="00A73B82"/>
    <w:rsid w:val="00A74317"/>
    <w:rsid w:val="00A86C90"/>
    <w:rsid w:val="00AA2C8A"/>
    <w:rsid w:val="00AB1A5A"/>
    <w:rsid w:val="00AB2212"/>
    <w:rsid w:val="00AB4F91"/>
    <w:rsid w:val="00AB5BD4"/>
    <w:rsid w:val="00AC1F4E"/>
    <w:rsid w:val="00AC3538"/>
    <w:rsid w:val="00AD0EAB"/>
    <w:rsid w:val="00AD3DC3"/>
    <w:rsid w:val="00AD6744"/>
    <w:rsid w:val="00AE0F9E"/>
    <w:rsid w:val="00AE1EC2"/>
    <w:rsid w:val="00AF6D8A"/>
    <w:rsid w:val="00B16084"/>
    <w:rsid w:val="00B16F3E"/>
    <w:rsid w:val="00B20150"/>
    <w:rsid w:val="00B20758"/>
    <w:rsid w:val="00B262C5"/>
    <w:rsid w:val="00B306CF"/>
    <w:rsid w:val="00B40EF1"/>
    <w:rsid w:val="00B4395E"/>
    <w:rsid w:val="00B43E0F"/>
    <w:rsid w:val="00B515D5"/>
    <w:rsid w:val="00B521D5"/>
    <w:rsid w:val="00B67D5C"/>
    <w:rsid w:val="00B81136"/>
    <w:rsid w:val="00B86E8D"/>
    <w:rsid w:val="00B8700C"/>
    <w:rsid w:val="00B90C53"/>
    <w:rsid w:val="00B90D16"/>
    <w:rsid w:val="00B9276B"/>
    <w:rsid w:val="00B95D31"/>
    <w:rsid w:val="00BA1451"/>
    <w:rsid w:val="00BA4B2B"/>
    <w:rsid w:val="00BA59FD"/>
    <w:rsid w:val="00BA7D16"/>
    <w:rsid w:val="00BB1D01"/>
    <w:rsid w:val="00BB2A3A"/>
    <w:rsid w:val="00BB39E6"/>
    <w:rsid w:val="00BB652F"/>
    <w:rsid w:val="00BC2358"/>
    <w:rsid w:val="00BC64C3"/>
    <w:rsid w:val="00BD20AB"/>
    <w:rsid w:val="00BE4C96"/>
    <w:rsid w:val="00BE622B"/>
    <w:rsid w:val="00BF0341"/>
    <w:rsid w:val="00BF265F"/>
    <w:rsid w:val="00BF346E"/>
    <w:rsid w:val="00BF6973"/>
    <w:rsid w:val="00C015D8"/>
    <w:rsid w:val="00C0694F"/>
    <w:rsid w:val="00C10845"/>
    <w:rsid w:val="00C12F09"/>
    <w:rsid w:val="00C205F1"/>
    <w:rsid w:val="00C30A6D"/>
    <w:rsid w:val="00C3108B"/>
    <w:rsid w:val="00C347AE"/>
    <w:rsid w:val="00C37271"/>
    <w:rsid w:val="00C40941"/>
    <w:rsid w:val="00C44CA0"/>
    <w:rsid w:val="00C516BC"/>
    <w:rsid w:val="00C55A45"/>
    <w:rsid w:val="00C60CF3"/>
    <w:rsid w:val="00C61585"/>
    <w:rsid w:val="00C63D94"/>
    <w:rsid w:val="00C654DC"/>
    <w:rsid w:val="00C667CE"/>
    <w:rsid w:val="00C71726"/>
    <w:rsid w:val="00C76BAA"/>
    <w:rsid w:val="00C838EB"/>
    <w:rsid w:val="00C8556E"/>
    <w:rsid w:val="00C859FD"/>
    <w:rsid w:val="00C919C7"/>
    <w:rsid w:val="00C91DE4"/>
    <w:rsid w:val="00C940C1"/>
    <w:rsid w:val="00C97315"/>
    <w:rsid w:val="00C9771B"/>
    <w:rsid w:val="00CA18B8"/>
    <w:rsid w:val="00CA5449"/>
    <w:rsid w:val="00CA5689"/>
    <w:rsid w:val="00CB1A60"/>
    <w:rsid w:val="00CB3D52"/>
    <w:rsid w:val="00CB4F3A"/>
    <w:rsid w:val="00CC3610"/>
    <w:rsid w:val="00CC4F84"/>
    <w:rsid w:val="00CC6718"/>
    <w:rsid w:val="00CD0255"/>
    <w:rsid w:val="00CD45E7"/>
    <w:rsid w:val="00CD7EFC"/>
    <w:rsid w:val="00CE08E0"/>
    <w:rsid w:val="00CE78D6"/>
    <w:rsid w:val="00D01B23"/>
    <w:rsid w:val="00D0294B"/>
    <w:rsid w:val="00D05ECB"/>
    <w:rsid w:val="00D145C4"/>
    <w:rsid w:val="00D16827"/>
    <w:rsid w:val="00D23014"/>
    <w:rsid w:val="00D26ED2"/>
    <w:rsid w:val="00D3557D"/>
    <w:rsid w:val="00D37836"/>
    <w:rsid w:val="00D4044E"/>
    <w:rsid w:val="00D407F7"/>
    <w:rsid w:val="00D40965"/>
    <w:rsid w:val="00D433F3"/>
    <w:rsid w:val="00D43EF2"/>
    <w:rsid w:val="00D50F96"/>
    <w:rsid w:val="00D53865"/>
    <w:rsid w:val="00D54E73"/>
    <w:rsid w:val="00D551D6"/>
    <w:rsid w:val="00D570E0"/>
    <w:rsid w:val="00D60861"/>
    <w:rsid w:val="00D629C5"/>
    <w:rsid w:val="00D65E59"/>
    <w:rsid w:val="00D774DA"/>
    <w:rsid w:val="00D77E36"/>
    <w:rsid w:val="00D83F58"/>
    <w:rsid w:val="00D877B2"/>
    <w:rsid w:val="00D90267"/>
    <w:rsid w:val="00D94D24"/>
    <w:rsid w:val="00DA0C86"/>
    <w:rsid w:val="00DA0D25"/>
    <w:rsid w:val="00DA2BE7"/>
    <w:rsid w:val="00DB048B"/>
    <w:rsid w:val="00DB2614"/>
    <w:rsid w:val="00DB3C6C"/>
    <w:rsid w:val="00DB4EDE"/>
    <w:rsid w:val="00DC13B0"/>
    <w:rsid w:val="00DC2E85"/>
    <w:rsid w:val="00DC38DE"/>
    <w:rsid w:val="00DC6C0A"/>
    <w:rsid w:val="00DD121E"/>
    <w:rsid w:val="00DD518B"/>
    <w:rsid w:val="00DD519E"/>
    <w:rsid w:val="00DE69F4"/>
    <w:rsid w:val="00DF2F5D"/>
    <w:rsid w:val="00E126BB"/>
    <w:rsid w:val="00E16B5B"/>
    <w:rsid w:val="00E2055B"/>
    <w:rsid w:val="00E212C5"/>
    <w:rsid w:val="00E23568"/>
    <w:rsid w:val="00E3060D"/>
    <w:rsid w:val="00E31A1A"/>
    <w:rsid w:val="00E33388"/>
    <w:rsid w:val="00E34337"/>
    <w:rsid w:val="00E379BB"/>
    <w:rsid w:val="00E45F50"/>
    <w:rsid w:val="00E6637E"/>
    <w:rsid w:val="00E7085F"/>
    <w:rsid w:val="00E70AE1"/>
    <w:rsid w:val="00E72B8D"/>
    <w:rsid w:val="00E7666E"/>
    <w:rsid w:val="00E82BBA"/>
    <w:rsid w:val="00E833FA"/>
    <w:rsid w:val="00E84051"/>
    <w:rsid w:val="00E84532"/>
    <w:rsid w:val="00E92880"/>
    <w:rsid w:val="00E9409C"/>
    <w:rsid w:val="00E959B3"/>
    <w:rsid w:val="00EA467E"/>
    <w:rsid w:val="00EB36F1"/>
    <w:rsid w:val="00ED2D12"/>
    <w:rsid w:val="00EF5061"/>
    <w:rsid w:val="00EF7C20"/>
    <w:rsid w:val="00F01BD2"/>
    <w:rsid w:val="00F03F5F"/>
    <w:rsid w:val="00F05072"/>
    <w:rsid w:val="00F12038"/>
    <w:rsid w:val="00F16ADA"/>
    <w:rsid w:val="00F261DD"/>
    <w:rsid w:val="00F306C9"/>
    <w:rsid w:val="00F308FB"/>
    <w:rsid w:val="00F32C7C"/>
    <w:rsid w:val="00F32CE6"/>
    <w:rsid w:val="00F33774"/>
    <w:rsid w:val="00F33A8F"/>
    <w:rsid w:val="00F36004"/>
    <w:rsid w:val="00F4743E"/>
    <w:rsid w:val="00F50B0F"/>
    <w:rsid w:val="00F54AAE"/>
    <w:rsid w:val="00F648B7"/>
    <w:rsid w:val="00F72E82"/>
    <w:rsid w:val="00F75DC5"/>
    <w:rsid w:val="00F770BC"/>
    <w:rsid w:val="00F81718"/>
    <w:rsid w:val="00F82A1D"/>
    <w:rsid w:val="00F83BF1"/>
    <w:rsid w:val="00F83D96"/>
    <w:rsid w:val="00FA1691"/>
    <w:rsid w:val="00FA3DAA"/>
    <w:rsid w:val="00FA7136"/>
    <w:rsid w:val="00FB58D4"/>
    <w:rsid w:val="00FB6218"/>
    <w:rsid w:val="00FB734C"/>
    <w:rsid w:val="00FB756E"/>
    <w:rsid w:val="00FD7015"/>
    <w:rsid w:val="00FE7A65"/>
    <w:rsid w:val="00FF0BFD"/>
    <w:rsid w:val="00FF6077"/>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 w:type="paragraph" w:styleId="Revision">
    <w:name w:val="Revision"/>
    <w:hidden/>
    <w:uiPriority w:val="99"/>
    <w:semiHidden/>
    <w:rsid w:val="00CC4F84"/>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courts.gov/Portals/20/Advisory%20Committee%20Rules%20of%20Evid/DRAFT%20Minutes%2012-01-23.pdf?ver=6aSLiI4tpEwTKrOQ2tqV7Q%3d%3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rin.sutherland@pim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2.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3.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4081</Words>
  <Characters>21429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25460</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3</cp:revision>
  <cp:lastPrinted>2012-05-18T16:39:00Z</cp:lastPrinted>
  <dcterms:created xsi:type="dcterms:W3CDTF">2024-05-01T23:28:00Z</dcterms:created>
  <dcterms:modified xsi:type="dcterms:W3CDTF">2024-05-01T23:39:00Z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