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3AF259A7" w:rsidR="00357F4D" w:rsidRPr="004F2D37" w:rsidRDefault="00E67511" w:rsidP="004F2D37">
            <w:pPr>
              <w:pStyle w:val="Caption"/>
              <w:spacing w:before="240" w:line="260" w:lineRule="exact"/>
              <w:rPr>
                <w:b/>
                <w:sz w:val="28"/>
                <w:szCs w:val="28"/>
              </w:rPr>
            </w:pPr>
            <w:r w:rsidRPr="00732169">
              <w:rPr>
                <w:b/>
                <w:sz w:val="28"/>
                <w:szCs w:val="28"/>
              </w:rPr>
              <w:t xml:space="preserve">PETITION TO </w:t>
            </w:r>
            <w:r w:rsidR="004F2D37">
              <w:rPr>
                <w:b/>
                <w:sz w:val="28"/>
                <w:szCs w:val="28"/>
              </w:rPr>
              <w:t>AMEND RULE 17.4 AND 38 OF THE ARIZONA RULES OF CRIMINAL PROCEDURE</w:t>
            </w:r>
            <w:r w:rsidR="004F2D37">
              <w:rPr>
                <w:b/>
                <w:sz w:val="28"/>
                <w:szCs w:val="28"/>
              </w:rPr>
              <w:br/>
            </w:r>
          </w:p>
        </w:tc>
        <w:tc>
          <w:tcPr>
            <w:tcW w:w="4524" w:type="dxa"/>
            <w:tcBorders>
              <w:top w:val="nil"/>
              <w:left w:val="single" w:sz="4" w:space="0" w:color="auto"/>
            </w:tcBorders>
            <w:shd w:val="clear" w:color="auto" w:fill="auto"/>
          </w:tcPr>
          <w:p w14:paraId="35CED5CB" w14:textId="16B6B7E0"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31F22">
              <w:rPr>
                <w:sz w:val="28"/>
                <w:szCs w:val="28"/>
              </w:rPr>
              <w:t>4</w:t>
            </w:r>
            <w:r w:rsidR="00F850BE">
              <w:rPr>
                <w:sz w:val="28"/>
                <w:szCs w:val="28"/>
              </w:rPr>
              <w:t>-</w:t>
            </w:r>
            <w:r w:rsidR="004F2D37">
              <w:rPr>
                <w:sz w:val="28"/>
                <w:szCs w:val="28"/>
              </w:rPr>
              <w:t>0016</w:t>
            </w:r>
          </w:p>
          <w:p w14:paraId="5AEC962D" w14:textId="19B855E5" w:rsidR="00357F4D" w:rsidRPr="004F2D37" w:rsidRDefault="004F2D37" w:rsidP="000F7A7F">
            <w:pPr>
              <w:pStyle w:val="Caption"/>
              <w:tabs>
                <w:tab w:val="left" w:pos="1238"/>
              </w:tabs>
              <w:spacing w:line="260" w:lineRule="exact"/>
              <w:ind w:right="115"/>
              <w:jc w:val="center"/>
              <w:rPr>
                <w:b/>
                <w:sz w:val="28"/>
                <w:szCs w:val="28"/>
              </w:rPr>
            </w:pPr>
            <w:r w:rsidRPr="004F2D37">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592DA9A2" w14:textId="30B83E11" w:rsidR="004F2D37" w:rsidRDefault="004F2D37" w:rsidP="004F2D37">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 xml:space="preserve">submits the following as its comment to the above-captioned </w:t>
      </w:r>
      <w:r>
        <w:rPr>
          <w:sz w:val="28"/>
          <w:szCs w:val="28"/>
        </w:rPr>
        <w:t>P</w:t>
      </w:r>
      <w:r>
        <w:rPr>
          <w:sz w:val="28"/>
          <w:szCs w:val="28"/>
        </w:rPr>
        <w:t xml:space="preserve">etition.   </w:t>
      </w:r>
      <w:r w:rsidRPr="006F63FD">
        <w:rPr>
          <w:sz w:val="28"/>
          <w:szCs w:val="28"/>
        </w:rPr>
        <w:t xml:space="preserve"> </w:t>
      </w:r>
    </w:p>
    <w:p w14:paraId="47D19174" w14:textId="77777777" w:rsidR="004F2D37" w:rsidRDefault="004F2D37" w:rsidP="004F2D37">
      <w:pPr>
        <w:pStyle w:val="Body"/>
        <w:widowControl w:val="0"/>
        <w:spacing w:line="480" w:lineRule="auto"/>
        <w:ind w:firstLine="720"/>
        <w:jc w:val="both"/>
        <w:rPr>
          <w:rStyle w:val="BodyTextChar"/>
          <w:sz w:val="28"/>
          <w:szCs w:val="28"/>
        </w:rPr>
      </w:pPr>
      <w:r>
        <w:rPr>
          <w:rStyle w:val="BodyTextChar"/>
          <w:sz w:val="28"/>
          <w:szCs w:val="28"/>
        </w:rPr>
        <w:t>After review by the State Bar’s Criminal Practice and Procedure Committee, the State Bar supports adopting and implementing restorative justice principles in the Rules of Criminal Procedure.  The State Bar, however, does not support adoption of the rules proposed in the above-captioned Petition.  Rather, the State Bar supports the Petition’s alternative proposal of establishing a task force to study implementing restorative justice principles.</w:t>
      </w:r>
    </w:p>
    <w:p w14:paraId="4DC5F4AB" w14:textId="408E0F81" w:rsidR="004F2D37" w:rsidRDefault="004F2D37" w:rsidP="004F2D37">
      <w:pPr>
        <w:pStyle w:val="Body"/>
        <w:widowControl w:val="0"/>
        <w:spacing w:line="480" w:lineRule="auto"/>
        <w:ind w:firstLine="720"/>
        <w:jc w:val="both"/>
        <w:rPr>
          <w:rStyle w:val="BodyTextChar"/>
          <w:sz w:val="28"/>
          <w:szCs w:val="28"/>
        </w:rPr>
      </w:pPr>
      <w:r>
        <w:rPr>
          <w:rStyle w:val="BodyTextChar"/>
          <w:sz w:val="28"/>
          <w:szCs w:val="28"/>
        </w:rPr>
        <w:t xml:space="preserve">The </w:t>
      </w:r>
      <w:r>
        <w:rPr>
          <w:rStyle w:val="BodyTextChar"/>
          <w:sz w:val="28"/>
          <w:szCs w:val="28"/>
        </w:rPr>
        <w:t>p</w:t>
      </w:r>
      <w:r>
        <w:rPr>
          <w:rStyle w:val="BodyTextChar"/>
          <w:sz w:val="28"/>
          <w:szCs w:val="28"/>
        </w:rPr>
        <w:t xml:space="preserve">roposed </w:t>
      </w:r>
      <w:r>
        <w:rPr>
          <w:rStyle w:val="BodyTextChar"/>
          <w:sz w:val="28"/>
          <w:szCs w:val="28"/>
        </w:rPr>
        <w:t>r</w:t>
      </w:r>
      <w:r>
        <w:rPr>
          <w:rStyle w:val="BodyTextChar"/>
          <w:sz w:val="28"/>
          <w:szCs w:val="28"/>
        </w:rPr>
        <w:t xml:space="preserve">ule would appear to require that the courts expend funds to </w:t>
      </w:r>
      <w:r>
        <w:rPr>
          <w:rStyle w:val="BodyTextChar"/>
          <w:sz w:val="28"/>
          <w:szCs w:val="28"/>
        </w:rPr>
        <w:lastRenderedPageBreak/>
        <w:t xml:space="preserve">retain and train the “third-party facilitators familiar with restorative justice mediation principles to conduct the victim-defendant conference” provided for in the </w:t>
      </w:r>
      <w:r>
        <w:rPr>
          <w:rStyle w:val="BodyTextChar"/>
          <w:sz w:val="28"/>
          <w:szCs w:val="28"/>
        </w:rPr>
        <w:t>Petition.</w:t>
      </w:r>
      <w:r>
        <w:rPr>
          <w:rStyle w:val="BodyTextChar"/>
          <w:sz w:val="28"/>
          <w:szCs w:val="28"/>
        </w:rPr>
        <w:t xml:space="preserve">  The proposal does not appear to account for these expenditures that may be required as a result of adopting the </w:t>
      </w:r>
      <w:r>
        <w:rPr>
          <w:rStyle w:val="BodyTextChar"/>
          <w:sz w:val="28"/>
          <w:szCs w:val="28"/>
        </w:rPr>
        <w:t>proposal</w:t>
      </w:r>
      <w:r>
        <w:rPr>
          <w:rStyle w:val="BodyTextChar"/>
          <w:sz w:val="28"/>
          <w:szCs w:val="28"/>
        </w:rPr>
        <w:t xml:space="preserve">. Additionally, the </w:t>
      </w:r>
      <w:r>
        <w:rPr>
          <w:rStyle w:val="BodyTextChar"/>
          <w:sz w:val="28"/>
          <w:szCs w:val="28"/>
        </w:rPr>
        <w:t>Petition</w:t>
      </w:r>
      <w:r>
        <w:rPr>
          <w:rStyle w:val="BodyTextChar"/>
          <w:sz w:val="28"/>
          <w:szCs w:val="28"/>
        </w:rPr>
        <w:t xml:space="preserve"> does not appear to set any standards that a third-party facilitator must satisfy before they may be appointed.</w:t>
      </w:r>
    </w:p>
    <w:p w14:paraId="3E4822AE" w14:textId="40AE63D9" w:rsidR="004F2D37" w:rsidRDefault="004F2D37" w:rsidP="004F2D37">
      <w:pPr>
        <w:pStyle w:val="Body"/>
        <w:widowControl w:val="0"/>
        <w:spacing w:line="480" w:lineRule="auto"/>
        <w:ind w:firstLine="720"/>
        <w:jc w:val="both"/>
        <w:rPr>
          <w:rStyle w:val="BodyTextChar"/>
          <w:sz w:val="28"/>
          <w:szCs w:val="28"/>
        </w:rPr>
      </w:pPr>
      <w:r>
        <w:rPr>
          <w:rStyle w:val="BodyTextChar"/>
          <w:sz w:val="28"/>
          <w:szCs w:val="28"/>
        </w:rPr>
        <w:t xml:space="preserve">Moreover, the </w:t>
      </w:r>
      <w:r>
        <w:rPr>
          <w:rStyle w:val="BodyTextChar"/>
          <w:sz w:val="28"/>
          <w:szCs w:val="28"/>
        </w:rPr>
        <w:t>proposed changes</w:t>
      </w:r>
      <w:r>
        <w:rPr>
          <w:rStyle w:val="BodyTextChar"/>
          <w:sz w:val="28"/>
          <w:szCs w:val="28"/>
        </w:rPr>
        <w:t xml:space="preserve"> would enact a sweeping change to the Rules of Criminal Procedure with little to no input from the various stakeholders that would be involved in establishing and carrying out victim-defendant conferences.  The State Bar believes that these stakeholders––such as prosecuting agencies, public defenders, and victims’ rights advocates––should be involved in crafting whatever restorative justice procedures may be implemented and incorporated into the Rules of Criminal Procedure.</w:t>
      </w:r>
    </w:p>
    <w:p w14:paraId="4670C022" w14:textId="5F8F5319" w:rsidR="004F2D37" w:rsidRPr="004F2D37" w:rsidRDefault="004F2D37" w:rsidP="004F2D37">
      <w:pPr>
        <w:pStyle w:val="Body"/>
        <w:widowControl w:val="0"/>
        <w:spacing w:line="480" w:lineRule="auto"/>
        <w:ind w:firstLine="720"/>
        <w:jc w:val="both"/>
        <w:rPr>
          <w:rStyle w:val="BodyTextChar"/>
          <w:sz w:val="28"/>
          <w:szCs w:val="28"/>
        </w:rPr>
      </w:pPr>
      <w:r>
        <w:rPr>
          <w:rStyle w:val="BodyTextChar"/>
          <w:sz w:val="28"/>
          <w:szCs w:val="28"/>
        </w:rPr>
        <w:t xml:space="preserve">To that end, the State Bar supports the alternative proposal included in the Petition of forming a task force to study the </w:t>
      </w:r>
      <w:r>
        <w:rPr>
          <w:rStyle w:val="BodyTextChar"/>
          <w:sz w:val="28"/>
          <w:szCs w:val="28"/>
        </w:rPr>
        <w:t>issue</w:t>
      </w:r>
      <w:r>
        <w:rPr>
          <w:rStyle w:val="BodyTextChar"/>
          <w:sz w:val="28"/>
          <w:szCs w:val="28"/>
        </w:rPr>
        <w:t>, explore alternatives, identify best practices and procedures for courts that adopt restorative justice policies, and suggest other pathways to integrate restorative justice practices into the Rules of Criminal Procedure.</w:t>
      </w:r>
    </w:p>
    <w:p w14:paraId="6E87BE2D" w14:textId="77777777" w:rsidR="004F2D37" w:rsidRPr="006F63FD" w:rsidRDefault="004F2D37" w:rsidP="004F2D37">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6897BEC7" w14:textId="77777777" w:rsidR="004F2D37" w:rsidRPr="006F63FD" w:rsidRDefault="004F2D37" w:rsidP="004F2D37">
      <w:pPr>
        <w:pStyle w:val="Body"/>
        <w:widowControl w:val="0"/>
        <w:tabs>
          <w:tab w:val="left" w:pos="720"/>
        </w:tabs>
        <w:spacing w:line="480" w:lineRule="auto"/>
        <w:ind w:firstLine="0"/>
        <w:jc w:val="both"/>
        <w:rPr>
          <w:spacing w:val="-3"/>
          <w:sz w:val="28"/>
          <w:szCs w:val="28"/>
        </w:rPr>
      </w:pPr>
      <w:r w:rsidRPr="006F63FD">
        <w:rPr>
          <w:sz w:val="28"/>
          <w:szCs w:val="28"/>
        </w:rPr>
        <w:tab/>
        <w:t>The State Bar</w:t>
      </w:r>
      <w:r>
        <w:rPr>
          <w:sz w:val="28"/>
          <w:szCs w:val="28"/>
        </w:rPr>
        <w:t xml:space="preserve"> of Arizona</w:t>
      </w:r>
      <w:r w:rsidRPr="006F63FD">
        <w:rPr>
          <w:sz w:val="28"/>
          <w:szCs w:val="28"/>
        </w:rPr>
        <w:t xml:space="preserve"> respectfully requests that </w:t>
      </w:r>
      <w:r>
        <w:rPr>
          <w:sz w:val="28"/>
          <w:szCs w:val="28"/>
        </w:rPr>
        <w:t xml:space="preserve">the Supreme Court establish a taskforce to study incorporating restorative justice principles to the Rules </w:t>
      </w:r>
      <w:r>
        <w:rPr>
          <w:sz w:val="28"/>
          <w:szCs w:val="28"/>
        </w:rPr>
        <w:lastRenderedPageBreak/>
        <w:t>of Criminal Procedure.</w:t>
      </w:r>
    </w:p>
    <w:p w14:paraId="462A4644" w14:textId="77777777" w:rsidR="004F2D37" w:rsidRPr="006F63FD" w:rsidRDefault="004F2D37" w:rsidP="004F2D37">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5ED685C4" w14:textId="77777777" w:rsidR="004F2D37" w:rsidRPr="000F7A7F" w:rsidRDefault="004F2D37" w:rsidP="004F2D37">
      <w:pPr>
        <w:pStyle w:val="Body"/>
        <w:widowControl w:val="0"/>
        <w:tabs>
          <w:tab w:val="left" w:pos="720"/>
        </w:tabs>
        <w:ind w:firstLine="0"/>
        <w:rPr>
          <w:szCs w:val="26"/>
        </w:rPr>
      </w:pPr>
    </w:p>
    <w:p w14:paraId="66D6974D" w14:textId="77777777" w:rsidR="004F2D37" w:rsidRPr="000F7A7F" w:rsidRDefault="004F2D37" w:rsidP="004F2D37">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6FE0B57F" wp14:editId="1A9FC79E">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517762C7" w14:textId="77777777" w:rsidR="004F2D37" w:rsidRPr="006F63FD" w:rsidRDefault="004F2D37" w:rsidP="004F2D37">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6C154528" w14:textId="77777777" w:rsidR="004F2D37" w:rsidRPr="006F63FD" w:rsidRDefault="004F2D37" w:rsidP="004F2D37">
      <w:pPr>
        <w:pStyle w:val="PleadingSignature"/>
        <w:keepNext w:val="0"/>
        <w:keepLines w:val="0"/>
        <w:spacing w:line="240" w:lineRule="auto"/>
        <w:ind w:left="5070"/>
        <w:rPr>
          <w:sz w:val="28"/>
          <w:szCs w:val="28"/>
        </w:rPr>
      </w:pPr>
      <w:r w:rsidRPr="006F63FD">
        <w:rPr>
          <w:sz w:val="28"/>
          <w:szCs w:val="28"/>
        </w:rPr>
        <w:t>General Counsel</w:t>
      </w:r>
    </w:p>
    <w:p w14:paraId="070AF9B5" w14:textId="77777777" w:rsidR="004F2D37" w:rsidRPr="000F7A7F" w:rsidRDefault="004F2D37" w:rsidP="004F2D37">
      <w:pPr>
        <w:pStyle w:val="PleadingSignature"/>
        <w:keepNext w:val="0"/>
        <w:keepLines w:val="0"/>
        <w:spacing w:line="240" w:lineRule="auto"/>
        <w:ind w:left="5070"/>
        <w:rPr>
          <w:szCs w:val="26"/>
        </w:rPr>
      </w:pPr>
    </w:p>
    <w:p w14:paraId="4B1A5711" w14:textId="77777777" w:rsidR="004F2D37" w:rsidRPr="006F63FD" w:rsidRDefault="004F2D37" w:rsidP="004F2D37">
      <w:pPr>
        <w:pStyle w:val="PleadingSignature"/>
        <w:keepNext w:val="0"/>
        <w:keepLines w:val="0"/>
        <w:spacing w:line="240" w:lineRule="auto"/>
        <w:ind w:left="5070"/>
        <w:rPr>
          <w:sz w:val="28"/>
          <w:szCs w:val="28"/>
        </w:rPr>
      </w:pPr>
    </w:p>
    <w:p w14:paraId="4C8AF780" w14:textId="77777777" w:rsidR="004F2D37" w:rsidRDefault="004F2D37" w:rsidP="004F2D37">
      <w:pPr>
        <w:widowControl w:val="0"/>
        <w:spacing w:line="240" w:lineRule="auto"/>
        <w:ind w:right="4140"/>
        <w:rPr>
          <w:sz w:val="28"/>
          <w:szCs w:val="28"/>
        </w:rPr>
      </w:pPr>
    </w:p>
    <w:p w14:paraId="0A45B88E" w14:textId="77777777" w:rsidR="004F2D37" w:rsidRDefault="004F2D37" w:rsidP="004F2D37">
      <w:pPr>
        <w:widowControl w:val="0"/>
        <w:spacing w:line="240" w:lineRule="auto"/>
        <w:ind w:right="4140"/>
        <w:rPr>
          <w:sz w:val="28"/>
          <w:szCs w:val="28"/>
        </w:rPr>
      </w:pPr>
    </w:p>
    <w:p w14:paraId="2FC5C4E7" w14:textId="77777777" w:rsidR="004F2D37" w:rsidRPr="00C52E56" w:rsidRDefault="004F2D37" w:rsidP="004F2D37">
      <w:pPr>
        <w:widowControl w:val="0"/>
        <w:spacing w:line="240" w:lineRule="auto"/>
        <w:ind w:right="4140"/>
        <w:rPr>
          <w:sz w:val="28"/>
          <w:szCs w:val="28"/>
        </w:rPr>
      </w:pPr>
      <w:r w:rsidRPr="00C52E56">
        <w:rPr>
          <w:sz w:val="28"/>
          <w:szCs w:val="28"/>
        </w:rPr>
        <w:t>Electronic copy filed with the</w:t>
      </w:r>
    </w:p>
    <w:p w14:paraId="511F96ED" w14:textId="77777777" w:rsidR="004F2D37" w:rsidRPr="00C52E56" w:rsidRDefault="004F2D37" w:rsidP="004F2D37">
      <w:pPr>
        <w:spacing w:line="240" w:lineRule="auto"/>
        <w:ind w:right="4140"/>
        <w:rPr>
          <w:sz w:val="28"/>
          <w:szCs w:val="28"/>
        </w:rPr>
      </w:pPr>
      <w:r w:rsidRPr="00C52E56">
        <w:rPr>
          <w:sz w:val="28"/>
          <w:szCs w:val="28"/>
        </w:rPr>
        <w:t xml:space="preserve">Clerk of the </w:t>
      </w:r>
      <w:r>
        <w:rPr>
          <w:sz w:val="28"/>
          <w:szCs w:val="28"/>
        </w:rPr>
        <w:t>Supreme Court of Arizona</w:t>
      </w:r>
    </w:p>
    <w:p w14:paraId="43EDE71A" w14:textId="77777777" w:rsidR="004F2D37" w:rsidRPr="00C52E56" w:rsidRDefault="004F2D37" w:rsidP="004F2D37">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18C7A498" w14:textId="77777777" w:rsidR="004F2D37" w:rsidRPr="00C52E56" w:rsidRDefault="004F2D37" w:rsidP="004F2D37">
      <w:pPr>
        <w:spacing w:line="240" w:lineRule="auto"/>
        <w:ind w:right="4572"/>
        <w:rPr>
          <w:sz w:val="28"/>
          <w:szCs w:val="28"/>
        </w:rPr>
      </w:pPr>
    </w:p>
    <w:p w14:paraId="3E020E05" w14:textId="77777777" w:rsidR="004F2D37" w:rsidRPr="00C52E56" w:rsidRDefault="004F2D37" w:rsidP="004F2D37">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4F2D37"/>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1F22"/>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3</Pages>
  <Words>411</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2024-04-23T20:24:00Z</dcterms:created>
  <dcterms:modified xsi:type="dcterms:W3CDTF">2024-04-23T20:24:00Z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