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5D89C4BE" w:rsidR="00357F4D" w:rsidRPr="00DE1E9D" w:rsidRDefault="00E67511" w:rsidP="00DE1E9D">
            <w:pPr>
              <w:pStyle w:val="Caption"/>
              <w:spacing w:before="240" w:line="260" w:lineRule="exact"/>
              <w:rPr>
                <w:b/>
                <w:sz w:val="28"/>
                <w:szCs w:val="28"/>
              </w:rPr>
            </w:pPr>
            <w:r w:rsidRPr="00732169">
              <w:rPr>
                <w:b/>
                <w:sz w:val="28"/>
                <w:szCs w:val="28"/>
              </w:rPr>
              <w:t xml:space="preserve">PETITION TO </w:t>
            </w:r>
            <w:r w:rsidR="00DE1E9D">
              <w:rPr>
                <w:b/>
                <w:sz w:val="28"/>
                <w:szCs w:val="28"/>
              </w:rPr>
              <w:t>AMEND RULE 10.2(a) OF THE ARIZONA RULES OF CRIMINAL PROCEDURE</w:t>
            </w:r>
            <w:r w:rsidR="00DE1E9D">
              <w:rPr>
                <w:b/>
                <w:sz w:val="28"/>
                <w:szCs w:val="28"/>
              </w:rPr>
              <w:br/>
            </w:r>
          </w:p>
        </w:tc>
        <w:tc>
          <w:tcPr>
            <w:tcW w:w="4524" w:type="dxa"/>
            <w:tcBorders>
              <w:top w:val="nil"/>
              <w:left w:val="single" w:sz="4" w:space="0" w:color="auto"/>
            </w:tcBorders>
            <w:shd w:val="clear" w:color="auto" w:fill="auto"/>
          </w:tcPr>
          <w:p w14:paraId="35CED5CB" w14:textId="646D6AC2"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DE1E9D">
              <w:rPr>
                <w:sz w:val="28"/>
                <w:szCs w:val="28"/>
              </w:rPr>
              <w:t>0010</w:t>
            </w:r>
          </w:p>
          <w:p w14:paraId="6DC877C6" w14:textId="77777777" w:rsidR="00DE1E9D" w:rsidRPr="00DE1E9D" w:rsidRDefault="00DE1E9D" w:rsidP="000F7A7F">
            <w:pPr>
              <w:pStyle w:val="Caption"/>
              <w:tabs>
                <w:tab w:val="left" w:pos="1238"/>
              </w:tabs>
              <w:spacing w:line="260" w:lineRule="exact"/>
              <w:ind w:right="115"/>
              <w:jc w:val="center"/>
              <w:rPr>
                <w:b/>
                <w:sz w:val="28"/>
                <w:szCs w:val="28"/>
              </w:rPr>
            </w:pPr>
            <w:r w:rsidRPr="00DE1E9D">
              <w:rPr>
                <w:b/>
                <w:sz w:val="28"/>
                <w:szCs w:val="28"/>
              </w:rPr>
              <w:t xml:space="preserve">COMMENT OF </w:t>
            </w:r>
          </w:p>
          <w:p w14:paraId="5AEC962D" w14:textId="4FF464B6" w:rsidR="00357F4D" w:rsidRPr="00DE1E9D" w:rsidRDefault="00DE1E9D" w:rsidP="000F7A7F">
            <w:pPr>
              <w:pStyle w:val="Caption"/>
              <w:tabs>
                <w:tab w:val="left" w:pos="1238"/>
              </w:tabs>
              <w:spacing w:line="260" w:lineRule="exact"/>
              <w:ind w:right="115"/>
              <w:jc w:val="center"/>
              <w:rPr>
                <w:b/>
                <w:sz w:val="28"/>
                <w:szCs w:val="28"/>
              </w:rPr>
            </w:pPr>
            <w:r w:rsidRPr="00DE1E9D">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2A7D120" w14:textId="77777777" w:rsidR="00DE1E9D" w:rsidRDefault="00DE1E9D" w:rsidP="00DE1E9D">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r w:rsidRPr="006F63FD">
        <w:rPr>
          <w:sz w:val="28"/>
          <w:szCs w:val="28"/>
        </w:rPr>
        <w:t xml:space="preserve"> </w:t>
      </w:r>
    </w:p>
    <w:p w14:paraId="7B0E73E4" w14:textId="126DB187" w:rsidR="00DE1E9D" w:rsidRDefault="00DE1E9D" w:rsidP="00DE1E9D">
      <w:pPr>
        <w:pStyle w:val="Body"/>
        <w:widowControl w:val="0"/>
        <w:spacing w:line="480" w:lineRule="auto"/>
        <w:ind w:firstLine="720"/>
        <w:jc w:val="both"/>
        <w:rPr>
          <w:rStyle w:val="BodyTextChar"/>
          <w:sz w:val="28"/>
          <w:szCs w:val="28"/>
        </w:rPr>
      </w:pPr>
      <w:r w:rsidRPr="0067089B">
        <w:rPr>
          <w:rStyle w:val="BodyTextChar"/>
          <w:sz w:val="28"/>
          <w:szCs w:val="28"/>
        </w:rPr>
        <w:t xml:space="preserve">After review by the State Bar’s </w:t>
      </w:r>
      <w:r>
        <w:rPr>
          <w:rStyle w:val="BodyTextChar"/>
          <w:sz w:val="28"/>
          <w:szCs w:val="28"/>
        </w:rPr>
        <w:t>C</w:t>
      </w:r>
      <w:r w:rsidRPr="0067089B">
        <w:rPr>
          <w:rStyle w:val="BodyTextChar"/>
          <w:sz w:val="28"/>
          <w:szCs w:val="28"/>
        </w:rPr>
        <w:t>riminal Practice and Procedure Committee, the State Bar does not support the Petition as written.</w:t>
      </w:r>
      <w:r>
        <w:rPr>
          <w:rStyle w:val="BodyTextChar"/>
          <w:sz w:val="28"/>
          <w:szCs w:val="28"/>
        </w:rPr>
        <w:t xml:space="preserve">  The stated purpose of the Petition was to correct “an imbalance between prosecutors and defendants.”  But instead of correcting an imbalance, the Petition recreates the imbalance, now in favor of a defendant, by removing only the </w:t>
      </w:r>
      <w:r>
        <w:rPr>
          <w:rStyle w:val="BodyTextChar"/>
          <w:sz w:val="28"/>
          <w:szCs w:val="28"/>
        </w:rPr>
        <w:t>s</w:t>
      </w:r>
      <w:r>
        <w:rPr>
          <w:rStyle w:val="BodyTextChar"/>
          <w:sz w:val="28"/>
          <w:szCs w:val="28"/>
        </w:rPr>
        <w:t>tate’s access to relief under Arizona Rule of Criminal Procedure 10.2.  Additionally, the Petition</w:t>
      </w:r>
      <w:r>
        <w:rPr>
          <w:rStyle w:val="BodyTextChar"/>
          <w:sz w:val="28"/>
          <w:szCs w:val="28"/>
        </w:rPr>
        <w:t>’</w:t>
      </w:r>
      <w:r>
        <w:rPr>
          <w:rStyle w:val="BodyTextChar"/>
          <w:sz w:val="28"/>
          <w:szCs w:val="28"/>
        </w:rPr>
        <w:t>s use of the undefined phrase “a prosecution involving the same subject matter” will lead to unneeded litigation as courts are forced to grapple with the meaning behind the amorphous new phrase.</w:t>
      </w:r>
    </w:p>
    <w:p w14:paraId="7480E5AB" w14:textId="77777777" w:rsidR="00DE1E9D" w:rsidRPr="006F63FD" w:rsidRDefault="00DE1E9D" w:rsidP="00DE1E9D">
      <w:pPr>
        <w:pStyle w:val="Body"/>
        <w:widowControl w:val="0"/>
        <w:spacing w:line="480" w:lineRule="auto"/>
        <w:ind w:firstLine="0"/>
        <w:jc w:val="center"/>
        <w:rPr>
          <w:rStyle w:val="BodyTextChar"/>
          <w:b/>
          <w:sz w:val="28"/>
          <w:szCs w:val="28"/>
        </w:rPr>
      </w:pPr>
      <w:r w:rsidRPr="006F63FD">
        <w:rPr>
          <w:rStyle w:val="BodyTextChar"/>
          <w:b/>
          <w:sz w:val="28"/>
          <w:szCs w:val="28"/>
        </w:rPr>
        <w:lastRenderedPageBreak/>
        <w:t>CONCLUSION</w:t>
      </w:r>
    </w:p>
    <w:p w14:paraId="0FF7BAFF" w14:textId="5C1B7048" w:rsidR="00DE1E9D" w:rsidRPr="006F63FD" w:rsidRDefault="00DE1E9D" w:rsidP="00DE1E9D">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 xml:space="preserve">the Court not grant the </w:t>
      </w:r>
      <w:r>
        <w:rPr>
          <w:sz w:val="28"/>
          <w:szCs w:val="28"/>
        </w:rPr>
        <w:t>P</w:t>
      </w:r>
      <w:r>
        <w:rPr>
          <w:sz w:val="28"/>
          <w:szCs w:val="28"/>
        </w:rPr>
        <w:t>etition.</w:t>
      </w:r>
    </w:p>
    <w:p w14:paraId="0C24B753" w14:textId="77777777" w:rsidR="00DE1E9D" w:rsidRPr="006F63FD" w:rsidRDefault="00DE1E9D" w:rsidP="00DE1E9D">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77999CF0" w14:textId="77777777" w:rsidR="00DE1E9D" w:rsidRPr="000F7A7F" w:rsidRDefault="00DE1E9D" w:rsidP="00DE1E9D">
      <w:pPr>
        <w:pStyle w:val="Body"/>
        <w:widowControl w:val="0"/>
        <w:tabs>
          <w:tab w:val="left" w:pos="720"/>
        </w:tabs>
        <w:ind w:firstLine="0"/>
        <w:rPr>
          <w:szCs w:val="26"/>
        </w:rPr>
      </w:pPr>
    </w:p>
    <w:p w14:paraId="5B26AB12" w14:textId="77777777" w:rsidR="00DE1E9D" w:rsidRPr="000F7A7F" w:rsidRDefault="00DE1E9D" w:rsidP="00DE1E9D">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25293568" wp14:editId="38F2A54F">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757DA7C7" w14:textId="77777777" w:rsidR="00DE1E9D" w:rsidRPr="006F63FD" w:rsidRDefault="00DE1E9D" w:rsidP="00DE1E9D">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09A801D" w14:textId="77777777" w:rsidR="00DE1E9D" w:rsidRPr="006F63FD" w:rsidRDefault="00DE1E9D" w:rsidP="00DE1E9D">
      <w:pPr>
        <w:pStyle w:val="PleadingSignature"/>
        <w:keepNext w:val="0"/>
        <w:keepLines w:val="0"/>
        <w:spacing w:line="240" w:lineRule="auto"/>
        <w:ind w:left="5070"/>
        <w:rPr>
          <w:sz w:val="28"/>
          <w:szCs w:val="28"/>
        </w:rPr>
      </w:pPr>
      <w:r w:rsidRPr="006F63FD">
        <w:rPr>
          <w:sz w:val="28"/>
          <w:szCs w:val="28"/>
        </w:rPr>
        <w:t>General Counsel</w:t>
      </w:r>
    </w:p>
    <w:p w14:paraId="7231DE6E" w14:textId="77777777" w:rsidR="00DE1E9D" w:rsidRPr="000F7A7F" w:rsidRDefault="00DE1E9D" w:rsidP="00DE1E9D">
      <w:pPr>
        <w:pStyle w:val="PleadingSignature"/>
        <w:keepNext w:val="0"/>
        <w:keepLines w:val="0"/>
        <w:spacing w:line="240" w:lineRule="auto"/>
        <w:ind w:left="5070"/>
        <w:rPr>
          <w:szCs w:val="26"/>
        </w:rPr>
      </w:pPr>
    </w:p>
    <w:p w14:paraId="7E2F1293" w14:textId="77777777" w:rsidR="00DE1E9D" w:rsidRPr="006F63FD" w:rsidRDefault="00DE1E9D" w:rsidP="00DE1E9D">
      <w:pPr>
        <w:pStyle w:val="PleadingSignature"/>
        <w:keepNext w:val="0"/>
        <w:keepLines w:val="0"/>
        <w:spacing w:line="240" w:lineRule="auto"/>
        <w:ind w:left="5070"/>
        <w:rPr>
          <w:sz w:val="28"/>
          <w:szCs w:val="28"/>
        </w:rPr>
      </w:pPr>
    </w:p>
    <w:p w14:paraId="6EE891E7" w14:textId="77777777" w:rsidR="00DE1E9D" w:rsidRDefault="00DE1E9D" w:rsidP="00DE1E9D">
      <w:pPr>
        <w:widowControl w:val="0"/>
        <w:spacing w:line="240" w:lineRule="auto"/>
        <w:ind w:right="4140"/>
        <w:rPr>
          <w:sz w:val="28"/>
          <w:szCs w:val="28"/>
        </w:rPr>
      </w:pPr>
    </w:p>
    <w:p w14:paraId="6B323889" w14:textId="77777777" w:rsidR="00DE1E9D" w:rsidRDefault="00DE1E9D" w:rsidP="00DE1E9D">
      <w:pPr>
        <w:widowControl w:val="0"/>
        <w:spacing w:line="240" w:lineRule="auto"/>
        <w:ind w:right="4140"/>
        <w:rPr>
          <w:sz w:val="28"/>
          <w:szCs w:val="28"/>
        </w:rPr>
      </w:pPr>
    </w:p>
    <w:p w14:paraId="00AFD616" w14:textId="77777777" w:rsidR="00DE1E9D" w:rsidRPr="00C52E56" w:rsidRDefault="00DE1E9D" w:rsidP="00DE1E9D">
      <w:pPr>
        <w:widowControl w:val="0"/>
        <w:spacing w:line="240" w:lineRule="auto"/>
        <w:ind w:right="4140"/>
        <w:rPr>
          <w:sz w:val="28"/>
          <w:szCs w:val="28"/>
        </w:rPr>
      </w:pPr>
      <w:r w:rsidRPr="00C52E56">
        <w:rPr>
          <w:sz w:val="28"/>
          <w:szCs w:val="28"/>
        </w:rPr>
        <w:t>Electronic copy filed with the</w:t>
      </w:r>
    </w:p>
    <w:p w14:paraId="74B4B646" w14:textId="77777777" w:rsidR="00DE1E9D" w:rsidRPr="00C52E56" w:rsidRDefault="00DE1E9D" w:rsidP="00DE1E9D">
      <w:pPr>
        <w:spacing w:line="240" w:lineRule="auto"/>
        <w:ind w:right="4140"/>
        <w:rPr>
          <w:sz w:val="28"/>
          <w:szCs w:val="28"/>
        </w:rPr>
      </w:pPr>
      <w:r w:rsidRPr="00C52E56">
        <w:rPr>
          <w:sz w:val="28"/>
          <w:szCs w:val="28"/>
        </w:rPr>
        <w:t xml:space="preserve">Clerk of the </w:t>
      </w:r>
      <w:r>
        <w:rPr>
          <w:sz w:val="28"/>
          <w:szCs w:val="28"/>
        </w:rPr>
        <w:t>Supreme Court of Arizona</w:t>
      </w:r>
    </w:p>
    <w:p w14:paraId="53C182AE" w14:textId="77777777" w:rsidR="00DE1E9D" w:rsidRPr="00C52E56" w:rsidRDefault="00DE1E9D" w:rsidP="00DE1E9D">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41BF3E21" w14:textId="77777777" w:rsidR="00DE1E9D" w:rsidRPr="00C52E56" w:rsidRDefault="00DE1E9D" w:rsidP="00DE1E9D">
      <w:pPr>
        <w:spacing w:line="240" w:lineRule="auto"/>
        <w:ind w:right="4572"/>
        <w:rPr>
          <w:sz w:val="28"/>
          <w:szCs w:val="28"/>
        </w:rPr>
      </w:pPr>
    </w:p>
    <w:p w14:paraId="60BF478F" w14:textId="77777777" w:rsidR="00DE1E9D" w:rsidRPr="00C52E56" w:rsidRDefault="00DE1E9D" w:rsidP="00DE1E9D">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E1E9D"/>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2</Pages>
  <Words>237</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2024-04-23T20:15:00Z</dcterms:created>
  <dcterms:modified xsi:type="dcterms:W3CDTF">2024-04-23T20:15:00Z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