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524D6" w14:textId="2543A8C4" w:rsidR="003D6070" w:rsidRDefault="003D6070"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6A1D4470" w14:textId="77777777" w:rsidR="00B233C2"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7FD77099"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570AF0AA"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32032A8B" w:rsidR="00A74317" w:rsidRDefault="00650C11" w:rsidP="00A74317">
      <w:pPr>
        <w:pStyle w:val="AttorneyName"/>
        <w:spacing w:line="240" w:lineRule="auto"/>
        <w:rPr>
          <w:rFonts w:ascii="Times New Roman" w:hAnsi="Times New Roman"/>
          <w:b/>
          <w:sz w:val="24"/>
          <w:szCs w:val="24"/>
        </w:rPr>
      </w:pPr>
      <w:hyperlink r:id="rId11" w:history="1">
        <w:r w:rsidR="00AC3538" w:rsidRPr="00B370A5">
          <w:rPr>
            <w:rStyle w:val="Hyperlink"/>
            <w:rFonts w:ascii="Times New Roman" w:hAnsi="Times New Roman"/>
            <w:b/>
            <w:sz w:val="24"/>
            <w:szCs w:val="24"/>
          </w:rPr>
          <w:t>david.euchner@pima.gov</w:t>
        </w:r>
      </w:hyperlink>
      <w:r w:rsidR="00AE0F9E">
        <w:rPr>
          <w:rFonts w:ascii="Times New Roman" w:hAnsi="Times New Roman"/>
          <w:b/>
          <w:sz w:val="24"/>
          <w:szCs w:val="24"/>
        </w:rPr>
        <w:t xml:space="preserve"> </w:t>
      </w:r>
    </w:p>
    <w:p w14:paraId="639FC7D5" w14:textId="77777777" w:rsidR="00B233C2" w:rsidRDefault="00B233C2" w:rsidP="00A74317">
      <w:pPr>
        <w:pStyle w:val="AttorneyName"/>
        <w:spacing w:line="240" w:lineRule="auto"/>
        <w:rPr>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6F239459"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3D6070">
              <w:rPr>
                <w:rFonts w:ascii="Times New Roman" w:hAnsi="Times New Roman"/>
                <w:sz w:val="28"/>
                <w:szCs w:val="28"/>
              </w:rPr>
              <w:t>mend</w:t>
            </w:r>
            <w:r w:rsidRPr="0014499B">
              <w:rPr>
                <w:rFonts w:ascii="Times New Roman" w:hAnsi="Times New Roman"/>
                <w:sz w:val="28"/>
                <w:szCs w:val="28"/>
              </w:rPr>
              <w:t xml:space="preserve"> </w:t>
            </w:r>
            <w:bookmarkEnd w:id="1"/>
            <w:r w:rsidR="003E5547" w:rsidRPr="003E5547">
              <w:rPr>
                <w:rFonts w:ascii="Times New Roman" w:hAnsi="Times New Roman"/>
                <w:sz w:val="28"/>
                <w:szCs w:val="28"/>
              </w:rPr>
              <w:t>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w:t>
            </w:r>
            <w:r w:rsidR="009B73AD">
              <w:rPr>
                <w:rFonts w:ascii="Times New Roman" w:hAnsi="Times New Roman"/>
                <w:sz w:val="28"/>
                <w:szCs w:val="28"/>
              </w:rPr>
              <w:t>Crim. P.</w:t>
            </w:r>
            <w:r w:rsidR="00B233C2">
              <w:rPr>
                <w:rFonts w:ascii="Times New Roman" w:hAnsi="Times New Roman"/>
                <w:sz w:val="28"/>
                <w:szCs w:val="28"/>
              </w:rPr>
              <w:t xml:space="preserve"> 1</w:t>
            </w:r>
            <w:r w:rsidR="00AD6707">
              <w:rPr>
                <w:rFonts w:ascii="Times New Roman" w:hAnsi="Times New Roman"/>
                <w:sz w:val="28"/>
                <w:szCs w:val="28"/>
              </w:rPr>
              <w:t>.5, 17</w:t>
            </w:r>
            <w:r w:rsidR="009B73AD">
              <w:rPr>
                <w:rFonts w:ascii="Times New Roman" w:hAnsi="Times New Roman"/>
                <w:sz w:val="28"/>
                <w:szCs w:val="28"/>
              </w:rPr>
              <w:t>.1</w:t>
            </w:r>
            <w:r w:rsidR="00AD6707">
              <w:rPr>
                <w:rFonts w:ascii="Times New Roman" w:hAnsi="Times New Roman"/>
                <w:sz w:val="28"/>
                <w:szCs w:val="28"/>
              </w:rPr>
              <w:t>, 17.2, and 17.3</w:t>
            </w:r>
            <w:r w:rsidR="003E5547" w:rsidRPr="003E5547">
              <w:rPr>
                <w:rFonts w:ascii="Times New Roman" w:hAnsi="Times New Roman"/>
                <w:sz w:val="28"/>
                <w:szCs w:val="28"/>
              </w:rPr>
              <w: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77CEA071"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24-</w:t>
            </w:r>
            <w:r w:rsidR="003D6070">
              <w:rPr>
                <w:rFonts w:ascii="Times New Roman" w:hAnsi="Times New Roman"/>
                <w:sz w:val="28"/>
                <w:szCs w:val="28"/>
              </w:rPr>
              <w:t>00</w:t>
            </w:r>
            <w:r w:rsidR="002F440E">
              <w:rPr>
                <w:rFonts w:ascii="Times New Roman" w:hAnsi="Times New Roman"/>
                <w:sz w:val="28"/>
                <w:szCs w:val="28"/>
              </w:rPr>
              <w:t>05</w:t>
            </w:r>
          </w:p>
          <w:p w14:paraId="268AB802" w14:textId="748F7E60" w:rsidR="00DC38DE" w:rsidRPr="0014499B" w:rsidRDefault="00DC38DE" w:rsidP="00DB2614">
            <w:pPr>
              <w:pStyle w:val="SingleSpacing"/>
              <w:spacing w:line="240" w:lineRule="auto"/>
              <w:rPr>
                <w:rFonts w:ascii="Times New Roman" w:hAnsi="Times New Roman"/>
                <w:sz w:val="28"/>
                <w:szCs w:val="28"/>
              </w:rPr>
            </w:pPr>
          </w:p>
          <w:p w14:paraId="268AB803" w14:textId="7240A369" w:rsidR="00DC38DE" w:rsidRPr="00F84E06" w:rsidRDefault="003D6070" w:rsidP="00C76BAA">
            <w:pPr>
              <w:pStyle w:val="SingleSpacing"/>
              <w:spacing w:line="240" w:lineRule="auto"/>
              <w:rPr>
                <w:rFonts w:ascii="Times New Roman" w:hAnsi="Times New Roman"/>
                <w:b/>
                <w:i/>
                <w:sz w:val="28"/>
                <w:szCs w:val="28"/>
              </w:rPr>
            </w:pPr>
            <w:r>
              <w:rPr>
                <w:rFonts w:ascii="Times New Roman" w:hAnsi="Times New Roman"/>
                <w:b/>
                <w:sz w:val="28"/>
                <w:szCs w:val="28"/>
              </w:rPr>
              <w:t>Comment of Arizona Attorneys for Criminal Justice regarding Petition</w:t>
            </w:r>
            <w:r w:rsidR="003812FE">
              <w:rPr>
                <w:rFonts w:ascii="Times New Roman" w:hAnsi="Times New Roman"/>
                <w:b/>
                <w:sz w:val="28"/>
                <w:szCs w:val="28"/>
              </w:rPr>
              <w:t xml:space="preserve"> to Amend Arizona Rule</w:t>
            </w:r>
            <w:r w:rsidR="00AD6707">
              <w:rPr>
                <w:rFonts w:ascii="Times New Roman" w:hAnsi="Times New Roman"/>
                <w:b/>
                <w:sz w:val="28"/>
                <w:szCs w:val="28"/>
              </w:rPr>
              <w:t>s</w:t>
            </w:r>
            <w:r w:rsidR="003812FE">
              <w:rPr>
                <w:rFonts w:ascii="Times New Roman" w:hAnsi="Times New Roman"/>
                <w:b/>
                <w:sz w:val="28"/>
                <w:szCs w:val="28"/>
              </w:rPr>
              <w:t xml:space="preserve"> of </w:t>
            </w:r>
            <w:r w:rsidR="009B73AD">
              <w:rPr>
                <w:rFonts w:ascii="Times New Roman" w:hAnsi="Times New Roman"/>
                <w:b/>
                <w:sz w:val="28"/>
                <w:szCs w:val="28"/>
              </w:rPr>
              <w:t>Criminal Procedure</w:t>
            </w:r>
            <w:r w:rsidR="00B233C2">
              <w:rPr>
                <w:rFonts w:ascii="Times New Roman" w:hAnsi="Times New Roman"/>
                <w:b/>
                <w:sz w:val="28"/>
                <w:szCs w:val="28"/>
              </w:rPr>
              <w:t xml:space="preserve"> 1</w:t>
            </w:r>
            <w:r w:rsidR="00AD6707">
              <w:rPr>
                <w:rFonts w:ascii="Times New Roman" w:hAnsi="Times New Roman"/>
                <w:b/>
                <w:sz w:val="28"/>
                <w:szCs w:val="28"/>
              </w:rPr>
              <w:t>.5, 17</w:t>
            </w:r>
            <w:r w:rsidR="009B73AD">
              <w:rPr>
                <w:rFonts w:ascii="Times New Roman" w:hAnsi="Times New Roman"/>
                <w:b/>
                <w:sz w:val="28"/>
                <w:szCs w:val="28"/>
              </w:rPr>
              <w:t>.1</w:t>
            </w:r>
            <w:r w:rsidR="00AD6707">
              <w:rPr>
                <w:rFonts w:ascii="Times New Roman" w:hAnsi="Times New Roman"/>
                <w:b/>
                <w:sz w:val="28"/>
                <w:szCs w:val="28"/>
              </w:rPr>
              <w:t>, 17.2, and 17.3</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2086590F" w14:textId="2EF03F2C" w:rsidR="003D6070" w:rsidRDefault="003D6070" w:rsidP="003D6070">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Pr>
          <w:rFonts w:ascii="Times New Roman" w:hAnsi="Times New Roman"/>
          <w:sz w:val="28"/>
          <w:szCs w:val="28"/>
        </w:rPr>
        <w:t xml:space="preserve">comment on the </w:t>
      </w:r>
      <w:r w:rsidRPr="0014499B">
        <w:rPr>
          <w:rFonts w:ascii="Times New Roman" w:hAnsi="Times New Roman"/>
          <w:sz w:val="28"/>
          <w:szCs w:val="28"/>
        </w:rPr>
        <w:t>petition</w:t>
      </w:r>
      <w:r>
        <w:rPr>
          <w:rFonts w:ascii="Times New Roman" w:hAnsi="Times New Roman"/>
          <w:sz w:val="28"/>
          <w:szCs w:val="28"/>
        </w:rPr>
        <w:t xml:space="preserve"> to amend </w:t>
      </w:r>
      <w:r w:rsidR="009B73AD" w:rsidRPr="009B73AD">
        <w:rPr>
          <w:rFonts w:ascii="Times New Roman" w:hAnsi="Times New Roman"/>
          <w:sz w:val="28"/>
          <w:szCs w:val="28"/>
        </w:rPr>
        <w:t>Arizona Rule</w:t>
      </w:r>
      <w:r w:rsidR="00AD6707">
        <w:rPr>
          <w:rFonts w:ascii="Times New Roman" w:hAnsi="Times New Roman"/>
          <w:sz w:val="28"/>
          <w:szCs w:val="28"/>
        </w:rPr>
        <w:t>s</w:t>
      </w:r>
      <w:r w:rsidR="009B73AD" w:rsidRPr="009B73AD">
        <w:rPr>
          <w:rFonts w:ascii="Times New Roman" w:hAnsi="Times New Roman"/>
          <w:sz w:val="28"/>
          <w:szCs w:val="28"/>
        </w:rPr>
        <w:t xml:space="preserve"> of Criminal Procedure 1.</w:t>
      </w:r>
      <w:r w:rsidR="00AD6707">
        <w:rPr>
          <w:rFonts w:ascii="Times New Roman" w:hAnsi="Times New Roman"/>
          <w:sz w:val="28"/>
          <w:szCs w:val="28"/>
        </w:rPr>
        <w:t>5, 17.1, 17.2, and 17.3</w:t>
      </w:r>
      <w:r>
        <w:rPr>
          <w:rFonts w:ascii="Times New Roman" w:hAnsi="Times New Roman"/>
          <w:sz w:val="28"/>
          <w:szCs w:val="28"/>
        </w:rPr>
        <w:t>.</w:t>
      </w:r>
    </w:p>
    <w:p w14:paraId="180EBEFD" w14:textId="77777777" w:rsidR="00AD3DC3" w:rsidRDefault="00AD3DC3" w:rsidP="00AD3DC3">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16D77764" w14:textId="6540A0D4" w:rsidR="00DC40E0" w:rsidRDefault="00AF786A" w:rsidP="00D44EE3">
      <w:pPr>
        <w:spacing w:line="480" w:lineRule="auto"/>
        <w:ind w:firstLine="720"/>
        <w:jc w:val="both"/>
        <w:rPr>
          <w:rFonts w:ascii="Times New Roman" w:hAnsi="Times New Roman"/>
          <w:sz w:val="28"/>
          <w:szCs w:val="28"/>
        </w:rPr>
      </w:pPr>
      <w:r>
        <w:rPr>
          <w:rFonts w:ascii="Times New Roman" w:hAnsi="Times New Roman"/>
          <w:sz w:val="28"/>
          <w:szCs w:val="28"/>
        </w:rPr>
        <w:t xml:space="preserve">AACJ agrees with the </w:t>
      </w:r>
      <w:r w:rsidR="00EF7C20">
        <w:rPr>
          <w:rFonts w:ascii="Times New Roman" w:hAnsi="Times New Roman"/>
          <w:sz w:val="28"/>
          <w:szCs w:val="28"/>
        </w:rPr>
        <w:t>Petition</w:t>
      </w:r>
      <w:r w:rsidR="00AD6707">
        <w:rPr>
          <w:rFonts w:ascii="Times New Roman" w:hAnsi="Times New Roman"/>
          <w:sz w:val="28"/>
          <w:szCs w:val="28"/>
        </w:rPr>
        <w:t xml:space="preserve"> in part. </w:t>
      </w:r>
      <w:r w:rsidR="0016104B">
        <w:rPr>
          <w:rFonts w:ascii="Times New Roman" w:hAnsi="Times New Roman"/>
          <w:sz w:val="28"/>
          <w:szCs w:val="28"/>
        </w:rPr>
        <w:t xml:space="preserve">AACJ agrees that sometimes it is better for the misdemeanor sentencing or disposition to occur as an interactive audiovisual proceeding. </w:t>
      </w:r>
      <w:r w:rsidR="00DC40E0">
        <w:rPr>
          <w:rFonts w:ascii="Times New Roman" w:hAnsi="Times New Roman"/>
          <w:sz w:val="28"/>
          <w:szCs w:val="28"/>
        </w:rPr>
        <w:t>A classic example is an inmate in a distant prison who does not wish to be transported because it would create a substantial disruption to the inmate’s prison life, such as loss of employment or opportunities to enroll in classes or obtain medical treatment. Occasionally, prison officials throw out inmates’ belongings while they are out to court—even their legal files. A defendant should have the opportunity to waive the right to be physically present in court for proceedings. The silver lining to the COVID-19 pandemic is the courts adapted to the need to conduct more proceedings remote</w:t>
      </w:r>
      <w:r w:rsidR="004660ED">
        <w:rPr>
          <w:rFonts w:ascii="Times New Roman" w:hAnsi="Times New Roman"/>
          <w:sz w:val="28"/>
          <w:szCs w:val="28"/>
        </w:rPr>
        <w:t xml:space="preserve">ly </w:t>
      </w:r>
      <w:r w:rsidR="004660ED">
        <w:rPr>
          <w:rFonts w:ascii="Times New Roman" w:hAnsi="Times New Roman"/>
          <w:sz w:val="28"/>
          <w:szCs w:val="28"/>
        </w:rPr>
        <w:t>with</w:t>
      </w:r>
      <w:r w:rsidR="00DC40E0">
        <w:rPr>
          <w:rFonts w:ascii="Times New Roman" w:hAnsi="Times New Roman"/>
          <w:sz w:val="28"/>
          <w:szCs w:val="28"/>
        </w:rPr>
        <w:t xml:space="preserve"> inmates, so the interactive audiovisual systems are in place far more than they were before.</w:t>
      </w:r>
    </w:p>
    <w:p w14:paraId="53B93933" w14:textId="77777777" w:rsidR="00D56A26" w:rsidRDefault="0016104B" w:rsidP="00AD3DC3">
      <w:pPr>
        <w:spacing w:line="480" w:lineRule="auto"/>
        <w:ind w:firstLine="720"/>
        <w:jc w:val="both"/>
        <w:rPr>
          <w:rFonts w:ascii="Times New Roman" w:hAnsi="Times New Roman"/>
          <w:sz w:val="28"/>
          <w:szCs w:val="28"/>
        </w:rPr>
      </w:pPr>
      <w:r>
        <w:rPr>
          <w:rFonts w:ascii="Times New Roman" w:hAnsi="Times New Roman"/>
          <w:sz w:val="28"/>
          <w:szCs w:val="28"/>
        </w:rPr>
        <w:t xml:space="preserve">The </w:t>
      </w:r>
      <w:r w:rsidR="00DC40E0">
        <w:rPr>
          <w:rFonts w:ascii="Times New Roman" w:hAnsi="Times New Roman"/>
          <w:sz w:val="28"/>
          <w:szCs w:val="28"/>
        </w:rPr>
        <w:t xml:space="preserve">Petition’s </w:t>
      </w:r>
      <w:r>
        <w:rPr>
          <w:rFonts w:ascii="Times New Roman" w:hAnsi="Times New Roman"/>
          <w:sz w:val="28"/>
          <w:szCs w:val="28"/>
        </w:rPr>
        <w:t>fundamental flaw is it ignores entirely that every person charged with a crime—no matter</w:t>
      </w:r>
      <w:r w:rsidR="002E464C">
        <w:rPr>
          <w:rFonts w:ascii="Times New Roman" w:hAnsi="Times New Roman"/>
          <w:sz w:val="28"/>
          <w:szCs w:val="28"/>
        </w:rPr>
        <w:t xml:space="preserve"> if it is a felony or a misdemeanor—has a right to be</w:t>
      </w:r>
      <w:r w:rsidR="005C5AEA">
        <w:rPr>
          <w:rFonts w:ascii="Times New Roman" w:hAnsi="Times New Roman"/>
          <w:sz w:val="28"/>
          <w:szCs w:val="28"/>
        </w:rPr>
        <w:t xml:space="preserve"> physically</w:t>
      </w:r>
      <w:r w:rsidR="002E464C">
        <w:rPr>
          <w:rFonts w:ascii="Times New Roman" w:hAnsi="Times New Roman"/>
          <w:sz w:val="28"/>
          <w:szCs w:val="28"/>
        </w:rPr>
        <w:t xml:space="preserve"> present in court at every critical stage of the proceeding. This right is protected by the Sixth</w:t>
      </w:r>
      <w:r w:rsidR="00D44EE3">
        <w:rPr>
          <w:rFonts w:ascii="Times New Roman" w:hAnsi="Times New Roman"/>
          <w:sz w:val="28"/>
          <w:szCs w:val="28"/>
        </w:rPr>
        <w:t xml:space="preserve"> and</w:t>
      </w:r>
      <w:r w:rsidR="005C5AEA">
        <w:rPr>
          <w:rFonts w:ascii="Times New Roman" w:hAnsi="Times New Roman"/>
          <w:sz w:val="28"/>
          <w:szCs w:val="28"/>
        </w:rPr>
        <w:t xml:space="preserve"> and Fourteenth</w:t>
      </w:r>
      <w:r w:rsidR="002E464C">
        <w:rPr>
          <w:rFonts w:ascii="Times New Roman" w:hAnsi="Times New Roman"/>
          <w:sz w:val="28"/>
          <w:szCs w:val="28"/>
        </w:rPr>
        <w:t xml:space="preserve"> Amendment</w:t>
      </w:r>
      <w:r w:rsidR="005C5AEA">
        <w:rPr>
          <w:rFonts w:ascii="Times New Roman" w:hAnsi="Times New Roman"/>
          <w:sz w:val="28"/>
          <w:szCs w:val="28"/>
        </w:rPr>
        <w:t>s</w:t>
      </w:r>
      <w:r w:rsidR="002E464C">
        <w:rPr>
          <w:rFonts w:ascii="Times New Roman" w:hAnsi="Times New Roman"/>
          <w:sz w:val="28"/>
          <w:szCs w:val="28"/>
        </w:rPr>
        <w:t xml:space="preserve"> to the U.S. Constitution and article 2, section 24 of the Arizona Constitution. </w:t>
      </w:r>
      <w:r w:rsidR="005C5AEA" w:rsidRPr="005C5AEA">
        <w:rPr>
          <w:rFonts w:ascii="Times New Roman" w:hAnsi="Times New Roman"/>
          <w:i/>
          <w:iCs/>
          <w:sz w:val="28"/>
          <w:szCs w:val="28"/>
        </w:rPr>
        <w:t>United States v. Gagnon</w:t>
      </w:r>
      <w:r w:rsidR="005C5AEA">
        <w:rPr>
          <w:rFonts w:ascii="Times New Roman" w:hAnsi="Times New Roman"/>
          <w:sz w:val="28"/>
          <w:szCs w:val="28"/>
        </w:rPr>
        <w:t xml:space="preserve">, 470 U.S. 522, 525-26 (1985); </w:t>
      </w:r>
      <w:r w:rsidR="005C5AEA" w:rsidRPr="005C5AEA">
        <w:rPr>
          <w:rFonts w:ascii="Times New Roman" w:hAnsi="Times New Roman"/>
          <w:i/>
          <w:iCs/>
          <w:sz w:val="28"/>
          <w:szCs w:val="28"/>
        </w:rPr>
        <w:t>State v. Garcia-Contreras</w:t>
      </w:r>
      <w:r w:rsidR="005C5AEA">
        <w:rPr>
          <w:rFonts w:ascii="Times New Roman" w:hAnsi="Times New Roman"/>
          <w:sz w:val="28"/>
          <w:szCs w:val="28"/>
        </w:rPr>
        <w:t>, 191 Ariz. 144, 146 ¶ 8 (1998).</w:t>
      </w:r>
      <w:r w:rsidR="00D44EE3">
        <w:rPr>
          <w:rFonts w:ascii="Times New Roman" w:hAnsi="Times New Roman"/>
          <w:sz w:val="28"/>
          <w:szCs w:val="28"/>
        </w:rPr>
        <w:t xml:space="preserve"> This right extends to probation revocation proceedings and dispositional hearings. </w:t>
      </w:r>
      <w:r w:rsidR="00D44EE3" w:rsidRPr="00D44EE3">
        <w:rPr>
          <w:rFonts w:ascii="Times New Roman" w:hAnsi="Times New Roman"/>
          <w:i/>
          <w:iCs/>
          <w:sz w:val="28"/>
          <w:szCs w:val="28"/>
        </w:rPr>
        <w:t xml:space="preserve">State </w:t>
      </w:r>
      <w:r w:rsidR="00D44EE3" w:rsidRPr="00D44EE3">
        <w:rPr>
          <w:rFonts w:ascii="Times New Roman" w:hAnsi="Times New Roman"/>
          <w:i/>
          <w:iCs/>
          <w:sz w:val="28"/>
          <w:szCs w:val="28"/>
        </w:rPr>
        <w:lastRenderedPageBreak/>
        <w:t>v. Forte</w:t>
      </w:r>
      <w:r w:rsidR="00D44EE3">
        <w:rPr>
          <w:rFonts w:ascii="Times New Roman" w:hAnsi="Times New Roman"/>
          <w:sz w:val="28"/>
          <w:szCs w:val="28"/>
        </w:rPr>
        <w:t xml:space="preserve">, </w:t>
      </w:r>
      <w:r w:rsidR="00DC40E0">
        <w:rPr>
          <w:rFonts w:ascii="Times New Roman" w:hAnsi="Times New Roman"/>
          <w:sz w:val="28"/>
          <w:szCs w:val="28"/>
        </w:rPr>
        <w:t xml:space="preserve">222 Ariz. 389, 392 ¶ 7 </w:t>
      </w:r>
      <w:r w:rsidR="00D44EE3">
        <w:rPr>
          <w:rFonts w:ascii="Times New Roman" w:hAnsi="Times New Roman"/>
          <w:sz w:val="28"/>
          <w:szCs w:val="28"/>
        </w:rPr>
        <w:t xml:space="preserve">(App. 2009) (citing </w:t>
      </w:r>
      <w:r w:rsidR="00D44EE3" w:rsidRPr="00D44EE3">
        <w:rPr>
          <w:rFonts w:ascii="Times New Roman" w:hAnsi="Times New Roman"/>
          <w:i/>
          <w:iCs/>
          <w:sz w:val="28"/>
          <w:szCs w:val="28"/>
        </w:rPr>
        <w:t>State v. Bly</w:t>
      </w:r>
      <w:r w:rsidR="00D44EE3" w:rsidRPr="00D44EE3">
        <w:rPr>
          <w:rFonts w:ascii="Times New Roman" w:hAnsi="Times New Roman"/>
          <w:sz w:val="28"/>
          <w:szCs w:val="28"/>
        </w:rPr>
        <w:t xml:space="preserve">, 120 Ariz. 410, 413 (1978); </w:t>
      </w:r>
      <w:r w:rsidR="00D44EE3" w:rsidRPr="00D44EE3">
        <w:rPr>
          <w:rFonts w:ascii="Times New Roman" w:hAnsi="Times New Roman"/>
          <w:i/>
          <w:iCs/>
          <w:sz w:val="28"/>
          <w:szCs w:val="28"/>
        </w:rPr>
        <w:t>State v. Stone</w:t>
      </w:r>
      <w:r w:rsidR="00D44EE3" w:rsidRPr="00D44EE3">
        <w:rPr>
          <w:rFonts w:ascii="Times New Roman" w:hAnsi="Times New Roman"/>
          <w:sz w:val="28"/>
          <w:szCs w:val="28"/>
        </w:rPr>
        <w:t>, 111 Ariz. 62, 64 (1974)</w:t>
      </w:r>
      <w:r w:rsidR="00DC40E0">
        <w:rPr>
          <w:rFonts w:ascii="Times New Roman" w:hAnsi="Times New Roman"/>
          <w:sz w:val="28"/>
          <w:szCs w:val="28"/>
        </w:rPr>
        <w:t>)</w:t>
      </w:r>
      <w:r w:rsidR="00D44EE3" w:rsidRPr="00D44EE3">
        <w:rPr>
          <w:rFonts w:ascii="Times New Roman" w:hAnsi="Times New Roman"/>
          <w:sz w:val="28"/>
          <w:szCs w:val="28"/>
        </w:rPr>
        <w:t>.</w:t>
      </w:r>
      <w:r w:rsidR="00DC40E0">
        <w:rPr>
          <w:rFonts w:ascii="Times New Roman" w:hAnsi="Times New Roman"/>
          <w:sz w:val="28"/>
          <w:szCs w:val="28"/>
        </w:rPr>
        <w:t xml:space="preserve"> </w:t>
      </w:r>
      <w:r w:rsidR="00B5586F">
        <w:rPr>
          <w:rFonts w:ascii="Times New Roman" w:hAnsi="Times New Roman"/>
          <w:sz w:val="28"/>
          <w:szCs w:val="28"/>
        </w:rPr>
        <w:t xml:space="preserve">Courts cannot take away this fundamental constitutional right by a rule change. </w:t>
      </w:r>
      <w:r w:rsidR="00D56A26" w:rsidRPr="00D56A26">
        <w:rPr>
          <w:rFonts w:ascii="Times New Roman" w:hAnsi="Times New Roman"/>
          <w:i/>
          <w:iCs/>
          <w:sz w:val="28"/>
          <w:szCs w:val="28"/>
        </w:rPr>
        <w:t>Id</w:t>
      </w:r>
      <w:r w:rsidR="00D56A26">
        <w:rPr>
          <w:rFonts w:ascii="Times New Roman" w:hAnsi="Times New Roman"/>
          <w:sz w:val="28"/>
          <w:szCs w:val="28"/>
        </w:rPr>
        <w:t>. at 393-94 ¶ 13 (“</w:t>
      </w:r>
      <w:r w:rsidR="00D56A26" w:rsidRPr="00D56A26">
        <w:rPr>
          <w:rFonts w:ascii="Times New Roman" w:hAnsi="Times New Roman"/>
          <w:sz w:val="28"/>
          <w:szCs w:val="28"/>
        </w:rPr>
        <w:t>Because the record demonstrates neither extraordinary circumstances necessitating a deviation from the requirements of Rule 26.9</w:t>
      </w:r>
      <w:r w:rsidR="00D56A26">
        <w:rPr>
          <w:rFonts w:ascii="Times New Roman" w:hAnsi="Times New Roman"/>
          <w:sz w:val="28"/>
          <w:szCs w:val="28"/>
        </w:rPr>
        <w:t xml:space="preserve"> … </w:t>
      </w:r>
      <w:r w:rsidR="00D56A26" w:rsidRPr="00D56A26">
        <w:rPr>
          <w:rFonts w:ascii="Times New Roman" w:hAnsi="Times New Roman"/>
          <w:sz w:val="28"/>
          <w:szCs w:val="28"/>
        </w:rPr>
        <w:t>nor the defendant</w:t>
      </w:r>
      <w:r w:rsidR="00D56A26">
        <w:rPr>
          <w:rFonts w:ascii="Times New Roman" w:hAnsi="Times New Roman"/>
          <w:sz w:val="28"/>
          <w:szCs w:val="28"/>
        </w:rPr>
        <w:t>’</w:t>
      </w:r>
      <w:r w:rsidR="00D56A26" w:rsidRPr="00D56A26">
        <w:rPr>
          <w:rFonts w:ascii="Times New Roman" w:hAnsi="Times New Roman"/>
          <w:sz w:val="28"/>
          <w:szCs w:val="28"/>
        </w:rPr>
        <w:t xml:space="preserve">s personal waiver of the right to physical presence at sentencing, we conclude the trial court sentenced Forte in violation of the requirements of the Arizona Rules of Criminal Procedure </w:t>
      </w:r>
      <w:r w:rsidR="00D56A26" w:rsidRPr="00D56A26">
        <w:rPr>
          <w:rFonts w:ascii="Times New Roman" w:hAnsi="Times New Roman"/>
          <w:i/>
          <w:iCs/>
          <w:sz w:val="28"/>
          <w:szCs w:val="28"/>
        </w:rPr>
        <w:t>and the United States Constitution</w:t>
      </w:r>
      <w:r w:rsidR="00D56A26" w:rsidRPr="00D56A26">
        <w:rPr>
          <w:rFonts w:ascii="Times New Roman" w:hAnsi="Times New Roman"/>
          <w:sz w:val="28"/>
          <w:szCs w:val="28"/>
        </w:rPr>
        <w:t>.</w:t>
      </w:r>
      <w:r w:rsidR="00D56A26">
        <w:rPr>
          <w:rFonts w:ascii="Times New Roman" w:hAnsi="Times New Roman"/>
          <w:sz w:val="28"/>
          <w:szCs w:val="28"/>
        </w:rPr>
        <w:t xml:space="preserve">”) (emphasis added). </w:t>
      </w:r>
    </w:p>
    <w:p w14:paraId="2F55E35F" w14:textId="1CAE4A4F" w:rsidR="005755C5" w:rsidRDefault="00D56A26" w:rsidP="00AD3DC3">
      <w:pPr>
        <w:spacing w:line="480" w:lineRule="auto"/>
        <w:ind w:firstLine="720"/>
        <w:jc w:val="both"/>
        <w:rPr>
          <w:rFonts w:ascii="Times New Roman" w:hAnsi="Times New Roman"/>
          <w:sz w:val="28"/>
          <w:szCs w:val="28"/>
        </w:rPr>
      </w:pPr>
      <w:r>
        <w:rPr>
          <w:rFonts w:ascii="Times New Roman" w:hAnsi="Times New Roman"/>
          <w:sz w:val="28"/>
          <w:szCs w:val="28"/>
        </w:rPr>
        <w:t>Because the Constitution does not allow the court to conduct sentencings and probation dispositions by video without the defendant’s consent, this Court must reject the proposed changes to Rule 1.5(c)(1).</w:t>
      </w:r>
      <w:r>
        <w:rPr>
          <w:rStyle w:val="FootnoteReference"/>
          <w:rFonts w:ascii="Times New Roman" w:hAnsi="Times New Roman"/>
          <w:sz w:val="28"/>
          <w:szCs w:val="28"/>
        </w:rPr>
        <w:footnoteReference w:id="1"/>
      </w:r>
      <w:r>
        <w:rPr>
          <w:rFonts w:ascii="Times New Roman" w:hAnsi="Times New Roman"/>
          <w:sz w:val="28"/>
          <w:szCs w:val="28"/>
        </w:rPr>
        <w:t xml:space="preserve"> For the same reason, the language in proposed Rule 17.1(f)(1) is also unconstitutional; but it can be fixed by adding the words “with the defendant’s consent” either before or after the proposed text.</w:t>
      </w:r>
    </w:p>
    <w:p w14:paraId="268E1DFB" w14:textId="2A0962BB" w:rsidR="003367F0" w:rsidRDefault="003367F0" w:rsidP="00AD3DC3">
      <w:pPr>
        <w:spacing w:line="480" w:lineRule="auto"/>
        <w:ind w:firstLine="720"/>
        <w:jc w:val="both"/>
        <w:rPr>
          <w:rFonts w:ascii="Times New Roman" w:hAnsi="Times New Roman"/>
          <w:sz w:val="28"/>
          <w:szCs w:val="28"/>
        </w:rPr>
      </w:pPr>
      <w:r>
        <w:rPr>
          <w:rFonts w:ascii="Times New Roman" w:hAnsi="Times New Roman"/>
          <w:sz w:val="28"/>
          <w:szCs w:val="28"/>
        </w:rPr>
        <w:t xml:space="preserve">AACJ takes no issue with the technical changes proposed by the Petition except for one. The Petition proposes deletion of the phrase “in open court” from Rule 17.3(a). This phrase is important because it emphasizes the solemnity of the process of taking a change of plea from a defendant. The fact that the proceeding </w:t>
      </w:r>
      <w:r>
        <w:rPr>
          <w:rFonts w:ascii="Times New Roman" w:hAnsi="Times New Roman"/>
          <w:sz w:val="28"/>
          <w:szCs w:val="28"/>
        </w:rPr>
        <w:lastRenderedPageBreak/>
        <w:t xml:space="preserve">may be done over interactive audiovisual technology does not mean it is not occurring “in open court.” </w:t>
      </w:r>
      <w:r w:rsidR="004660ED">
        <w:rPr>
          <w:rFonts w:ascii="Times New Roman" w:hAnsi="Times New Roman"/>
          <w:sz w:val="28"/>
          <w:szCs w:val="28"/>
        </w:rPr>
        <w:t>The purpose of</w:t>
      </w:r>
      <w:r>
        <w:rPr>
          <w:rFonts w:ascii="Times New Roman" w:hAnsi="Times New Roman"/>
          <w:sz w:val="28"/>
          <w:szCs w:val="28"/>
        </w:rPr>
        <w:t xml:space="preserve"> this requirement </w:t>
      </w:r>
      <w:r w:rsidR="004660ED">
        <w:rPr>
          <w:rFonts w:ascii="Times New Roman" w:hAnsi="Times New Roman"/>
          <w:sz w:val="28"/>
          <w:szCs w:val="28"/>
        </w:rPr>
        <w:t xml:space="preserve">is </w:t>
      </w:r>
      <w:r>
        <w:rPr>
          <w:rFonts w:ascii="Times New Roman" w:hAnsi="Times New Roman"/>
          <w:sz w:val="28"/>
          <w:szCs w:val="28"/>
        </w:rPr>
        <w:t>ensur</w:t>
      </w:r>
      <w:r w:rsidR="004660ED">
        <w:rPr>
          <w:rFonts w:ascii="Times New Roman" w:hAnsi="Times New Roman"/>
          <w:sz w:val="28"/>
          <w:szCs w:val="28"/>
        </w:rPr>
        <w:t>ing</w:t>
      </w:r>
      <w:r>
        <w:rPr>
          <w:rFonts w:ascii="Times New Roman" w:hAnsi="Times New Roman"/>
          <w:sz w:val="28"/>
          <w:szCs w:val="28"/>
        </w:rPr>
        <w:t xml:space="preserve"> that the record reflects that the defendant’s plea was entered knowingly, intelligently, and voluntarily. </w:t>
      </w:r>
      <w:r w:rsidRPr="008E1B20">
        <w:rPr>
          <w:rFonts w:ascii="Times New Roman" w:hAnsi="Times New Roman"/>
          <w:i/>
          <w:iCs/>
          <w:sz w:val="28"/>
          <w:szCs w:val="28"/>
        </w:rPr>
        <w:t>See State v. Hagerty</w:t>
      </w:r>
      <w:r>
        <w:rPr>
          <w:rFonts w:ascii="Times New Roman" w:hAnsi="Times New Roman"/>
          <w:sz w:val="28"/>
          <w:szCs w:val="28"/>
        </w:rPr>
        <w:t xml:space="preserve">, </w:t>
      </w:r>
      <w:r w:rsidR="008E1B20">
        <w:rPr>
          <w:rFonts w:ascii="Times New Roman" w:hAnsi="Times New Roman"/>
          <w:sz w:val="28"/>
          <w:szCs w:val="28"/>
        </w:rPr>
        <w:t>255 Ariz. 112, 114 ¶ 4 (App. 2023) (“</w:t>
      </w:r>
      <w:r w:rsidR="008E1B20" w:rsidRPr="008E1B20">
        <w:rPr>
          <w:rFonts w:ascii="Times New Roman" w:hAnsi="Times New Roman"/>
          <w:sz w:val="28"/>
          <w:szCs w:val="28"/>
        </w:rPr>
        <w:t xml:space="preserve">To ensure compliance with this prerequisite, Rule 17.1(b) requires the trial court to </w:t>
      </w:r>
      <w:r w:rsidR="008E1B20">
        <w:rPr>
          <w:rFonts w:ascii="Times New Roman" w:hAnsi="Times New Roman"/>
          <w:sz w:val="28"/>
          <w:szCs w:val="28"/>
        </w:rPr>
        <w:t>‘</w:t>
      </w:r>
      <w:r w:rsidR="008E1B20" w:rsidRPr="008E1B20">
        <w:rPr>
          <w:rFonts w:ascii="Times New Roman" w:hAnsi="Times New Roman"/>
          <w:sz w:val="28"/>
          <w:szCs w:val="28"/>
        </w:rPr>
        <w:t>use the procedures in Rules 17.2, 17.3, and 17.4.</w:t>
      </w:r>
      <w:r w:rsidR="008E1B20">
        <w:rPr>
          <w:rFonts w:ascii="Times New Roman" w:hAnsi="Times New Roman"/>
          <w:sz w:val="28"/>
          <w:szCs w:val="28"/>
        </w:rPr>
        <w:t>’</w:t>
      </w:r>
      <w:r w:rsidR="008E1B20" w:rsidRPr="008E1B20">
        <w:rPr>
          <w:rFonts w:ascii="Times New Roman" w:hAnsi="Times New Roman"/>
          <w:sz w:val="28"/>
          <w:szCs w:val="28"/>
        </w:rPr>
        <w:t>”</w:t>
      </w:r>
      <w:r w:rsidR="008E1B20">
        <w:rPr>
          <w:rFonts w:ascii="Times New Roman" w:hAnsi="Times New Roman"/>
          <w:sz w:val="28"/>
          <w:szCs w:val="28"/>
        </w:rPr>
        <w:t>).</w:t>
      </w:r>
    </w:p>
    <w:p w14:paraId="4AAEFF48" w14:textId="5D9934C3" w:rsidR="00B233C2" w:rsidRDefault="00C076FD" w:rsidP="00AD3DC3">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AACJ asks this Court to </w:t>
      </w:r>
      <w:r w:rsidR="008E1B20">
        <w:rPr>
          <w:rFonts w:ascii="Times New Roman" w:hAnsi="Times New Roman"/>
          <w:sz w:val="28"/>
          <w:szCs w:val="28"/>
        </w:rPr>
        <w:t>reject those parts of</w:t>
      </w:r>
      <w:r>
        <w:rPr>
          <w:rFonts w:ascii="Times New Roman" w:hAnsi="Times New Roman"/>
          <w:sz w:val="28"/>
          <w:szCs w:val="28"/>
        </w:rPr>
        <w:t xml:space="preserve"> the proposal</w:t>
      </w:r>
      <w:r w:rsidR="008E1B20">
        <w:rPr>
          <w:rFonts w:ascii="Times New Roman" w:hAnsi="Times New Roman"/>
          <w:sz w:val="28"/>
          <w:szCs w:val="28"/>
        </w:rPr>
        <w:t xml:space="preserve"> that substantively change what proceedings are eligible to be conducted without the defendant’s physical presence and without the defendant’s consent</w:t>
      </w:r>
      <w:r>
        <w:rPr>
          <w:rFonts w:ascii="Times New Roman" w:hAnsi="Times New Roman"/>
          <w:sz w:val="28"/>
          <w:szCs w:val="28"/>
        </w:rPr>
        <w:t>.</w:t>
      </w:r>
      <w:r w:rsidR="008E1B20">
        <w:rPr>
          <w:rFonts w:ascii="Times New Roman" w:hAnsi="Times New Roman"/>
          <w:sz w:val="28"/>
          <w:szCs w:val="28"/>
        </w:rPr>
        <w:t xml:space="preserve"> AACJ agrees with many of the technical changes, with </w:t>
      </w:r>
      <w:r w:rsidR="004660ED">
        <w:rPr>
          <w:rFonts w:ascii="Times New Roman" w:hAnsi="Times New Roman"/>
          <w:sz w:val="28"/>
          <w:szCs w:val="28"/>
        </w:rPr>
        <w:t>the</w:t>
      </w:r>
      <w:r w:rsidR="008E1B20">
        <w:rPr>
          <w:rFonts w:ascii="Times New Roman" w:hAnsi="Times New Roman"/>
          <w:sz w:val="28"/>
          <w:szCs w:val="28"/>
        </w:rPr>
        <w:t xml:space="preserve"> exception</w:t>
      </w:r>
      <w:r w:rsidR="004660ED">
        <w:rPr>
          <w:rFonts w:ascii="Times New Roman" w:hAnsi="Times New Roman"/>
          <w:sz w:val="28"/>
          <w:szCs w:val="28"/>
        </w:rPr>
        <w:t xml:space="preserve"> </w:t>
      </w:r>
      <w:r w:rsidR="00650C11">
        <w:rPr>
          <w:rFonts w:ascii="Times New Roman" w:hAnsi="Times New Roman"/>
          <w:sz w:val="28"/>
          <w:szCs w:val="28"/>
        </w:rPr>
        <w:t>that “in open court” must remain in Rule 17.3(a)</w:t>
      </w:r>
      <w:r w:rsidR="004660ED">
        <w:rPr>
          <w:rFonts w:ascii="Times New Roman" w:hAnsi="Times New Roman"/>
          <w:sz w:val="28"/>
          <w:szCs w:val="28"/>
        </w:rPr>
        <w:t>.</w:t>
      </w:r>
    </w:p>
    <w:p w14:paraId="690D896F" w14:textId="77777777" w:rsidR="005755C5" w:rsidRDefault="005755C5" w:rsidP="00AD3DC3">
      <w:pPr>
        <w:spacing w:line="480" w:lineRule="auto"/>
        <w:ind w:firstLine="720"/>
        <w:jc w:val="both"/>
        <w:rPr>
          <w:rFonts w:ascii="Times New Roman" w:hAnsi="Times New Roman"/>
          <w:sz w:val="28"/>
          <w:szCs w:val="28"/>
        </w:rPr>
      </w:pPr>
    </w:p>
    <w:p w14:paraId="268AB80E" w14:textId="57A74AE9" w:rsidR="00DC38DE"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AD3DC3">
        <w:rPr>
          <w:rFonts w:ascii="Times New Roman" w:hAnsi="Times New Roman"/>
          <w:sz w:val="28"/>
          <w:szCs w:val="28"/>
        </w:rPr>
        <w:t>May</w:t>
      </w:r>
      <w:r w:rsidR="002C660A">
        <w:rPr>
          <w:rFonts w:ascii="Times New Roman" w:hAnsi="Times New Roman"/>
          <w:sz w:val="28"/>
          <w:szCs w:val="28"/>
        </w:rPr>
        <w:t xml:space="preserve"> </w:t>
      </w:r>
      <w:r w:rsidR="00071B11">
        <w:rPr>
          <w:rFonts w:ascii="Times New Roman" w:hAnsi="Times New Roman"/>
          <w:sz w:val="28"/>
          <w:szCs w:val="28"/>
        </w:rPr>
        <w:t>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3812FE">
        <w:rPr>
          <w:rFonts w:ascii="Times New Roman" w:hAnsi="Times New Roman"/>
          <w:sz w:val="28"/>
          <w:szCs w:val="28"/>
        </w:rPr>
        <w:t>4</w:t>
      </w:r>
      <w:r w:rsidR="00DC38DE" w:rsidRPr="0014499B">
        <w:rPr>
          <w:rFonts w:ascii="Times New Roman" w:hAnsi="Times New Roman"/>
          <w:sz w:val="28"/>
          <w:szCs w:val="28"/>
        </w:rPr>
        <w:t>.</w:t>
      </w:r>
    </w:p>
    <w:p w14:paraId="268AB812" w14:textId="7017EBDD"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00AE0F9E">
        <w:rPr>
          <w:rFonts w:ascii="Times New Roman" w:hAnsi="Times New Roman"/>
          <w:sz w:val="28"/>
          <w:szCs w:val="28"/>
          <w:u w:val="single"/>
        </w:rPr>
        <w:tab/>
      </w:r>
      <w:r w:rsidR="00AE0F9E">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53AA4C30"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21A9D8CE" w14:textId="77777777" w:rsidR="00AD3DC3" w:rsidRDefault="00AD3DC3" w:rsidP="006235B5">
      <w:pPr>
        <w:spacing w:line="240" w:lineRule="auto"/>
        <w:ind w:firstLine="720"/>
        <w:rPr>
          <w:rFonts w:ascii="Times New Roman" w:hAnsi="Times New Roman"/>
          <w:sz w:val="28"/>
          <w:szCs w:val="28"/>
        </w:rPr>
      </w:pPr>
    </w:p>
    <w:p w14:paraId="1C47B7D3" w14:textId="77777777" w:rsidR="00AD3DC3" w:rsidRDefault="00AD3DC3">
      <w:pPr>
        <w:spacing w:line="240" w:lineRule="auto"/>
        <w:rPr>
          <w:rFonts w:ascii="Times New Roman" w:hAnsi="Times New Roman"/>
          <w:sz w:val="28"/>
          <w:szCs w:val="28"/>
        </w:rPr>
      </w:pPr>
    </w:p>
    <w:p w14:paraId="4F1C28F0" w14:textId="47F1A4AF" w:rsidR="00AD3DC3" w:rsidRDefault="00AD3DC3">
      <w:pPr>
        <w:spacing w:line="240" w:lineRule="auto"/>
        <w:rPr>
          <w:rFonts w:ascii="Times New Roman" w:hAnsi="Times New Roman"/>
          <w:sz w:val="28"/>
          <w:szCs w:val="28"/>
        </w:rPr>
      </w:pPr>
      <w:r w:rsidRPr="00AD3DC3">
        <w:rPr>
          <w:rFonts w:ascii="Times New Roman" w:hAnsi="Times New Roman"/>
          <w:sz w:val="28"/>
          <w:szCs w:val="28"/>
        </w:rPr>
        <w:t>Cop</w:t>
      </w:r>
      <w:r>
        <w:rPr>
          <w:rFonts w:ascii="Times New Roman" w:hAnsi="Times New Roman"/>
          <w:sz w:val="28"/>
          <w:szCs w:val="28"/>
        </w:rPr>
        <w:t>y delivered to:</w:t>
      </w:r>
    </w:p>
    <w:p w14:paraId="17DAF771" w14:textId="77777777" w:rsidR="00AD3DC3" w:rsidRDefault="00AD3DC3">
      <w:pPr>
        <w:spacing w:line="240" w:lineRule="auto"/>
        <w:rPr>
          <w:rFonts w:ascii="Times New Roman" w:hAnsi="Times New Roman"/>
          <w:sz w:val="28"/>
          <w:szCs w:val="28"/>
        </w:rPr>
      </w:pPr>
    </w:p>
    <w:p w14:paraId="682AD7A3" w14:textId="053994F3" w:rsidR="00AD3DC3" w:rsidRDefault="00361AA4">
      <w:pPr>
        <w:spacing w:line="240" w:lineRule="auto"/>
        <w:rPr>
          <w:rFonts w:ascii="Times New Roman" w:hAnsi="Times New Roman"/>
          <w:sz w:val="28"/>
          <w:szCs w:val="28"/>
        </w:rPr>
      </w:pPr>
      <w:r>
        <w:rPr>
          <w:rFonts w:ascii="Times New Roman" w:hAnsi="Times New Roman"/>
          <w:sz w:val="28"/>
          <w:szCs w:val="28"/>
        </w:rPr>
        <w:t>Hon. Umayok Novell</w:t>
      </w:r>
    </w:p>
    <w:p w14:paraId="5CC93670" w14:textId="143DE221" w:rsidR="00F261DD" w:rsidRDefault="00361AA4" w:rsidP="00DC38DE">
      <w:pPr>
        <w:spacing w:line="240" w:lineRule="auto"/>
        <w:rPr>
          <w:rFonts w:ascii="Times New Roman" w:hAnsi="Times New Roman"/>
          <w:sz w:val="28"/>
          <w:szCs w:val="28"/>
        </w:rPr>
      </w:pPr>
      <w:r>
        <w:rPr>
          <w:rFonts w:ascii="Times New Roman" w:hAnsi="Times New Roman"/>
          <w:sz w:val="28"/>
          <w:szCs w:val="28"/>
        </w:rPr>
        <w:t>City Magistrate</w:t>
      </w:r>
    </w:p>
    <w:p w14:paraId="4139AC9E" w14:textId="79ED4501" w:rsidR="00361AA4" w:rsidRDefault="00361AA4" w:rsidP="00DC38DE">
      <w:pPr>
        <w:spacing w:line="240" w:lineRule="auto"/>
        <w:rPr>
          <w:rFonts w:ascii="Times New Roman" w:hAnsi="Times New Roman"/>
          <w:sz w:val="28"/>
          <w:szCs w:val="28"/>
        </w:rPr>
      </w:pPr>
      <w:r>
        <w:rPr>
          <w:rFonts w:ascii="Times New Roman" w:hAnsi="Times New Roman"/>
          <w:sz w:val="28"/>
          <w:szCs w:val="28"/>
        </w:rPr>
        <w:t>City of Mesa Municipal Court</w:t>
      </w:r>
    </w:p>
    <w:p w14:paraId="41AD4B52" w14:textId="4E624FD5" w:rsidR="00361AA4" w:rsidRDefault="00650C11" w:rsidP="00DC38DE">
      <w:pPr>
        <w:spacing w:line="240" w:lineRule="auto"/>
        <w:rPr>
          <w:rFonts w:ascii="Times New Roman" w:hAnsi="Times New Roman"/>
          <w:sz w:val="28"/>
          <w:szCs w:val="28"/>
        </w:rPr>
      </w:pPr>
      <w:hyperlink r:id="rId12" w:history="1">
        <w:r w:rsidR="00361AA4" w:rsidRPr="00B23FD1">
          <w:rPr>
            <w:rStyle w:val="Hyperlink"/>
            <w:rFonts w:ascii="Times New Roman" w:hAnsi="Times New Roman"/>
            <w:sz w:val="28"/>
            <w:szCs w:val="28"/>
          </w:rPr>
          <w:t>courtinfo@mesaaz.gov</w:t>
        </w:r>
      </w:hyperlink>
    </w:p>
    <w:p w14:paraId="5252E391" w14:textId="77777777" w:rsidR="00361AA4" w:rsidRDefault="00361AA4" w:rsidP="00DC38DE">
      <w:pPr>
        <w:spacing w:line="240" w:lineRule="auto"/>
        <w:rPr>
          <w:rFonts w:ascii="Times New Roman" w:hAnsi="Times New Roman"/>
          <w:sz w:val="28"/>
          <w:szCs w:val="28"/>
        </w:rPr>
      </w:pPr>
    </w:p>
    <w:sectPr w:rsidR="00361AA4" w:rsidSect="00F54A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E169E" w14:textId="77777777" w:rsidR="004724AE" w:rsidRDefault="004724AE">
      <w:r>
        <w:separator/>
      </w:r>
    </w:p>
  </w:endnote>
  <w:endnote w:type="continuationSeparator" w:id="0">
    <w:p w14:paraId="7EB90BA1" w14:textId="77777777" w:rsidR="004724AE" w:rsidRDefault="0047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E51FD" w14:textId="77777777" w:rsidR="004724AE" w:rsidRDefault="004724AE">
      <w:r>
        <w:separator/>
      </w:r>
    </w:p>
  </w:footnote>
  <w:footnote w:type="continuationSeparator" w:id="0">
    <w:p w14:paraId="2ADDEFAF" w14:textId="77777777" w:rsidR="004724AE" w:rsidRDefault="004724AE">
      <w:r>
        <w:continuationSeparator/>
      </w:r>
    </w:p>
  </w:footnote>
  <w:footnote w:id="1">
    <w:p w14:paraId="1E925D94" w14:textId="540FAF0C" w:rsidR="00D56A26" w:rsidRPr="00BF0341" w:rsidRDefault="00D56A26" w:rsidP="00D56A26">
      <w:pPr>
        <w:pStyle w:val="FootnoteText"/>
        <w:spacing w:line="240" w:lineRule="auto"/>
        <w:jc w:val="both"/>
        <w:rPr>
          <w:rFonts w:ascii="Times New Roman" w:hAnsi="Times New Roman"/>
          <w:sz w:val="28"/>
          <w:szCs w:val="28"/>
        </w:rPr>
      </w:pPr>
      <w:r w:rsidRPr="00BF0341">
        <w:rPr>
          <w:rStyle w:val="FootnoteReference"/>
          <w:rFonts w:ascii="Times New Roman" w:hAnsi="Times New Roman"/>
          <w:sz w:val="28"/>
          <w:szCs w:val="28"/>
        </w:rPr>
        <w:footnoteRef/>
      </w:r>
      <w:r w:rsidRPr="00BF0341">
        <w:rPr>
          <w:rFonts w:ascii="Times New Roman" w:hAnsi="Times New Roman"/>
          <w:sz w:val="28"/>
          <w:szCs w:val="28"/>
        </w:rPr>
        <w:t xml:space="preserve"> </w:t>
      </w:r>
      <w:r>
        <w:rPr>
          <w:rFonts w:ascii="Times New Roman" w:hAnsi="Times New Roman"/>
          <w:sz w:val="28"/>
          <w:szCs w:val="28"/>
        </w:rPr>
        <w:t>AACJ agrees with the technical change of “videoconference” to “interactive audiovisual proceeding</w:t>
      </w:r>
      <w:r>
        <w:rPr>
          <w:rFonts w:ascii="Times New Roman" w:hAnsi="Times New Roman"/>
          <w:color w:val="3C3C3C"/>
          <w:sz w:val="28"/>
          <w:szCs w:val="28"/>
        </w:rPr>
        <w:t xml:space="preserve">” in the heading of Rule 1.5(c) and in the text of Rule 1.5(c)(4).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D51D2" w14:textId="77777777" w:rsidR="00CB1A60" w:rsidRDefault="00CB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6A07" w14:textId="77777777" w:rsidR="00CB1A60" w:rsidRDefault="00CB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99F8" w14:textId="01D5A090" w:rsidR="00CB1A60" w:rsidRDefault="00CB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395E"/>
    <w:multiLevelType w:val="hybridMultilevel"/>
    <w:tmpl w:val="5C5CA070"/>
    <w:lvl w:ilvl="0" w:tplc="8DB6E16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2C0833"/>
    <w:multiLevelType w:val="hybridMultilevel"/>
    <w:tmpl w:val="CAEE994C"/>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15:restartNumberingAfterBreak="0">
    <w:nsid w:val="2AD8633D"/>
    <w:multiLevelType w:val="hybridMultilevel"/>
    <w:tmpl w:val="97924C08"/>
    <w:lvl w:ilvl="0" w:tplc="E6909F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562B75"/>
    <w:multiLevelType w:val="hybridMultilevel"/>
    <w:tmpl w:val="86F60DA6"/>
    <w:lvl w:ilvl="0" w:tplc="D2386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25C01"/>
    <w:multiLevelType w:val="hybridMultilevel"/>
    <w:tmpl w:val="CAEE994C"/>
    <w:lvl w:ilvl="0" w:tplc="BD4C9D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2"/>
  </w:num>
  <w:num w:numId="2" w16cid:durableId="469400166">
    <w:abstractNumId w:val="1"/>
  </w:num>
  <w:num w:numId="3" w16cid:durableId="626275486">
    <w:abstractNumId w:val="6"/>
  </w:num>
  <w:num w:numId="4" w16cid:durableId="1237518553">
    <w:abstractNumId w:val="5"/>
  </w:num>
  <w:num w:numId="5" w16cid:durableId="1732536459">
    <w:abstractNumId w:val="19"/>
  </w:num>
  <w:num w:numId="6" w16cid:durableId="1378436400">
    <w:abstractNumId w:val="24"/>
  </w:num>
  <w:num w:numId="7" w16cid:durableId="991374513">
    <w:abstractNumId w:val="10"/>
  </w:num>
  <w:num w:numId="8" w16cid:durableId="1700660638">
    <w:abstractNumId w:val="13"/>
  </w:num>
  <w:num w:numId="9" w16cid:durableId="372001553">
    <w:abstractNumId w:val="22"/>
  </w:num>
  <w:num w:numId="10" w16cid:durableId="398214401">
    <w:abstractNumId w:val="18"/>
  </w:num>
  <w:num w:numId="11" w16cid:durableId="1932085538">
    <w:abstractNumId w:val="20"/>
  </w:num>
  <w:num w:numId="12" w16cid:durableId="212810470">
    <w:abstractNumId w:val="25"/>
  </w:num>
  <w:num w:numId="13" w16cid:durableId="154299559">
    <w:abstractNumId w:val="12"/>
  </w:num>
  <w:num w:numId="14" w16cid:durableId="2139762203">
    <w:abstractNumId w:val="23"/>
  </w:num>
  <w:num w:numId="15" w16cid:durableId="1779134998">
    <w:abstractNumId w:val="11"/>
  </w:num>
  <w:num w:numId="16" w16cid:durableId="1601137933">
    <w:abstractNumId w:val="4"/>
  </w:num>
  <w:num w:numId="17" w16cid:durableId="15499093">
    <w:abstractNumId w:val="16"/>
  </w:num>
  <w:num w:numId="18" w16cid:durableId="358897891">
    <w:abstractNumId w:val="7"/>
  </w:num>
  <w:num w:numId="19" w16cid:durableId="1631091077">
    <w:abstractNumId w:val="14"/>
  </w:num>
  <w:num w:numId="20" w16cid:durableId="1133525758">
    <w:abstractNumId w:val="21"/>
  </w:num>
  <w:num w:numId="21" w16cid:durableId="2047636258">
    <w:abstractNumId w:val="9"/>
  </w:num>
  <w:num w:numId="22" w16cid:durableId="1701322166">
    <w:abstractNumId w:val="8"/>
  </w:num>
  <w:num w:numId="23" w16cid:durableId="316150137">
    <w:abstractNumId w:val="0"/>
  </w:num>
  <w:num w:numId="24" w16cid:durableId="1405369219">
    <w:abstractNumId w:val="17"/>
  </w:num>
  <w:num w:numId="25" w16cid:durableId="976688191">
    <w:abstractNumId w:val="15"/>
  </w:num>
  <w:num w:numId="26" w16cid:durableId="793911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1B11"/>
    <w:rsid w:val="000759BB"/>
    <w:rsid w:val="000763D7"/>
    <w:rsid w:val="00076CBE"/>
    <w:rsid w:val="00083D10"/>
    <w:rsid w:val="00092D1D"/>
    <w:rsid w:val="00094BC9"/>
    <w:rsid w:val="00095786"/>
    <w:rsid w:val="000966E2"/>
    <w:rsid w:val="00097D48"/>
    <w:rsid w:val="000A3743"/>
    <w:rsid w:val="000B15C4"/>
    <w:rsid w:val="000B1D0D"/>
    <w:rsid w:val="000B3D5C"/>
    <w:rsid w:val="000B58EF"/>
    <w:rsid w:val="000B6489"/>
    <w:rsid w:val="000B7ACB"/>
    <w:rsid w:val="000D50D4"/>
    <w:rsid w:val="000D6BB1"/>
    <w:rsid w:val="000E2821"/>
    <w:rsid w:val="000E477A"/>
    <w:rsid w:val="000E6C47"/>
    <w:rsid w:val="000E7FAC"/>
    <w:rsid w:val="000F1FEC"/>
    <w:rsid w:val="000F6163"/>
    <w:rsid w:val="00111A1A"/>
    <w:rsid w:val="00117CB3"/>
    <w:rsid w:val="0012054D"/>
    <w:rsid w:val="00125A1E"/>
    <w:rsid w:val="00125CA9"/>
    <w:rsid w:val="001269D9"/>
    <w:rsid w:val="001279AC"/>
    <w:rsid w:val="0013019E"/>
    <w:rsid w:val="00141C61"/>
    <w:rsid w:val="00142D09"/>
    <w:rsid w:val="00147D21"/>
    <w:rsid w:val="00147D30"/>
    <w:rsid w:val="001516C5"/>
    <w:rsid w:val="001551D3"/>
    <w:rsid w:val="00160425"/>
    <w:rsid w:val="0016104B"/>
    <w:rsid w:val="0016125C"/>
    <w:rsid w:val="00170A1F"/>
    <w:rsid w:val="00171C46"/>
    <w:rsid w:val="0017448D"/>
    <w:rsid w:val="00175B0A"/>
    <w:rsid w:val="00176A8B"/>
    <w:rsid w:val="0017761F"/>
    <w:rsid w:val="001841BF"/>
    <w:rsid w:val="00186903"/>
    <w:rsid w:val="001942E5"/>
    <w:rsid w:val="001B1196"/>
    <w:rsid w:val="001B24C6"/>
    <w:rsid w:val="001B3667"/>
    <w:rsid w:val="001B408E"/>
    <w:rsid w:val="001C015F"/>
    <w:rsid w:val="001C02C6"/>
    <w:rsid w:val="001C2BDE"/>
    <w:rsid w:val="001C30CE"/>
    <w:rsid w:val="001C5FF7"/>
    <w:rsid w:val="001C60A4"/>
    <w:rsid w:val="001D0E6C"/>
    <w:rsid w:val="001D386D"/>
    <w:rsid w:val="001D4A80"/>
    <w:rsid w:val="001E74E4"/>
    <w:rsid w:val="001F54B7"/>
    <w:rsid w:val="001F6288"/>
    <w:rsid w:val="00205E43"/>
    <w:rsid w:val="002076F9"/>
    <w:rsid w:val="00221A90"/>
    <w:rsid w:val="00221BCC"/>
    <w:rsid w:val="00230545"/>
    <w:rsid w:val="00235C89"/>
    <w:rsid w:val="0023620C"/>
    <w:rsid w:val="00236BF8"/>
    <w:rsid w:val="00252BB8"/>
    <w:rsid w:val="002549CE"/>
    <w:rsid w:val="00255E07"/>
    <w:rsid w:val="00261AF6"/>
    <w:rsid w:val="00264A6D"/>
    <w:rsid w:val="0027258D"/>
    <w:rsid w:val="002763F8"/>
    <w:rsid w:val="00283A7C"/>
    <w:rsid w:val="00284416"/>
    <w:rsid w:val="00284E5B"/>
    <w:rsid w:val="00285283"/>
    <w:rsid w:val="002866FC"/>
    <w:rsid w:val="002901A9"/>
    <w:rsid w:val="002A24BA"/>
    <w:rsid w:val="002A3420"/>
    <w:rsid w:val="002A4DD3"/>
    <w:rsid w:val="002B5B1B"/>
    <w:rsid w:val="002B62C2"/>
    <w:rsid w:val="002B7481"/>
    <w:rsid w:val="002C0EDD"/>
    <w:rsid w:val="002C54D2"/>
    <w:rsid w:val="002C660A"/>
    <w:rsid w:val="002D0E9E"/>
    <w:rsid w:val="002D17D1"/>
    <w:rsid w:val="002D1E61"/>
    <w:rsid w:val="002D6A6A"/>
    <w:rsid w:val="002E464C"/>
    <w:rsid w:val="002E545E"/>
    <w:rsid w:val="002F1FBD"/>
    <w:rsid w:val="002F2876"/>
    <w:rsid w:val="002F33EF"/>
    <w:rsid w:val="002F3B52"/>
    <w:rsid w:val="002F440E"/>
    <w:rsid w:val="00301411"/>
    <w:rsid w:val="00304745"/>
    <w:rsid w:val="00304EAE"/>
    <w:rsid w:val="003055A7"/>
    <w:rsid w:val="00305778"/>
    <w:rsid w:val="00305CB1"/>
    <w:rsid w:val="00311552"/>
    <w:rsid w:val="00313AAF"/>
    <w:rsid w:val="00320C7A"/>
    <w:rsid w:val="003231B0"/>
    <w:rsid w:val="00323F32"/>
    <w:rsid w:val="00325AFE"/>
    <w:rsid w:val="0033167F"/>
    <w:rsid w:val="00331802"/>
    <w:rsid w:val="003353C5"/>
    <w:rsid w:val="003367F0"/>
    <w:rsid w:val="003412D9"/>
    <w:rsid w:val="00345960"/>
    <w:rsid w:val="00350551"/>
    <w:rsid w:val="00351280"/>
    <w:rsid w:val="00356079"/>
    <w:rsid w:val="00357C78"/>
    <w:rsid w:val="00361AA4"/>
    <w:rsid w:val="003659B5"/>
    <w:rsid w:val="003732CB"/>
    <w:rsid w:val="0037686D"/>
    <w:rsid w:val="00380B0B"/>
    <w:rsid w:val="003812FE"/>
    <w:rsid w:val="003A2343"/>
    <w:rsid w:val="003A346F"/>
    <w:rsid w:val="003A63AE"/>
    <w:rsid w:val="003A66E3"/>
    <w:rsid w:val="003C15EA"/>
    <w:rsid w:val="003C4E9C"/>
    <w:rsid w:val="003C6246"/>
    <w:rsid w:val="003D6070"/>
    <w:rsid w:val="003E0313"/>
    <w:rsid w:val="003E3701"/>
    <w:rsid w:val="003E5547"/>
    <w:rsid w:val="003E5927"/>
    <w:rsid w:val="0041282A"/>
    <w:rsid w:val="0041704C"/>
    <w:rsid w:val="00420CBC"/>
    <w:rsid w:val="00421E9E"/>
    <w:rsid w:val="004434F1"/>
    <w:rsid w:val="00444BE7"/>
    <w:rsid w:val="004503FC"/>
    <w:rsid w:val="00451F00"/>
    <w:rsid w:val="00454AE0"/>
    <w:rsid w:val="004660ED"/>
    <w:rsid w:val="004711E3"/>
    <w:rsid w:val="0047133B"/>
    <w:rsid w:val="004724AE"/>
    <w:rsid w:val="0047497F"/>
    <w:rsid w:val="004835B0"/>
    <w:rsid w:val="00485FAA"/>
    <w:rsid w:val="00492362"/>
    <w:rsid w:val="00493A61"/>
    <w:rsid w:val="004963BA"/>
    <w:rsid w:val="004A2829"/>
    <w:rsid w:val="004B3410"/>
    <w:rsid w:val="004B6D4E"/>
    <w:rsid w:val="004B74D0"/>
    <w:rsid w:val="004B7790"/>
    <w:rsid w:val="004C7133"/>
    <w:rsid w:val="004D3C86"/>
    <w:rsid w:val="004D6A51"/>
    <w:rsid w:val="004D72A3"/>
    <w:rsid w:val="004E26B2"/>
    <w:rsid w:val="004E66AE"/>
    <w:rsid w:val="004E6839"/>
    <w:rsid w:val="004E6EF6"/>
    <w:rsid w:val="004F2D0B"/>
    <w:rsid w:val="004F3B51"/>
    <w:rsid w:val="004F456D"/>
    <w:rsid w:val="004F5419"/>
    <w:rsid w:val="004F5882"/>
    <w:rsid w:val="00502211"/>
    <w:rsid w:val="00512EB9"/>
    <w:rsid w:val="00515CB2"/>
    <w:rsid w:val="0052085E"/>
    <w:rsid w:val="005252FB"/>
    <w:rsid w:val="00542196"/>
    <w:rsid w:val="0054468B"/>
    <w:rsid w:val="005453BE"/>
    <w:rsid w:val="0054757D"/>
    <w:rsid w:val="00553515"/>
    <w:rsid w:val="005552C9"/>
    <w:rsid w:val="00556A2D"/>
    <w:rsid w:val="00564A77"/>
    <w:rsid w:val="00565858"/>
    <w:rsid w:val="00570AF9"/>
    <w:rsid w:val="005755C5"/>
    <w:rsid w:val="00584A77"/>
    <w:rsid w:val="005924A7"/>
    <w:rsid w:val="0059751C"/>
    <w:rsid w:val="005A51D7"/>
    <w:rsid w:val="005A5826"/>
    <w:rsid w:val="005B0C4F"/>
    <w:rsid w:val="005B2350"/>
    <w:rsid w:val="005B53BE"/>
    <w:rsid w:val="005B7899"/>
    <w:rsid w:val="005C109B"/>
    <w:rsid w:val="005C3BDC"/>
    <w:rsid w:val="005C5AEA"/>
    <w:rsid w:val="005C6E61"/>
    <w:rsid w:val="005D06D5"/>
    <w:rsid w:val="005D21EF"/>
    <w:rsid w:val="005D441D"/>
    <w:rsid w:val="005D7DCC"/>
    <w:rsid w:val="005E0339"/>
    <w:rsid w:val="005E11F3"/>
    <w:rsid w:val="005E162E"/>
    <w:rsid w:val="005E2629"/>
    <w:rsid w:val="005E40C0"/>
    <w:rsid w:val="005F0195"/>
    <w:rsid w:val="005F145E"/>
    <w:rsid w:val="005F4669"/>
    <w:rsid w:val="0060208D"/>
    <w:rsid w:val="006068F4"/>
    <w:rsid w:val="0061055B"/>
    <w:rsid w:val="006114B6"/>
    <w:rsid w:val="00614C0B"/>
    <w:rsid w:val="00620267"/>
    <w:rsid w:val="00621C77"/>
    <w:rsid w:val="006235B5"/>
    <w:rsid w:val="0062703F"/>
    <w:rsid w:val="00627605"/>
    <w:rsid w:val="00627DBE"/>
    <w:rsid w:val="00635786"/>
    <w:rsid w:val="00636918"/>
    <w:rsid w:val="006378F2"/>
    <w:rsid w:val="00642CC1"/>
    <w:rsid w:val="006463AE"/>
    <w:rsid w:val="00646589"/>
    <w:rsid w:val="00650C11"/>
    <w:rsid w:val="00656061"/>
    <w:rsid w:val="006650FE"/>
    <w:rsid w:val="00666490"/>
    <w:rsid w:val="00666F70"/>
    <w:rsid w:val="00671A36"/>
    <w:rsid w:val="00674178"/>
    <w:rsid w:val="00680F42"/>
    <w:rsid w:val="006876D6"/>
    <w:rsid w:val="00692962"/>
    <w:rsid w:val="006A3EB6"/>
    <w:rsid w:val="006A78C5"/>
    <w:rsid w:val="006C0F08"/>
    <w:rsid w:val="006C2808"/>
    <w:rsid w:val="006C5B68"/>
    <w:rsid w:val="006C648E"/>
    <w:rsid w:val="006D1C00"/>
    <w:rsid w:val="006D30E7"/>
    <w:rsid w:val="006D4397"/>
    <w:rsid w:val="006D4E43"/>
    <w:rsid w:val="006E34AB"/>
    <w:rsid w:val="006F12DA"/>
    <w:rsid w:val="006F5562"/>
    <w:rsid w:val="006F594D"/>
    <w:rsid w:val="006F6CD5"/>
    <w:rsid w:val="00701CE7"/>
    <w:rsid w:val="00701DAA"/>
    <w:rsid w:val="0070604A"/>
    <w:rsid w:val="007109BB"/>
    <w:rsid w:val="00714CCA"/>
    <w:rsid w:val="00716D4F"/>
    <w:rsid w:val="00720596"/>
    <w:rsid w:val="007232A9"/>
    <w:rsid w:val="007320B0"/>
    <w:rsid w:val="00734F6C"/>
    <w:rsid w:val="00741690"/>
    <w:rsid w:val="00744748"/>
    <w:rsid w:val="0075005A"/>
    <w:rsid w:val="00753D22"/>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A2304"/>
    <w:rsid w:val="007A3B11"/>
    <w:rsid w:val="007A5AD8"/>
    <w:rsid w:val="007A6AC6"/>
    <w:rsid w:val="007B3529"/>
    <w:rsid w:val="007B4B94"/>
    <w:rsid w:val="007C17AC"/>
    <w:rsid w:val="007D2D04"/>
    <w:rsid w:val="007D3933"/>
    <w:rsid w:val="007E229C"/>
    <w:rsid w:val="007F091F"/>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409ED"/>
    <w:rsid w:val="00840EFC"/>
    <w:rsid w:val="00841349"/>
    <w:rsid w:val="00841AB1"/>
    <w:rsid w:val="008425DB"/>
    <w:rsid w:val="0084744C"/>
    <w:rsid w:val="0085222A"/>
    <w:rsid w:val="00852F68"/>
    <w:rsid w:val="00854B4F"/>
    <w:rsid w:val="008579E3"/>
    <w:rsid w:val="0086347A"/>
    <w:rsid w:val="0086599B"/>
    <w:rsid w:val="00871FC2"/>
    <w:rsid w:val="00876503"/>
    <w:rsid w:val="008828FB"/>
    <w:rsid w:val="008940B3"/>
    <w:rsid w:val="008A079D"/>
    <w:rsid w:val="008B54C8"/>
    <w:rsid w:val="008B7D55"/>
    <w:rsid w:val="008C0DF8"/>
    <w:rsid w:val="008C3E22"/>
    <w:rsid w:val="008C682F"/>
    <w:rsid w:val="008D1F4D"/>
    <w:rsid w:val="008D26C0"/>
    <w:rsid w:val="008D4E4D"/>
    <w:rsid w:val="008D575C"/>
    <w:rsid w:val="008D6170"/>
    <w:rsid w:val="008D75BF"/>
    <w:rsid w:val="008E04BA"/>
    <w:rsid w:val="008E1B20"/>
    <w:rsid w:val="008E3AD2"/>
    <w:rsid w:val="00901C63"/>
    <w:rsid w:val="009040C7"/>
    <w:rsid w:val="009049C6"/>
    <w:rsid w:val="00904D8D"/>
    <w:rsid w:val="00911858"/>
    <w:rsid w:val="00917829"/>
    <w:rsid w:val="00921C3D"/>
    <w:rsid w:val="00923420"/>
    <w:rsid w:val="00936450"/>
    <w:rsid w:val="00943146"/>
    <w:rsid w:val="00952A62"/>
    <w:rsid w:val="00956F98"/>
    <w:rsid w:val="00963B50"/>
    <w:rsid w:val="00964D71"/>
    <w:rsid w:val="00971CE9"/>
    <w:rsid w:val="00972189"/>
    <w:rsid w:val="00972DF1"/>
    <w:rsid w:val="00973C53"/>
    <w:rsid w:val="00975B5C"/>
    <w:rsid w:val="009815B4"/>
    <w:rsid w:val="009823DE"/>
    <w:rsid w:val="00984935"/>
    <w:rsid w:val="009923CC"/>
    <w:rsid w:val="009B090F"/>
    <w:rsid w:val="009B5BAF"/>
    <w:rsid w:val="009B73AD"/>
    <w:rsid w:val="009C525E"/>
    <w:rsid w:val="009C5D36"/>
    <w:rsid w:val="009C79C4"/>
    <w:rsid w:val="009D6065"/>
    <w:rsid w:val="009F0094"/>
    <w:rsid w:val="009F0CE6"/>
    <w:rsid w:val="009F189B"/>
    <w:rsid w:val="009F697C"/>
    <w:rsid w:val="00A00B20"/>
    <w:rsid w:val="00A03454"/>
    <w:rsid w:val="00A0443C"/>
    <w:rsid w:val="00A05C99"/>
    <w:rsid w:val="00A066BB"/>
    <w:rsid w:val="00A25E18"/>
    <w:rsid w:val="00A275A0"/>
    <w:rsid w:val="00A32130"/>
    <w:rsid w:val="00A409D3"/>
    <w:rsid w:val="00A41AA3"/>
    <w:rsid w:val="00A41C4A"/>
    <w:rsid w:val="00A42EAA"/>
    <w:rsid w:val="00A51530"/>
    <w:rsid w:val="00A610E3"/>
    <w:rsid w:val="00A629F8"/>
    <w:rsid w:val="00A716AE"/>
    <w:rsid w:val="00A729B8"/>
    <w:rsid w:val="00A72C3A"/>
    <w:rsid w:val="00A73B82"/>
    <w:rsid w:val="00A74317"/>
    <w:rsid w:val="00A86C90"/>
    <w:rsid w:val="00AA2C8A"/>
    <w:rsid w:val="00AB1A5A"/>
    <w:rsid w:val="00AB2212"/>
    <w:rsid w:val="00AB4F91"/>
    <w:rsid w:val="00AB5BD4"/>
    <w:rsid w:val="00AC1F4E"/>
    <w:rsid w:val="00AC3538"/>
    <w:rsid w:val="00AD043A"/>
    <w:rsid w:val="00AD0EAB"/>
    <w:rsid w:val="00AD3DC3"/>
    <w:rsid w:val="00AD6707"/>
    <w:rsid w:val="00AD6744"/>
    <w:rsid w:val="00AE0F9E"/>
    <w:rsid w:val="00AE1EC2"/>
    <w:rsid w:val="00AF6D8A"/>
    <w:rsid w:val="00AF786A"/>
    <w:rsid w:val="00B13CAB"/>
    <w:rsid w:val="00B16084"/>
    <w:rsid w:val="00B16F3E"/>
    <w:rsid w:val="00B20150"/>
    <w:rsid w:val="00B20758"/>
    <w:rsid w:val="00B233C2"/>
    <w:rsid w:val="00B25F2B"/>
    <w:rsid w:val="00B262C5"/>
    <w:rsid w:val="00B306CF"/>
    <w:rsid w:val="00B40EF1"/>
    <w:rsid w:val="00B4395E"/>
    <w:rsid w:val="00B43E0F"/>
    <w:rsid w:val="00B515D5"/>
    <w:rsid w:val="00B521D5"/>
    <w:rsid w:val="00B5586F"/>
    <w:rsid w:val="00B67D5C"/>
    <w:rsid w:val="00B81136"/>
    <w:rsid w:val="00B86E8D"/>
    <w:rsid w:val="00B8700C"/>
    <w:rsid w:val="00B90C53"/>
    <w:rsid w:val="00B90D16"/>
    <w:rsid w:val="00B916BE"/>
    <w:rsid w:val="00B9276B"/>
    <w:rsid w:val="00B95D31"/>
    <w:rsid w:val="00BA1451"/>
    <w:rsid w:val="00BA4B2B"/>
    <w:rsid w:val="00BA59FD"/>
    <w:rsid w:val="00BA7D16"/>
    <w:rsid w:val="00BB1D01"/>
    <w:rsid w:val="00BB2A3A"/>
    <w:rsid w:val="00BB39E6"/>
    <w:rsid w:val="00BB652F"/>
    <w:rsid w:val="00BC2358"/>
    <w:rsid w:val="00BC64C3"/>
    <w:rsid w:val="00BD20AB"/>
    <w:rsid w:val="00BE4C96"/>
    <w:rsid w:val="00BE622B"/>
    <w:rsid w:val="00BF0341"/>
    <w:rsid w:val="00BF265F"/>
    <w:rsid w:val="00BF346E"/>
    <w:rsid w:val="00BF6973"/>
    <w:rsid w:val="00C015D8"/>
    <w:rsid w:val="00C0694F"/>
    <w:rsid w:val="00C076FD"/>
    <w:rsid w:val="00C10845"/>
    <w:rsid w:val="00C12F09"/>
    <w:rsid w:val="00C205F1"/>
    <w:rsid w:val="00C30A6D"/>
    <w:rsid w:val="00C3108B"/>
    <w:rsid w:val="00C347AE"/>
    <w:rsid w:val="00C37271"/>
    <w:rsid w:val="00C40941"/>
    <w:rsid w:val="00C44CA0"/>
    <w:rsid w:val="00C516BC"/>
    <w:rsid w:val="00C55A45"/>
    <w:rsid w:val="00C60CF3"/>
    <w:rsid w:val="00C61585"/>
    <w:rsid w:val="00C654DC"/>
    <w:rsid w:val="00C667CE"/>
    <w:rsid w:val="00C71726"/>
    <w:rsid w:val="00C76BAA"/>
    <w:rsid w:val="00C838EB"/>
    <w:rsid w:val="00C8556E"/>
    <w:rsid w:val="00C859FD"/>
    <w:rsid w:val="00C919C7"/>
    <w:rsid w:val="00C91DE4"/>
    <w:rsid w:val="00C940C1"/>
    <w:rsid w:val="00C97315"/>
    <w:rsid w:val="00C9771B"/>
    <w:rsid w:val="00CA18B8"/>
    <w:rsid w:val="00CA5449"/>
    <w:rsid w:val="00CA5689"/>
    <w:rsid w:val="00CB1A60"/>
    <w:rsid w:val="00CB3D52"/>
    <w:rsid w:val="00CB4F3A"/>
    <w:rsid w:val="00CC3610"/>
    <w:rsid w:val="00CC4F84"/>
    <w:rsid w:val="00CC6718"/>
    <w:rsid w:val="00CD0255"/>
    <w:rsid w:val="00CD45E7"/>
    <w:rsid w:val="00CD7EFC"/>
    <w:rsid w:val="00CE08E0"/>
    <w:rsid w:val="00CE78D6"/>
    <w:rsid w:val="00D01B23"/>
    <w:rsid w:val="00D0294B"/>
    <w:rsid w:val="00D05ECB"/>
    <w:rsid w:val="00D145C4"/>
    <w:rsid w:val="00D16827"/>
    <w:rsid w:val="00D23014"/>
    <w:rsid w:val="00D26ED2"/>
    <w:rsid w:val="00D3557D"/>
    <w:rsid w:val="00D37836"/>
    <w:rsid w:val="00D4044E"/>
    <w:rsid w:val="00D407F7"/>
    <w:rsid w:val="00D40965"/>
    <w:rsid w:val="00D433F3"/>
    <w:rsid w:val="00D43EF2"/>
    <w:rsid w:val="00D44EE3"/>
    <w:rsid w:val="00D50F96"/>
    <w:rsid w:val="00D53865"/>
    <w:rsid w:val="00D54E73"/>
    <w:rsid w:val="00D551D6"/>
    <w:rsid w:val="00D56A26"/>
    <w:rsid w:val="00D570E0"/>
    <w:rsid w:val="00D60861"/>
    <w:rsid w:val="00D629C5"/>
    <w:rsid w:val="00D65E59"/>
    <w:rsid w:val="00D774DA"/>
    <w:rsid w:val="00D77E36"/>
    <w:rsid w:val="00D80776"/>
    <w:rsid w:val="00D83F58"/>
    <w:rsid w:val="00D877B2"/>
    <w:rsid w:val="00D90267"/>
    <w:rsid w:val="00D94D24"/>
    <w:rsid w:val="00DA0C86"/>
    <w:rsid w:val="00DA0D25"/>
    <w:rsid w:val="00DA2BE7"/>
    <w:rsid w:val="00DB048B"/>
    <w:rsid w:val="00DB2614"/>
    <w:rsid w:val="00DB3C6C"/>
    <w:rsid w:val="00DB4EDE"/>
    <w:rsid w:val="00DC13B0"/>
    <w:rsid w:val="00DC2E85"/>
    <w:rsid w:val="00DC38DE"/>
    <w:rsid w:val="00DC40E0"/>
    <w:rsid w:val="00DC6C0A"/>
    <w:rsid w:val="00DD121E"/>
    <w:rsid w:val="00DD518B"/>
    <w:rsid w:val="00DD519E"/>
    <w:rsid w:val="00DE69F4"/>
    <w:rsid w:val="00DF2F5D"/>
    <w:rsid w:val="00E126BB"/>
    <w:rsid w:val="00E16B5B"/>
    <w:rsid w:val="00E2055B"/>
    <w:rsid w:val="00E212C5"/>
    <w:rsid w:val="00E23568"/>
    <w:rsid w:val="00E3060D"/>
    <w:rsid w:val="00E31A1A"/>
    <w:rsid w:val="00E33388"/>
    <w:rsid w:val="00E34337"/>
    <w:rsid w:val="00E379BB"/>
    <w:rsid w:val="00E45F50"/>
    <w:rsid w:val="00E6637E"/>
    <w:rsid w:val="00E7085F"/>
    <w:rsid w:val="00E70AE1"/>
    <w:rsid w:val="00E72B8D"/>
    <w:rsid w:val="00E7666E"/>
    <w:rsid w:val="00E82BBA"/>
    <w:rsid w:val="00E833FA"/>
    <w:rsid w:val="00E84051"/>
    <w:rsid w:val="00E84532"/>
    <w:rsid w:val="00E92880"/>
    <w:rsid w:val="00E9409C"/>
    <w:rsid w:val="00E959B3"/>
    <w:rsid w:val="00EA467E"/>
    <w:rsid w:val="00EB36F1"/>
    <w:rsid w:val="00ED2D12"/>
    <w:rsid w:val="00EF5061"/>
    <w:rsid w:val="00EF7C20"/>
    <w:rsid w:val="00F01BD2"/>
    <w:rsid w:val="00F03F5F"/>
    <w:rsid w:val="00F05072"/>
    <w:rsid w:val="00F12038"/>
    <w:rsid w:val="00F16ADA"/>
    <w:rsid w:val="00F261DD"/>
    <w:rsid w:val="00F306C9"/>
    <w:rsid w:val="00F308FB"/>
    <w:rsid w:val="00F32C7C"/>
    <w:rsid w:val="00F32CE6"/>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23BC"/>
    <w:rsid w:val="00FB58D4"/>
    <w:rsid w:val="00FB6218"/>
    <w:rsid w:val="00FB734C"/>
    <w:rsid w:val="00FB756E"/>
    <w:rsid w:val="00FD7015"/>
    <w:rsid w:val="00FE7A65"/>
    <w:rsid w:val="00FF0BFD"/>
    <w:rsid w:val="00FF6077"/>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rtinfo@mesaaz.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2.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3.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823</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5234</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7</cp:revision>
  <cp:lastPrinted>2012-05-18T16:39:00Z</cp:lastPrinted>
  <dcterms:created xsi:type="dcterms:W3CDTF">2024-04-30T13:17:00Z</dcterms:created>
  <dcterms:modified xsi:type="dcterms:W3CDTF">2024-05-01T21:14:00Z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