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BC7C" w14:textId="61A002F9" w:rsidR="00F31940" w:rsidRPr="00F31940" w:rsidRDefault="00F31940" w:rsidP="00F31940">
      <w:pPr>
        <w:pStyle w:val="AttorneyName"/>
        <w:rPr>
          <w:rFonts w:ascii="Times New Roman" w:hAnsi="Times New Roman"/>
          <w:bCs/>
          <w:sz w:val="28"/>
          <w:szCs w:val="28"/>
        </w:rPr>
      </w:pPr>
      <w:r w:rsidRPr="00F31940">
        <w:rPr>
          <w:rFonts w:ascii="Times New Roman" w:hAnsi="Times New Roman"/>
          <w:bCs/>
          <w:sz w:val="28"/>
          <w:szCs w:val="28"/>
        </w:rPr>
        <w:t>Lisa Bivens</w:t>
      </w:r>
    </w:p>
    <w:p w14:paraId="6BA8E930" w14:textId="3D1F32A3" w:rsidR="005B712D" w:rsidRPr="00F31940" w:rsidRDefault="005B712D" w:rsidP="005B712D">
      <w:pPr>
        <w:pStyle w:val="AttorneyName"/>
        <w:spacing w:line="240" w:lineRule="auto"/>
        <w:rPr>
          <w:rFonts w:ascii="Times New Roman" w:hAnsi="Times New Roman"/>
          <w:bCs/>
          <w:sz w:val="28"/>
          <w:szCs w:val="28"/>
        </w:rPr>
      </w:pPr>
      <w:r w:rsidRPr="00F31940">
        <w:rPr>
          <w:rFonts w:ascii="Times New Roman" w:hAnsi="Times New Roman"/>
          <w:bCs/>
          <w:sz w:val="28"/>
          <w:szCs w:val="28"/>
        </w:rPr>
        <w:t>ARIZONA ATTORNEYS FOR CRIMINAL JUSTICE</w:t>
      </w:r>
    </w:p>
    <w:p w14:paraId="5A6DF377" w14:textId="59842395" w:rsidR="005B712D" w:rsidRPr="00F31940" w:rsidRDefault="005B712D" w:rsidP="005B712D">
      <w:pPr>
        <w:pStyle w:val="AttorneyName"/>
        <w:spacing w:line="240" w:lineRule="auto"/>
        <w:rPr>
          <w:rFonts w:ascii="Times New Roman" w:hAnsi="Times New Roman"/>
          <w:bCs/>
          <w:sz w:val="28"/>
          <w:szCs w:val="28"/>
        </w:rPr>
      </w:pPr>
      <w:r w:rsidRPr="00F31940">
        <w:rPr>
          <w:rFonts w:ascii="Times New Roman" w:hAnsi="Times New Roman"/>
          <w:bCs/>
          <w:sz w:val="28"/>
          <w:szCs w:val="28"/>
        </w:rPr>
        <w:t>c/o Mitchell Stein Carey Chapman, PC</w:t>
      </w:r>
    </w:p>
    <w:p w14:paraId="67C7197F" w14:textId="74FC606D" w:rsidR="00F31940" w:rsidRPr="00F31940" w:rsidRDefault="005B712D" w:rsidP="005B712D">
      <w:pPr>
        <w:pStyle w:val="AttorneyName"/>
        <w:spacing w:line="240" w:lineRule="auto"/>
        <w:rPr>
          <w:rFonts w:ascii="Times New Roman" w:hAnsi="Times New Roman"/>
          <w:bCs/>
          <w:sz w:val="28"/>
          <w:szCs w:val="28"/>
        </w:rPr>
      </w:pPr>
      <w:r w:rsidRPr="00F31940">
        <w:rPr>
          <w:rFonts w:ascii="Times New Roman" w:hAnsi="Times New Roman"/>
          <w:bCs/>
          <w:sz w:val="28"/>
          <w:szCs w:val="28"/>
        </w:rPr>
        <w:t xml:space="preserve">2600 N. Central Ave, Suite </w:t>
      </w:r>
      <w:r w:rsidR="00F31940" w:rsidRPr="00F31940">
        <w:rPr>
          <w:rFonts w:ascii="Times New Roman" w:hAnsi="Times New Roman"/>
          <w:bCs/>
          <w:sz w:val="28"/>
          <w:szCs w:val="28"/>
        </w:rPr>
        <w:t>1000</w:t>
      </w:r>
    </w:p>
    <w:p w14:paraId="226C172C" w14:textId="7D7E5874" w:rsidR="005B712D" w:rsidRDefault="00F31940" w:rsidP="005B712D">
      <w:pPr>
        <w:pStyle w:val="AttorneyName"/>
        <w:spacing w:line="240" w:lineRule="auto"/>
        <w:rPr>
          <w:rFonts w:ascii="Times New Roman" w:hAnsi="Times New Roman"/>
          <w:bCs/>
          <w:sz w:val="28"/>
          <w:szCs w:val="28"/>
        </w:rPr>
      </w:pPr>
      <w:r w:rsidRPr="00F31940">
        <w:rPr>
          <w:rFonts w:ascii="Times New Roman" w:hAnsi="Times New Roman"/>
          <w:bCs/>
          <w:sz w:val="28"/>
          <w:szCs w:val="28"/>
        </w:rPr>
        <w:t>Phoenix, AZ 85004</w:t>
      </w:r>
    </w:p>
    <w:p w14:paraId="451DDB49" w14:textId="2892E54C" w:rsidR="00F31940" w:rsidRDefault="00F31940" w:rsidP="005B712D">
      <w:pPr>
        <w:pStyle w:val="AttorneyName"/>
        <w:spacing w:line="240" w:lineRule="auto"/>
        <w:rPr>
          <w:rFonts w:ascii="Times New Roman" w:hAnsi="Times New Roman"/>
          <w:bCs/>
          <w:sz w:val="28"/>
          <w:szCs w:val="28"/>
        </w:rPr>
      </w:pPr>
      <w:r>
        <w:rPr>
          <w:rFonts w:ascii="Times New Roman" w:hAnsi="Times New Roman"/>
          <w:bCs/>
          <w:sz w:val="28"/>
          <w:szCs w:val="28"/>
        </w:rPr>
        <w:t>Telephone: 602-358-0290</w:t>
      </w:r>
    </w:p>
    <w:p w14:paraId="30F75647" w14:textId="5DB439BB" w:rsidR="00F31940" w:rsidRPr="00F31940" w:rsidRDefault="00F31940" w:rsidP="005B712D">
      <w:pPr>
        <w:pStyle w:val="AttorneyName"/>
        <w:spacing w:line="240" w:lineRule="auto"/>
        <w:rPr>
          <w:rStyle w:val="Hyperlink"/>
          <w:rFonts w:ascii="Times New Roman" w:hAnsi="Times New Roman"/>
          <w:bCs/>
          <w:color w:val="auto"/>
          <w:sz w:val="28"/>
          <w:szCs w:val="28"/>
          <w:u w:val="none"/>
        </w:rPr>
      </w:pPr>
      <w:r>
        <w:rPr>
          <w:rFonts w:ascii="Times New Roman" w:hAnsi="Times New Roman"/>
          <w:bCs/>
          <w:sz w:val="28"/>
          <w:szCs w:val="28"/>
        </w:rPr>
        <w:t>Facsimile:  602-358-0291</w:t>
      </w:r>
    </w:p>
    <w:p w14:paraId="6E117CC4" w14:textId="4C390E69" w:rsidR="00F31940" w:rsidRDefault="00C7754A" w:rsidP="005B712D">
      <w:pPr>
        <w:pStyle w:val="AttorneyName"/>
        <w:spacing w:line="240" w:lineRule="auto"/>
        <w:rPr>
          <w:rStyle w:val="Hyperlink"/>
          <w:rFonts w:ascii="Times New Roman" w:hAnsi="Times New Roman"/>
          <w:bCs/>
          <w:color w:val="auto"/>
          <w:sz w:val="28"/>
          <w:szCs w:val="28"/>
          <w:u w:val="none"/>
        </w:rPr>
      </w:pPr>
      <w:hyperlink r:id="rId7" w:history="1">
        <w:r w:rsidR="00F31940" w:rsidRPr="00F31940">
          <w:rPr>
            <w:rStyle w:val="Hyperlink"/>
            <w:rFonts w:ascii="Times New Roman" w:hAnsi="Times New Roman"/>
            <w:bCs/>
            <w:sz w:val="28"/>
            <w:szCs w:val="28"/>
          </w:rPr>
          <w:t>LBivens@mscclaw.com</w:t>
        </w:r>
      </w:hyperlink>
    </w:p>
    <w:p w14:paraId="3541796E" w14:textId="371B29B3" w:rsidR="00F31940" w:rsidRPr="00F31940" w:rsidRDefault="00F31940" w:rsidP="005B712D">
      <w:pPr>
        <w:pStyle w:val="AttorneyName"/>
        <w:spacing w:line="240" w:lineRule="auto"/>
        <w:rPr>
          <w:rStyle w:val="Hyperlink"/>
          <w:rFonts w:ascii="Times New Roman" w:hAnsi="Times New Roman"/>
          <w:bCs/>
          <w:color w:val="auto"/>
          <w:sz w:val="28"/>
          <w:szCs w:val="28"/>
          <w:u w:val="none"/>
        </w:rPr>
      </w:pPr>
      <w:r>
        <w:rPr>
          <w:rFonts w:ascii="Times New Roman" w:hAnsi="Times New Roman"/>
          <w:bCs/>
          <w:sz w:val="28"/>
          <w:szCs w:val="28"/>
        </w:rPr>
        <w:t xml:space="preserve">Arizona Bar </w:t>
      </w:r>
      <w:r w:rsidRPr="00F31940">
        <w:rPr>
          <w:rFonts w:ascii="Times New Roman" w:hAnsi="Times New Roman"/>
          <w:bCs/>
          <w:sz w:val="28"/>
          <w:szCs w:val="28"/>
        </w:rPr>
        <w:t>#</w:t>
      </w:r>
      <w:r>
        <w:rPr>
          <w:rFonts w:ascii="Times New Roman" w:hAnsi="Times New Roman"/>
          <w:bCs/>
          <w:sz w:val="28"/>
          <w:szCs w:val="28"/>
        </w:rPr>
        <w:t xml:space="preserve"> </w:t>
      </w:r>
      <w:r w:rsidRPr="00F31940">
        <w:rPr>
          <w:rFonts w:ascii="Times New Roman" w:hAnsi="Times New Roman"/>
          <w:bCs/>
          <w:sz w:val="28"/>
          <w:szCs w:val="28"/>
        </w:rPr>
        <w:t>034075</w:t>
      </w:r>
    </w:p>
    <w:p w14:paraId="5A41D893" w14:textId="77777777" w:rsidR="00F31940" w:rsidRDefault="00F31940" w:rsidP="005B712D">
      <w:pPr>
        <w:pStyle w:val="AttorneyName"/>
        <w:spacing w:line="240" w:lineRule="auto"/>
        <w:rPr>
          <w:rFonts w:ascii="Times New Roman" w:hAnsi="Times New Roman"/>
          <w:b/>
          <w:sz w:val="28"/>
          <w:szCs w:val="28"/>
        </w:rPr>
      </w:pPr>
    </w:p>
    <w:p w14:paraId="35D23224" w14:textId="77777777" w:rsidR="00F31940" w:rsidRPr="00F31940" w:rsidRDefault="00F31940" w:rsidP="005B712D">
      <w:pPr>
        <w:pStyle w:val="AttorneyName"/>
        <w:spacing w:line="240" w:lineRule="auto"/>
        <w:rPr>
          <w:rFonts w:ascii="Times New Roman" w:hAnsi="Times New Roman"/>
          <w:b/>
          <w:sz w:val="28"/>
          <w:szCs w:val="28"/>
        </w:rPr>
      </w:pPr>
    </w:p>
    <w:p w14:paraId="27C1C9A9" w14:textId="77777777" w:rsidR="005B712D" w:rsidRPr="004A3C8F" w:rsidRDefault="005B712D" w:rsidP="005B712D">
      <w:pPr>
        <w:pStyle w:val="AttorneyName"/>
        <w:spacing w:line="240" w:lineRule="auto"/>
        <w:jc w:val="center"/>
        <w:rPr>
          <w:rFonts w:ascii="Times New Roman" w:hAnsi="Times New Roman"/>
          <w:b/>
          <w:sz w:val="28"/>
          <w:szCs w:val="28"/>
        </w:rPr>
      </w:pPr>
      <w:r w:rsidRPr="004A3C8F">
        <w:rPr>
          <w:rFonts w:ascii="Times New Roman" w:hAnsi="Times New Roman"/>
          <w:b/>
          <w:sz w:val="28"/>
          <w:szCs w:val="28"/>
        </w:rPr>
        <w:t>IN THE SUPREME COURT OF THE STATE OF ARIZONA</w:t>
      </w:r>
    </w:p>
    <w:p w14:paraId="506219CE" w14:textId="77777777" w:rsidR="005B712D" w:rsidRPr="004A3C8F" w:rsidRDefault="005B712D" w:rsidP="005B712D">
      <w:pPr>
        <w:pStyle w:val="AttorneyName"/>
        <w:jc w:val="center"/>
        <w:rPr>
          <w:rFonts w:ascii="Times New Roman" w:hAnsi="Times New Roman"/>
          <w:b/>
          <w:sz w:val="28"/>
          <w:szCs w:val="28"/>
        </w:rPr>
      </w:pPr>
    </w:p>
    <w:p w14:paraId="5E84E3A1" w14:textId="77777777" w:rsidR="005B712D" w:rsidRPr="004A3C8F" w:rsidRDefault="005B712D" w:rsidP="005B712D">
      <w:pPr>
        <w:pStyle w:val="AttorneyName"/>
        <w:rPr>
          <w:rFonts w:ascii="Times New Roman" w:hAnsi="Times New Roman"/>
          <w:b/>
          <w:sz w:val="28"/>
          <w:szCs w:val="28"/>
        </w:rPr>
      </w:pPr>
    </w:p>
    <w:tbl>
      <w:tblPr>
        <w:tblW w:w="9360" w:type="dxa"/>
        <w:tblLayout w:type="fixed"/>
        <w:tblCellMar>
          <w:left w:w="0" w:type="dxa"/>
          <w:right w:w="0" w:type="dxa"/>
        </w:tblCellMar>
        <w:tblLook w:val="04A0" w:firstRow="1" w:lastRow="0" w:firstColumn="1" w:lastColumn="0" w:noHBand="0" w:noVBand="1"/>
      </w:tblPr>
      <w:tblGrid>
        <w:gridCol w:w="4542"/>
        <w:gridCol w:w="276"/>
        <w:gridCol w:w="4542"/>
      </w:tblGrid>
      <w:tr w:rsidR="005B712D" w:rsidRPr="004A3C8F" w14:paraId="7D67C91C" w14:textId="77777777" w:rsidTr="005B712D">
        <w:tc>
          <w:tcPr>
            <w:tcW w:w="4542" w:type="dxa"/>
            <w:tcBorders>
              <w:top w:val="nil"/>
              <w:left w:val="nil"/>
              <w:bottom w:val="single" w:sz="4" w:space="0" w:color="auto"/>
              <w:right w:val="nil"/>
            </w:tcBorders>
          </w:tcPr>
          <w:p w14:paraId="60D4507D" w14:textId="48807F48" w:rsidR="00EA3BEB" w:rsidRPr="009A783C" w:rsidRDefault="00EA3BEB" w:rsidP="00EA3BEB">
            <w:pPr>
              <w:autoSpaceDE w:val="0"/>
              <w:autoSpaceDN w:val="0"/>
              <w:adjustRightInd w:val="0"/>
              <w:jc w:val="both"/>
              <w:rPr>
                <w:rFonts w:ascii="Times New Roman" w:hAnsi="Times New Roman"/>
                <w:bCs/>
                <w:sz w:val="28"/>
                <w:szCs w:val="28"/>
              </w:rPr>
            </w:pPr>
            <w:bookmarkStart w:id="0" w:name="Parties"/>
            <w:bookmarkEnd w:id="0"/>
            <w:r w:rsidRPr="009A783C">
              <w:rPr>
                <w:rFonts w:ascii="Times New Roman" w:hAnsi="Times New Roman"/>
                <w:bCs/>
                <w:color w:val="000000"/>
                <w:sz w:val="28"/>
                <w:szCs w:val="28"/>
              </w:rPr>
              <w:t xml:space="preserve">In </w:t>
            </w:r>
            <w:r w:rsidR="009A783C" w:rsidRPr="009A783C">
              <w:rPr>
                <w:rFonts w:ascii="Times New Roman" w:hAnsi="Times New Roman"/>
                <w:bCs/>
                <w:color w:val="000000"/>
                <w:sz w:val="28"/>
                <w:szCs w:val="28"/>
              </w:rPr>
              <w:t>the Matter of</w:t>
            </w:r>
            <w:r w:rsidRPr="009A783C">
              <w:rPr>
                <w:rFonts w:ascii="Times New Roman" w:hAnsi="Times New Roman"/>
                <w:bCs/>
                <w:color w:val="000000"/>
                <w:sz w:val="28"/>
                <w:szCs w:val="28"/>
              </w:rPr>
              <w:t xml:space="preserve">: </w:t>
            </w:r>
          </w:p>
          <w:p w14:paraId="122F9E5F" w14:textId="77777777" w:rsidR="005B712D" w:rsidRPr="009A783C" w:rsidRDefault="005B712D" w:rsidP="002E017D">
            <w:pPr>
              <w:tabs>
                <w:tab w:val="left" w:pos="1500"/>
              </w:tabs>
              <w:spacing w:line="240" w:lineRule="auto"/>
              <w:rPr>
                <w:rFonts w:ascii="Times New Roman" w:hAnsi="Times New Roman"/>
                <w:bCs/>
                <w:sz w:val="28"/>
                <w:szCs w:val="28"/>
              </w:rPr>
            </w:pPr>
          </w:p>
          <w:p w14:paraId="57633363" w14:textId="20675A1B" w:rsidR="00EA3BEB" w:rsidRPr="004A3C8F" w:rsidRDefault="009A783C" w:rsidP="002E017D">
            <w:pPr>
              <w:tabs>
                <w:tab w:val="left" w:pos="1500"/>
              </w:tabs>
              <w:spacing w:line="240" w:lineRule="auto"/>
              <w:rPr>
                <w:rFonts w:ascii="Times New Roman" w:hAnsi="Times New Roman"/>
                <w:sz w:val="28"/>
                <w:szCs w:val="28"/>
              </w:rPr>
            </w:pPr>
            <w:r w:rsidRPr="009A783C">
              <w:rPr>
                <w:rFonts w:ascii="Times New Roman" w:hAnsi="Times New Roman"/>
                <w:bCs/>
                <w:sz w:val="28"/>
                <w:szCs w:val="28"/>
              </w:rPr>
              <w:t>Petition to Amend Rule 14.4 and Rule 17.2 of the Arizona Rules of Criminal Procedure</w:t>
            </w:r>
          </w:p>
        </w:tc>
        <w:tc>
          <w:tcPr>
            <w:tcW w:w="276" w:type="dxa"/>
            <w:hideMark/>
          </w:tcPr>
          <w:p w14:paraId="13B7530E"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p w14:paraId="7AF9FDC0"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p w14:paraId="63889B65"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p w14:paraId="0ABE5A38"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p w14:paraId="4397D8BB"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p w14:paraId="3362553A"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p w14:paraId="5E6C5CFF"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p w14:paraId="7E38950C" w14:textId="77777777" w:rsidR="005B712D" w:rsidRPr="004A3C8F" w:rsidRDefault="005B712D">
            <w:pPr>
              <w:pStyle w:val="SingleSpacing"/>
              <w:spacing w:line="240" w:lineRule="auto"/>
              <w:rPr>
                <w:rFonts w:ascii="Times New Roman" w:hAnsi="Times New Roman"/>
                <w:sz w:val="28"/>
                <w:szCs w:val="28"/>
              </w:rPr>
            </w:pPr>
            <w:r w:rsidRPr="004A3C8F">
              <w:rPr>
                <w:rFonts w:ascii="Times New Roman" w:hAnsi="Times New Roman"/>
                <w:sz w:val="28"/>
                <w:szCs w:val="28"/>
              </w:rPr>
              <w:t>)</w:t>
            </w:r>
          </w:p>
        </w:tc>
        <w:tc>
          <w:tcPr>
            <w:tcW w:w="4542" w:type="dxa"/>
          </w:tcPr>
          <w:p w14:paraId="0FDC1994" w14:textId="6D614AD3" w:rsidR="009A783C" w:rsidRPr="009A783C" w:rsidRDefault="009A783C">
            <w:pPr>
              <w:pStyle w:val="SingleSpacing"/>
              <w:spacing w:line="240" w:lineRule="auto"/>
              <w:rPr>
                <w:rFonts w:ascii="Times New Roman" w:hAnsi="Times New Roman"/>
                <w:bCs/>
                <w:sz w:val="28"/>
                <w:szCs w:val="28"/>
              </w:rPr>
            </w:pPr>
            <w:r w:rsidRPr="009A783C">
              <w:rPr>
                <w:rFonts w:ascii="Times New Roman" w:hAnsi="Times New Roman"/>
                <w:bCs/>
                <w:sz w:val="28"/>
                <w:szCs w:val="28"/>
              </w:rPr>
              <w:t>Supreme Court No. R-24-0025</w:t>
            </w:r>
          </w:p>
          <w:p w14:paraId="40A854F3" w14:textId="77777777" w:rsidR="009A783C" w:rsidRDefault="009A783C">
            <w:pPr>
              <w:pStyle w:val="SingleSpacing"/>
              <w:spacing w:line="240" w:lineRule="auto"/>
              <w:rPr>
                <w:rFonts w:ascii="Times New Roman" w:hAnsi="Times New Roman"/>
                <w:b/>
                <w:sz w:val="28"/>
                <w:szCs w:val="28"/>
              </w:rPr>
            </w:pPr>
          </w:p>
          <w:p w14:paraId="78E17C3B" w14:textId="09CE0BD3" w:rsidR="005B712D" w:rsidRPr="004A3C8F" w:rsidRDefault="00EA3BEB">
            <w:pPr>
              <w:pStyle w:val="SingleSpacing"/>
              <w:spacing w:line="240" w:lineRule="auto"/>
              <w:rPr>
                <w:rFonts w:ascii="Times New Roman" w:hAnsi="Times New Roman"/>
                <w:b/>
                <w:i/>
                <w:sz w:val="28"/>
                <w:szCs w:val="28"/>
              </w:rPr>
            </w:pPr>
            <w:r w:rsidRPr="004A3C8F">
              <w:rPr>
                <w:rFonts w:ascii="Times New Roman" w:hAnsi="Times New Roman"/>
                <w:b/>
                <w:sz w:val="28"/>
                <w:szCs w:val="28"/>
              </w:rPr>
              <w:t xml:space="preserve">Comment by Arizona Attorneys for Criminal Justice Supporting the </w:t>
            </w:r>
            <w:r w:rsidR="005B712D" w:rsidRPr="004A3C8F">
              <w:rPr>
                <w:rFonts w:ascii="Times New Roman" w:hAnsi="Times New Roman"/>
                <w:b/>
                <w:sz w:val="28"/>
                <w:szCs w:val="28"/>
              </w:rPr>
              <w:t xml:space="preserve">Petition to Amend </w:t>
            </w:r>
            <w:r w:rsidR="002E017D" w:rsidRPr="004A3C8F">
              <w:rPr>
                <w:rFonts w:ascii="Times New Roman" w:hAnsi="Times New Roman"/>
                <w:b/>
                <w:sz w:val="28"/>
                <w:szCs w:val="28"/>
              </w:rPr>
              <w:t xml:space="preserve">Rule 14.4 and Rule 17.2 of the Arizona Rules of Criminal Procedure </w:t>
            </w:r>
          </w:p>
        </w:tc>
      </w:tr>
    </w:tbl>
    <w:p w14:paraId="119B23BF" w14:textId="77777777" w:rsidR="005B712D" w:rsidRPr="004A3C8F" w:rsidRDefault="005B712D" w:rsidP="005B712D">
      <w:pPr>
        <w:spacing w:line="480" w:lineRule="auto"/>
        <w:jc w:val="both"/>
        <w:rPr>
          <w:rFonts w:ascii="Times New Roman" w:hAnsi="Times New Roman"/>
          <w:sz w:val="28"/>
          <w:szCs w:val="28"/>
        </w:rPr>
      </w:pPr>
    </w:p>
    <w:p w14:paraId="07B71182" w14:textId="40479007" w:rsidR="005B712D" w:rsidRPr="004A3C8F" w:rsidRDefault="005B712D" w:rsidP="005B712D">
      <w:pPr>
        <w:spacing w:line="480" w:lineRule="auto"/>
        <w:ind w:firstLine="720"/>
        <w:jc w:val="both"/>
        <w:rPr>
          <w:rFonts w:ascii="Times New Roman" w:hAnsi="Times New Roman"/>
          <w:sz w:val="28"/>
          <w:szCs w:val="28"/>
        </w:rPr>
      </w:pPr>
      <w:r w:rsidRPr="004A3C8F">
        <w:rPr>
          <w:rFonts w:ascii="Times New Roman" w:hAnsi="Times New Roman"/>
          <w:sz w:val="28"/>
          <w:szCs w:val="28"/>
        </w:rPr>
        <w:t xml:space="preserve">Pursuant to Rule 28 of the Arizona Rules of the Supreme Court, Arizona Attorneys for Criminal Justice (“AACJ”) hereby submits the following comment on the petition to amend </w:t>
      </w:r>
      <w:r w:rsidR="002E017D" w:rsidRPr="004A3C8F">
        <w:rPr>
          <w:rFonts w:ascii="Times New Roman" w:hAnsi="Times New Roman"/>
          <w:sz w:val="28"/>
          <w:szCs w:val="28"/>
        </w:rPr>
        <w:t>Rule 14.4 and Rule 17.2 of the Arizona Rules of Criminal Procedure.</w:t>
      </w:r>
    </w:p>
    <w:p w14:paraId="152767C5" w14:textId="77777777" w:rsidR="005B712D" w:rsidRPr="004A3C8F" w:rsidRDefault="005B712D" w:rsidP="005B712D">
      <w:pPr>
        <w:spacing w:line="480" w:lineRule="auto"/>
        <w:ind w:firstLine="720"/>
        <w:jc w:val="both"/>
        <w:rPr>
          <w:rFonts w:ascii="Times New Roman" w:hAnsi="Times New Roman"/>
          <w:sz w:val="28"/>
          <w:szCs w:val="28"/>
        </w:rPr>
      </w:pPr>
      <w:r w:rsidRPr="004A3C8F">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w:t>
      </w:r>
      <w:r w:rsidRPr="004A3C8F">
        <w:rPr>
          <w:rFonts w:ascii="Times New Roman" w:hAnsi="Times New Roman"/>
          <w:sz w:val="28"/>
          <w:szCs w:val="28"/>
        </w:rPr>
        <w:lastRenderedPageBreak/>
        <w:t>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760E676C" w14:textId="452541DA" w:rsidR="00130CDE" w:rsidRPr="004A3C8F" w:rsidRDefault="003E108C" w:rsidP="005F5B45">
      <w:pPr>
        <w:spacing w:line="480" w:lineRule="auto"/>
        <w:ind w:firstLine="720"/>
        <w:rPr>
          <w:rFonts w:ascii="Times New Roman" w:hAnsi="Times New Roman"/>
          <w:sz w:val="28"/>
          <w:szCs w:val="28"/>
        </w:rPr>
      </w:pPr>
      <w:r w:rsidRPr="004A3C8F">
        <w:rPr>
          <w:rFonts w:ascii="Times New Roman" w:hAnsi="Times New Roman"/>
          <w:sz w:val="28"/>
          <w:szCs w:val="28"/>
        </w:rPr>
        <w:t>AACJ strongly supports the</w:t>
      </w:r>
      <w:r w:rsidR="005F5B45" w:rsidRPr="004A3C8F">
        <w:rPr>
          <w:rFonts w:ascii="Times New Roman" w:hAnsi="Times New Roman"/>
          <w:sz w:val="28"/>
          <w:szCs w:val="28"/>
        </w:rPr>
        <w:t xml:space="preserve"> two related</w:t>
      </w:r>
      <w:r w:rsidRPr="004A3C8F">
        <w:rPr>
          <w:rFonts w:ascii="Times New Roman" w:hAnsi="Times New Roman"/>
          <w:sz w:val="28"/>
          <w:szCs w:val="28"/>
        </w:rPr>
        <w:t xml:space="preserve"> proposed rule changes</w:t>
      </w:r>
      <w:r w:rsidR="005F5B45" w:rsidRPr="004A3C8F">
        <w:rPr>
          <w:rFonts w:ascii="Times New Roman" w:hAnsi="Times New Roman"/>
          <w:sz w:val="28"/>
          <w:szCs w:val="28"/>
        </w:rPr>
        <w:t xml:space="preserve"> combined into R-24-0025</w:t>
      </w:r>
      <w:r w:rsidRPr="004A3C8F">
        <w:rPr>
          <w:rFonts w:ascii="Times New Roman" w:hAnsi="Times New Roman"/>
          <w:sz w:val="28"/>
          <w:szCs w:val="28"/>
        </w:rPr>
        <w:t xml:space="preserve">; they will meaningfully improve transparency in the criminal justice process and will cost virtually nothing to implement. </w:t>
      </w:r>
      <w:r w:rsidR="005B712D" w:rsidRPr="004A3C8F">
        <w:rPr>
          <w:rFonts w:ascii="Times New Roman" w:hAnsi="Times New Roman"/>
          <w:sz w:val="28"/>
          <w:szCs w:val="28"/>
        </w:rPr>
        <w:t>As the task force correctly identified, advisement about the collateral consequences of criminal convictions is critical</w:t>
      </w:r>
      <w:r w:rsidRPr="004A3C8F">
        <w:rPr>
          <w:rFonts w:ascii="Times New Roman" w:hAnsi="Times New Roman"/>
          <w:sz w:val="28"/>
          <w:szCs w:val="28"/>
        </w:rPr>
        <w:t xml:space="preserve"> </w:t>
      </w:r>
      <w:r w:rsidR="005B712D" w:rsidRPr="004A3C8F">
        <w:rPr>
          <w:rFonts w:ascii="Times New Roman" w:hAnsi="Times New Roman"/>
          <w:sz w:val="28"/>
          <w:szCs w:val="28"/>
        </w:rPr>
        <w:t>to ensuring that defendants have notice as to what the</w:t>
      </w:r>
      <w:r w:rsidR="00130CDE" w:rsidRPr="004A3C8F">
        <w:rPr>
          <w:rFonts w:ascii="Times New Roman" w:hAnsi="Times New Roman"/>
          <w:sz w:val="28"/>
          <w:szCs w:val="28"/>
        </w:rPr>
        <w:t xml:space="preserve"> real</w:t>
      </w:r>
      <w:r w:rsidR="005B712D" w:rsidRPr="004A3C8F">
        <w:rPr>
          <w:rFonts w:ascii="Times New Roman" w:hAnsi="Times New Roman"/>
          <w:sz w:val="28"/>
          <w:szCs w:val="28"/>
        </w:rPr>
        <w:t xml:space="preserve"> impact of a</w:t>
      </w:r>
      <w:r w:rsidR="005F5B45" w:rsidRPr="004A3C8F">
        <w:rPr>
          <w:rFonts w:ascii="Times New Roman" w:hAnsi="Times New Roman"/>
          <w:sz w:val="28"/>
          <w:szCs w:val="28"/>
        </w:rPr>
        <w:t xml:space="preserve"> criminal</w:t>
      </w:r>
      <w:r w:rsidR="005B712D" w:rsidRPr="004A3C8F">
        <w:rPr>
          <w:rFonts w:ascii="Times New Roman" w:hAnsi="Times New Roman"/>
          <w:sz w:val="28"/>
          <w:szCs w:val="28"/>
        </w:rPr>
        <w:t xml:space="preserve"> plea agreement will be</w:t>
      </w:r>
      <w:r w:rsidRPr="004A3C8F">
        <w:rPr>
          <w:rFonts w:ascii="Times New Roman" w:hAnsi="Times New Roman"/>
          <w:sz w:val="28"/>
          <w:szCs w:val="28"/>
        </w:rPr>
        <w:t xml:space="preserve">. </w:t>
      </w:r>
      <w:r w:rsidR="005F5B45" w:rsidRPr="004A3C8F">
        <w:rPr>
          <w:rFonts w:ascii="Times New Roman" w:hAnsi="Times New Roman"/>
          <w:sz w:val="28"/>
          <w:szCs w:val="28"/>
        </w:rPr>
        <w:t xml:space="preserve"> </w:t>
      </w:r>
      <w:r w:rsidRPr="004A3C8F">
        <w:rPr>
          <w:rFonts w:ascii="Times New Roman" w:hAnsi="Times New Roman"/>
          <w:sz w:val="28"/>
          <w:szCs w:val="28"/>
        </w:rPr>
        <w:t>As one scholar put it, “</w:t>
      </w:r>
      <w:r w:rsidR="00130CDE" w:rsidRPr="004A3C8F">
        <w:rPr>
          <w:rFonts w:ascii="Times New Roman" w:hAnsi="Times New Roman"/>
          <w:sz w:val="28"/>
          <w:szCs w:val="28"/>
        </w:rPr>
        <w:t>[f]</w:t>
      </w:r>
      <w:r w:rsidRPr="004A3C8F">
        <w:rPr>
          <w:rFonts w:ascii="Times New Roman" w:hAnsi="Times New Roman"/>
          <w:sz w:val="28"/>
          <w:szCs w:val="28"/>
        </w:rPr>
        <w:t>or many people convicted of crimes, the most severe and long-lasting effect of conviction is not imprisonment or fine. Rather, it is being subjected to collateral consequences involving the actual or potential loss of civil rights, parental rights, public benefits, and employment opportunities.”</w:t>
      </w:r>
      <w:r w:rsidRPr="004A3C8F">
        <w:rPr>
          <w:rStyle w:val="FootnoteReference"/>
          <w:rFonts w:ascii="Times New Roman" w:hAnsi="Times New Roman"/>
          <w:sz w:val="28"/>
          <w:szCs w:val="28"/>
        </w:rPr>
        <w:footnoteReference w:id="1"/>
      </w:r>
      <w:r w:rsidRPr="004A3C8F">
        <w:rPr>
          <w:rFonts w:ascii="Times New Roman" w:hAnsi="Times New Roman"/>
          <w:sz w:val="28"/>
          <w:szCs w:val="28"/>
        </w:rPr>
        <w:t xml:space="preserve">  Another noted that collateral consequences “are frequently the most important result of a criminal conviction.”</w:t>
      </w:r>
      <w:r w:rsidRPr="004A3C8F">
        <w:rPr>
          <w:rStyle w:val="FootnoteReference"/>
          <w:rFonts w:ascii="Times New Roman" w:hAnsi="Times New Roman"/>
          <w:sz w:val="28"/>
          <w:szCs w:val="28"/>
        </w:rPr>
        <w:footnoteReference w:id="2"/>
      </w:r>
      <w:r w:rsidRPr="004A3C8F">
        <w:rPr>
          <w:rFonts w:ascii="Times New Roman" w:hAnsi="Times New Roman"/>
          <w:sz w:val="28"/>
          <w:szCs w:val="28"/>
        </w:rPr>
        <w:t xml:space="preserve"> </w:t>
      </w:r>
    </w:p>
    <w:p w14:paraId="16D6FAEA" w14:textId="2B3AFFD1" w:rsidR="00FE2877" w:rsidRPr="004A3C8F" w:rsidRDefault="003E108C" w:rsidP="00EA3BEB">
      <w:pPr>
        <w:spacing w:line="480" w:lineRule="auto"/>
        <w:ind w:firstLine="720"/>
        <w:rPr>
          <w:rFonts w:ascii="Times New Roman" w:hAnsi="Times New Roman"/>
          <w:sz w:val="28"/>
          <w:szCs w:val="28"/>
        </w:rPr>
      </w:pPr>
      <w:r w:rsidRPr="004A3C8F">
        <w:rPr>
          <w:rFonts w:ascii="Times New Roman" w:hAnsi="Times New Roman"/>
          <w:sz w:val="28"/>
          <w:szCs w:val="28"/>
        </w:rPr>
        <w:lastRenderedPageBreak/>
        <w:t xml:space="preserve">Regrettably, </w:t>
      </w:r>
      <w:r w:rsidR="005F5B45" w:rsidRPr="004A3C8F">
        <w:rPr>
          <w:rFonts w:ascii="Times New Roman" w:hAnsi="Times New Roman"/>
          <w:sz w:val="28"/>
          <w:szCs w:val="28"/>
        </w:rPr>
        <w:t>despite the well-documented importance of collateral consequences, they</w:t>
      </w:r>
      <w:r w:rsidRPr="004A3C8F">
        <w:rPr>
          <w:rFonts w:ascii="Times New Roman" w:hAnsi="Times New Roman"/>
          <w:sz w:val="28"/>
          <w:szCs w:val="28"/>
        </w:rPr>
        <w:t xml:space="preserve"> are also</w:t>
      </w:r>
      <w:r w:rsidR="00130CDE" w:rsidRPr="004A3C8F">
        <w:rPr>
          <w:rFonts w:ascii="Times New Roman" w:hAnsi="Times New Roman"/>
          <w:sz w:val="28"/>
          <w:szCs w:val="28"/>
        </w:rPr>
        <w:t xml:space="preserve"> often</w:t>
      </w:r>
      <w:r w:rsidRPr="004A3C8F">
        <w:rPr>
          <w:rFonts w:ascii="Times New Roman" w:hAnsi="Times New Roman"/>
          <w:sz w:val="28"/>
          <w:szCs w:val="28"/>
        </w:rPr>
        <w:t xml:space="preserve"> the least understood</w:t>
      </w:r>
      <w:r w:rsidR="007D08CA" w:rsidRPr="004A3C8F">
        <w:rPr>
          <w:rFonts w:ascii="Times New Roman" w:hAnsi="Times New Roman"/>
          <w:sz w:val="28"/>
          <w:szCs w:val="28"/>
        </w:rPr>
        <w:t xml:space="preserve"> </w:t>
      </w:r>
      <w:r w:rsidR="005F5B45" w:rsidRPr="004A3C8F">
        <w:rPr>
          <w:rFonts w:ascii="Times New Roman" w:hAnsi="Times New Roman"/>
          <w:sz w:val="28"/>
          <w:szCs w:val="28"/>
        </w:rPr>
        <w:t>part</w:t>
      </w:r>
      <w:r w:rsidR="00130CDE" w:rsidRPr="004A3C8F">
        <w:rPr>
          <w:rFonts w:ascii="Times New Roman" w:hAnsi="Times New Roman"/>
          <w:sz w:val="28"/>
          <w:szCs w:val="28"/>
        </w:rPr>
        <w:t xml:space="preserve"> of a criminal conviction—</w:t>
      </w:r>
      <w:r w:rsidR="007D08CA" w:rsidRPr="004A3C8F">
        <w:rPr>
          <w:rFonts w:ascii="Times New Roman" w:hAnsi="Times New Roman"/>
          <w:sz w:val="28"/>
          <w:szCs w:val="28"/>
        </w:rPr>
        <w:t>by defendants, courts, and prosecutors</w:t>
      </w:r>
      <w:r w:rsidR="00130CDE" w:rsidRPr="004A3C8F">
        <w:rPr>
          <w:rFonts w:ascii="Times New Roman" w:hAnsi="Times New Roman"/>
          <w:sz w:val="28"/>
          <w:szCs w:val="28"/>
        </w:rPr>
        <w:t>, alike</w:t>
      </w:r>
      <w:r w:rsidR="007D08CA" w:rsidRPr="004A3C8F">
        <w:rPr>
          <w:rFonts w:ascii="Times New Roman" w:hAnsi="Times New Roman"/>
          <w:sz w:val="28"/>
          <w:szCs w:val="28"/>
        </w:rPr>
        <w:t xml:space="preserve">.  </w:t>
      </w:r>
      <w:r w:rsidR="00130CDE" w:rsidRPr="004A3C8F">
        <w:rPr>
          <w:rFonts w:ascii="Times New Roman" w:hAnsi="Times New Roman"/>
          <w:sz w:val="28"/>
          <w:szCs w:val="28"/>
        </w:rPr>
        <w:t xml:space="preserve">This is because </w:t>
      </w:r>
      <w:r w:rsidR="007D08CA" w:rsidRPr="004A3C8F">
        <w:rPr>
          <w:rFonts w:ascii="Times New Roman" w:hAnsi="Times New Roman"/>
          <w:sz w:val="28"/>
          <w:szCs w:val="28"/>
        </w:rPr>
        <w:t>“[</w:t>
      </w:r>
      <w:r w:rsidR="00130CDE" w:rsidRPr="004A3C8F">
        <w:rPr>
          <w:rFonts w:ascii="Times New Roman" w:hAnsi="Times New Roman"/>
          <w:sz w:val="28"/>
          <w:szCs w:val="28"/>
        </w:rPr>
        <w:t>t</w:t>
      </w:r>
      <w:r w:rsidR="007D08CA" w:rsidRPr="004A3C8F">
        <w:rPr>
          <w:rFonts w:ascii="Times New Roman" w:hAnsi="Times New Roman"/>
          <w:sz w:val="28"/>
          <w:szCs w:val="28"/>
        </w:rPr>
        <w:t xml:space="preserve">]he depth and breadth of collateral consequences ‘tend to be unknown’ even to those working within the criminal justice system </w:t>
      </w:r>
      <w:r w:rsidR="005F5B45" w:rsidRPr="004A3C8F">
        <w:rPr>
          <w:rFonts w:ascii="Times New Roman" w:hAnsi="Times New Roman"/>
          <w:sz w:val="28"/>
          <w:szCs w:val="28"/>
        </w:rPr>
        <w:t>‘</w:t>
      </w:r>
      <w:r w:rsidR="007D08CA" w:rsidRPr="004A3C8F">
        <w:rPr>
          <w:rFonts w:ascii="Times New Roman" w:hAnsi="Times New Roman"/>
          <w:sz w:val="28"/>
          <w:szCs w:val="28"/>
        </w:rPr>
        <w:t>often because they are scattered throughout different bodies of law.</w:t>
      </w:r>
      <w:r w:rsidR="005F5B45" w:rsidRPr="004A3C8F">
        <w:rPr>
          <w:rFonts w:ascii="Times New Roman" w:hAnsi="Times New Roman"/>
          <w:sz w:val="28"/>
          <w:szCs w:val="28"/>
        </w:rPr>
        <w:t>’</w:t>
      </w:r>
      <w:r w:rsidR="007D08CA" w:rsidRPr="004A3C8F">
        <w:rPr>
          <w:rFonts w:ascii="Times New Roman" w:hAnsi="Times New Roman"/>
          <w:sz w:val="28"/>
          <w:szCs w:val="28"/>
        </w:rPr>
        <w:t>”</w:t>
      </w:r>
      <w:r w:rsidR="007D08CA" w:rsidRPr="004A3C8F">
        <w:rPr>
          <w:rStyle w:val="FootnoteReference"/>
          <w:rFonts w:ascii="Times New Roman" w:hAnsi="Times New Roman"/>
          <w:sz w:val="28"/>
          <w:szCs w:val="28"/>
        </w:rPr>
        <w:footnoteReference w:id="3"/>
      </w:r>
      <w:r w:rsidR="00130CDE" w:rsidRPr="004A3C8F">
        <w:rPr>
          <w:rFonts w:ascii="Times New Roman" w:hAnsi="Times New Roman"/>
          <w:sz w:val="28"/>
          <w:szCs w:val="28"/>
        </w:rPr>
        <w:t xml:space="preserve"> </w:t>
      </w:r>
      <w:r w:rsidR="00267BBE" w:rsidRPr="004A3C8F">
        <w:rPr>
          <w:rFonts w:ascii="Times New Roman" w:hAnsi="Times New Roman"/>
          <w:sz w:val="28"/>
          <w:szCs w:val="28"/>
        </w:rPr>
        <w:t>For instance, although the loss of civil rights and immigration rights are better known, the occupational hazards of a criminal conviction are far reaching in Arizona and are strewn the Arizona Revised Statutes.</w:t>
      </w:r>
      <w:r w:rsidR="00E5764F" w:rsidRPr="004A3C8F">
        <w:rPr>
          <w:rFonts w:ascii="Times New Roman" w:hAnsi="Times New Roman"/>
          <w:sz w:val="28"/>
          <w:szCs w:val="28"/>
        </w:rPr>
        <w:t xml:space="preserve">  </w:t>
      </w:r>
      <w:r w:rsidR="00E5764F" w:rsidRPr="004A3C8F">
        <w:rPr>
          <w:rFonts w:ascii="Times New Roman" w:hAnsi="Times New Roman"/>
          <w:i/>
          <w:iCs/>
          <w:sz w:val="28"/>
          <w:szCs w:val="28"/>
        </w:rPr>
        <w:t>See</w:t>
      </w:r>
      <w:r w:rsidR="00E5764F" w:rsidRPr="004A3C8F">
        <w:rPr>
          <w:rFonts w:ascii="Times New Roman" w:hAnsi="Times New Roman"/>
          <w:sz w:val="28"/>
          <w:szCs w:val="28"/>
        </w:rPr>
        <w:t xml:space="preserve">, </w:t>
      </w:r>
      <w:r w:rsidR="00E5764F" w:rsidRPr="004A3C8F">
        <w:rPr>
          <w:rFonts w:ascii="Times New Roman" w:hAnsi="Times New Roman"/>
          <w:i/>
          <w:iCs/>
          <w:sz w:val="28"/>
          <w:szCs w:val="28"/>
        </w:rPr>
        <w:t>e.g.</w:t>
      </w:r>
      <w:r w:rsidR="00E5764F" w:rsidRPr="004A3C8F">
        <w:rPr>
          <w:rFonts w:ascii="Times New Roman" w:hAnsi="Times New Roman"/>
          <w:sz w:val="28"/>
          <w:szCs w:val="28"/>
        </w:rPr>
        <w:t>, A.R.S. § 32-3208(A) (</w:t>
      </w:r>
      <w:r w:rsidR="005F5B45" w:rsidRPr="004A3C8F">
        <w:rPr>
          <w:rFonts w:ascii="Times New Roman" w:hAnsi="Times New Roman"/>
          <w:sz w:val="28"/>
          <w:szCs w:val="28"/>
        </w:rPr>
        <w:t xml:space="preserve">requiring </w:t>
      </w:r>
      <w:r w:rsidR="005F5B45" w:rsidRPr="004A3C8F">
        <w:rPr>
          <w:rFonts w:ascii="Times New Roman" w:hAnsi="Times New Roman"/>
          <w:i/>
          <w:iCs/>
          <w:sz w:val="28"/>
          <w:szCs w:val="28"/>
        </w:rPr>
        <w:t>all</w:t>
      </w:r>
      <w:r w:rsidR="00E5764F" w:rsidRPr="004A3C8F">
        <w:rPr>
          <w:rFonts w:ascii="Times New Roman" w:hAnsi="Times New Roman"/>
          <w:sz w:val="28"/>
          <w:szCs w:val="28"/>
        </w:rPr>
        <w:t xml:space="preserve"> health</w:t>
      </w:r>
      <w:r w:rsidR="005F5B45" w:rsidRPr="004A3C8F">
        <w:rPr>
          <w:rFonts w:ascii="Times New Roman" w:hAnsi="Times New Roman"/>
          <w:sz w:val="28"/>
          <w:szCs w:val="28"/>
        </w:rPr>
        <w:t>care</w:t>
      </w:r>
      <w:r w:rsidR="00E5764F" w:rsidRPr="004A3C8F">
        <w:rPr>
          <w:rFonts w:ascii="Times New Roman" w:hAnsi="Times New Roman"/>
          <w:sz w:val="28"/>
          <w:szCs w:val="28"/>
        </w:rPr>
        <w:t xml:space="preserve"> professional</w:t>
      </w:r>
      <w:r w:rsidR="005F5B45" w:rsidRPr="004A3C8F">
        <w:rPr>
          <w:rFonts w:ascii="Times New Roman" w:hAnsi="Times New Roman"/>
          <w:sz w:val="28"/>
          <w:szCs w:val="28"/>
        </w:rPr>
        <w:t>s</w:t>
      </w:r>
      <w:r w:rsidR="00E5764F" w:rsidRPr="004A3C8F">
        <w:rPr>
          <w:rFonts w:ascii="Times New Roman" w:hAnsi="Times New Roman"/>
          <w:sz w:val="28"/>
          <w:szCs w:val="28"/>
        </w:rPr>
        <w:t xml:space="preserve"> </w:t>
      </w:r>
      <w:r w:rsidR="005F5B45" w:rsidRPr="004A3C8F">
        <w:rPr>
          <w:rFonts w:ascii="Times New Roman" w:hAnsi="Times New Roman"/>
          <w:sz w:val="28"/>
          <w:szCs w:val="28"/>
        </w:rPr>
        <w:t>to report to their respective licensing agencies any charge for</w:t>
      </w:r>
      <w:r w:rsidR="00E5764F" w:rsidRPr="004A3C8F">
        <w:rPr>
          <w:rFonts w:ascii="Times New Roman" w:hAnsi="Times New Roman"/>
          <w:sz w:val="28"/>
          <w:szCs w:val="28"/>
        </w:rPr>
        <w:t xml:space="preserve"> a misdemeanor involving conduct that may affect patient safety); A.R.S. § 32-854.01 (making it an act of unprofessional conduct for a podiatrist to commit a felony or to commit a misdemeanor involving moral turpitude)</w:t>
      </w:r>
      <w:r w:rsidR="00EA3BEB" w:rsidRPr="004A3C8F">
        <w:rPr>
          <w:rFonts w:ascii="Times New Roman" w:hAnsi="Times New Roman"/>
          <w:sz w:val="28"/>
          <w:szCs w:val="28"/>
        </w:rPr>
        <w:t xml:space="preserve">; A.R.S. § 32-2232 (same, for veterinarians); </w:t>
      </w:r>
      <w:r w:rsidR="00EA3BEB" w:rsidRPr="004A3C8F">
        <w:rPr>
          <w:rFonts w:ascii="Times New Roman" w:hAnsi="Times New Roman"/>
          <w:color w:val="212121"/>
          <w:sz w:val="28"/>
          <w:szCs w:val="28"/>
        </w:rPr>
        <w:t>A.R.S. § 32-4253</w:t>
      </w:r>
      <w:r w:rsidR="00EA3BEB" w:rsidRPr="004A3C8F">
        <w:rPr>
          <w:rFonts w:ascii="Times New Roman" w:hAnsi="Times New Roman"/>
          <w:sz w:val="28"/>
          <w:szCs w:val="28"/>
        </w:rPr>
        <w:t xml:space="preserve"> (similar, for massage therapists).  In fact</w:t>
      </w:r>
      <w:r w:rsidR="00267BBE" w:rsidRPr="004A3C8F">
        <w:rPr>
          <w:rFonts w:ascii="Times New Roman" w:hAnsi="Times New Roman"/>
          <w:sz w:val="28"/>
          <w:szCs w:val="28"/>
        </w:rPr>
        <w:t>, most of the self-regulating professional licensing agencies in Arizona require self-reporting when a criminal charge is filed (and then an update when a resolution is reached)</w:t>
      </w:r>
      <w:r w:rsidR="005F5B45" w:rsidRPr="004A3C8F">
        <w:rPr>
          <w:rFonts w:ascii="Times New Roman" w:hAnsi="Times New Roman"/>
          <w:sz w:val="28"/>
          <w:szCs w:val="28"/>
        </w:rPr>
        <w:t>, and then will open a disciplinary investigation based on the report.  Disciplinary proceedings can then result in restrictions on a professional license, or bar eligibility completely</w:t>
      </w:r>
      <w:r w:rsidR="00267BBE" w:rsidRPr="004A3C8F">
        <w:rPr>
          <w:rFonts w:ascii="Times New Roman" w:hAnsi="Times New Roman"/>
          <w:sz w:val="28"/>
          <w:szCs w:val="28"/>
        </w:rPr>
        <w:t xml:space="preserve">.  However, a young criminal defendant might not be </w:t>
      </w:r>
      <w:r w:rsidR="00267BBE" w:rsidRPr="004A3C8F">
        <w:rPr>
          <w:rFonts w:ascii="Times New Roman" w:hAnsi="Times New Roman"/>
          <w:sz w:val="28"/>
          <w:szCs w:val="28"/>
        </w:rPr>
        <w:lastRenderedPageBreak/>
        <w:t xml:space="preserve">thinking, at their change of plea hearing, about what they want to be when they grow up and whether </w:t>
      </w:r>
      <w:r w:rsidR="005F5B45" w:rsidRPr="004A3C8F">
        <w:rPr>
          <w:rFonts w:ascii="Times New Roman" w:hAnsi="Times New Roman"/>
          <w:sz w:val="28"/>
          <w:szCs w:val="28"/>
        </w:rPr>
        <w:t>an</w:t>
      </w:r>
      <w:r w:rsidR="00267BBE" w:rsidRPr="004A3C8F">
        <w:rPr>
          <w:rFonts w:ascii="Times New Roman" w:hAnsi="Times New Roman"/>
          <w:sz w:val="28"/>
          <w:szCs w:val="28"/>
        </w:rPr>
        <w:t xml:space="preserve"> admission of guilt will pose a barrier to their </w:t>
      </w:r>
      <w:r w:rsidR="00EA3BEB" w:rsidRPr="004A3C8F">
        <w:rPr>
          <w:rFonts w:ascii="Times New Roman" w:hAnsi="Times New Roman"/>
          <w:sz w:val="28"/>
          <w:szCs w:val="28"/>
        </w:rPr>
        <w:t>future</w:t>
      </w:r>
      <w:r w:rsidR="00267BBE" w:rsidRPr="004A3C8F">
        <w:rPr>
          <w:rFonts w:ascii="Times New Roman" w:hAnsi="Times New Roman"/>
          <w:sz w:val="28"/>
          <w:szCs w:val="28"/>
        </w:rPr>
        <w:t xml:space="preserve"> </w:t>
      </w:r>
      <w:r w:rsidR="005F5B45" w:rsidRPr="004A3C8F">
        <w:rPr>
          <w:rFonts w:ascii="Times New Roman" w:hAnsi="Times New Roman"/>
          <w:sz w:val="28"/>
          <w:szCs w:val="28"/>
        </w:rPr>
        <w:t>career goals</w:t>
      </w:r>
      <w:r w:rsidR="00267BBE" w:rsidRPr="004A3C8F">
        <w:rPr>
          <w:rFonts w:ascii="Times New Roman" w:hAnsi="Times New Roman"/>
          <w:sz w:val="28"/>
          <w:szCs w:val="28"/>
        </w:rPr>
        <w:t xml:space="preserve">.  </w:t>
      </w:r>
    </w:p>
    <w:p w14:paraId="352125B0" w14:textId="77777777" w:rsidR="005F5B45" w:rsidRPr="004A3C8F" w:rsidRDefault="00267BBE" w:rsidP="005F356C">
      <w:pPr>
        <w:spacing w:line="480" w:lineRule="auto"/>
        <w:ind w:firstLine="720"/>
        <w:rPr>
          <w:rFonts w:ascii="Times New Roman" w:hAnsi="Times New Roman"/>
          <w:sz w:val="28"/>
          <w:szCs w:val="28"/>
        </w:rPr>
      </w:pPr>
      <w:r w:rsidRPr="004A3C8F">
        <w:rPr>
          <w:rFonts w:ascii="Times New Roman" w:hAnsi="Times New Roman"/>
          <w:sz w:val="28"/>
          <w:szCs w:val="28"/>
        </w:rPr>
        <w:t>The</w:t>
      </w:r>
      <w:r w:rsidR="00D622E1" w:rsidRPr="004A3C8F">
        <w:rPr>
          <w:rFonts w:ascii="Times New Roman" w:hAnsi="Times New Roman"/>
          <w:sz w:val="28"/>
          <w:szCs w:val="28"/>
        </w:rPr>
        <w:t xml:space="preserve"> comment submitted by the Arizona Prosecuting Attorney’s Advisory Council</w:t>
      </w:r>
      <w:r w:rsidR="00FE2877" w:rsidRPr="004A3C8F">
        <w:rPr>
          <w:rFonts w:ascii="Times New Roman" w:hAnsi="Times New Roman"/>
          <w:sz w:val="28"/>
          <w:szCs w:val="28"/>
        </w:rPr>
        <w:t xml:space="preserve"> and Maricopa County Attorney’s Office highlights the lack of understanding about how collateral consequences work, generally.  </w:t>
      </w:r>
      <w:r w:rsidR="00130CDE" w:rsidRPr="004A3C8F">
        <w:rPr>
          <w:rFonts w:ascii="Times New Roman" w:hAnsi="Times New Roman"/>
          <w:sz w:val="28"/>
          <w:szCs w:val="28"/>
        </w:rPr>
        <w:t>To be sure, it is virtually impossible to advise a</w:t>
      </w:r>
      <w:r w:rsidR="00566816" w:rsidRPr="004A3C8F">
        <w:rPr>
          <w:rFonts w:ascii="Times New Roman" w:hAnsi="Times New Roman"/>
          <w:sz w:val="28"/>
          <w:szCs w:val="28"/>
        </w:rPr>
        <w:t>ny particular</w:t>
      </w:r>
      <w:r w:rsidR="00130CDE" w:rsidRPr="004A3C8F">
        <w:rPr>
          <w:rFonts w:ascii="Times New Roman" w:hAnsi="Times New Roman"/>
          <w:sz w:val="28"/>
          <w:szCs w:val="28"/>
        </w:rPr>
        <w:t xml:space="preserve"> criminal defendant about the full scope of the collateral consequences they might encounter</w:t>
      </w:r>
      <w:r w:rsidR="005F5B45" w:rsidRPr="004A3C8F">
        <w:rPr>
          <w:rFonts w:ascii="Times New Roman" w:hAnsi="Times New Roman"/>
          <w:sz w:val="28"/>
          <w:szCs w:val="28"/>
        </w:rPr>
        <w:t xml:space="preserve">, but this is not because defense counsel cannot predict them.  It is </w:t>
      </w:r>
      <w:r w:rsidR="00130CDE" w:rsidRPr="004A3C8F">
        <w:rPr>
          <w:rFonts w:ascii="Times New Roman" w:hAnsi="Times New Roman"/>
          <w:sz w:val="28"/>
          <w:szCs w:val="28"/>
        </w:rPr>
        <w:t xml:space="preserve">because those consequences will </w:t>
      </w:r>
      <w:r w:rsidR="00FE2877" w:rsidRPr="004A3C8F">
        <w:rPr>
          <w:rFonts w:ascii="Times New Roman" w:hAnsi="Times New Roman"/>
          <w:sz w:val="28"/>
          <w:szCs w:val="28"/>
        </w:rPr>
        <w:t xml:space="preserve">necessarily </w:t>
      </w:r>
      <w:r w:rsidR="00130CDE" w:rsidRPr="004A3C8F">
        <w:rPr>
          <w:rFonts w:ascii="Times New Roman" w:hAnsi="Times New Roman"/>
          <w:sz w:val="28"/>
          <w:szCs w:val="28"/>
        </w:rPr>
        <w:t xml:space="preserve">change based on </w:t>
      </w:r>
      <w:r w:rsidR="005F5B45" w:rsidRPr="004A3C8F">
        <w:rPr>
          <w:rFonts w:ascii="Times New Roman" w:hAnsi="Times New Roman"/>
          <w:sz w:val="28"/>
          <w:szCs w:val="28"/>
        </w:rPr>
        <w:t xml:space="preserve">unfixed </w:t>
      </w:r>
      <w:r w:rsidR="00130CDE" w:rsidRPr="004A3C8F">
        <w:rPr>
          <w:rFonts w:ascii="Times New Roman" w:hAnsi="Times New Roman"/>
          <w:sz w:val="28"/>
          <w:szCs w:val="28"/>
        </w:rPr>
        <w:t xml:space="preserve">variables like where the defendant lives </w:t>
      </w:r>
      <w:r w:rsidR="00566816" w:rsidRPr="004A3C8F">
        <w:rPr>
          <w:rFonts w:ascii="Times New Roman" w:hAnsi="Times New Roman"/>
          <w:sz w:val="28"/>
          <w:szCs w:val="28"/>
        </w:rPr>
        <w:t>in the future and/</w:t>
      </w:r>
      <w:r w:rsidR="00130CDE" w:rsidRPr="004A3C8F">
        <w:rPr>
          <w:rFonts w:ascii="Times New Roman" w:hAnsi="Times New Roman"/>
          <w:sz w:val="28"/>
          <w:szCs w:val="28"/>
        </w:rPr>
        <w:t>or what profession they pursue</w:t>
      </w:r>
      <w:r w:rsidR="005F5B45" w:rsidRPr="004A3C8F">
        <w:rPr>
          <w:rFonts w:ascii="Times New Roman" w:hAnsi="Times New Roman"/>
          <w:sz w:val="28"/>
          <w:szCs w:val="28"/>
        </w:rPr>
        <w:t xml:space="preserve"> in that jurisdiction</w:t>
      </w:r>
      <w:r w:rsidR="00130CDE" w:rsidRPr="004A3C8F">
        <w:rPr>
          <w:rFonts w:ascii="Times New Roman" w:hAnsi="Times New Roman"/>
          <w:sz w:val="28"/>
          <w:szCs w:val="28"/>
        </w:rPr>
        <w:t xml:space="preserve">.  However, contrary to the </w:t>
      </w:r>
      <w:r w:rsidR="005F5B45" w:rsidRPr="004A3C8F">
        <w:rPr>
          <w:rFonts w:ascii="Times New Roman" w:hAnsi="Times New Roman"/>
          <w:sz w:val="28"/>
          <w:szCs w:val="28"/>
        </w:rPr>
        <w:t xml:space="preserve">APAAC and </w:t>
      </w:r>
      <w:r w:rsidR="00130CDE" w:rsidRPr="004A3C8F">
        <w:rPr>
          <w:rFonts w:ascii="Times New Roman" w:hAnsi="Times New Roman"/>
          <w:sz w:val="28"/>
          <w:szCs w:val="28"/>
        </w:rPr>
        <w:t>MCAO’s dubious claim that “[e]ncouraging criminal defense attorneys to discuss theoretical collateral consequences with defendants would invite error to the extent that it leads to the provision of incorrect legal advice[,]”</w:t>
      </w:r>
      <w:r w:rsidR="00FE2877" w:rsidRPr="004A3C8F">
        <w:rPr>
          <w:rFonts w:ascii="Times New Roman" w:hAnsi="Times New Roman"/>
          <w:sz w:val="28"/>
          <w:szCs w:val="28"/>
        </w:rPr>
        <w:t xml:space="preserve"> the reality is that </w:t>
      </w:r>
      <w:r w:rsidR="00FE2877" w:rsidRPr="004A3C8F">
        <w:rPr>
          <w:rFonts w:ascii="Times New Roman" w:hAnsi="Times New Roman"/>
          <w:i/>
          <w:iCs/>
          <w:sz w:val="28"/>
          <w:szCs w:val="28"/>
        </w:rPr>
        <w:t>any</w:t>
      </w:r>
      <w:r w:rsidR="00FE2877" w:rsidRPr="004A3C8F">
        <w:rPr>
          <w:rFonts w:ascii="Times New Roman" w:hAnsi="Times New Roman"/>
          <w:sz w:val="28"/>
          <w:szCs w:val="28"/>
        </w:rPr>
        <w:t xml:space="preserve"> advisement about the potential for collateral consequences is still better than none.   When criminal defendants are made aware that collateral consequences exist, they are empowered to seek out more information about what collateral consequences might entail.  </w:t>
      </w:r>
    </w:p>
    <w:p w14:paraId="5831C4E2" w14:textId="0BCD7E8C" w:rsidR="00FE2877" w:rsidRPr="004A3C8F" w:rsidRDefault="00FE2877" w:rsidP="004A3C8F">
      <w:pPr>
        <w:spacing w:line="480" w:lineRule="auto"/>
        <w:ind w:firstLine="720"/>
        <w:rPr>
          <w:rFonts w:ascii="Times New Roman" w:eastAsia="Book Antiqua" w:hAnsi="Times New Roman"/>
          <w:sz w:val="28"/>
          <w:szCs w:val="28"/>
        </w:rPr>
      </w:pPr>
      <w:r w:rsidRPr="004A3C8F">
        <w:rPr>
          <w:rFonts w:ascii="Times New Roman" w:hAnsi="Times New Roman"/>
          <w:sz w:val="28"/>
          <w:szCs w:val="28"/>
        </w:rPr>
        <w:t>Although the</w:t>
      </w:r>
      <w:r w:rsidR="005F5B45" w:rsidRPr="004A3C8F">
        <w:rPr>
          <w:rFonts w:ascii="Times New Roman" w:hAnsi="Times New Roman"/>
          <w:sz w:val="28"/>
          <w:szCs w:val="28"/>
        </w:rPr>
        <w:t xml:space="preserve"> </w:t>
      </w:r>
      <w:r w:rsidR="004A3C8F">
        <w:rPr>
          <w:rFonts w:ascii="Times New Roman" w:hAnsi="Times New Roman"/>
          <w:sz w:val="28"/>
          <w:szCs w:val="28"/>
        </w:rPr>
        <w:t>AACJ, which represents the defense bar,</w:t>
      </w:r>
      <w:r w:rsidRPr="004A3C8F">
        <w:rPr>
          <w:rFonts w:ascii="Times New Roman" w:hAnsi="Times New Roman"/>
          <w:sz w:val="28"/>
          <w:szCs w:val="28"/>
        </w:rPr>
        <w:t xml:space="preserve"> appreciates the prosecution’s purported concern about our inability to properly advise our clients, </w:t>
      </w:r>
      <w:r w:rsidR="005F5B45" w:rsidRPr="004A3C8F">
        <w:rPr>
          <w:rFonts w:ascii="Times New Roman" w:hAnsi="Times New Roman"/>
          <w:sz w:val="28"/>
          <w:szCs w:val="28"/>
        </w:rPr>
        <w:lastRenderedPageBreak/>
        <w:t>this is a red herring argument</w:t>
      </w:r>
      <w:r w:rsidR="005F356C" w:rsidRPr="004A3C8F">
        <w:rPr>
          <w:rFonts w:ascii="Times New Roman" w:hAnsi="Times New Roman"/>
          <w:sz w:val="28"/>
          <w:szCs w:val="28"/>
        </w:rPr>
        <w:t xml:space="preserve">.  The mere inclusion of an advisory </w:t>
      </w:r>
      <w:r w:rsidR="004A3C8F" w:rsidRPr="004A3C8F">
        <w:rPr>
          <w:rFonts w:ascii="Times New Roman" w:hAnsi="Times New Roman"/>
          <w:sz w:val="28"/>
          <w:szCs w:val="28"/>
        </w:rPr>
        <w:t xml:space="preserve">about collateral consequences that already exist </w:t>
      </w:r>
      <w:r w:rsidR="005F356C" w:rsidRPr="004A3C8F">
        <w:rPr>
          <w:rFonts w:ascii="Times New Roman" w:hAnsi="Times New Roman"/>
          <w:sz w:val="28"/>
          <w:szCs w:val="28"/>
        </w:rPr>
        <w:t xml:space="preserve">will not impact defense counsel’s ethical responsibility or ability to provide competent counsel.  </w:t>
      </w:r>
      <w:r w:rsidR="004A3C8F" w:rsidRPr="004A3C8F">
        <w:rPr>
          <w:rFonts w:ascii="Times New Roman" w:hAnsi="Times New Roman"/>
          <w:sz w:val="28"/>
          <w:szCs w:val="28"/>
        </w:rPr>
        <w:t>Nor does the fact that certain collateral consequences “</w:t>
      </w:r>
      <w:r w:rsidR="004A3C8F" w:rsidRPr="004A3C8F">
        <w:rPr>
          <w:rFonts w:ascii="Times New Roman" w:eastAsia="Book Antiqua" w:hAnsi="Times New Roman"/>
          <w:sz w:val="28"/>
          <w:szCs w:val="28"/>
        </w:rPr>
        <w:t xml:space="preserve">may be outside a criminal defense attorney’s area of expertise” mean that the defendant should not be put on notice about the collateral consequences.  As is common practice in all areas of law, sometimes competent counsel means advising a client that they need legal advice of a different nature and finding an appropriate referral to provide that advice. </w:t>
      </w:r>
      <w:r w:rsidR="004A3C8F">
        <w:rPr>
          <w:rFonts w:ascii="Times New Roman" w:eastAsia="Book Antiqua" w:hAnsi="Times New Roman"/>
          <w:sz w:val="28"/>
          <w:szCs w:val="28"/>
        </w:rPr>
        <w:t xml:space="preserve"> </w:t>
      </w:r>
      <w:r w:rsidR="005F356C" w:rsidRPr="004A3C8F">
        <w:rPr>
          <w:rFonts w:ascii="Times New Roman" w:hAnsi="Times New Roman"/>
          <w:sz w:val="28"/>
          <w:szCs w:val="28"/>
        </w:rPr>
        <w:t xml:space="preserve">Further, to the extent prosecutors are concerned about drawing an </w:t>
      </w:r>
      <w:r w:rsidR="005F356C" w:rsidRPr="004A3C8F">
        <w:rPr>
          <w:rFonts w:ascii="Times New Roman" w:eastAsia="Book Antiqua" w:hAnsi="Times New Roman"/>
          <w:i/>
          <w:iCs/>
          <w:color w:val="000000"/>
          <w:sz w:val="28"/>
          <w:szCs w:val="28"/>
          <w:bdr w:val="none" w:sz="0" w:space="0" w:color="auto" w:frame="1"/>
          <w:shd w:val="clear" w:color="auto" w:fill="FFFFFF"/>
          <w14:ligatures w14:val="none"/>
        </w:rPr>
        <w:t>expressio</w:t>
      </w:r>
      <w:r w:rsidR="005F356C" w:rsidRPr="004A3C8F">
        <w:rPr>
          <w:rFonts w:ascii="Times New Roman" w:eastAsia="Book Antiqua" w:hAnsi="Times New Roman"/>
          <w:i/>
          <w:iCs/>
          <w:color w:val="3D3D3D"/>
          <w:sz w:val="28"/>
          <w:szCs w:val="28"/>
          <w:bdr w:val="none" w:sz="0" w:space="0" w:color="auto" w:frame="1"/>
          <w14:ligatures w14:val="none"/>
        </w:rPr>
        <w:t xml:space="preserve"> </w:t>
      </w:r>
      <w:r w:rsidR="005F356C" w:rsidRPr="004A3C8F">
        <w:rPr>
          <w:rFonts w:ascii="Times New Roman" w:eastAsia="Book Antiqua" w:hAnsi="Times New Roman"/>
          <w:i/>
          <w:iCs/>
          <w:color w:val="000000"/>
          <w:sz w:val="28"/>
          <w:szCs w:val="28"/>
          <w:bdr w:val="none" w:sz="0" w:space="0" w:color="auto" w:frame="1"/>
          <w:shd w:val="clear" w:color="auto" w:fill="FFFFFF"/>
          <w14:ligatures w14:val="none"/>
        </w:rPr>
        <w:t>unius</w:t>
      </w:r>
      <w:r w:rsidR="005F356C" w:rsidRPr="004A3C8F">
        <w:rPr>
          <w:rFonts w:ascii="Times New Roman" w:eastAsia="Book Antiqua" w:hAnsi="Times New Roman"/>
          <w:i/>
          <w:iCs/>
          <w:color w:val="3D3D3D"/>
          <w:sz w:val="28"/>
          <w:szCs w:val="28"/>
          <w:bdr w:val="none" w:sz="0" w:space="0" w:color="auto" w:frame="1"/>
          <w14:ligatures w14:val="none"/>
        </w:rPr>
        <w:t xml:space="preserve"> </w:t>
      </w:r>
      <w:r w:rsidR="005F356C" w:rsidRPr="004A3C8F">
        <w:rPr>
          <w:rFonts w:ascii="Times New Roman" w:eastAsia="Book Antiqua" w:hAnsi="Times New Roman"/>
          <w:i/>
          <w:iCs/>
          <w:color w:val="000000"/>
          <w:sz w:val="28"/>
          <w:szCs w:val="28"/>
          <w:bdr w:val="none" w:sz="0" w:space="0" w:color="auto" w:frame="1"/>
          <w:shd w:val="clear" w:color="auto" w:fill="FFFFFF"/>
          <w14:ligatures w14:val="none"/>
        </w:rPr>
        <w:t>est</w:t>
      </w:r>
      <w:r w:rsidR="005F356C" w:rsidRPr="004A3C8F">
        <w:rPr>
          <w:rFonts w:ascii="Times New Roman" w:eastAsia="Book Antiqua" w:hAnsi="Times New Roman"/>
          <w:i/>
          <w:iCs/>
          <w:color w:val="3D3D3D"/>
          <w:sz w:val="28"/>
          <w:szCs w:val="28"/>
          <w:bdr w:val="none" w:sz="0" w:space="0" w:color="auto" w:frame="1"/>
          <w14:ligatures w14:val="none"/>
        </w:rPr>
        <w:t xml:space="preserve"> </w:t>
      </w:r>
      <w:r w:rsidR="005F356C" w:rsidRPr="004A3C8F">
        <w:rPr>
          <w:rFonts w:ascii="Times New Roman" w:eastAsia="Book Antiqua" w:hAnsi="Times New Roman"/>
          <w:i/>
          <w:iCs/>
          <w:color w:val="000000"/>
          <w:sz w:val="28"/>
          <w:szCs w:val="28"/>
          <w:bdr w:val="none" w:sz="0" w:space="0" w:color="auto" w:frame="1"/>
          <w:shd w:val="clear" w:color="auto" w:fill="FFFFFF"/>
          <w14:ligatures w14:val="none"/>
        </w:rPr>
        <w:t>exclusio</w:t>
      </w:r>
      <w:r w:rsidR="005F356C" w:rsidRPr="004A3C8F">
        <w:rPr>
          <w:rFonts w:ascii="Times New Roman" w:eastAsia="Book Antiqua" w:hAnsi="Times New Roman"/>
          <w:i/>
          <w:iCs/>
          <w:color w:val="3D3D3D"/>
          <w:sz w:val="28"/>
          <w:szCs w:val="28"/>
          <w:bdr w:val="none" w:sz="0" w:space="0" w:color="auto" w:frame="1"/>
          <w14:ligatures w14:val="none"/>
        </w:rPr>
        <w:t xml:space="preserve"> </w:t>
      </w:r>
      <w:r w:rsidR="005F356C" w:rsidRPr="004A3C8F">
        <w:rPr>
          <w:rFonts w:ascii="Times New Roman" w:eastAsia="Book Antiqua" w:hAnsi="Times New Roman"/>
          <w:i/>
          <w:iCs/>
          <w:color w:val="000000"/>
          <w:sz w:val="28"/>
          <w:szCs w:val="28"/>
          <w:bdr w:val="none" w:sz="0" w:space="0" w:color="auto" w:frame="1"/>
          <w:shd w:val="clear" w:color="auto" w:fill="FFFFFF"/>
          <w14:ligatures w14:val="none"/>
        </w:rPr>
        <w:t>alterius</w:t>
      </w:r>
      <w:r w:rsidR="005F356C" w:rsidRPr="004A3C8F">
        <w:rPr>
          <w:rFonts w:ascii="Times New Roman" w:eastAsia="Book Antiqua" w:hAnsi="Times New Roman"/>
          <w:color w:val="000000"/>
          <w:sz w:val="28"/>
          <w:szCs w:val="28"/>
          <w14:ligatures w14:val="none"/>
        </w:rPr>
        <w:t xml:space="preserve"> argument</w:t>
      </w:r>
      <w:r w:rsidR="004A3C8F" w:rsidRPr="004A3C8F">
        <w:rPr>
          <w:rFonts w:ascii="Times New Roman" w:eastAsia="Book Antiqua" w:hAnsi="Times New Roman"/>
          <w:color w:val="000000"/>
          <w:sz w:val="28"/>
          <w:szCs w:val="28"/>
          <w14:ligatures w14:val="none"/>
        </w:rPr>
        <w:t xml:space="preserve"> in some challenge</w:t>
      </w:r>
      <w:r w:rsidR="005F356C" w:rsidRPr="004A3C8F">
        <w:rPr>
          <w:rFonts w:ascii="Times New Roman" w:eastAsia="Book Antiqua" w:hAnsi="Times New Roman"/>
          <w:color w:val="000000"/>
          <w:sz w:val="28"/>
          <w:szCs w:val="28"/>
          <w14:ligatures w14:val="none"/>
        </w:rPr>
        <w:t xml:space="preserve">, this can be easily resolved by including language in plea agreements that expressly confirm that not all collateral consequences have been enumerated.  As the drafter of those agreements, the prosecutor, not the court nor the defense, has the unique ability to proactively guard against this concern. </w:t>
      </w:r>
    </w:p>
    <w:p w14:paraId="3C203B39" w14:textId="534FF0A0" w:rsidR="00566816" w:rsidRPr="004A3C8F" w:rsidRDefault="005F356C" w:rsidP="00566816">
      <w:pPr>
        <w:spacing w:line="480" w:lineRule="auto"/>
        <w:ind w:firstLine="720"/>
        <w:rPr>
          <w:rFonts w:ascii="Times New Roman" w:hAnsi="Times New Roman"/>
          <w:sz w:val="28"/>
          <w:szCs w:val="28"/>
        </w:rPr>
      </w:pPr>
      <w:r w:rsidRPr="004A3C8F">
        <w:rPr>
          <w:rFonts w:ascii="Times New Roman" w:hAnsi="Times New Roman"/>
          <w:sz w:val="28"/>
          <w:szCs w:val="28"/>
        </w:rPr>
        <w:t>Th</w:t>
      </w:r>
      <w:r w:rsidR="00267BBE" w:rsidRPr="004A3C8F">
        <w:rPr>
          <w:rFonts w:ascii="Times New Roman" w:hAnsi="Times New Roman"/>
          <w:sz w:val="28"/>
          <w:szCs w:val="28"/>
        </w:rPr>
        <w:t>e proposed</w:t>
      </w:r>
      <w:r w:rsidRPr="004A3C8F">
        <w:rPr>
          <w:rFonts w:ascii="Times New Roman" w:hAnsi="Times New Roman"/>
          <w:sz w:val="28"/>
          <w:szCs w:val="28"/>
        </w:rPr>
        <w:t xml:space="preserve"> rule</w:t>
      </w:r>
      <w:r w:rsidR="00267BBE" w:rsidRPr="004A3C8F">
        <w:rPr>
          <w:rFonts w:ascii="Times New Roman" w:hAnsi="Times New Roman"/>
          <w:sz w:val="28"/>
          <w:szCs w:val="28"/>
        </w:rPr>
        <w:t xml:space="preserve"> changes are</w:t>
      </w:r>
      <w:r w:rsidRPr="004A3C8F">
        <w:rPr>
          <w:rFonts w:ascii="Times New Roman" w:hAnsi="Times New Roman"/>
          <w:sz w:val="28"/>
          <w:szCs w:val="28"/>
        </w:rPr>
        <w:t xml:space="preserve"> </w:t>
      </w:r>
      <w:r w:rsidR="00267BBE" w:rsidRPr="004A3C8F">
        <w:rPr>
          <w:rFonts w:ascii="Times New Roman" w:hAnsi="Times New Roman"/>
          <w:sz w:val="28"/>
          <w:szCs w:val="28"/>
        </w:rPr>
        <w:t>especially</w:t>
      </w:r>
      <w:r w:rsidRPr="004A3C8F">
        <w:rPr>
          <w:rFonts w:ascii="Times New Roman" w:hAnsi="Times New Roman"/>
          <w:sz w:val="28"/>
          <w:szCs w:val="28"/>
        </w:rPr>
        <w:t xml:space="preserve"> important </w:t>
      </w:r>
      <w:r w:rsidR="00267BBE" w:rsidRPr="004A3C8F">
        <w:rPr>
          <w:rFonts w:ascii="Times New Roman" w:hAnsi="Times New Roman"/>
          <w:sz w:val="28"/>
          <w:szCs w:val="28"/>
        </w:rPr>
        <w:t>insofar as</w:t>
      </w:r>
      <w:r w:rsidRPr="004A3C8F">
        <w:rPr>
          <w:rFonts w:ascii="Times New Roman" w:hAnsi="Times New Roman"/>
          <w:sz w:val="28"/>
          <w:szCs w:val="28"/>
        </w:rPr>
        <w:t xml:space="preserve"> </w:t>
      </w:r>
      <w:r w:rsidR="004A3C8F">
        <w:rPr>
          <w:rFonts w:ascii="Times New Roman" w:hAnsi="Times New Roman"/>
          <w:sz w:val="28"/>
          <w:szCs w:val="28"/>
        </w:rPr>
        <w:t>they serve</w:t>
      </w:r>
      <w:r w:rsidRPr="004A3C8F">
        <w:rPr>
          <w:rFonts w:ascii="Times New Roman" w:hAnsi="Times New Roman"/>
          <w:sz w:val="28"/>
          <w:szCs w:val="28"/>
        </w:rPr>
        <w:t xml:space="preserve"> to protect all </w:t>
      </w:r>
      <w:r w:rsidRPr="00EA23D8">
        <w:rPr>
          <w:rFonts w:ascii="Times New Roman" w:hAnsi="Times New Roman"/>
          <w:i/>
          <w:iCs/>
          <w:sz w:val="28"/>
          <w:szCs w:val="28"/>
        </w:rPr>
        <w:t>pro</w:t>
      </w:r>
      <w:r w:rsidR="00EA23D8" w:rsidRPr="00EA23D8">
        <w:rPr>
          <w:rFonts w:ascii="Times New Roman" w:hAnsi="Times New Roman"/>
          <w:i/>
          <w:iCs/>
          <w:sz w:val="28"/>
          <w:szCs w:val="28"/>
        </w:rPr>
        <w:t xml:space="preserve"> </w:t>
      </w:r>
      <w:r w:rsidRPr="00EA23D8">
        <w:rPr>
          <w:rFonts w:ascii="Times New Roman" w:hAnsi="Times New Roman"/>
          <w:i/>
          <w:iCs/>
          <w:sz w:val="28"/>
          <w:szCs w:val="28"/>
        </w:rPr>
        <w:t>per</w:t>
      </w:r>
      <w:r w:rsidRPr="004A3C8F">
        <w:rPr>
          <w:rFonts w:ascii="Times New Roman" w:hAnsi="Times New Roman"/>
          <w:sz w:val="28"/>
          <w:szCs w:val="28"/>
        </w:rPr>
        <w:t xml:space="preserve"> defendants who do not have the benefit of assistance of counsel</w:t>
      </w:r>
      <w:r w:rsidR="00EA23D8">
        <w:rPr>
          <w:rFonts w:ascii="Times New Roman" w:hAnsi="Times New Roman"/>
          <w:sz w:val="28"/>
          <w:szCs w:val="28"/>
        </w:rPr>
        <w:t>, and do not recognize they may need it</w:t>
      </w:r>
      <w:r w:rsidRPr="004A3C8F">
        <w:rPr>
          <w:rFonts w:ascii="Times New Roman" w:hAnsi="Times New Roman"/>
          <w:sz w:val="28"/>
          <w:szCs w:val="28"/>
        </w:rPr>
        <w:t xml:space="preserve">.  </w:t>
      </w:r>
      <w:r w:rsidR="00566816" w:rsidRPr="004A3C8F">
        <w:rPr>
          <w:rFonts w:ascii="Times New Roman" w:hAnsi="Times New Roman"/>
          <w:sz w:val="28"/>
          <w:szCs w:val="28"/>
        </w:rPr>
        <w:t xml:space="preserve">As the defense bar knows too well, many criminal defendants—especially first-time offenders, or those facing “mere” misdemeanor charges—prefer to forgo fighting charges on the merits, or raising available defenses, for the purpose of “getting it over with” or because they believe </w:t>
      </w:r>
      <w:r w:rsidR="00566816" w:rsidRPr="004A3C8F">
        <w:rPr>
          <w:rFonts w:ascii="Times New Roman" w:hAnsi="Times New Roman"/>
          <w:sz w:val="28"/>
          <w:szCs w:val="28"/>
        </w:rPr>
        <w:lastRenderedPageBreak/>
        <w:t>that an expedited resolution will save them money and continued duress.  When employment and immigration collateral consequences are on the line, this is often a false expectation.  Too often, the full weight of a guilty plea is not evident to criminal defendants until they confront, in real time, the collateral consequences of their conviction. “Like apparitions lying in wait, collateral consequences emerge from the shadows the instant an ex-offender attempts to reintegrate into the community after sustaining a conviction.”</w:t>
      </w:r>
      <w:r w:rsidR="004A3C8F">
        <w:rPr>
          <w:rStyle w:val="FootnoteReference"/>
          <w:rFonts w:ascii="Times New Roman" w:hAnsi="Times New Roman"/>
          <w:sz w:val="28"/>
          <w:szCs w:val="28"/>
        </w:rPr>
        <w:footnoteReference w:id="4"/>
      </w:r>
    </w:p>
    <w:p w14:paraId="534C55CE" w14:textId="77777777" w:rsidR="00EA23D8" w:rsidRDefault="00267BBE" w:rsidP="00EA23D8">
      <w:pPr>
        <w:spacing w:line="480" w:lineRule="auto"/>
        <w:ind w:firstLine="720"/>
        <w:rPr>
          <w:rFonts w:ascii="Times New Roman" w:hAnsi="Times New Roman"/>
          <w:sz w:val="28"/>
          <w:szCs w:val="28"/>
        </w:rPr>
      </w:pPr>
      <w:r w:rsidRPr="004A3C8F">
        <w:rPr>
          <w:rFonts w:ascii="Times New Roman" w:hAnsi="Times New Roman"/>
          <w:sz w:val="28"/>
          <w:szCs w:val="28"/>
        </w:rPr>
        <w:t>Finally, the</w:t>
      </w:r>
      <w:r w:rsidR="004A3C8F">
        <w:rPr>
          <w:rFonts w:ascii="Times New Roman" w:hAnsi="Times New Roman"/>
          <w:sz w:val="28"/>
          <w:szCs w:val="28"/>
        </w:rPr>
        <w:t>se</w:t>
      </w:r>
      <w:r w:rsidRPr="004A3C8F">
        <w:rPr>
          <w:rFonts w:ascii="Times New Roman" w:hAnsi="Times New Roman"/>
          <w:sz w:val="28"/>
          <w:szCs w:val="28"/>
        </w:rPr>
        <w:t xml:space="preserve"> rule</w:t>
      </w:r>
      <w:r w:rsidR="004A3C8F">
        <w:rPr>
          <w:rFonts w:ascii="Times New Roman" w:hAnsi="Times New Roman"/>
          <w:sz w:val="28"/>
          <w:szCs w:val="28"/>
        </w:rPr>
        <w:t>s</w:t>
      </w:r>
      <w:r w:rsidRPr="004A3C8F">
        <w:rPr>
          <w:rFonts w:ascii="Times New Roman" w:hAnsi="Times New Roman"/>
          <w:sz w:val="28"/>
          <w:szCs w:val="28"/>
        </w:rPr>
        <w:t xml:space="preserve"> should be implemented without the restriction </w:t>
      </w:r>
      <w:r w:rsidR="004A3C8F">
        <w:rPr>
          <w:rFonts w:ascii="Times New Roman" w:hAnsi="Times New Roman"/>
          <w:sz w:val="28"/>
          <w:szCs w:val="28"/>
        </w:rPr>
        <w:t xml:space="preserve">proposed </w:t>
      </w:r>
      <w:r w:rsidRPr="004A3C8F">
        <w:rPr>
          <w:rFonts w:ascii="Times New Roman" w:hAnsi="Times New Roman"/>
          <w:sz w:val="28"/>
          <w:szCs w:val="28"/>
        </w:rPr>
        <w:t xml:space="preserve">by Mr. Williams </w:t>
      </w:r>
      <w:r w:rsidR="004A3C8F">
        <w:rPr>
          <w:rFonts w:ascii="Times New Roman" w:hAnsi="Times New Roman"/>
          <w:sz w:val="28"/>
          <w:szCs w:val="28"/>
        </w:rPr>
        <w:t xml:space="preserve">in his comment submitted </w:t>
      </w:r>
      <w:r w:rsidRPr="004A3C8F">
        <w:rPr>
          <w:rFonts w:ascii="Times New Roman" w:hAnsi="Times New Roman"/>
          <w:sz w:val="28"/>
          <w:szCs w:val="28"/>
        </w:rPr>
        <w:t>on behalf of the Justice of the Peace Bench in Maricopa County.  This comment, too, highlights the lack of clarity about how collateral consequences impact criminal defendants</w:t>
      </w:r>
      <w:r w:rsidR="00EA23D8">
        <w:rPr>
          <w:rFonts w:ascii="Times New Roman" w:hAnsi="Times New Roman"/>
          <w:sz w:val="28"/>
          <w:szCs w:val="28"/>
        </w:rPr>
        <w:t xml:space="preserve"> regardless of where the charge is brought</w:t>
      </w:r>
      <w:r w:rsidRPr="004A3C8F">
        <w:rPr>
          <w:rFonts w:ascii="Times New Roman" w:hAnsi="Times New Roman"/>
          <w:sz w:val="28"/>
          <w:szCs w:val="28"/>
        </w:rPr>
        <w:t>.  Justice and city courts routinely handle</w:t>
      </w:r>
      <w:r w:rsidR="004A3C8F">
        <w:rPr>
          <w:rFonts w:ascii="Times New Roman" w:hAnsi="Times New Roman"/>
          <w:sz w:val="28"/>
          <w:szCs w:val="28"/>
        </w:rPr>
        <w:t xml:space="preserve"> misdemeanor</w:t>
      </w:r>
      <w:r w:rsidRPr="004A3C8F">
        <w:rPr>
          <w:rFonts w:ascii="Times New Roman" w:hAnsi="Times New Roman"/>
          <w:sz w:val="28"/>
          <w:szCs w:val="28"/>
        </w:rPr>
        <w:t xml:space="preserve"> charges relating to drug paraphernalia, domestic violence, and shoplifting</w:t>
      </w:r>
      <w:r w:rsidR="004A3C8F">
        <w:rPr>
          <w:rFonts w:ascii="Times New Roman" w:hAnsi="Times New Roman"/>
          <w:sz w:val="28"/>
          <w:szCs w:val="28"/>
        </w:rPr>
        <w:t>—</w:t>
      </w:r>
      <w:r w:rsidR="0047084D" w:rsidRPr="004A3C8F">
        <w:rPr>
          <w:rFonts w:ascii="Times New Roman" w:hAnsi="Times New Roman"/>
          <w:sz w:val="28"/>
          <w:szCs w:val="28"/>
        </w:rPr>
        <w:t xml:space="preserve">all of which </w:t>
      </w:r>
      <w:r w:rsidRPr="004A3C8F">
        <w:rPr>
          <w:rFonts w:ascii="Times New Roman" w:hAnsi="Times New Roman"/>
          <w:sz w:val="28"/>
          <w:szCs w:val="28"/>
        </w:rPr>
        <w:t xml:space="preserve">invite heavy-handed and long-lasting </w:t>
      </w:r>
      <w:r w:rsidR="0047084D" w:rsidRPr="004A3C8F">
        <w:rPr>
          <w:rFonts w:ascii="Times New Roman" w:hAnsi="Times New Roman"/>
          <w:sz w:val="28"/>
          <w:szCs w:val="28"/>
        </w:rPr>
        <w:t xml:space="preserve">immigration </w:t>
      </w:r>
      <w:r w:rsidRPr="004A3C8F">
        <w:rPr>
          <w:rFonts w:ascii="Times New Roman" w:hAnsi="Times New Roman"/>
          <w:sz w:val="28"/>
          <w:szCs w:val="28"/>
        </w:rPr>
        <w:t xml:space="preserve">consequences.  For example, </w:t>
      </w:r>
      <w:r w:rsidR="0047084D" w:rsidRPr="004A3C8F">
        <w:rPr>
          <w:rFonts w:ascii="Times New Roman" w:hAnsi="Times New Roman"/>
          <w:sz w:val="28"/>
          <w:szCs w:val="28"/>
        </w:rPr>
        <w:t xml:space="preserve">a noncitizen’s Temporary Protected Status (“TPS,”) may be terminated by any two misdemeanors.  Deferred Action for Childhood Arrivals (“DACA”), similarly, may be unavailable to anyone with any significant misdemeanor or any three misdemeanors.  A noncitizen convicted of a domestic violence misdemeanor, or who is the subject of a court order finding certain types of violations of a domestic </w:t>
      </w:r>
      <w:r w:rsidR="0047084D" w:rsidRPr="004A3C8F">
        <w:rPr>
          <w:rFonts w:ascii="Times New Roman" w:hAnsi="Times New Roman"/>
          <w:sz w:val="28"/>
          <w:szCs w:val="28"/>
        </w:rPr>
        <w:lastRenderedPageBreak/>
        <w:t xml:space="preserve">violence protective order, is deportable under 8 USC § 1227(a)(2)(E).  </w:t>
      </w:r>
      <w:r w:rsidR="00EA23D8">
        <w:rPr>
          <w:rFonts w:ascii="Times New Roman" w:hAnsi="Times New Roman"/>
          <w:sz w:val="28"/>
          <w:szCs w:val="28"/>
        </w:rPr>
        <w:t>Also,</w:t>
      </w:r>
      <w:r w:rsidR="0047084D" w:rsidRPr="004A3C8F">
        <w:rPr>
          <w:rFonts w:ascii="Times New Roman" w:hAnsi="Times New Roman"/>
          <w:sz w:val="28"/>
          <w:szCs w:val="28"/>
        </w:rPr>
        <w:t xml:space="preserve"> domestic violence offenses usually have serious occupational repercussions for licensed professionals in Arizona, regardless of their classification as a felony or a misdemeanor. </w:t>
      </w:r>
      <w:r w:rsidR="00EA23D8">
        <w:rPr>
          <w:rFonts w:ascii="Times New Roman" w:hAnsi="Times New Roman"/>
          <w:sz w:val="28"/>
          <w:szCs w:val="28"/>
        </w:rPr>
        <w:t xml:space="preserve"> </w:t>
      </w:r>
      <w:r w:rsidR="0047084D" w:rsidRPr="004A3C8F">
        <w:rPr>
          <w:rFonts w:ascii="Times New Roman" w:hAnsi="Times New Roman"/>
          <w:sz w:val="28"/>
          <w:szCs w:val="28"/>
        </w:rPr>
        <w:t>Accordingly</w:t>
      </w:r>
      <w:r w:rsidRPr="004A3C8F">
        <w:rPr>
          <w:rFonts w:ascii="Times New Roman" w:hAnsi="Times New Roman"/>
          <w:sz w:val="28"/>
          <w:szCs w:val="28"/>
        </w:rPr>
        <w:t xml:space="preserve">, </w:t>
      </w:r>
      <w:r w:rsidR="0047084D" w:rsidRPr="004A3C8F">
        <w:rPr>
          <w:rFonts w:ascii="Times New Roman" w:hAnsi="Times New Roman"/>
          <w:sz w:val="28"/>
          <w:szCs w:val="28"/>
        </w:rPr>
        <w:t>because</w:t>
      </w:r>
      <w:r w:rsidRPr="004A3C8F">
        <w:rPr>
          <w:rFonts w:ascii="Times New Roman" w:hAnsi="Times New Roman"/>
          <w:sz w:val="28"/>
          <w:szCs w:val="28"/>
        </w:rPr>
        <w:t xml:space="preserve"> collateral consequences are in no way limited to felony convictions</w:t>
      </w:r>
      <w:r w:rsidR="0047084D" w:rsidRPr="004A3C8F">
        <w:rPr>
          <w:rFonts w:ascii="Times New Roman" w:hAnsi="Times New Roman"/>
          <w:sz w:val="28"/>
          <w:szCs w:val="28"/>
        </w:rPr>
        <w:t xml:space="preserve">, the proposed rule changes should be applied uniformly to all courts in which the Rules of Criminal Procedure apply. </w:t>
      </w:r>
      <w:r w:rsidR="00630FE8" w:rsidRPr="004A3C8F">
        <w:rPr>
          <w:rFonts w:ascii="Times New Roman" w:hAnsi="Times New Roman"/>
          <w:sz w:val="28"/>
          <w:szCs w:val="28"/>
        </w:rPr>
        <w:t xml:space="preserve"> </w:t>
      </w:r>
    </w:p>
    <w:p w14:paraId="23AC57A9" w14:textId="08BC8B0A" w:rsidR="00EA23D8" w:rsidRPr="004A3C8F" w:rsidRDefault="00630FE8" w:rsidP="009A783C">
      <w:pPr>
        <w:spacing w:line="480" w:lineRule="auto"/>
        <w:ind w:firstLine="720"/>
        <w:rPr>
          <w:rFonts w:ascii="Times New Roman" w:hAnsi="Times New Roman"/>
          <w:sz w:val="28"/>
          <w:szCs w:val="28"/>
        </w:rPr>
      </w:pPr>
      <w:r w:rsidRPr="004A3C8F">
        <w:rPr>
          <w:rFonts w:ascii="Times New Roman" w:hAnsi="Times New Roman"/>
          <w:sz w:val="28"/>
          <w:szCs w:val="28"/>
        </w:rPr>
        <w:t>For these reasons, AACJ requests that this Court adopt the proposed rule changes for Rule 14.4 and Rule 17.2 of the Arizona Rules of Criminal Procedure.</w:t>
      </w:r>
    </w:p>
    <w:p w14:paraId="20DAC944" w14:textId="7BF13B3C" w:rsidR="0047084D" w:rsidRPr="004A3C8F" w:rsidRDefault="0047084D" w:rsidP="0047084D">
      <w:pPr>
        <w:spacing w:line="480" w:lineRule="auto"/>
        <w:ind w:firstLine="720"/>
        <w:jc w:val="both"/>
        <w:rPr>
          <w:rFonts w:ascii="Times New Roman" w:hAnsi="Times New Roman"/>
          <w:sz w:val="28"/>
          <w:szCs w:val="28"/>
        </w:rPr>
      </w:pPr>
      <w:r w:rsidRPr="004A3C8F">
        <w:rPr>
          <w:rFonts w:ascii="Times New Roman" w:hAnsi="Times New Roman"/>
          <w:sz w:val="28"/>
          <w:szCs w:val="28"/>
        </w:rPr>
        <w:t>DATED</w:t>
      </w:r>
      <w:r w:rsidR="009A783C">
        <w:rPr>
          <w:rFonts w:ascii="Times New Roman" w:hAnsi="Times New Roman"/>
          <w:sz w:val="28"/>
          <w:szCs w:val="28"/>
        </w:rPr>
        <w:t xml:space="preserve">: </w:t>
      </w:r>
      <w:r w:rsidRPr="004A3C8F">
        <w:rPr>
          <w:rFonts w:ascii="Times New Roman" w:hAnsi="Times New Roman"/>
          <w:sz w:val="28"/>
          <w:szCs w:val="28"/>
        </w:rPr>
        <w:t>May 1, 2024.</w:t>
      </w:r>
    </w:p>
    <w:p w14:paraId="0467F865" w14:textId="4369C6B4" w:rsidR="0047084D" w:rsidRPr="004A3C8F" w:rsidRDefault="0047084D" w:rsidP="009A783C">
      <w:pPr>
        <w:spacing w:line="240" w:lineRule="auto"/>
        <w:ind w:left="4230"/>
        <w:rPr>
          <w:rFonts w:ascii="Times New Roman" w:hAnsi="Times New Roman"/>
          <w:sz w:val="28"/>
          <w:szCs w:val="28"/>
        </w:rPr>
      </w:pPr>
      <w:r w:rsidRPr="004A3C8F">
        <w:rPr>
          <w:rFonts w:ascii="Times New Roman" w:hAnsi="Times New Roman"/>
          <w:sz w:val="28"/>
          <w:szCs w:val="28"/>
        </w:rPr>
        <w:t xml:space="preserve">By: </w:t>
      </w:r>
      <w:r w:rsidRPr="004A3C8F">
        <w:rPr>
          <w:rFonts w:ascii="Times New Roman" w:hAnsi="Times New Roman"/>
          <w:sz w:val="28"/>
          <w:szCs w:val="28"/>
          <w:u w:val="single"/>
        </w:rPr>
        <w:t>/s/ Lisa Bivens</w:t>
      </w:r>
      <w:r w:rsidRPr="004A3C8F">
        <w:rPr>
          <w:rFonts w:ascii="Times New Roman" w:hAnsi="Times New Roman"/>
          <w:sz w:val="28"/>
          <w:szCs w:val="28"/>
          <w:u w:val="single"/>
        </w:rPr>
        <w:tab/>
      </w:r>
      <w:r w:rsidRPr="004A3C8F">
        <w:rPr>
          <w:rFonts w:ascii="Times New Roman" w:hAnsi="Times New Roman"/>
          <w:sz w:val="28"/>
          <w:szCs w:val="28"/>
          <w:u w:val="single"/>
        </w:rPr>
        <w:tab/>
      </w:r>
      <w:r w:rsidRPr="004A3C8F">
        <w:rPr>
          <w:rFonts w:ascii="Times New Roman" w:hAnsi="Times New Roman"/>
          <w:sz w:val="28"/>
          <w:szCs w:val="28"/>
          <w:u w:val="single"/>
        </w:rPr>
        <w:tab/>
      </w:r>
      <w:r w:rsidRPr="004A3C8F">
        <w:rPr>
          <w:rFonts w:ascii="Times New Roman" w:hAnsi="Times New Roman"/>
          <w:sz w:val="28"/>
          <w:szCs w:val="28"/>
        </w:rPr>
        <w:tab/>
      </w:r>
    </w:p>
    <w:p w14:paraId="23B0E122" w14:textId="72836080" w:rsidR="0047084D" w:rsidRDefault="0047084D" w:rsidP="009A783C">
      <w:pPr>
        <w:spacing w:line="240" w:lineRule="auto"/>
        <w:ind w:left="4680"/>
        <w:rPr>
          <w:rFonts w:ascii="Times New Roman" w:hAnsi="Times New Roman"/>
          <w:sz w:val="28"/>
          <w:szCs w:val="28"/>
        </w:rPr>
      </w:pPr>
      <w:r w:rsidRPr="004A3C8F">
        <w:rPr>
          <w:rFonts w:ascii="Times New Roman" w:hAnsi="Times New Roman"/>
          <w:sz w:val="28"/>
          <w:szCs w:val="28"/>
        </w:rPr>
        <w:t>Lisa Bivens</w:t>
      </w:r>
    </w:p>
    <w:p w14:paraId="2EA03C35" w14:textId="50175AF6" w:rsidR="009A783C" w:rsidRPr="009A783C" w:rsidRDefault="009A783C" w:rsidP="009A783C">
      <w:pPr>
        <w:spacing w:line="240" w:lineRule="auto"/>
        <w:ind w:left="4680"/>
        <w:rPr>
          <w:rFonts w:ascii="Times New Roman" w:hAnsi="Times New Roman"/>
          <w:bCs/>
          <w:sz w:val="28"/>
          <w:szCs w:val="28"/>
        </w:rPr>
      </w:pPr>
      <w:r w:rsidRPr="009A783C">
        <w:rPr>
          <w:rFonts w:ascii="Times New Roman" w:hAnsi="Times New Roman"/>
          <w:bCs/>
          <w:sz w:val="28"/>
          <w:szCs w:val="28"/>
        </w:rPr>
        <w:t xml:space="preserve">Arizona Attorneys </w:t>
      </w:r>
      <w:r>
        <w:rPr>
          <w:rFonts w:ascii="Times New Roman" w:hAnsi="Times New Roman"/>
          <w:bCs/>
          <w:sz w:val="28"/>
          <w:szCs w:val="28"/>
        </w:rPr>
        <w:t>f</w:t>
      </w:r>
      <w:r w:rsidRPr="009A783C">
        <w:rPr>
          <w:rFonts w:ascii="Times New Roman" w:hAnsi="Times New Roman"/>
          <w:bCs/>
          <w:sz w:val="28"/>
          <w:szCs w:val="28"/>
        </w:rPr>
        <w:t>or Criminal Justice</w:t>
      </w:r>
    </w:p>
    <w:p w14:paraId="1407D5FF" w14:textId="77777777" w:rsidR="009A783C" w:rsidRPr="009A783C" w:rsidRDefault="009A783C" w:rsidP="009A783C">
      <w:pPr>
        <w:spacing w:line="240" w:lineRule="auto"/>
        <w:ind w:left="4680"/>
        <w:rPr>
          <w:rFonts w:ascii="Times New Roman" w:hAnsi="Times New Roman"/>
          <w:bCs/>
          <w:sz w:val="28"/>
          <w:szCs w:val="28"/>
        </w:rPr>
      </w:pPr>
      <w:r w:rsidRPr="009A783C">
        <w:rPr>
          <w:rFonts w:ascii="Times New Roman" w:hAnsi="Times New Roman"/>
          <w:bCs/>
          <w:sz w:val="28"/>
          <w:szCs w:val="28"/>
        </w:rPr>
        <w:t>c/o Mitchell Stein Carey Chapman, PC</w:t>
      </w:r>
    </w:p>
    <w:p w14:paraId="0BA9432C" w14:textId="77777777" w:rsidR="009A783C" w:rsidRPr="009A783C" w:rsidRDefault="009A783C" w:rsidP="009A783C">
      <w:pPr>
        <w:spacing w:line="240" w:lineRule="auto"/>
        <w:ind w:left="4680"/>
        <w:rPr>
          <w:rFonts w:ascii="Times New Roman" w:hAnsi="Times New Roman"/>
          <w:bCs/>
          <w:sz w:val="28"/>
          <w:szCs w:val="28"/>
        </w:rPr>
      </w:pPr>
      <w:r w:rsidRPr="009A783C">
        <w:rPr>
          <w:rFonts w:ascii="Times New Roman" w:hAnsi="Times New Roman"/>
          <w:bCs/>
          <w:sz w:val="28"/>
          <w:szCs w:val="28"/>
        </w:rPr>
        <w:t>2600 N. Central Ave, Suite 1000</w:t>
      </w:r>
    </w:p>
    <w:p w14:paraId="7782B6EA" w14:textId="77777777" w:rsidR="009A783C" w:rsidRPr="009A783C" w:rsidRDefault="009A783C" w:rsidP="009A783C">
      <w:pPr>
        <w:spacing w:line="240" w:lineRule="auto"/>
        <w:ind w:left="4680"/>
        <w:rPr>
          <w:rFonts w:ascii="Times New Roman" w:hAnsi="Times New Roman"/>
          <w:bCs/>
          <w:sz w:val="28"/>
          <w:szCs w:val="28"/>
        </w:rPr>
      </w:pPr>
      <w:r w:rsidRPr="009A783C">
        <w:rPr>
          <w:rFonts w:ascii="Times New Roman" w:hAnsi="Times New Roman"/>
          <w:bCs/>
          <w:sz w:val="28"/>
          <w:szCs w:val="28"/>
        </w:rPr>
        <w:t>Phoenix, AZ 85004</w:t>
      </w:r>
    </w:p>
    <w:p w14:paraId="6CB0173B" w14:textId="77777777" w:rsidR="009A783C" w:rsidRPr="009A783C" w:rsidRDefault="009A783C" w:rsidP="009A783C">
      <w:pPr>
        <w:spacing w:line="240" w:lineRule="auto"/>
        <w:ind w:left="4680"/>
        <w:rPr>
          <w:rFonts w:ascii="Times New Roman" w:hAnsi="Times New Roman"/>
          <w:bCs/>
          <w:sz w:val="28"/>
          <w:szCs w:val="28"/>
        </w:rPr>
      </w:pPr>
      <w:r w:rsidRPr="009A783C">
        <w:rPr>
          <w:rFonts w:ascii="Times New Roman" w:hAnsi="Times New Roman"/>
          <w:bCs/>
          <w:sz w:val="28"/>
          <w:szCs w:val="28"/>
        </w:rPr>
        <w:t>Telephone: 602-358-0290</w:t>
      </w:r>
    </w:p>
    <w:p w14:paraId="3A7825C0" w14:textId="77777777" w:rsidR="009A783C" w:rsidRPr="009A783C" w:rsidRDefault="009A783C" w:rsidP="009A783C">
      <w:pPr>
        <w:spacing w:line="240" w:lineRule="auto"/>
        <w:ind w:left="4680"/>
        <w:rPr>
          <w:rFonts w:ascii="Times New Roman" w:hAnsi="Times New Roman"/>
          <w:bCs/>
          <w:sz w:val="28"/>
          <w:szCs w:val="28"/>
          <w:u w:val="single"/>
        </w:rPr>
      </w:pPr>
      <w:r w:rsidRPr="009A783C">
        <w:rPr>
          <w:rFonts w:ascii="Times New Roman" w:hAnsi="Times New Roman"/>
          <w:bCs/>
          <w:sz w:val="28"/>
          <w:szCs w:val="28"/>
        </w:rPr>
        <w:t>Facsimile:  602-358-0291</w:t>
      </w:r>
    </w:p>
    <w:p w14:paraId="2E4CFF35" w14:textId="77777777" w:rsidR="009A783C" w:rsidRPr="009A783C" w:rsidRDefault="00C7754A" w:rsidP="009A783C">
      <w:pPr>
        <w:spacing w:line="240" w:lineRule="auto"/>
        <w:ind w:left="4680"/>
        <w:rPr>
          <w:rFonts w:ascii="Times New Roman" w:hAnsi="Times New Roman"/>
          <w:bCs/>
          <w:sz w:val="28"/>
          <w:szCs w:val="28"/>
          <w:u w:val="single"/>
        </w:rPr>
      </w:pPr>
      <w:hyperlink r:id="rId8" w:history="1">
        <w:r w:rsidR="009A783C" w:rsidRPr="009A783C">
          <w:rPr>
            <w:rStyle w:val="Hyperlink"/>
            <w:rFonts w:ascii="Times New Roman" w:hAnsi="Times New Roman"/>
            <w:bCs/>
            <w:sz w:val="28"/>
            <w:szCs w:val="28"/>
          </w:rPr>
          <w:t>LBivens@mscclaw.com</w:t>
        </w:r>
      </w:hyperlink>
    </w:p>
    <w:p w14:paraId="53B98FCB" w14:textId="77777777" w:rsidR="0047084D" w:rsidRPr="004A3C8F" w:rsidRDefault="0047084D" w:rsidP="009A783C">
      <w:pPr>
        <w:spacing w:line="240" w:lineRule="auto"/>
        <w:rPr>
          <w:rFonts w:ascii="Times New Roman" w:hAnsi="Times New Roman"/>
          <w:sz w:val="28"/>
          <w:szCs w:val="28"/>
        </w:rPr>
      </w:pPr>
    </w:p>
    <w:p w14:paraId="10CE52AA" w14:textId="77777777" w:rsidR="0047084D" w:rsidRPr="004A3C8F" w:rsidRDefault="0047084D" w:rsidP="0047084D">
      <w:pPr>
        <w:spacing w:line="240" w:lineRule="auto"/>
        <w:rPr>
          <w:rFonts w:ascii="Times New Roman" w:hAnsi="Times New Roman"/>
          <w:sz w:val="28"/>
          <w:szCs w:val="28"/>
        </w:rPr>
      </w:pPr>
    </w:p>
    <w:p w14:paraId="1C168485" w14:textId="77777777" w:rsidR="0047084D" w:rsidRPr="004A3C8F" w:rsidRDefault="0047084D" w:rsidP="0047084D">
      <w:pPr>
        <w:spacing w:line="240" w:lineRule="auto"/>
        <w:rPr>
          <w:rFonts w:ascii="Times New Roman" w:hAnsi="Times New Roman"/>
          <w:b/>
          <w:bCs/>
          <w:sz w:val="28"/>
          <w:szCs w:val="28"/>
        </w:rPr>
      </w:pPr>
    </w:p>
    <w:p w14:paraId="09BA63B3" w14:textId="77777777" w:rsidR="0047084D" w:rsidRPr="004A3C8F" w:rsidRDefault="0047084D" w:rsidP="0047084D">
      <w:pPr>
        <w:spacing w:line="480" w:lineRule="auto"/>
        <w:rPr>
          <w:rFonts w:ascii="Times New Roman" w:hAnsi="Times New Roman"/>
          <w:sz w:val="28"/>
          <w:szCs w:val="28"/>
        </w:rPr>
      </w:pPr>
    </w:p>
    <w:p w14:paraId="467DBB05" w14:textId="383B78FF" w:rsidR="00130CDE" w:rsidRPr="004A3C8F" w:rsidRDefault="00130CDE" w:rsidP="005B712D">
      <w:pPr>
        <w:spacing w:line="480" w:lineRule="auto"/>
        <w:ind w:firstLine="720"/>
        <w:rPr>
          <w:rFonts w:ascii="Times New Roman" w:hAnsi="Times New Roman"/>
          <w:sz w:val="28"/>
          <w:szCs w:val="28"/>
        </w:rPr>
      </w:pPr>
    </w:p>
    <w:sectPr w:rsidR="00130CDE" w:rsidRPr="004A3C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5DE06" w14:textId="77777777" w:rsidR="003E108C" w:rsidRDefault="003E108C" w:rsidP="003E108C">
      <w:pPr>
        <w:spacing w:line="240" w:lineRule="auto"/>
      </w:pPr>
      <w:r>
        <w:separator/>
      </w:r>
    </w:p>
  </w:endnote>
  <w:endnote w:type="continuationSeparator" w:id="0">
    <w:p w14:paraId="0343DF3B" w14:textId="77777777" w:rsidR="003E108C" w:rsidRDefault="003E108C" w:rsidP="003E1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828D" w14:textId="77777777" w:rsidR="003E108C" w:rsidRDefault="003E1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5D6A" w14:textId="77777777" w:rsidR="003E108C" w:rsidRDefault="003E1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41C7" w14:textId="77777777" w:rsidR="003E108C" w:rsidRDefault="003E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F83E" w14:textId="77777777" w:rsidR="003E108C" w:rsidRDefault="003E108C" w:rsidP="003E108C">
      <w:pPr>
        <w:spacing w:line="240" w:lineRule="auto"/>
      </w:pPr>
      <w:r>
        <w:separator/>
      </w:r>
    </w:p>
  </w:footnote>
  <w:footnote w:type="continuationSeparator" w:id="0">
    <w:p w14:paraId="4B164AC4" w14:textId="77777777" w:rsidR="003E108C" w:rsidRDefault="003E108C" w:rsidP="003E108C">
      <w:pPr>
        <w:spacing w:line="240" w:lineRule="auto"/>
      </w:pPr>
      <w:r>
        <w:continuationSeparator/>
      </w:r>
    </w:p>
  </w:footnote>
  <w:footnote w:id="1">
    <w:p w14:paraId="555CAFF9" w14:textId="3988C20D" w:rsidR="003E108C" w:rsidRDefault="003E108C">
      <w:pPr>
        <w:pStyle w:val="FootnoteText"/>
        <w:rPr>
          <w:rFonts w:ascii="Times New Roman" w:hAnsi="Times New Roman"/>
          <w:sz w:val="28"/>
          <w:szCs w:val="28"/>
        </w:rPr>
      </w:pPr>
      <w:r w:rsidRPr="003E108C">
        <w:rPr>
          <w:rStyle w:val="FootnoteReference"/>
          <w:rFonts w:ascii="Times New Roman" w:hAnsi="Times New Roman"/>
          <w:sz w:val="28"/>
          <w:szCs w:val="28"/>
        </w:rPr>
        <w:footnoteRef/>
      </w:r>
      <w:r w:rsidRPr="003E108C">
        <w:rPr>
          <w:rFonts w:ascii="Times New Roman" w:hAnsi="Times New Roman"/>
          <w:sz w:val="28"/>
          <w:szCs w:val="28"/>
        </w:rPr>
        <w:t xml:space="preserve"> Danielle R. Jones, </w:t>
      </w:r>
      <w:r w:rsidRPr="007D08CA">
        <w:rPr>
          <w:rFonts w:ascii="Times New Roman" w:hAnsi="Times New Roman"/>
          <w:i/>
          <w:iCs/>
          <w:sz w:val="28"/>
          <w:szCs w:val="28"/>
        </w:rPr>
        <w:t>When the Fallout of A Criminal Conviction Goes Too Far: Challenging Collateral Consequences</w:t>
      </w:r>
      <w:r w:rsidRPr="003E108C">
        <w:rPr>
          <w:rFonts w:ascii="Times New Roman" w:hAnsi="Times New Roman"/>
          <w:sz w:val="28"/>
          <w:szCs w:val="28"/>
        </w:rPr>
        <w:t>, 11 Stan. J. Civ. Rts. &amp; Civ. Liberties 237, 241–42 (2015)</w:t>
      </w:r>
      <w:r>
        <w:rPr>
          <w:rFonts w:ascii="Times New Roman" w:hAnsi="Times New Roman"/>
          <w:sz w:val="28"/>
          <w:szCs w:val="28"/>
        </w:rPr>
        <w:t>.</w:t>
      </w:r>
    </w:p>
    <w:p w14:paraId="00DE1116" w14:textId="77777777" w:rsidR="003E108C" w:rsidRPr="003E108C" w:rsidRDefault="003E108C">
      <w:pPr>
        <w:pStyle w:val="FootnoteText"/>
        <w:rPr>
          <w:rFonts w:ascii="Times New Roman" w:hAnsi="Times New Roman"/>
          <w:sz w:val="28"/>
          <w:szCs w:val="28"/>
        </w:rPr>
      </w:pPr>
    </w:p>
  </w:footnote>
  <w:footnote w:id="2">
    <w:p w14:paraId="20999ECB" w14:textId="47FB0695" w:rsidR="003E108C" w:rsidRPr="003E108C" w:rsidRDefault="003E108C">
      <w:pPr>
        <w:pStyle w:val="FootnoteText"/>
        <w:rPr>
          <w:rFonts w:ascii="Times New Roman" w:hAnsi="Times New Roman"/>
          <w:sz w:val="28"/>
          <w:szCs w:val="28"/>
        </w:rPr>
      </w:pPr>
      <w:r w:rsidRPr="003E108C">
        <w:rPr>
          <w:rStyle w:val="FootnoteReference"/>
          <w:rFonts w:ascii="Times New Roman" w:hAnsi="Times New Roman"/>
          <w:sz w:val="28"/>
          <w:szCs w:val="28"/>
        </w:rPr>
        <w:footnoteRef/>
      </w:r>
      <w:r w:rsidRPr="003E108C">
        <w:rPr>
          <w:rFonts w:ascii="Times New Roman" w:hAnsi="Times New Roman"/>
          <w:sz w:val="28"/>
          <w:szCs w:val="28"/>
        </w:rPr>
        <w:t xml:space="preserve"> Paul T. Crane, </w:t>
      </w:r>
      <w:r w:rsidRPr="007D08CA">
        <w:rPr>
          <w:rFonts w:ascii="Times New Roman" w:hAnsi="Times New Roman"/>
          <w:i/>
          <w:iCs/>
          <w:sz w:val="28"/>
          <w:szCs w:val="28"/>
        </w:rPr>
        <w:t>Incorporating Collateral Consequences into Criminal Procedure</w:t>
      </w:r>
      <w:r w:rsidRPr="003E108C">
        <w:rPr>
          <w:rFonts w:ascii="Times New Roman" w:hAnsi="Times New Roman"/>
          <w:sz w:val="28"/>
          <w:szCs w:val="28"/>
        </w:rPr>
        <w:t>, 54 Wake Forest L. Rev. 1, 3 (2019)</w:t>
      </w:r>
      <w:r>
        <w:rPr>
          <w:rFonts w:ascii="Times New Roman" w:hAnsi="Times New Roman"/>
          <w:sz w:val="28"/>
          <w:szCs w:val="28"/>
        </w:rPr>
        <w:t>.</w:t>
      </w:r>
    </w:p>
  </w:footnote>
  <w:footnote w:id="3">
    <w:p w14:paraId="5310DA59" w14:textId="0EEC246D" w:rsidR="007D08CA" w:rsidRDefault="007D08CA">
      <w:pPr>
        <w:pStyle w:val="FootnoteText"/>
      </w:pPr>
      <w:r>
        <w:rPr>
          <w:rStyle w:val="FootnoteReference"/>
        </w:rPr>
        <w:footnoteRef/>
      </w:r>
      <w:r>
        <w:t xml:space="preserve"> </w:t>
      </w:r>
      <w:r w:rsidRPr="003E108C">
        <w:rPr>
          <w:rFonts w:ascii="Times New Roman" w:hAnsi="Times New Roman"/>
          <w:sz w:val="28"/>
          <w:szCs w:val="28"/>
        </w:rPr>
        <w:t>Jones</w:t>
      </w:r>
      <w:r>
        <w:rPr>
          <w:rFonts w:ascii="Times New Roman" w:hAnsi="Times New Roman"/>
          <w:sz w:val="28"/>
          <w:szCs w:val="28"/>
        </w:rPr>
        <w:t>, supra, at</w:t>
      </w:r>
      <w:r w:rsidR="005F5B45">
        <w:rPr>
          <w:rFonts w:ascii="Times New Roman" w:hAnsi="Times New Roman"/>
          <w:sz w:val="28"/>
          <w:szCs w:val="28"/>
        </w:rPr>
        <w:t xml:space="preserve"> </w:t>
      </w:r>
      <w:r w:rsidR="005F5B45" w:rsidRPr="005F5B45">
        <w:rPr>
          <w:rFonts w:ascii="Times New Roman" w:hAnsi="Times New Roman"/>
          <w:sz w:val="28"/>
          <w:szCs w:val="28"/>
        </w:rPr>
        <w:t>242</w:t>
      </w:r>
      <w:r w:rsidR="005F5B45">
        <w:rPr>
          <w:rFonts w:ascii="Times New Roman" w:hAnsi="Times New Roman"/>
          <w:sz w:val="28"/>
          <w:szCs w:val="28"/>
        </w:rPr>
        <w:t>.</w:t>
      </w:r>
    </w:p>
  </w:footnote>
  <w:footnote w:id="4">
    <w:p w14:paraId="62239FB4" w14:textId="152A6E6E" w:rsidR="004A3C8F" w:rsidRPr="004A3C8F" w:rsidRDefault="004A3C8F">
      <w:pPr>
        <w:pStyle w:val="FootnoteText"/>
        <w:rPr>
          <w:rFonts w:ascii="Times New Roman" w:hAnsi="Times New Roman"/>
          <w:sz w:val="28"/>
          <w:szCs w:val="28"/>
        </w:rPr>
      </w:pPr>
      <w:r w:rsidRPr="004A3C8F">
        <w:rPr>
          <w:rStyle w:val="FootnoteReference"/>
          <w:rFonts w:ascii="Times New Roman" w:hAnsi="Times New Roman"/>
          <w:sz w:val="28"/>
          <w:szCs w:val="28"/>
        </w:rPr>
        <w:footnoteRef/>
      </w:r>
      <w:r w:rsidRPr="004A3C8F">
        <w:rPr>
          <w:rFonts w:ascii="Times New Roman" w:hAnsi="Times New Roman"/>
          <w:sz w:val="28"/>
          <w:szCs w:val="28"/>
        </w:rPr>
        <w:t xml:space="preserve"> Id. at 241–42.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AA58B" w14:textId="77777777" w:rsidR="003E108C" w:rsidRDefault="003E1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BA30" w14:textId="77777777" w:rsidR="003E108C" w:rsidRDefault="003E1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2A8C8" w14:textId="77777777" w:rsidR="003E108C" w:rsidRDefault="003E1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2D"/>
    <w:rsid w:val="0004646E"/>
    <w:rsid w:val="00061B03"/>
    <w:rsid w:val="000E7A71"/>
    <w:rsid w:val="000F392F"/>
    <w:rsid w:val="001024D7"/>
    <w:rsid w:val="00130CDE"/>
    <w:rsid w:val="001B408E"/>
    <w:rsid w:val="00216003"/>
    <w:rsid w:val="00267BBE"/>
    <w:rsid w:val="002A4FF6"/>
    <w:rsid w:val="002B0233"/>
    <w:rsid w:val="002E017D"/>
    <w:rsid w:val="003D5BC1"/>
    <w:rsid w:val="003E108C"/>
    <w:rsid w:val="00406EC5"/>
    <w:rsid w:val="00421FBA"/>
    <w:rsid w:val="00437219"/>
    <w:rsid w:val="0047084D"/>
    <w:rsid w:val="004A3C8F"/>
    <w:rsid w:val="00500B27"/>
    <w:rsid w:val="00510858"/>
    <w:rsid w:val="00566816"/>
    <w:rsid w:val="005B712D"/>
    <w:rsid w:val="005F356C"/>
    <w:rsid w:val="005F5B45"/>
    <w:rsid w:val="00630FE8"/>
    <w:rsid w:val="006F5001"/>
    <w:rsid w:val="0072648F"/>
    <w:rsid w:val="00731D96"/>
    <w:rsid w:val="007D08CA"/>
    <w:rsid w:val="00850BBF"/>
    <w:rsid w:val="00873372"/>
    <w:rsid w:val="008B6FFE"/>
    <w:rsid w:val="008B7B2A"/>
    <w:rsid w:val="008F2FFA"/>
    <w:rsid w:val="008F47CE"/>
    <w:rsid w:val="009A783C"/>
    <w:rsid w:val="00A51DD9"/>
    <w:rsid w:val="00A67616"/>
    <w:rsid w:val="00B164B9"/>
    <w:rsid w:val="00B93907"/>
    <w:rsid w:val="00C06FD8"/>
    <w:rsid w:val="00C0737F"/>
    <w:rsid w:val="00C373A4"/>
    <w:rsid w:val="00C7754A"/>
    <w:rsid w:val="00CC406D"/>
    <w:rsid w:val="00CC495C"/>
    <w:rsid w:val="00D226FA"/>
    <w:rsid w:val="00D622E1"/>
    <w:rsid w:val="00D93CBF"/>
    <w:rsid w:val="00D95750"/>
    <w:rsid w:val="00E5764F"/>
    <w:rsid w:val="00E91EDF"/>
    <w:rsid w:val="00E9536D"/>
    <w:rsid w:val="00EA23D8"/>
    <w:rsid w:val="00EA3BEB"/>
    <w:rsid w:val="00EB3C79"/>
    <w:rsid w:val="00F00B37"/>
    <w:rsid w:val="00F31940"/>
    <w:rsid w:val="00FE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0D4E"/>
  <w15:chartTrackingRefBased/>
  <w15:docId w15:val="{65F7E91D-3284-4AA7-A37F-6892C002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3C"/>
    <w:pPr>
      <w:spacing w:after="0" w:line="455" w:lineRule="exact"/>
    </w:pPr>
    <w:rPr>
      <w:rFonts w:ascii="Courier New" w:eastAsia="Times New Roman" w:hAnsi="Courier New" w:cs="Times New Roman"/>
      <w:kern w:val="0"/>
      <w:sz w:val="18"/>
      <w:szCs w:val="20"/>
    </w:rPr>
  </w:style>
  <w:style w:type="paragraph" w:styleId="Heading1">
    <w:name w:val="heading 1"/>
    <w:basedOn w:val="Normal"/>
    <w:next w:val="Normal"/>
    <w:link w:val="Heading1Char"/>
    <w:uiPriority w:val="9"/>
    <w:qFormat/>
    <w:rsid w:val="005B7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12D"/>
    <w:rPr>
      <w:rFonts w:eastAsiaTheme="majorEastAsia" w:cstheme="majorBidi"/>
      <w:color w:val="272727" w:themeColor="text1" w:themeTint="D8"/>
    </w:rPr>
  </w:style>
  <w:style w:type="paragraph" w:styleId="Title">
    <w:name w:val="Title"/>
    <w:basedOn w:val="Normal"/>
    <w:next w:val="Normal"/>
    <w:link w:val="TitleChar"/>
    <w:uiPriority w:val="10"/>
    <w:qFormat/>
    <w:rsid w:val="005B7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12D"/>
    <w:pPr>
      <w:spacing w:before="160"/>
      <w:jc w:val="center"/>
    </w:pPr>
    <w:rPr>
      <w:i/>
      <w:iCs/>
      <w:color w:val="404040" w:themeColor="text1" w:themeTint="BF"/>
    </w:rPr>
  </w:style>
  <w:style w:type="character" w:customStyle="1" w:styleId="QuoteChar">
    <w:name w:val="Quote Char"/>
    <w:basedOn w:val="DefaultParagraphFont"/>
    <w:link w:val="Quote"/>
    <w:uiPriority w:val="29"/>
    <w:rsid w:val="005B712D"/>
    <w:rPr>
      <w:i/>
      <w:iCs/>
      <w:color w:val="404040" w:themeColor="text1" w:themeTint="BF"/>
    </w:rPr>
  </w:style>
  <w:style w:type="paragraph" w:styleId="ListParagraph">
    <w:name w:val="List Paragraph"/>
    <w:basedOn w:val="Normal"/>
    <w:uiPriority w:val="34"/>
    <w:qFormat/>
    <w:rsid w:val="005B712D"/>
    <w:pPr>
      <w:ind w:left="720"/>
      <w:contextualSpacing/>
    </w:pPr>
  </w:style>
  <w:style w:type="character" w:styleId="IntenseEmphasis">
    <w:name w:val="Intense Emphasis"/>
    <w:basedOn w:val="DefaultParagraphFont"/>
    <w:uiPriority w:val="21"/>
    <w:qFormat/>
    <w:rsid w:val="005B712D"/>
    <w:rPr>
      <w:i/>
      <w:iCs/>
      <w:color w:val="0F4761" w:themeColor="accent1" w:themeShade="BF"/>
    </w:rPr>
  </w:style>
  <w:style w:type="paragraph" w:styleId="IntenseQuote">
    <w:name w:val="Intense Quote"/>
    <w:basedOn w:val="Normal"/>
    <w:next w:val="Normal"/>
    <w:link w:val="IntenseQuoteChar"/>
    <w:uiPriority w:val="30"/>
    <w:qFormat/>
    <w:rsid w:val="005B7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12D"/>
    <w:rPr>
      <w:i/>
      <w:iCs/>
      <w:color w:val="0F4761" w:themeColor="accent1" w:themeShade="BF"/>
    </w:rPr>
  </w:style>
  <w:style w:type="character" w:styleId="IntenseReference">
    <w:name w:val="Intense Reference"/>
    <w:basedOn w:val="DefaultParagraphFont"/>
    <w:uiPriority w:val="32"/>
    <w:qFormat/>
    <w:rsid w:val="005B712D"/>
    <w:rPr>
      <w:b/>
      <w:bCs/>
      <w:smallCaps/>
      <w:color w:val="0F4761" w:themeColor="accent1" w:themeShade="BF"/>
      <w:spacing w:val="5"/>
    </w:rPr>
  </w:style>
  <w:style w:type="character" w:styleId="Hyperlink">
    <w:name w:val="Hyperlink"/>
    <w:basedOn w:val="DefaultParagraphFont"/>
    <w:unhideWhenUsed/>
    <w:rsid w:val="005B712D"/>
    <w:rPr>
      <w:color w:val="0000FF"/>
      <w:u w:val="single"/>
    </w:rPr>
  </w:style>
  <w:style w:type="paragraph" w:customStyle="1" w:styleId="AttorneyName">
    <w:name w:val="Attorney Name"/>
    <w:basedOn w:val="Normal"/>
    <w:rsid w:val="005B712D"/>
    <w:pPr>
      <w:spacing w:line="227" w:lineRule="exact"/>
    </w:pPr>
  </w:style>
  <w:style w:type="paragraph" w:customStyle="1" w:styleId="SingleSpacing">
    <w:name w:val="Single Spacing"/>
    <w:basedOn w:val="Normal"/>
    <w:rsid w:val="005B712D"/>
    <w:pPr>
      <w:spacing w:line="227" w:lineRule="exact"/>
    </w:pPr>
  </w:style>
  <w:style w:type="paragraph" w:styleId="Header">
    <w:name w:val="header"/>
    <w:basedOn w:val="Normal"/>
    <w:link w:val="HeaderChar"/>
    <w:uiPriority w:val="99"/>
    <w:unhideWhenUsed/>
    <w:rsid w:val="003E108C"/>
    <w:pPr>
      <w:tabs>
        <w:tab w:val="center" w:pos="4680"/>
        <w:tab w:val="right" w:pos="9360"/>
      </w:tabs>
      <w:spacing w:line="240" w:lineRule="auto"/>
    </w:pPr>
  </w:style>
  <w:style w:type="character" w:customStyle="1" w:styleId="HeaderChar">
    <w:name w:val="Header Char"/>
    <w:basedOn w:val="DefaultParagraphFont"/>
    <w:link w:val="Header"/>
    <w:uiPriority w:val="99"/>
    <w:rsid w:val="003E108C"/>
    <w:rPr>
      <w:rFonts w:ascii="Courier New" w:eastAsia="Times New Roman" w:hAnsi="Courier New" w:cs="Times New Roman"/>
      <w:kern w:val="0"/>
      <w:sz w:val="18"/>
      <w:szCs w:val="20"/>
    </w:rPr>
  </w:style>
  <w:style w:type="paragraph" w:styleId="Footer">
    <w:name w:val="footer"/>
    <w:basedOn w:val="Normal"/>
    <w:link w:val="FooterChar"/>
    <w:uiPriority w:val="99"/>
    <w:unhideWhenUsed/>
    <w:rsid w:val="003E108C"/>
    <w:pPr>
      <w:tabs>
        <w:tab w:val="center" w:pos="4680"/>
        <w:tab w:val="right" w:pos="9360"/>
      </w:tabs>
      <w:spacing w:line="240" w:lineRule="auto"/>
    </w:pPr>
  </w:style>
  <w:style w:type="character" w:customStyle="1" w:styleId="FooterChar">
    <w:name w:val="Footer Char"/>
    <w:basedOn w:val="DefaultParagraphFont"/>
    <w:link w:val="Footer"/>
    <w:uiPriority w:val="99"/>
    <w:rsid w:val="003E108C"/>
    <w:rPr>
      <w:rFonts w:ascii="Courier New" w:eastAsia="Times New Roman" w:hAnsi="Courier New" w:cs="Times New Roman"/>
      <w:kern w:val="0"/>
      <w:sz w:val="18"/>
      <w:szCs w:val="20"/>
    </w:rPr>
  </w:style>
  <w:style w:type="paragraph" w:styleId="FootnoteText">
    <w:name w:val="footnote text"/>
    <w:basedOn w:val="Normal"/>
    <w:link w:val="FootnoteTextChar"/>
    <w:uiPriority w:val="99"/>
    <w:semiHidden/>
    <w:unhideWhenUsed/>
    <w:rsid w:val="003E108C"/>
    <w:pPr>
      <w:spacing w:line="240" w:lineRule="auto"/>
    </w:pPr>
    <w:rPr>
      <w:sz w:val="20"/>
    </w:rPr>
  </w:style>
  <w:style w:type="character" w:customStyle="1" w:styleId="FootnoteTextChar">
    <w:name w:val="Footnote Text Char"/>
    <w:basedOn w:val="DefaultParagraphFont"/>
    <w:link w:val="FootnoteText"/>
    <w:uiPriority w:val="99"/>
    <w:semiHidden/>
    <w:rsid w:val="003E108C"/>
    <w:rPr>
      <w:rFonts w:ascii="Courier New" w:eastAsia="Times New Roman" w:hAnsi="Courier New" w:cs="Times New Roman"/>
      <w:kern w:val="0"/>
      <w:sz w:val="20"/>
      <w:szCs w:val="20"/>
    </w:rPr>
  </w:style>
  <w:style w:type="character" w:styleId="FootnoteReference">
    <w:name w:val="footnote reference"/>
    <w:basedOn w:val="DefaultParagraphFont"/>
    <w:uiPriority w:val="99"/>
    <w:semiHidden/>
    <w:unhideWhenUsed/>
    <w:rsid w:val="003E108C"/>
    <w:rPr>
      <w:vertAlign w:val="superscript"/>
    </w:rPr>
  </w:style>
  <w:style w:type="character" w:styleId="UnresolvedMention">
    <w:name w:val="Unresolved Mention"/>
    <w:basedOn w:val="DefaultParagraphFont"/>
    <w:uiPriority w:val="99"/>
    <w:semiHidden/>
    <w:unhideWhenUsed/>
    <w:rsid w:val="00F31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096447">
      <w:bodyDiv w:val="1"/>
      <w:marLeft w:val="0"/>
      <w:marRight w:val="0"/>
      <w:marTop w:val="0"/>
      <w:marBottom w:val="0"/>
      <w:divBdr>
        <w:top w:val="none" w:sz="0" w:space="0" w:color="auto"/>
        <w:left w:val="none" w:sz="0" w:space="0" w:color="auto"/>
        <w:bottom w:val="none" w:sz="0" w:space="0" w:color="auto"/>
        <w:right w:val="none" w:sz="0" w:space="0" w:color="auto"/>
      </w:divBdr>
      <w:divsChild>
        <w:div w:id="677343224">
          <w:marLeft w:val="0"/>
          <w:marRight w:val="0"/>
          <w:marTop w:val="0"/>
          <w:marBottom w:val="0"/>
          <w:divBdr>
            <w:top w:val="none" w:sz="0" w:space="0" w:color="212121"/>
            <w:left w:val="none" w:sz="0" w:space="0" w:color="212121"/>
            <w:bottom w:val="none" w:sz="0" w:space="0" w:color="212121"/>
            <w:right w:val="none" w:sz="0" w:space="0" w:color="212121"/>
          </w:divBdr>
          <w:divsChild>
            <w:div w:id="90722595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41379854">
      <w:bodyDiv w:val="1"/>
      <w:marLeft w:val="0"/>
      <w:marRight w:val="0"/>
      <w:marTop w:val="0"/>
      <w:marBottom w:val="0"/>
      <w:divBdr>
        <w:top w:val="none" w:sz="0" w:space="0" w:color="auto"/>
        <w:left w:val="none" w:sz="0" w:space="0" w:color="auto"/>
        <w:bottom w:val="none" w:sz="0" w:space="0" w:color="auto"/>
        <w:right w:val="none" w:sz="0" w:space="0" w:color="auto"/>
      </w:divBdr>
      <w:divsChild>
        <w:div w:id="1443723367">
          <w:marLeft w:val="0"/>
          <w:marRight w:val="0"/>
          <w:marTop w:val="0"/>
          <w:marBottom w:val="0"/>
          <w:divBdr>
            <w:top w:val="none" w:sz="0" w:space="0" w:color="212121"/>
            <w:left w:val="none" w:sz="0" w:space="0" w:color="212121"/>
            <w:bottom w:val="none" w:sz="0" w:space="0" w:color="212121"/>
            <w:right w:val="none" w:sz="0" w:space="0" w:color="212121"/>
          </w:divBdr>
          <w:divsChild>
            <w:div w:id="44141646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46889719">
      <w:bodyDiv w:val="1"/>
      <w:marLeft w:val="0"/>
      <w:marRight w:val="0"/>
      <w:marTop w:val="0"/>
      <w:marBottom w:val="0"/>
      <w:divBdr>
        <w:top w:val="none" w:sz="0" w:space="0" w:color="auto"/>
        <w:left w:val="none" w:sz="0" w:space="0" w:color="auto"/>
        <w:bottom w:val="none" w:sz="0" w:space="0" w:color="auto"/>
        <w:right w:val="none" w:sz="0" w:space="0" w:color="auto"/>
      </w:divBdr>
    </w:div>
    <w:div w:id="1230651754">
      <w:bodyDiv w:val="1"/>
      <w:marLeft w:val="0"/>
      <w:marRight w:val="0"/>
      <w:marTop w:val="0"/>
      <w:marBottom w:val="0"/>
      <w:divBdr>
        <w:top w:val="none" w:sz="0" w:space="0" w:color="auto"/>
        <w:left w:val="none" w:sz="0" w:space="0" w:color="auto"/>
        <w:bottom w:val="none" w:sz="0" w:space="0" w:color="auto"/>
        <w:right w:val="none" w:sz="0" w:space="0" w:color="auto"/>
      </w:divBdr>
    </w:div>
    <w:div w:id="1675526006">
      <w:bodyDiv w:val="1"/>
      <w:marLeft w:val="0"/>
      <w:marRight w:val="0"/>
      <w:marTop w:val="0"/>
      <w:marBottom w:val="0"/>
      <w:divBdr>
        <w:top w:val="none" w:sz="0" w:space="0" w:color="auto"/>
        <w:left w:val="none" w:sz="0" w:space="0" w:color="auto"/>
        <w:bottom w:val="none" w:sz="0" w:space="0" w:color="auto"/>
        <w:right w:val="none" w:sz="0" w:space="0" w:color="auto"/>
      </w:divBdr>
      <w:divsChild>
        <w:div w:id="839197978">
          <w:marLeft w:val="0"/>
          <w:marRight w:val="0"/>
          <w:marTop w:val="0"/>
          <w:marBottom w:val="0"/>
          <w:divBdr>
            <w:top w:val="none" w:sz="0" w:space="0" w:color="212121"/>
            <w:left w:val="none" w:sz="0" w:space="0" w:color="212121"/>
            <w:bottom w:val="none" w:sz="0" w:space="0" w:color="212121"/>
            <w:right w:val="none" w:sz="0" w:space="0" w:color="212121"/>
          </w:divBdr>
          <w:divsChild>
            <w:div w:id="113725909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ivens@mscc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Bivens@mscclaw.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A4BB1-F2CA-4C27-9EA7-61B7CD20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7</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Bivens</dc:creator>
  <cp:keywords/>
  <dc:description/>
  <cp:lastModifiedBy>Peggy McClellan</cp:lastModifiedBy>
  <cp:revision>7</cp:revision>
  <cp:lastPrinted>2024-05-01T21:25:00Z</cp:lastPrinted>
  <dcterms:created xsi:type="dcterms:W3CDTF">2024-04-29T00:16:00Z</dcterms:created>
  <dcterms:modified xsi:type="dcterms:W3CDTF">2024-05-01T22:22:00Z</dcterms:modified>
</cp:coreProperties>
</file>