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7E1E0" w14:textId="77777777" w:rsidR="00D3577B" w:rsidRPr="00D3577B" w:rsidRDefault="00D3577B" w:rsidP="00D3577B">
      <w:pPr>
        <w:rPr>
          <w:b/>
          <w:bCs/>
          <w:sz w:val="28"/>
          <w:szCs w:val="28"/>
        </w:rPr>
      </w:pPr>
      <w:bookmarkStart w:id="0" w:name="_Hlk96335432"/>
      <w:r w:rsidRPr="00D3577B">
        <w:rPr>
          <w:b/>
          <w:bCs/>
          <w:sz w:val="28"/>
          <w:szCs w:val="28"/>
        </w:rPr>
        <w:t>Attorneys for Arizona Attorneys for Criminal Justice</w:t>
      </w:r>
    </w:p>
    <w:p w14:paraId="52605AA7" w14:textId="09EA67F1" w:rsidR="005D0332" w:rsidRDefault="005D0332" w:rsidP="005D0332">
      <w:pPr>
        <w:rPr>
          <w:sz w:val="28"/>
          <w:szCs w:val="28"/>
        </w:rPr>
      </w:pPr>
      <w:r>
        <w:rPr>
          <w:sz w:val="28"/>
          <w:szCs w:val="28"/>
        </w:rPr>
        <w:t>Molly Brizgys (#029216)</w:t>
      </w:r>
    </w:p>
    <w:p w14:paraId="6916DF09" w14:textId="1F7C5ECE" w:rsidR="005D0332" w:rsidRDefault="00B50136" w:rsidP="005D0332">
      <w:pPr>
        <w:rPr>
          <w:sz w:val="28"/>
          <w:szCs w:val="28"/>
        </w:rPr>
      </w:pPr>
      <w:hyperlink r:id="rId7" w:history="1">
        <w:r w:rsidR="005D0332" w:rsidRPr="005E3091">
          <w:rPr>
            <w:rStyle w:val="Hyperlink"/>
            <w:sz w:val="28"/>
            <w:szCs w:val="28"/>
          </w:rPr>
          <w:t>Molly@mscclaw.com</w:t>
        </w:r>
      </w:hyperlink>
      <w:r w:rsidR="005D0332">
        <w:rPr>
          <w:sz w:val="28"/>
          <w:szCs w:val="28"/>
        </w:rPr>
        <w:t xml:space="preserve"> </w:t>
      </w:r>
    </w:p>
    <w:p w14:paraId="1A872078" w14:textId="108ED3CF" w:rsidR="002477F1" w:rsidRPr="00C02762" w:rsidRDefault="002477F1" w:rsidP="005D0332">
      <w:pPr>
        <w:rPr>
          <w:sz w:val="28"/>
          <w:szCs w:val="28"/>
        </w:rPr>
      </w:pPr>
      <w:r w:rsidRPr="00C02762">
        <w:rPr>
          <w:sz w:val="28"/>
          <w:szCs w:val="28"/>
        </w:rPr>
        <w:t xml:space="preserve">Kathleen E. Brody (#026331)  </w:t>
      </w:r>
    </w:p>
    <w:bookmarkStart w:id="1" w:name="Email"/>
    <w:bookmarkEnd w:id="1"/>
    <w:p w14:paraId="4CF5518B" w14:textId="77777777" w:rsidR="002477F1" w:rsidRPr="00C02762" w:rsidRDefault="002477F1" w:rsidP="005D0332">
      <w:pPr>
        <w:rPr>
          <w:sz w:val="28"/>
          <w:szCs w:val="28"/>
        </w:rPr>
      </w:pPr>
      <w:r w:rsidRPr="00C02762">
        <w:rPr>
          <w:sz w:val="28"/>
          <w:szCs w:val="28"/>
        </w:rPr>
        <w:fldChar w:fldCharType="begin"/>
      </w:r>
      <w:r w:rsidRPr="00C02762">
        <w:rPr>
          <w:sz w:val="28"/>
          <w:szCs w:val="28"/>
        </w:rPr>
        <w:instrText xml:space="preserve"> HYPERLINK "mailto:kathy@mscclaw.com" </w:instrText>
      </w:r>
      <w:r w:rsidRPr="00C02762">
        <w:rPr>
          <w:sz w:val="28"/>
          <w:szCs w:val="28"/>
        </w:rPr>
      </w:r>
      <w:r w:rsidRPr="00C02762">
        <w:rPr>
          <w:sz w:val="28"/>
          <w:szCs w:val="28"/>
        </w:rPr>
        <w:fldChar w:fldCharType="separate"/>
      </w:r>
      <w:r w:rsidRPr="00C02762">
        <w:rPr>
          <w:rStyle w:val="Hyperlink"/>
          <w:sz w:val="28"/>
          <w:szCs w:val="28"/>
        </w:rPr>
        <w:t>kathy@mscclaw.com</w:t>
      </w:r>
      <w:r w:rsidRPr="00C02762">
        <w:rPr>
          <w:sz w:val="28"/>
          <w:szCs w:val="28"/>
        </w:rPr>
        <w:fldChar w:fldCharType="end"/>
      </w:r>
    </w:p>
    <w:p w14:paraId="7A4629F1" w14:textId="77777777" w:rsidR="002477F1" w:rsidRPr="00C02762" w:rsidRDefault="002477F1" w:rsidP="005D0332">
      <w:pPr>
        <w:rPr>
          <w:sz w:val="28"/>
          <w:szCs w:val="28"/>
        </w:rPr>
      </w:pPr>
      <w:r w:rsidRPr="00C02762">
        <w:rPr>
          <w:sz w:val="28"/>
          <w:szCs w:val="28"/>
        </w:rPr>
        <w:t>MITCHELL | STEIN | CAREY | CHAPMAN, PC</w:t>
      </w:r>
    </w:p>
    <w:p w14:paraId="70C40AB1" w14:textId="77777777" w:rsidR="002477F1" w:rsidRPr="00C02762" w:rsidRDefault="002477F1" w:rsidP="005D0332">
      <w:pPr>
        <w:rPr>
          <w:sz w:val="28"/>
          <w:szCs w:val="28"/>
        </w:rPr>
      </w:pPr>
      <w:r w:rsidRPr="00C02762">
        <w:rPr>
          <w:sz w:val="28"/>
          <w:szCs w:val="28"/>
        </w:rPr>
        <w:t>2600 North Central Avenue, Suite 1000</w:t>
      </w:r>
    </w:p>
    <w:p w14:paraId="2BDB2A27" w14:textId="77777777" w:rsidR="002477F1" w:rsidRPr="00C02762" w:rsidRDefault="002477F1" w:rsidP="005D0332">
      <w:pPr>
        <w:rPr>
          <w:sz w:val="28"/>
          <w:szCs w:val="28"/>
        </w:rPr>
      </w:pPr>
      <w:r w:rsidRPr="00C02762">
        <w:rPr>
          <w:sz w:val="28"/>
          <w:szCs w:val="28"/>
        </w:rPr>
        <w:t>Phoenix, AZ 85004</w:t>
      </w:r>
    </w:p>
    <w:p w14:paraId="11ECEBC5" w14:textId="77777777" w:rsidR="002477F1" w:rsidRPr="00C02762" w:rsidRDefault="002477F1" w:rsidP="005D0332">
      <w:pPr>
        <w:rPr>
          <w:sz w:val="28"/>
          <w:szCs w:val="28"/>
        </w:rPr>
      </w:pPr>
      <w:r w:rsidRPr="00C02762">
        <w:rPr>
          <w:sz w:val="28"/>
          <w:szCs w:val="28"/>
        </w:rPr>
        <w:t>Telephone</w:t>
      </w:r>
      <w:proofErr w:type="gramStart"/>
      <w:r w:rsidRPr="00C02762">
        <w:rPr>
          <w:sz w:val="28"/>
          <w:szCs w:val="28"/>
        </w:rPr>
        <w:t>:  (</w:t>
      </w:r>
      <w:proofErr w:type="gramEnd"/>
      <w:r w:rsidRPr="00C02762">
        <w:rPr>
          <w:sz w:val="28"/>
          <w:szCs w:val="28"/>
        </w:rPr>
        <w:t>602) 358-0290</w:t>
      </w:r>
    </w:p>
    <w:p w14:paraId="491D90A0" w14:textId="4FE07A6A" w:rsidR="002477F1" w:rsidRPr="00C02762" w:rsidRDefault="002477F1" w:rsidP="005D0332">
      <w:pPr>
        <w:rPr>
          <w:sz w:val="28"/>
          <w:szCs w:val="28"/>
        </w:rPr>
      </w:pPr>
      <w:r w:rsidRPr="00C02762">
        <w:rPr>
          <w:sz w:val="28"/>
          <w:szCs w:val="28"/>
        </w:rPr>
        <w:t>Facsimile:</w:t>
      </w:r>
      <w:proofErr w:type="gramStart"/>
      <w:r w:rsidRPr="00C02762">
        <w:rPr>
          <w:sz w:val="28"/>
          <w:szCs w:val="28"/>
        </w:rPr>
        <w:t xml:space="preserve">   (</w:t>
      </w:r>
      <w:proofErr w:type="gramEnd"/>
      <w:r w:rsidRPr="00C02762">
        <w:rPr>
          <w:sz w:val="28"/>
          <w:szCs w:val="28"/>
        </w:rPr>
        <w:t>602) 358-0291</w:t>
      </w:r>
    </w:p>
    <w:p w14:paraId="4A67F3CA" w14:textId="77777777" w:rsidR="007F6B47" w:rsidRPr="00C02762" w:rsidRDefault="007F6B47" w:rsidP="007F6B47">
      <w:pPr>
        <w:rPr>
          <w:sz w:val="28"/>
          <w:szCs w:val="28"/>
        </w:rPr>
      </w:pPr>
    </w:p>
    <w:p w14:paraId="7117C7BD" w14:textId="77777777" w:rsidR="002477F1" w:rsidRPr="00C02762" w:rsidRDefault="002477F1" w:rsidP="002477F1">
      <w:pPr>
        <w:rPr>
          <w:sz w:val="28"/>
          <w:szCs w:val="28"/>
        </w:rPr>
      </w:pPr>
    </w:p>
    <w:p w14:paraId="38569326" w14:textId="00D714ED" w:rsidR="002477F1" w:rsidRPr="00C02762" w:rsidRDefault="00D3577B" w:rsidP="002477F1">
      <w:pPr>
        <w:jc w:val="center"/>
        <w:rPr>
          <w:b/>
          <w:bCs/>
          <w:sz w:val="28"/>
          <w:szCs w:val="28"/>
        </w:rPr>
      </w:pPr>
      <w:r>
        <w:rPr>
          <w:b/>
          <w:bCs/>
          <w:sz w:val="28"/>
          <w:szCs w:val="28"/>
        </w:rPr>
        <w:t xml:space="preserve">IN THE </w:t>
      </w:r>
      <w:r w:rsidR="002477F1" w:rsidRPr="00C02762">
        <w:rPr>
          <w:b/>
          <w:bCs/>
          <w:sz w:val="28"/>
          <w:szCs w:val="28"/>
        </w:rPr>
        <w:t xml:space="preserve">SUPREME COURT OF </w:t>
      </w:r>
      <w:r>
        <w:rPr>
          <w:b/>
          <w:bCs/>
          <w:sz w:val="28"/>
          <w:szCs w:val="28"/>
        </w:rPr>
        <w:t xml:space="preserve">THE STATE OF </w:t>
      </w:r>
      <w:r w:rsidR="002477F1" w:rsidRPr="00C02762">
        <w:rPr>
          <w:b/>
          <w:bCs/>
          <w:sz w:val="28"/>
          <w:szCs w:val="28"/>
        </w:rPr>
        <w:t>ARIZONA</w:t>
      </w:r>
    </w:p>
    <w:p w14:paraId="6C57EB73" w14:textId="77777777" w:rsidR="002477F1" w:rsidRPr="00C02762" w:rsidRDefault="002477F1" w:rsidP="002477F1">
      <w:pPr>
        <w:jc w:val="center"/>
        <w:rPr>
          <w:sz w:val="28"/>
          <w:szCs w:val="28"/>
        </w:rPr>
      </w:pPr>
    </w:p>
    <w:tbl>
      <w:tblPr>
        <w:tblW w:w="0" w:type="auto"/>
        <w:tblLayout w:type="fixed"/>
        <w:tblCellMar>
          <w:left w:w="0" w:type="dxa"/>
          <w:right w:w="0" w:type="dxa"/>
        </w:tblCellMar>
        <w:tblLook w:val="0000" w:firstRow="0" w:lastRow="0" w:firstColumn="0" w:lastColumn="0" w:noHBand="0" w:noVBand="0"/>
      </w:tblPr>
      <w:tblGrid>
        <w:gridCol w:w="4500"/>
        <w:gridCol w:w="318"/>
        <w:gridCol w:w="4542"/>
      </w:tblGrid>
      <w:tr w:rsidR="002477F1" w:rsidRPr="00C02762" w14:paraId="50CF5E5C" w14:textId="77777777" w:rsidTr="00A60328">
        <w:tc>
          <w:tcPr>
            <w:tcW w:w="4500" w:type="dxa"/>
            <w:tcBorders>
              <w:bottom w:val="single" w:sz="4" w:space="0" w:color="auto"/>
            </w:tcBorders>
          </w:tcPr>
          <w:p w14:paraId="03F08208" w14:textId="2FFD8FE9" w:rsidR="002477F1" w:rsidRPr="00C02762" w:rsidRDefault="00C209F2" w:rsidP="00A60328">
            <w:pPr>
              <w:rPr>
                <w:sz w:val="28"/>
                <w:szCs w:val="28"/>
              </w:rPr>
            </w:pPr>
            <w:bookmarkStart w:id="2" w:name="Parties"/>
            <w:bookmarkEnd w:id="2"/>
            <w:r w:rsidRPr="00C02762">
              <w:rPr>
                <w:sz w:val="28"/>
                <w:szCs w:val="28"/>
              </w:rPr>
              <w:t xml:space="preserve">In the </w:t>
            </w:r>
            <w:r w:rsidR="004D6B3D" w:rsidRPr="00C02762">
              <w:rPr>
                <w:sz w:val="28"/>
                <w:szCs w:val="28"/>
              </w:rPr>
              <w:t>m</w:t>
            </w:r>
            <w:r w:rsidRPr="00C02762">
              <w:rPr>
                <w:sz w:val="28"/>
                <w:szCs w:val="28"/>
              </w:rPr>
              <w:t>atter of</w:t>
            </w:r>
            <w:r w:rsidR="004D6B3D" w:rsidRPr="00C02762">
              <w:rPr>
                <w:sz w:val="28"/>
                <w:szCs w:val="28"/>
              </w:rPr>
              <w:t>:</w:t>
            </w:r>
          </w:p>
          <w:p w14:paraId="7FA59031" w14:textId="0D9996FF" w:rsidR="00C209F2" w:rsidRPr="00C02762" w:rsidRDefault="00C209F2" w:rsidP="00A60328">
            <w:pPr>
              <w:rPr>
                <w:sz w:val="28"/>
                <w:szCs w:val="28"/>
              </w:rPr>
            </w:pPr>
          </w:p>
          <w:p w14:paraId="0B73AD37" w14:textId="1897B0F0" w:rsidR="002477F1" w:rsidRPr="00C02762" w:rsidRDefault="004D6B3D" w:rsidP="00A60328">
            <w:pPr>
              <w:rPr>
                <w:sz w:val="28"/>
                <w:szCs w:val="28"/>
              </w:rPr>
            </w:pPr>
            <w:r w:rsidRPr="00C02762">
              <w:rPr>
                <w:sz w:val="28"/>
                <w:szCs w:val="28"/>
              </w:rPr>
              <w:t>Petition to Amend Rule</w:t>
            </w:r>
            <w:r w:rsidR="00C3179C">
              <w:rPr>
                <w:sz w:val="28"/>
                <w:szCs w:val="28"/>
              </w:rPr>
              <w:t>s</w:t>
            </w:r>
            <w:r w:rsidRPr="00C02762">
              <w:rPr>
                <w:sz w:val="28"/>
                <w:szCs w:val="28"/>
              </w:rPr>
              <w:t xml:space="preserve"> </w:t>
            </w:r>
            <w:r w:rsidR="005D0332">
              <w:rPr>
                <w:sz w:val="28"/>
                <w:szCs w:val="28"/>
              </w:rPr>
              <w:t>42 and 45</w:t>
            </w:r>
            <w:r w:rsidR="00C3179C">
              <w:rPr>
                <w:sz w:val="28"/>
                <w:szCs w:val="28"/>
              </w:rPr>
              <w:t>, Rules of the Supreme Court</w:t>
            </w:r>
            <w:r w:rsidR="00B703ED">
              <w:rPr>
                <w:sz w:val="28"/>
                <w:szCs w:val="28"/>
              </w:rPr>
              <w:t xml:space="preserve"> of Arizona</w:t>
            </w:r>
          </w:p>
        </w:tc>
        <w:tc>
          <w:tcPr>
            <w:tcW w:w="318" w:type="dxa"/>
          </w:tcPr>
          <w:p w14:paraId="6FC8C9C7" w14:textId="77777777" w:rsidR="002477F1" w:rsidRPr="00C02762" w:rsidRDefault="002477F1" w:rsidP="00A60328">
            <w:pPr>
              <w:rPr>
                <w:sz w:val="28"/>
                <w:szCs w:val="28"/>
              </w:rPr>
            </w:pPr>
            <w:r w:rsidRPr="00C02762">
              <w:rPr>
                <w:sz w:val="28"/>
                <w:szCs w:val="28"/>
              </w:rPr>
              <w:t>)</w:t>
            </w:r>
          </w:p>
          <w:p w14:paraId="04F1DD58" w14:textId="77777777" w:rsidR="002477F1" w:rsidRPr="00C02762" w:rsidRDefault="002477F1" w:rsidP="00A60328">
            <w:pPr>
              <w:rPr>
                <w:sz w:val="28"/>
                <w:szCs w:val="28"/>
              </w:rPr>
            </w:pPr>
            <w:r w:rsidRPr="00C02762">
              <w:rPr>
                <w:sz w:val="28"/>
                <w:szCs w:val="28"/>
              </w:rPr>
              <w:t>)</w:t>
            </w:r>
          </w:p>
          <w:p w14:paraId="4DC52ACC" w14:textId="77777777" w:rsidR="002477F1" w:rsidRPr="00C02762" w:rsidRDefault="002477F1" w:rsidP="00A60328">
            <w:pPr>
              <w:rPr>
                <w:sz w:val="28"/>
                <w:szCs w:val="28"/>
              </w:rPr>
            </w:pPr>
            <w:r w:rsidRPr="00C02762">
              <w:rPr>
                <w:sz w:val="28"/>
                <w:szCs w:val="28"/>
              </w:rPr>
              <w:t>)</w:t>
            </w:r>
          </w:p>
          <w:p w14:paraId="2007A5EF" w14:textId="77777777" w:rsidR="002477F1" w:rsidRPr="00C02762" w:rsidRDefault="002477F1" w:rsidP="00A60328">
            <w:pPr>
              <w:rPr>
                <w:sz w:val="28"/>
                <w:szCs w:val="28"/>
              </w:rPr>
            </w:pPr>
            <w:r w:rsidRPr="00C02762">
              <w:rPr>
                <w:sz w:val="28"/>
                <w:szCs w:val="28"/>
              </w:rPr>
              <w:t>)</w:t>
            </w:r>
          </w:p>
          <w:p w14:paraId="607582C9" w14:textId="77777777" w:rsidR="002477F1" w:rsidRPr="00C02762" w:rsidRDefault="002477F1" w:rsidP="00A60328">
            <w:pPr>
              <w:rPr>
                <w:sz w:val="28"/>
                <w:szCs w:val="28"/>
              </w:rPr>
            </w:pPr>
            <w:r w:rsidRPr="00C02762">
              <w:rPr>
                <w:sz w:val="28"/>
                <w:szCs w:val="28"/>
              </w:rPr>
              <w:t>)</w:t>
            </w:r>
          </w:p>
          <w:p w14:paraId="53B53278" w14:textId="77777777" w:rsidR="002477F1" w:rsidRPr="00C02762" w:rsidRDefault="002477F1" w:rsidP="00A60328">
            <w:pPr>
              <w:rPr>
                <w:sz w:val="28"/>
                <w:szCs w:val="28"/>
              </w:rPr>
            </w:pPr>
            <w:r w:rsidRPr="00C02762">
              <w:rPr>
                <w:sz w:val="28"/>
                <w:szCs w:val="28"/>
              </w:rPr>
              <w:t>)</w:t>
            </w:r>
          </w:p>
          <w:p w14:paraId="08069D6B" w14:textId="77777777" w:rsidR="00DF74A9" w:rsidRDefault="00DF74A9" w:rsidP="00A60328">
            <w:pPr>
              <w:rPr>
                <w:sz w:val="28"/>
                <w:szCs w:val="28"/>
              </w:rPr>
            </w:pPr>
            <w:r w:rsidRPr="00C02762">
              <w:rPr>
                <w:sz w:val="28"/>
                <w:szCs w:val="28"/>
              </w:rPr>
              <w:t>)</w:t>
            </w:r>
          </w:p>
          <w:p w14:paraId="33FCD0AA" w14:textId="77777777" w:rsidR="008D0D96" w:rsidRDefault="008D0D96" w:rsidP="00A60328">
            <w:pPr>
              <w:rPr>
                <w:sz w:val="28"/>
                <w:szCs w:val="28"/>
              </w:rPr>
            </w:pPr>
            <w:r>
              <w:rPr>
                <w:sz w:val="28"/>
                <w:szCs w:val="28"/>
              </w:rPr>
              <w:t>)</w:t>
            </w:r>
          </w:p>
          <w:p w14:paraId="5E322891" w14:textId="04DDD8D9" w:rsidR="008D0D96" w:rsidRPr="00C02762" w:rsidRDefault="008D0D96" w:rsidP="00A60328">
            <w:pPr>
              <w:rPr>
                <w:sz w:val="28"/>
                <w:szCs w:val="28"/>
              </w:rPr>
            </w:pPr>
            <w:r>
              <w:rPr>
                <w:sz w:val="28"/>
                <w:szCs w:val="28"/>
              </w:rPr>
              <w:t>)</w:t>
            </w:r>
          </w:p>
        </w:tc>
        <w:tc>
          <w:tcPr>
            <w:tcW w:w="4542" w:type="dxa"/>
          </w:tcPr>
          <w:p w14:paraId="6EF91575" w14:textId="5E88D92A" w:rsidR="002477F1" w:rsidRPr="00C02762" w:rsidRDefault="002477F1" w:rsidP="00A60328">
            <w:pPr>
              <w:rPr>
                <w:sz w:val="28"/>
                <w:szCs w:val="28"/>
              </w:rPr>
            </w:pPr>
            <w:r w:rsidRPr="00C02762">
              <w:rPr>
                <w:sz w:val="28"/>
                <w:szCs w:val="28"/>
              </w:rPr>
              <w:t xml:space="preserve">No. </w:t>
            </w:r>
            <w:r w:rsidR="00C209F2" w:rsidRPr="00C02762">
              <w:rPr>
                <w:sz w:val="28"/>
                <w:szCs w:val="28"/>
              </w:rPr>
              <w:t>R-2</w:t>
            </w:r>
            <w:r w:rsidR="00B741B3">
              <w:rPr>
                <w:sz w:val="28"/>
                <w:szCs w:val="28"/>
              </w:rPr>
              <w:t>4</w:t>
            </w:r>
            <w:r w:rsidR="00C209F2" w:rsidRPr="00B703ED">
              <w:rPr>
                <w:sz w:val="28"/>
                <w:szCs w:val="28"/>
              </w:rPr>
              <w:t>-</w:t>
            </w:r>
            <w:r w:rsidR="00B703ED">
              <w:rPr>
                <w:sz w:val="28"/>
                <w:szCs w:val="28"/>
              </w:rPr>
              <w:t>0003</w:t>
            </w:r>
          </w:p>
          <w:p w14:paraId="64B918D8" w14:textId="77777777" w:rsidR="002477F1" w:rsidRPr="00C02762" w:rsidRDefault="002477F1" w:rsidP="00A60328">
            <w:pPr>
              <w:rPr>
                <w:sz w:val="28"/>
                <w:szCs w:val="28"/>
              </w:rPr>
            </w:pPr>
          </w:p>
          <w:p w14:paraId="5A2E9B54" w14:textId="3D2A892D" w:rsidR="002477F1" w:rsidRPr="00B50136" w:rsidRDefault="00B50136" w:rsidP="00B50136">
            <w:pPr>
              <w:tabs>
                <w:tab w:val="left" w:pos="4320"/>
              </w:tabs>
              <w:jc w:val="both"/>
              <w:rPr>
                <w:snapToGrid/>
                <w:sz w:val="28"/>
                <w:szCs w:val="28"/>
              </w:rPr>
            </w:pPr>
            <w:r>
              <w:rPr>
                <w:sz w:val="28"/>
                <w:szCs w:val="28"/>
              </w:rPr>
              <w:t xml:space="preserve">AACJ COMMENT TO THE </w:t>
            </w:r>
            <w:r w:rsidR="00237CCB" w:rsidRPr="00C02762">
              <w:rPr>
                <w:sz w:val="28"/>
                <w:szCs w:val="28"/>
              </w:rPr>
              <w:t xml:space="preserve">PETITION TO </w:t>
            </w:r>
            <w:proofErr w:type="gramStart"/>
            <w:r w:rsidR="00237CCB" w:rsidRPr="00C02762">
              <w:rPr>
                <w:sz w:val="28"/>
                <w:szCs w:val="28"/>
              </w:rPr>
              <w:t xml:space="preserve">AMEND </w:t>
            </w:r>
            <w:r>
              <w:rPr>
                <w:snapToGrid/>
                <w:sz w:val="28"/>
                <w:szCs w:val="28"/>
              </w:rPr>
              <w:t xml:space="preserve"> </w:t>
            </w:r>
            <w:r w:rsidR="00D3577B" w:rsidRPr="00D3577B">
              <w:rPr>
                <w:snapToGrid/>
                <w:sz w:val="28"/>
                <w:szCs w:val="28"/>
              </w:rPr>
              <w:t>RULES</w:t>
            </w:r>
            <w:proofErr w:type="gramEnd"/>
            <w:r w:rsidR="00D3577B" w:rsidRPr="00D3577B">
              <w:rPr>
                <w:snapToGrid/>
                <w:sz w:val="28"/>
                <w:szCs w:val="28"/>
              </w:rPr>
              <w:t xml:space="preserve"> 42 </w:t>
            </w:r>
            <w:r w:rsidR="00B703ED">
              <w:rPr>
                <w:snapToGrid/>
                <w:sz w:val="28"/>
                <w:szCs w:val="28"/>
              </w:rPr>
              <w:t>AND</w:t>
            </w:r>
            <w:r w:rsidR="00D3577B" w:rsidRPr="00D3577B">
              <w:rPr>
                <w:snapToGrid/>
                <w:sz w:val="28"/>
                <w:szCs w:val="28"/>
              </w:rPr>
              <w:t xml:space="preserve"> 45, RULES OF THE</w:t>
            </w:r>
            <w:r>
              <w:rPr>
                <w:snapToGrid/>
                <w:sz w:val="28"/>
                <w:szCs w:val="28"/>
              </w:rPr>
              <w:t xml:space="preserve"> </w:t>
            </w:r>
            <w:r w:rsidR="00D3577B" w:rsidRPr="00D3577B">
              <w:rPr>
                <w:snapToGrid/>
                <w:sz w:val="28"/>
                <w:szCs w:val="28"/>
              </w:rPr>
              <w:t>SUPREME COURT</w:t>
            </w:r>
            <w:r w:rsidR="00B703ED">
              <w:rPr>
                <w:snapToGrid/>
                <w:sz w:val="28"/>
                <w:szCs w:val="28"/>
              </w:rPr>
              <w:t xml:space="preserve"> OF ARIZONA</w:t>
            </w:r>
          </w:p>
          <w:p w14:paraId="6E60B025" w14:textId="0E526C5D" w:rsidR="004E7FD1" w:rsidRDefault="004E7FD1" w:rsidP="00A60328">
            <w:pPr>
              <w:rPr>
                <w:sz w:val="28"/>
                <w:szCs w:val="28"/>
              </w:rPr>
            </w:pPr>
          </w:p>
          <w:p w14:paraId="17A284DA" w14:textId="77777777" w:rsidR="002477F1" w:rsidRPr="00C02762" w:rsidRDefault="002477F1" w:rsidP="00D3577B">
            <w:pPr>
              <w:rPr>
                <w:sz w:val="28"/>
                <w:szCs w:val="28"/>
              </w:rPr>
            </w:pPr>
          </w:p>
        </w:tc>
      </w:tr>
      <w:bookmarkEnd w:id="0"/>
    </w:tbl>
    <w:p w14:paraId="3E63CDFB" w14:textId="0099CB84" w:rsidR="002477F1" w:rsidRPr="00C02762" w:rsidRDefault="002477F1" w:rsidP="002477F1">
      <w:pPr>
        <w:pStyle w:val="Default"/>
        <w:rPr>
          <w:snapToGrid w:val="0"/>
          <w:color w:val="auto"/>
          <w:sz w:val="28"/>
          <w:szCs w:val="28"/>
        </w:rPr>
      </w:pPr>
    </w:p>
    <w:p w14:paraId="357EC488" w14:textId="77777777" w:rsidR="00C209F2" w:rsidRPr="00C02762" w:rsidRDefault="00C209F2" w:rsidP="00C209F2">
      <w:pPr>
        <w:rPr>
          <w:sz w:val="28"/>
          <w:szCs w:val="28"/>
        </w:rPr>
      </w:pPr>
    </w:p>
    <w:p w14:paraId="34BF2F90" w14:textId="0B645AE2" w:rsidR="00D3577B" w:rsidRPr="00D3577B" w:rsidRDefault="00D3577B" w:rsidP="00D3577B">
      <w:pPr>
        <w:spacing w:line="480" w:lineRule="auto"/>
        <w:ind w:firstLine="720"/>
        <w:jc w:val="both"/>
        <w:rPr>
          <w:snapToGrid/>
          <w:sz w:val="28"/>
          <w:szCs w:val="28"/>
        </w:rPr>
      </w:pPr>
      <w:r w:rsidRPr="00D3577B">
        <w:rPr>
          <w:snapToGrid/>
          <w:sz w:val="28"/>
          <w:szCs w:val="28"/>
        </w:rPr>
        <w:t xml:space="preserve">Pursuant to </w:t>
      </w:r>
      <w:bookmarkStart w:id="3" w:name="bookmark=id.3dy6vkm" w:colFirst="0" w:colLast="0"/>
      <w:bookmarkEnd w:id="3"/>
      <w:r w:rsidRPr="00D3577B">
        <w:rPr>
          <w:snapToGrid/>
          <w:sz w:val="28"/>
          <w:szCs w:val="28"/>
          <w:vertAlign w:val="superscript"/>
        </w:rPr>
        <w:fldChar w:fldCharType="begin"/>
      </w:r>
      <w:r w:rsidRPr="00D3577B">
        <w:rPr>
          <w:snapToGrid/>
          <w:sz w:val="28"/>
          <w:szCs w:val="28"/>
          <w:vertAlign w:val="superscript"/>
        </w:rPr>
        <w:instrText xml:space="preserve"> HYPERLINK "https://www.westlaw.com/Document/NFC04BF0066DC11DCA632B52023A193A9/View/FullText.html?transitionType=Default&amp;contextData=(sc.Default)&amp;VR=3.0&amp;RS=da3.0" \h </w:instrText>
      </w:r>
      <w:r w:rsidRPr="00D3577B">
        <w:rPr>
          <w:snapToGrid/>
          <w:sz w:val="28"/>
          <w:szCs w:val="28"/>
          <w:vertAlign w:val="superscript"/>
        </w:rPr>
      </w:r>
      <w:r w:rsidRPr="00D3577B">
        <w:rPr>
          <w:snapToGrid/>
          <w:sz w:val="28"/>
          <w:szCs w:val="28"/>
          <w:vertAlign w:val="superscript"/>
        </w:rPr>
        <w:fldChar w:fldCharType="separate"/>
      </w:r>
      <w:r w:rsidRPr="00D3577B">
        <w:rPr>
          <w:snapToGrid/>
          <w:sz w:val="28"/>
          <w:szCs w:val="28"/>
        </w:rPr>
        <w:t>Rule 28 of the Arizona Supreme Court Rules</w:t>
      </w:r>
      <w:r w:rsidRPr="00D3577B">
        <w:rPr>
          <w:snapToGrid/>
          <w:sz w:val="28"/>
          <w:szCs w:val="28"/>
          <w:vertAlign w:val="superscript"/>
        </w:rPr>
        <w:fldChar w:fldCharType="end"/>
      </w:r>
      <w:bookmarkStart w:id="4" w:name="bookmark=id.1t3h5sf" w:colFirst="0" w:colLast="0"/>
      <w:bookmarkEnd w:id="4"/>
      <w:r w:rsidRPr="00D3577B">
        <w:rPr>
          <w:snapToGrid/>
          <w:sz w:val="28"/>
          <w:szCs w:val="28"/>
        </w:rPr>
        <w:t xml:space="preserve">, Arizona Attorneys for Criminal Justice (“AACJ”) respectfully submits this comment </w:t>
      </w:r>
      <w:r w:rsidR="00254124">
        <w:rPr>
          <w:snapToGrid/>
          <w:sz w:val="28"/>
          <w:szCs w:val="28"/>
        </w:rPr>
        <w:t>regarding</w:t>
      </w:r>
      <w:r w:rsidRPr="00D3577B">
        <w:rPr>
          <w:snapToGrid/>
          <w:sz w:val="28"/>
          <w:szCs w:val="28"/>
        </w:rPr>
        <w:t xml:space="preserve"> the proposed amendment to Rule</w:t>
      </w:r>
      <w:r>
        <w:rPr>
          <w:snapToGrid/>
          <w:sz w:val="28"/>
          <w:szCs w:val="28"/>
        </w:rPr>
        <w:t>s 42 and 45 of the Rules of the Arizona Supreme Court</w:t>
      </w:r>
      <w:r w:rsidRPr="00D3577B">
        <w:rPr>
          <w:snapToGrid/>
          <w:sz w:val="28"/>
          <w:szCs w:val="28"/>
        </w:rPr>
        <w:t xml:space="preserve">. </w:t>
      </w:r>
    </w:p>
    <w:p w14:paraId="2590728B" w14:textId="23FF5736" w:rsidR="00D3577B" w:rsidRDefault="00D3577B" w:rsidP="00D3577B">
      <w:pPr>
        <w:spacing w:line="480" w:lineRule="auto"/>
        <w:ind w:firstLine="720"/>
        <w:jc w:val="both"/>
        <w:rPr>
          <w:snapToGrid/>
          <w:sz w:val="28"/>
          <w:szCs w:val="28"/>
        </w:rPr>
      </w:pPr>
      <w:r w:rsidRPr="00D3577B">
        <w:rPr>
          <w:snapToGrid/>
          <w:sz w:val="28"/>
          <w:szCs w:val="28"/>
        </w:rPr>
        <w:t xml:space="preserve">AACJ, the Arizona state affiliate of the National Association of Criminal Defense Lawyers, was founded in 1986 </w:t>
      </w:r>
      <w:proofErr w:type="gramStart"/>
      <w:r w:rsidRPr="00D3577B">
        <w:rPr>
          <w:snapToGrid/>
          <w:sz w:val="28"/>
          <w:szCs w:val="28"/>
        </w:rPr>
        <w:t>in order to</w:t>
      </w:r>
      <w:proofErr w:type="gramEnd"/>
      <w:r w:rsidRPr="00D3577B">
        <w:rPr>
          <w:snapToGrid/>
          <w:sz w:val="28"/>
          <w:szCs w:val="28"/>
        </w:rPr>
        <w:t xml:space="preserve"> give a voice to the rights of the criminally accused and to those attorneys who defend the accused. AACJ is a statewide not-for-profit membership organization of criminal defense lawyers, law students, and associated professionals dedicated to protecting the rights of the </w:t>
      </w:r>
      <w:r w:rsidRPr="00D3577B">
        <w:rPr>
          <w:snapToGrid/>
          <w:sz w:val="28"/>
          <w:szCs w:val="28"/>
        </w:rPr>
        <w:lastRenderedPageBreak/>
        <w:t xml:space="preserve">accused in the courts and in the legislature, promoting excellence in the practice of criminal law through education, training, and mutual assistance, and fostering public awareness of citizens’ rights, the criminal </w:t>
      </w:r>
      <w:r w:rsidR="00474EDF">
        <w:rPr>
          <w:snapToGrid/>
          <w:sz w:val="28"/>
          <w:szCs w:val="28"/>
        </w:rPr>
        <w:t>legal</w:t>
      </w:r>
      <w:r w:rsidR="00474EDF" w:rsidRPr="00D3577B">
        <w:rPr>
          <w:snapToGrid/>
          <w:sz w:val="28"/>
          <w:szCs w:val="28"/>
        </w:rPr>
        <w:t xml:space="preserve"> </w:t>
      </w:r>
      <w:r w:rsidRPr="00D3577B">
        <w:rPr>
          <w:snapToGrid/>
          <w:sz w:val="28"/>
          <w:szCs w:val="28"/>
        </w:rPr>
        <w:t>system, and the role of the defense lawyer.</w:t>
      </w:r>
      <w:r w:rsidR="00474EDF">
        <w:rPr>
          <w:snapToGrid/>
          <w:sz w:val="28"/>
          <w:szCs w:val="28"/>
        </w:rPr>
        <w:t xml:space="preserve"> Thus, AACJ’s comment to the petition focuses on how the proposed changes could affect the rights of criminal defendants and the public’s perception of the criminal-legal system.</w:t>
      </w:r>
    </w:p>
    <w:p w14:paraId="71FCEB06" w14:textId="39A13F6E" w:rsidR="0001666B" w:rsidRDefault="0001666B" w:rsidP="006927B6">
      <w:pPr>
        <w:spacing w:line="480" w:lineRule="auto"/>
        <w:ind w:firstLine="720"/>
        <w:rPr>
          <w:snapToGrid/>
          <w:sz w:val="28"/>
          <w:szCs w:val="28"/>
        </w:rPr>
      </w:pPr>
      <w:r>
        <w:rPr>
          <w:snapToGrid/>
          <w:sz w:val="28"/>
          <w:szCs w:val="28"/>
        </w:rPr>
        <w:t xml:space="preserve">In the experience of </w:t>
      </w:r>
      <w:r w:rsidR="00C3179C" w:rsidRPr="00C3179C">
        <w:rPr>
          <w:snapToGrid/>
          <w:sz w:val="28"/>
          <w:szCs w:val="28"/>
        </w:rPr>
        <w:t>AACJ</w:t>
      </w:r>
      <w:r>
        <w:rPr>
          <w:snapToGrid/>
          <w:sz w:val="28"/>
          <w:szCs w:val="28"/>
        </w:rPr>
        <w:t>’s members,</w:t>
      </w:r>
      <w:r w:rsidR="00C3179C" w:rsidRPr="00C3179C">
        <w:rPr>
          <w:snapToGrid/>
          <w:sz w:val="28"/>
          <w:szCs w:val="28"/>
        </w:rPr>
        <w:t xml:space="preserve"> </w:t>
      </w:r>
      <w:r>
        <w:rPr>
          <w:snapToGrid/>
          <w:sz w:val="28"/>
          <w:szCs w:val="28"/>
        </w:rPr>
        <w:t xml:space="preserve">the proper functioning of the criminal-legal system requires that government lawyers who work in the system, particularly criminal prosecutors, give </w:t>
      </w:r>
      <w:r w:rsidR="00C3179C" w:rsidRPr="00C3179C">
        <w:rPr>
          <w:snapToGrid/>
          <w:sz w:val="28"/>
          <w:szCs w:val="28"/>
        </w:rPr>
        <w:t>scrupulous attention to</w:t>
      </w:r>
      <w:r>
        <w:rPr>
          <w:snapToGrid/>
          <w:sz w:val="28"/>
          <w:szCs w:val="28"/>
        </w:rPr>
        <w:t xml:space="preserve"> their</w:t>
      </w:r>
      <w:r w:rsidR="00C3179C" w:rsidRPr="00C3179C">
        <w:rPr>
          <w:snapToGrid/>
          <w:sz w:val="28"/>
          <w:szCs w:val="28"/>
        </w:rPr>
        <w:t xml:space="preserve"> ethical </w:t>
      </w:r>
      <w:r>
        <w:rPr>
          <w:snapToGrid/>
          <w:sz w:val="28"/>
          <w:szCs w:val="28"/>
        </w:rPr>
        <w:t xml:space="preserve">obligations when performing their duties and interacting with criminal defendants, crime victims, and other participants in the process. </w:t>
      </w:r>
      <w:r w:rsidR="006927B6">
        <w:rPr>
          <w:snapToGrid/>
          <w:sz w:val="28"/>
          <w:szCs w:val="28"/>
        </w:rPr>
        <w:t>This Court recently reiterated that it shares AACJ’s view that the public’s confidence in the system is crucial for its proper functioning</w:t>
      </w:r>
      <w:r>
        <w:rPr>
          <w:snapToGrid/>
          <w:sz w:val="28"/>
          <w:szCs w:val="28"/>
        </w:rPr>
        <w:t>:</w:t>
      </w:r>
    </w:p>
    <w:p w14:paraId="29DAC9A0" w14:textId="7153FEDB" w:rsidR="0001666B" w:rsidRDefault="0001666B" w:rsidP="0001666B">
      <w:pPr>
        <w:ind w:left="720"/>
        <w:jc w:val="both"/>
        <w:rPr>
          <w:snapToGrid/>
          <w:sz w:val="28"/>
          <w:szCs w:val="28"/>
        </w:rPr>
      </w:pPr>
      <w:r w:rsidRPr="0001666B">
        <w:rPr>
          <w:snapToGrid/>
          <w:sz w:val="28"/>
          <w:szCs w:val="28"/>
        </w:rPr>
        <w:t>A prosecutor</w:t>
      </w:r>
      <w:r w:rsidR="00A736F0">
        <w:rPr>
          <w:snapToGrid/>
          <w:sz w:val="28"/>
          <w:szCs w:val="28"/>
        </w:rPr>
        <w:t>’</w:t>
      </w:r>
      <w:r w:rsidRPr="0001666B">
        <w:rPr>
          <w:snapToGrid/>
          <w:sz w:val="28"/>
          <w:szCs w:val="28"/>
        </w:rPr>
        <w:t xml:space="preserve">s conflict of interest erodes confidence in the judicial system and undermines the </w:t>
      </w:r>
      <w:r w:rsidRPr="00835D13">
        <w:rPr>
          <w:color w:val="212121"/>
          <w:sz w:val="28"/>
          <w:szCs w:val="28"/>
        </w:rPr>
        <w:t>fairness</w:t>
      </w:r>
      <w:r w:rsidRPr="0001666B">
        <w:rPr>
          <w:snapToGrid/>
          <w:sz w:val="28"/>
          <w:szCs w:val="28"/>
        </w:rPr>
        <w:t xml:space="preserve"> of criminal trials. Courts must preserve the reality—and appearance—of fairness by disqualifying a prosecutor when such conflicts arise.</w:t>
      </w:r>
    </w:p>
    <w:p w14:paraId="2C5089CD" w14:textId="77777777" w:rsidR="0001666B" w:rsidRDefault="0001666B" w:rsidP="00835D13">
      <w:pPr>
        <w:ind w:left="720"/>
        <w:jc w:val="both"/>
        <w:rPr>
          <w:snapToGrid/>
          <w:sz w:val="28"/>
          <w:szCs w:val="28"/>
        </w:rPr>
      </w:pPr>
    </w:p>
    <w:p w14:paraId="0D5B8C5F" w14:textId="47733F80" w:rsidR="0001666B" w:rsidRDefault="0001666B" w:rsidP="00835D13">
      <w:pPr>
        <w:spacing w:line="480" w:lineRule="auto"/>
        <w:rPr>
          <w:snapToGrid/>
          <w:sz w:val="28"/>
          <w:szCs w:val="28"/>
        </w:rPr>
      </w:pPr>
      <w:r w:rsidRPr="00C3179C">
        <w:rPr>
          <w:i/>
          <w:iCs/>
          <w:snapToGrid/>
          <w:color w:val="212121"/>
          <w:sz w:val="28"/>
          <w:szCs w:val="28"/>
          <w:bdr w:val="none" w:sz="0" w:space="0" w:color="auto" w:frame="1"/>
        </w:rPr>
        <w:t>State ex rel. Mitchell v. Palmer</w:t>
      </w:r>
      <w:r w:rsidRPr="00C3179C">
        <w:rPr>
          <w:snapToGrid/>
          <w:color w:val="000000"/>
          <w:sz w:val="28"/>
          <w:szCs w:val="28"/>
        </w:rPr>
        <w:t xml:space="preserve">, No. CR-21-0397-PR, 2024 WL 1561618, </w:t>
      </w:r>
      <w:r w:rsidR="00064A93">
        <w:rPr>
          <w:snapToGrid/>
          <w:color w:val="000000"/>
          <w:sz w:val="28"/>
          <w:szCs w:val="28"/>
        </w:rPr>
        <w:t xml:space="preserve">¶ 1 </w:t>
      </w:r>
      <w:r w:rsidRPr="00C3179C">
        <w:rPr>
          <w:snapToGrid/>
          <w:color w:val="000000"/>
          <w:sz w:val="28"/>
          <w:szCs w:val="28"/>
        </w:rPr>
        <w:t>(Ariz. Apr. 11, 2024).</w:t>
      </w:r>
      <w:r w:rsidR="001D6887">
        <w:rPr>
          <w:snapToGrid/>
          <w:color w:val="000000"/>
          <w:sz w:val="28"/>
          <w:szCs w:val="28"/>
        </w:rPr>
        <w:t xml:space="preserve"> Consistent with these views, AACJ urges the Court to focus on these considerations in its review of the petition, with a close eye toward ensuring that changes do not result in any further erosion of the public’s confidence in the fairness of the system.</w:t>
      </w:r>
    </w:p>
    <w:p w14:paraId="6CAB63F7" w14:textId="623BA524" w:rsidR="00C3179C" w:rsidRPr="00C3179C" w:rsidRDefault="00595B9D" w:rsidP="00835D13">
      <w:pPr>
        <w:spacing w:line="480" w:lineRule="auto"/>
        <w:ind w:firstLine="720"/>
        <w:rPr>
          <w:snapToGrid/>
          <w:sz w:val="28"/>
          <w:szCs w:val="28"/>
        </w:rPr>
      </w:pPr>
      <w:r>
        <w:rPr>
          <w:snapToGrid/>
          <w:sz w:val="28"/>
          <w:szCs w:val="28"/>
        </w:rPr>
        <w:lastRenderedPageBreak/>
        <w:t>As</w:t>
      </w:r>
      <w:r w:rsidR="00C3179C" w:rsidRPr="00C3179C">
        <w:rPr>
          <w:snapToGrid/>
          <w:sz w:val="28"/>
          <w:szCs w:val="28"/>
        </w:rPr>
        <w:t xml:space="preserve"> the </w:t>
      </w:r>
      <w:r w:rsidR="00525008">
        <w:rPr>
          <w:snapToGrid/>
          <w:sz w:val="28"/>
          <w:szCs w:val="28"/>
        </w:rPr>
        <w:t>p</w:t>
      </w:r>
      <w:r w:rsidR="00C3179C" w:rsidRPr="00C3179C">
        <w:rPr>
          <w:snapToGrid/>
          <w:sz w:val="28"/>
          <w:szCs w:val="28"/>
        </w:rPr>
        <w:t xml:space="preserve">etition recognizes, </w:t>
      </w:r>
      <w:r w:rsidR="00525008">
        <w:rPr>
          <w:snapToGrid/>
          <w:sz w:val="28"/>
          <w:szCs w:val="28"/>
        </w:rPr>
        <w:t xml:space="preserve">the proposed changes could affect </w:t>
      </w:r>
      <w:r w:rsidR="00C3179C" w:rsidRPr="00C3179C">
        <w:rPr>
          <w:snapToGrid/>
          <w:sz w:val="28"/>
          <w:szCs w:val="28"/>
        </w:rPr>
        <w:t xml:space="preserve">the rights of criminal defendants </w:t>
      </w:r>
      <w:r w:rsidR="00525008">
        <w:rPr>
          <w:snapToGrid/>
          <w:sz w:val="28"/>
          <w:szCs w:val="28"/>
        </w:rPr>
        <w:t>in some situations</w:t>
      </w:r>
      <w:r w:rsidR="00C3179C" w:rsidRPr="00C3179C">
        <w:rPr>
          <w:snapToGrid/>
          <w:sz w:val="28"/>
          <w:szCs w:val="28"/>
        </w:rPr>
        <w:t xml:space="preserve">. </w:t>
      </w:r>
      <w:r w:rsidR="00525008">
        <w:rPr>
          <w:snapToGrid/>
          <w:sz w:val="28"/>
          <w:szCs w:val="28"/>
        </w:rPr>
        <w:t>As stated in the rule-by-rule explanation to the petition (App. B at 8), “[n]</w:t>
      </w:r>
      <w:proofErr w:type="spellStart"/>
      <w:r w:rsidR="00C3179C" w:rsidRPr="00C3179C">
        <w:rPr>
          <w:snapToGrid/>
          <w:sz w:val="28"/>
          <w:szCs w:val="28"/>
        </w:rPr>
        <w:t>ew</w:t>
      </w:r>
      <w:proofErr w:type="spellEnd"/>
      <w:r w:rsidR="00C3179C" w:rsidRPr="00C3179C">
        <w:rPr>
          <w:snapToGrid/>
          <w:sz w:val="28"/>
          <w:szCs w:val="28"/>
        </w:rPr>
        <w:t xml:space="preserve"> paragraph 9 applies when a government law firm provides civil advice and representation to a government client, and the law firm also prosecutes criminal cases</w:t>
      </w:r>
      <w:r w:rsidR="00525008">
        <w:rPr>
          <w:snapToGrid/>
          <w:sz w:val="28"/>
          <w:szCs w:val="28"/>
        </w:rPr>
        <w:t>,” which is “</w:t>
      </w:r>
      <w:r w:rsidR="00525008" w:rsidRPr="00525008">
        <w:rPr>
          <w:snapToGrid/>
          <w:sz w:val="28"/>
          <w:szCs w:val="28"/>
        </w:rPr>
        <w:t>common circumstance in Arizona at the state, county, and municipal levels of government.</w:t>
      </w:r>
      <w:r w:rsidR="00525008">
        <w:rPr>
          <w:snapToGrid/>
          <w:sz w:val="28"/>
          <w:szCs w:val="28"/>
        </w:rPr>
        <w:t>”</w:t>
      </w:r>
      <w:r w:rsidR="00D21D8A">
        <w:rPr>
          <w:snapToGrid/>
          <w:sz w:val="28"/>
          <w:szCs w:val="28"/>
        </w:rPr>
        <w:t xml:space="preserve"> </w:t>
      </w:r>
      <w:r w:rsidR="00525008">
        <w:rPr>
          <w:snapToGrid/>
          <w:sz w:val="28"/>
          <w:szCs w:val="28"/>
        </w:rPr>
        <w:t xml:space="preserve">The proposed new </w:t>
      </w:r>
      <w:r w:rsidR="00C3179C" w:rsidRPr="00C3179C">
        <w:rPr>
          <w:snapToGrid/>
          <w:sz w:val="28"/>
          <w:szCs w:val="28"/>
        </w:rPr>
        <w:t>paragraph 9 concludes:</w:t>
      </w:r>
    </w:p>
    <w:p w14:paraId="0626E62F" w14:textId="77777777" w:rsidR="00C3179C" w:rsidRPr="00C3179C" w:rsidRDefault="00C3179C" w:rsidP="00C3179C">
      <w:pPr>
        <w:ind w:left="720"/>
        <w:jc w:val="both"/>
        <w:rPr>
          <w:color w:val="212121"/>
          <w:sz w:val="28"/>
          <w:szCs w:val="28"/>
        </w:rPr>
      </w:pPr>
      <w:r w:rsidRPr="00C3179C">
        <w:rPr>
          <w:color w:val="212121"/>
          <w:sz w:val="28"/>
          <w:szCs w:val="28"/>
        </w:rPr>
        <w:t>Whether this creates a disqualifying conflict of interest under ER 1.7(a)(2) depends on whether the government law firm’s duties to the government organization in the civil matter will be materially limited by the law firm’s duty as a prosecutor to act in the interest of justice. When determining whether a material limitation exists, a government lawyer must consider the likelihood that the lawyer’s decision-making in one matter will be influenced by a desire to affect the outcome of the other matter.</w:t>
      </w:r>
    </w:p>
    <w:p w14:paraId="1D5943DC" w14:textId="77777777" w:rsidR="00C3179C" w:rsidRPr="00C3179C" w:rsidRDefault="00C3179C" w:rsidP="00C3179C">
      <w:pPr>
        <w:jc w:val="both"/>
        <w:rPr>
          <w:color w:val="212121"/>
          <w:sz w:val="28"/>
          <w:szCs w:val="28"/>
        </w:rPr>
      </w:pPr>
    </w:p>
    <w:p w14:paraId="45CA0AE9" w14:textId="2E2986D0" w:rsidR="004F702A" w:rsidRPr="00C3179C" w:rsidRDefault="00E22532" w:rsidP="00835D13">
      <w:pPr>
        <w:shd w:val="clear" w:color="auto" w:fill="FFFFFF"/>
        <w:spacing w:line="480" w:lineRule="auto"/>
        <w:ind w:firstLine="720"/>
        <w:rPr>
          <w:snapToGrid/>
          <w:color w:val="000000"/>
          <w:sz w:val="28"/>
          <w:szCs w:val="28"/>
        </w:rPr>
      </w:pPr>
      <w:r>
        <w:rPr>
          <w:color w:val="212121"/>
          <w:sz w:val="28"/>
          <w:szCs w:val="28"/>
        </w:rPr>
        <w:t xml:space="preserve">In AACJ’s view, </w:t>
      </w:r>
      <w:r w:rsidR="00C3179C" w:rsidRPr="00C3179C">
        <w:rPr>
          <w:color w:val="212121"/>
          <w:sz w:val="28"/>
          <w:szCs w:val="28"/>
        </w:rPr>
        <w:t xml:space="preserve">this </w:t>
      </w:r>
      <w:r>
        <w:rPr>
          <w:color w:val="212121"/>
          <w:sz w:val="28"/>
          <w:szCs w:val="28"/>
        </w:rPr>
        <w:t>provision</w:t>
      </w:r>
      <w:r w:rsidRPr="00C3179C">
        <w:rPr>
          <w:color w:val="212121"/>
          <w:sz w:val="28"/>
          <w:szCs w:val="28"/>
        </w:rPr>
        <w:t xml:space="preserve"> </w:t>
      </w:r>
      <w:r w:rsidR="00C3179C" w:rsidRPr="00C3179C">
        <w:rPr>
          <w:color w:val="212121"/>
          <w:sz w:val="28"/>
          <w:szCs w:val="28"/>
        </w:rPr>
        <w:t xml:space="preserve">does not </w:t>
      </w:r>
      <w:r w:rsidR="00B324E3">
        <w:rPr>
          <w:color w:val="212121"/>
          <w:sz w:val="28"/>
          <w:szCs w:val="28"/>
        </w:rPr>
        <w:t xml:space="preserve">reflect and </w:t>
      </w:r>
      <w:r w:rsidR="00C3179C" w:rsidRPr="00C3179C">
        <w:rPr>
          <w:color w:val="212121"/>
          <w:sz w:val="28"/>
          <w:szCs w:val="28"/>
        </w:rPr>
        <w:t>embrace the full considerations set forth in</w:t>
      </w:r>
      <w:r w:rsidR="00ED4BE8">
        <w:rPr>
          <w:color w:val="212121"/>
          <w:sz w:val="28"/>
          <w:szCs w:val="28"/>
        </w:rPr>
        <w:t xml:space="preserve"> the Court’s very recent opinion in</w:t>
      </w:r>
      <w:r w:rsidR="00C3179C" w:rsidRPr="00C3179C">
        <w:rPr>
          <w:color w:val="212121"/>
          <w:sz w:val="28"/>
          <w:szCs w:val="28"/>
        </w:rPr>
        <w:t xml:space="preserve"> </w:t>
      </w:r>
      <w:r w:rsidR="00C3179C" w:rsidRPr="00C3179C">
        <w:rPr>
          <w:i/>
          <w:iCs/>
          <w:snapToGrid/>
          <w:color w:val="212121"/>
          <w:sz w:val="28"/>
          <w:szCs w:val="28"/>
          <w:bdr w:val="none" w:sz="0" w:space="0" w:color="auto" w:frame="1"/>
        </w:rPr>
        <w:t>State ex rel. Mitchell v. Palmer</w:t>
      </w:r>
      <w:r w:rsidR="00ED4BE8">
        <w:rPr>
          <w:i/>
          <w:iCs/>
          <w:snapToGrid/>
          <w:color w:val="212121"/>
          <w:sz w:val="28"/>
          <w:szCs w:val="28"/>
          <w:bdr w:val="none" w:sz="0" w:space="0" w:color="auto" w:frame="1"/>
        </w:rPr>
        <w:t xml:space="preserve"> </w:t>
      </w:r>
      <w:r w:rsidR="00ED4BE8">
        <w:rPr>
          <w:snapToGrid/>
          <w:color w:val="212121"/>
          <w:sz w:val="28"/>
          <w:szCs w:val="28"/>
          <w:bdr w:val="none" w:sz="0" w:space="0" w:color="auto" w:frame="1"/>
        </w:rPr>
        <w:t>and the long line of Arizona caselaw on which that case finds its foundation</w:t>
      </w:r>
      <w:r w:rsidR="00C3179C" w:rsidRPr="00C3179C">
        <w:rPr>
          <w:snapToGrid/>
          <w:color w:val="000000"/>
          <w:sz w:val="28"/>
          <w:szCs w:val="28"/>
        </w:rPr>
        <w:t xml:space="preserve">. </w:t>
      </w:r>
      <w:proofErr w:type="gramStart"/>
      <w:r w:rsidR="006D3DBE">
        <w:rPr>
          <w:snapToGrid/>
          <w:color w:val="000000"/>
          <w:sz w:val="28"/>
          <w:szCs w:val="28"/>
        </w:rPr>
        <w:t>In particular, criminal</w:t>
      </w:r>
      <w:proofErr w:type="gramEnd"/>
      <w:r w:rsidR="006D3DBE">
        <w:rPr>
          <w:snapToGrid/>
          <w:color w:val="000000"/>
          <w:sz w:val="28"/>
          <w:szCs w:val="28"/>
        </w:rPr>
        <w:t xml:space="preserve"> prosecutors and the government law firms for which they work </w:t>
      </w:r>
      <w:r w:rsidR="00C3179C" w:rsidRPr="00C3179C">
        <w:rPr>
          <w:snapToGrid/>
          <w:color w:val="000000"/>
          <w:sz w:val="28"/>
          <w:szCs w:val="28"/>
        </w:rPr>
        <w:t xml:space="preserve">must </w:t>
      </w:r>
      <w:r w:rsidR="006D3DBE">
        <w:rPr>
          <w:snapToGrid/>
          <w:color w:val="000000"/>
          <w:sz w:val="28"/>
          <w:szCs w:val="28"/>
        </w:rPr>
        <w:t xml:space="preserve">take care to </w:t>
      </w:r>
      <w:r w:rsidR="00C3179C" w:rsidRPr="00C3179C">
        <w:rPr>
          <w:snapToGrid/>
          <w:color w:val="000000"/>
          <w:sz w:val="28"/>
          <w:szCs w:val="28"/>
        </w:rPr>
        <w:t xml:space="preserve">preserve </w:t>
      </w:r>
      <w:r w:rsidR="006D3DBE">
        <w:rPr>
          <w:snapToGrid/>
          <w:color w:val="000000"/>
          <w:sz w:val="28"/>
          <w:szCs w:val="28"/>
        </w:rPr>
        <w:t xml:space="preserve">both </w:t>
      </w:r>
      <w:r w:rsidR="00C3179C" w:rsidRPr="00C3179C">
        <w:rPr>
          <w:snapToGrid/>
          <w:color w:val="000000"/>
          <w:sz w:val="28"/>
          <w:szCs w:val="28"/>
        </w:rPr>
        <w:t>the reality</w:t>
      </w:r>
      <w:r w:rsidR="006D3DBE">
        <w:rPr>
          <w:snapToGrid/>
          <w:color w:val="000000"/>
          <w:sz w:val="28"/>
          <w:szCs w:val="28"/>
        </w:rPr>
        <w:t xml:space="preserve"> of fairness and the appearance of fairness when evaluating their ethical obligations in particular cases and </w:t>
      </w:r>
      <w:r w:rsidR="000571BC">
        <w:rPr>
          <w:snapToGrid/>
          <w:color w:val="000000"/>
          <w:sz w:val="28"/>
          <w:szCs w:val="28"/>
        </w:rPr>
        <w:t xml:space="preserve">taking </w:t>
      </w:r>
      <w:r w:rsidR="006D3DBE">
        <w:rPr>
          <w:snapToGrid/>
          <w:color w:val="000000"/>
          <w:sz w:val="28"/>
          <w:szCs w:val="28"/>
        </w:rPr>
        <w:t xml:space="preserve">the required </w:t>
      </w:r>
      <w:r w:rsidR="000571BC">
        <w:rPr>
          <w:snapToGrid/>
          <w:color w:val="000000"/>
          <w:sz w:val="28"/>
          <w:szCs w:val="28"/>
        </w:rPr>
        <w:t xml:space="preserve">steps to </w:t>
      </w:r>
      <w:r w:rsidR="006D3DBE">
        <w:rPr>
          <w:snapToGrid/>
          <w:color w:val="000000"/>
          <w:sz w:val="28"/>
          <w:szCs w:val="28"/>
        </w:rPr>
        <w:t xml:space="preserve">both </w:t>
      </w:r>
      <w:r w:rsidR="000571BC">
        <w:rPr>
          <w:snapToGrid/>
          <w:color w:val="000000"/>
          <w:sz w:val="28"/>
          <w:szCs w:val="28"/>
        </w:rPr>
        <w:t xml:space="preserve">preserve the defendant’s rights </w:t>
      </w:r>
      <w:r w:rsidR="00D21D8A">
        <w:rPr>
          <w:snapToGrid/>
          <w:color w:val="000000"/>
          <w:sz w:val="28"/>
          <w:szCs w:val="28"/>
        </w:rPr>
        <w:t xml:space="preserve">and </w:t>
      </w:r>
      <w:r w:rsidR="006D3DBE">
        <w:rPr>
          <w:snapToGrid/>
          <w:color w:val="000000"/>
          <w:sz w:val="28"/>
          <w:szCs w:val="28"/>
        </w:rPr>
        <w:t xml:space="preserve">safeguard </w:t>
      </w:r>
      <w:r w:rsidR="000571BC">
        <w:rPr>
          <w:snapToGrid/>
          <w:color w:val="000000"/>
          <w:sz w:val="28"/>
          <w:szCs w:val="28"/>
        </w:rPr>
        <w:t xml:space="preserve">the public’s perception of the system. </w:t>
      </w:r>
    </w:p>
    <w:p w14:paraId="7EF0681D" w14:textId="1731EC38" w:rsidR="00A5376A" w:rsidRDefault="002D5320" w:rsidP="00FE37BD">
      <w:pPr>
        <w:widowControl w:val="0"/>
        <w:autoSpaceDE w:val="0"/>
        <w:autoSpaceDN w:val="0"/>
        <w:adjustRightInd w:val="0"/>
        <w:spacing w:line="480" w:lineRule="auto"/>
        <w:ind w:firstLine="720"/>
        <w:jc w:val="both"/>
        <w:rPr>
          <w:color w:val="212121"/>
          <w:sz w:val="28"/>
          <w:szCs w:val="28"/>
        </w:rPr>
      </w:pPr>
      <w:r>
        <w:rPr>
          <w:sz w:val="28"/>
          <w:szCs w:val="28"/>
        </w:rPr>
        <w:t>W</w:t>
      </w:r>
      <w:r w:rsidR="00C3179C" w:rsidRPr="00A5376A">
        <w:rPr>
          <w:sz w:val="28"/>
          <w:szCs w:val="28"/>
        </w:rPr>
        <w:t xml:space="preserve">ith </w:t>
      </w:r>
      <w:r>
        <w:rPr>
          <w:sz w:val="28"/>
          <w:szCs w:val="28"/>
        </w:rPr>
        <w:t xml:space="preserve">respect proposed </w:t>
      </w:r>
      <w:r w:rsidR="00C3179C" w:rsidRPr="00A5376A">
        <w:rPr>
          <w:sz w:val="28"/>
          <w:szCs w:val="28"/>
        </w:rPr>
        <w:t xml:space="preserve">new paragraph 10, </w:t>
      </w:r>
      <w:r>
        <w:rPr>
          <w:sz w:val="28"/>
          <w:szCs w:val="28"/>
        </w:rPr>
        <w:t xml:space="preserve">AACJ appreciates and agrees with </w:t>
      </w:r>
      <w:r>
        <w:rPr>
          <w:sz w:val="28"/>
          <w:szCs w:val="28"/>
        </w:rPr>
        <w:lastRenderedPageBreak/>
        <w:t>the needed clarification that it provides concerning a</w:t>
      </w:r>
      <w:r w:rsidR="00C3179C" w:rsidRPr="00A5376A">
        <w:rPr>
          <w:sz w:val="28"/>
          <w:szCs w:val="28"/>
        </w:rPr>
        <w:t xml:space="preserve"> government lawyer’s duty of loyalty to </w:t>
      </w:r>
      <w:r>
        <w:rPr>
          <w:sz w:val="28"/>
          <w:szCs w:val="28"/>
        </w:rPr>
        <w:t>their</w:t>
      </w:r>
      <w:r w:rsidR="00C3179C" w:rsidRPr="00A5376A">
        <w:rPr>
          <w:sz w:val="28"/>
          <w:szCs w:val="28"/>
        </w:rPr>
        <w:t xml:space="preserve"> client</w:t>
      </w:r>
      <w:r>
        <w:rPr>
          <w:sz w:val="28"/>
          <w:szCs w:val="28"/>
        </w:rPr>
        <w:t>. The propose</w:t>
      </w:r>
      <w:r w:rsidR="007B2272">
        <w:rPr>
          <w:sz w:val="28"/>
          <w:szCs w:val="28"/>
        </w:rPr>
        <w:t>d</w:t>
      </w:r>
      <w:r>
        <w:rPr>
          <w:sz w:val="28"/>
          <w:szCs w:val="28"/>
        </w:rPr>
        <w:t xml:space="preserve"> provision states that </w:t>
      </w:r>
      <w:r w:rsidR="00C3179C" w:rsidRPr="00A5376A">
        <w:rPr>
          <w:color w:val="212121"/>
          <w:sz w:val="28"/>
          <w:szCs w:val="28"/>
        </w:rPr>
        <w:t xml:space="preserve">“a government lawyer cannot provide advice to, or represent, the client representative in one matter, and act as an advocate against the client representative in another matter, even when the matters are unrelated. See ER 1.16(e), and comment 4.” </w:t>
      </w:r>
      <w:r>
        <w:rPr>
          <w:color w:val="212121"/>
          <w:sz w:val="28"/>
          <w:szCs w:val="28"/>
        </w:rPr>
        <w:t xml:space="preserve">Consistent with this proposed provision, </w:t>
      </w:r>
      <w:r w:rsidR="00C3179C" w:rsidRPr="00A5376A">
        <w:rPr>
          <w:color w:val="212121"/>
          <w:sz w:val="28"/>
          <w:szCs w:val="28"/>
        </w:rPr>
        <w:t xml:space="preserve">a criminal defendant </w:t>
      </w:r>
      <w:r w:rsidR="00CE2650">
        <w:rPr>
          <w:color w:val="212121"/>
          <w:sz w:val="28"/>
          <w:szCs w:val="28"/>
        </w:rPr>
        <w:t xml:space="preserve">facing charges </w:t>
      </w:r>
      <w:r w:rsidR="007B2272">
        <w:rPr>
          <w:color w:val="212121"/>
          <w:sz w:val="28"/>
          <w:szCs w:val="28"/>
        </w:rPr>
        <w:t xml:space="preserve">or a person under criminal investigation </w:t>
      </w:r>
      <w:r w:rsidR="00C3179C" w:rsidRPr="00A5376A">
        <w:rPr>
          <w:color w:val="212121"/>
          <w:sz w:val="28"/>
          <w:szCs w:val="28"/>
        </w:rPr>
        <w:t xml:space="preserve">should never face a compromised duty of loyalty from their attorney, even when the lawyer works for the government. </w:t>
      </w:r>
      <w:r w:rsidR="00FE37BD">
        <w:rPr>
          <w:color w:val="212121"/>
          <w:sz w:val="28"/>
          <w:szCs w:val="28"/>
        </w:rPr>
        <w:t>Given the possibility that conflicts could implicate a criminal defendant’s due-process and other constitutional rights, g</w:t>
      </w:r>
      <w:r w:rsidR="007F342A">
        <w:rPr>
          <w:color w:val="212121"/>
          <w:sz w:val="28"/>
          <w:szCs w:val="28"/>
        </w:rPr>
        <w:t>overnment law firms</w:t>
      </w:r>
      <w:r w:rsidR="00C3179C" w:rsidRPr="00A5376A">
        <w:rPr>
          <w:color w:val="212121"/>
          <w:sz w:val="28"/>
          <w:szCs w:val="28"/>
        </w:rPr>
        <w:t xml:space="preserve"> should have </w:t>
      </w:r>
      <w:r w:rsidR="005C29EA" w:rsidRPr="00A5376A">
        <w:rPr>
          <w:color w:val="212121"/>
          <w:sz w:val="28"/>
          <w:szCs w:val="28"/>
        </w:rPr>
        <w:t xml:space="preserve">in place </w:t>
      </w:r>
      <w:r w:rsidR="00C3179C" w:rsidRPr="00A5376A">
        <w:rPr>
          <w:color w:val="212121"/>
          <w:sz w:val="28"/>
          <w:szCs w:val="28"/>
        </w:rPr>
        <w:t xml:space="preserve">robust screening mechanisms </w:t>
      </w:r>
      <w:r>
        <w:rPr>
          <w:color w:val="212121"/>
          <w:sz w:val="28"/>
          <w:szCs w:val="28"/>
        </w:rPr>
        <w:t xml:space="preserve">and other procedures </w:t>
      </w:r>
      <w:r w:rsidR="00C3179C" w:rsidRPr="00A5376A">
        <w:rPr>
          <w:color w:val="212121"/>
          <w:sz w:val="28"/>
          <w:szCs w:val="28"/>
        </w:rPr>
        <w:t>to effectuate the</w:t>
      </w:r>
      <w:r w:rsidR="007F342A">
        <w:rPr>
          <w:color w:val="212121"/>
          <w:sz w:val="28"/>
          <w:szCs w:val="28"/>
        </w:rPr>
        <w:t>se</w:t>
      </w:r>
      <w:r w:rsidR="00C3179C" w:rsidRPr="00A5376A">
        <w:rPr>
          <w:color w:val="212121"/>
          <w:sz w:val="28"/>
          <w:szCs w:val="28"/>
        </w:rPr>
        <w:t xml:space="preserve"> requirements</w:t>
      </w:r>
      <w:r w:rsidR="007F342A">
        <w:rPr>
          <w:color w:val="212121"/>
          <w:sz w:val="28"/>
          <w:szCs w:val="28"/>
        </w:rPr>
        <w:t>,</w:t>
      </w:r>
      <w:r w:rsidR="005C29EA">
        <w:rPr>
          <w:color w:val="212121"/>
          <w:sz w:val="28"/>
          <w:szCs w:val="28"/>
        </w:rPr>
        <w:t xml:space="preserve"> for both criminal investigations and active criminal prosecutions,</w:t>
      </w:r>
      <w:r w:rsidR="00C3179C" w:rsidRPr="00A5376A">
        <w:rPr>
          <w:color w:val="212121"/>
          <w:sz w:val="28"/>
          <w:szCs w:val="28"/>
        </w:rPr>
        <w:t xml:space="preserve"> and </w:t>
      </w:r>
      <w:r w:rsidR="00FE37BD">
        <w:rPr>
          <w:color w:val="212121"/>
          <w:sz w:val="28"/>
          <w:szCs w:val="28"/>
        </w:rPr>
        <w:t xml:space="preserve">they </w:t>
      </w:r>
      <w:r w:rsidR="00C3179C" w:rsidRPr="00A5376A">
        <w:rPr>
          <w:color w:val="212121"/>
          <w:sz w:val="28"/>
          <w:szCs w:val="28"/>
        </w:rPr>
        <w:t xml:space="preserve">should not hesitate to refer matters to a different office or </w:t>
      </w:r>
      <w:r w:rsidR="00FE37BD">
        <w:rPr>
          <w:color w:val="212121"/>
          <w:sz w:val="28"/>
          <w:szCs w:val="28"/>
        </w:rPr>
        <w:t xml:space="preserve">to </w:t>
      </w:r>
      <w:r w:rsidR="00C3179C" w:rsidRPr="00A5376A">
        <w:rPr>
          <w:color w:val="212121"/>
          <w:sz w:val="28"/>
          <w:szCs w:val="28"/>
        </w:rPr>
        <w:t xml:space="preserve">outside counsel </w:t>
      </w:r>
      <w:r w:rsidR="00FE37BD">
        <w:rPr>
          <w:color w:val="212121"/>
          <w:sz w:val="28"/>
          <w:szCs w:val="28"/>
        </w:rPr>
        <w:t>in the face of a potential conflict of interest or the appearance of impropriety</w:t>
      </w:r>
      <w:r w:rsidR="00C3179C" w:rsidRPr="00A5376A">
        <w:rPr>
          <w:color w:val="212121"/>
          <w:sz w:val="28"/>
          <w:szCs w:val="28"/>
        </w:rPr>
        <w:t>. </w:t>
      </w:r>
      <w:r w:rsidR="00A5376A" w:rsidRPr="00F860D4">
        <w:rPr>
          <w:i/>
          <w:iCs/>
          <w:color w:val="212121"/>
          <w:sz w:val="28"/>
          <w:szCs w:val="28"/>
        </w:rPr>
        <w:t>See</w:t>
      </w:r>
      <w:r w:rsidR="00A5376A">
        <w:rPr>
          <w:color w:val="212121"/>
          <w:sz w:val="28"/>
          <w:szCs w:val="28"/>
        </w:rPr>
        <w:t xml:space="preserve"> </w:t>
      </w:r>
      <w:r w:rsidR="00A5376A" w:rsidRPr="00C3179C">
        <w:rPr>
          <w:i/>
          <w:iCs/>
          <w:snapToGrid/>
          <w:color w:val="212121"/>
          <w:sz w:val="28"/>
          <w:szCs w:val="28"/>
          <w:bdr w:val="none" w:sz="0" w:space="0" w:color="auto" w:frame="1"/>
        </w:rPr>
        <w:t>State ex rel. Mitchell v. Palmer</w:t>
      </w:r>
      <w:r w:rsidR="00A5376A" w:rsidRPr="00C3179C">
        <w:rPr>
          <w:snapToGrid/>
          <w:color w:val="000000"/>
          <w:sz w:val="28"/>
          <w:szCs w:val="28"/>
        </w:rPr>
        <w:t xml:space="preserve">, 2024 WL 1561618, </w:t>
      </w:r>
      <w:r w:rsidR="00FE37BD">
        <w:rPr>
          <w:snapToGrid/>
          <w:color w:val="000000"/>
          <w:sz w:val="28"/>
          <w:szCs w:val="28"/>
        </w:rPr>
        <w:t>¶¶ 19-22</w:t>
      </w:r>
      <w:r w:rsidR="00A5376A">
        <w:rPr>
          <w:snapToGrid/>
          <w:color w:val="000000"/>
          <w:sz w:val="28"/>
          <w:szCs w:val="28"/>
        </w:rPr>
        <w:t>.</w:t>
      </w:r>
    </w:p>
    <w:p w14:paraId="69749628" w14:textId="72852AAA" w:rsidR="005D0332" w:rsidRDefault="00410E44" w:rsidP="00835D13">
      <w:pPr>
        <w:widowControl w:val="0"/>
        <w:autoSpaceDE w:val="0"/>
        <w:autoSpaceDN w:val="0"/>
        <w:adjustRightInd w:val="0"/>
        <w:spacing w:line="480" w:lineRule="auto"/>
        <w:ind w:firstLine="720"/>
        <w:jc w:val="both"/>
        <w:rPr>
          <w:sz w:val="28"/>
          <w:szCs w:val="28"/>
        </w:rPr>
      </w:pPr>
      <w:r>
        <w:rPr>
          <w:color w:val="212121"/>
          <w:sz w:val="28"/>
          <w:szCs w:val="28"/>
        </w:rPr>
        <w:t>Ensuring a criminal</w:t>
      </w:r>
      <w:r w:rsidR="00A5376A" w:rsidRPr="00A5376A">
        <w:rPr>
          <w:color w:val="000000"/>
          <w:sz w:val="28"/>
          <w:szCs w:val="28"/>
        </w:rPr>
        <w:t xml:space="preserve"> </w:t>
      </w:r>
      <w:r w:rsidR="00A5376A">
        <w:rPr>
          <w:color w:val="000000"/>
          <w:sz w:val="28"/>
          <w:szCs w:val="28"/>
        </w:rPr>
        <w:t>defendant</w:t>
      </w:r>
      <w:r>
        <w:rPr>
          <w:color w:val="000000"/>
          <w:sz w:val="28"/>
          <w:szCs w:val="28"/>
        </w:rPr>
        <w:t>’s</w:t>
      </w:r>
      <w:r w:rsidR="00A5376A">
        <w:rPr>
          <w:color w:val="000000"/>
          <w:sz w:val="28"/>
          <w:szCs w:val="28"/>
        </w:rPr>
        <w:t xml:space="preserve"> right to </w:t>
      </w:r>
      <w:r w:rsidR="00A54233">
        <w:rPr>
          <w:color w:val="000000"/>
          <w:sz w:val="28"/>
          <w:szCs w:val="28"/>
        </w:rPr>
        <w:t>fundamental fairness in the process</w:t>
      </w:r>
      <w:r w:rsidR="00A5376A">
        <w:rPr>
          <w:color w:val="000000"/>
          <w:sz w:val="28"/>
          <w:szCs w:val="28"/>
        </w:rPr>
        <w:t xml:space="preserve"> is critically important because it “preserves both the appearance and reality of fairness, ‘generating the feeling, so important to a popular government, that justice has been done.’” </w:t>
      </w:r>
      <w:hyperlink r:id="rId8" w:anchor="co_pp_sp_780_242" w:history="1">
        <w:r w:rsidR="00A5376A" w:rsidRPr="00A5376A">
          <w:rPr>
            <w:i/>
            <w:iCs/>
            <w:color w:val="000000"/>
            <w:sz w:val="28"/>
            <w:szCs w:val="28"/>
          </w:rPr>
          <w:t>Marshall v. Jerrico, Inc.</w:t>
        </w:r>
        <w:r w:rsidR="00A5376A" w:rsidRPr="00A5376A">
          <w:rPr>
            <w:color w:val="000000"/>
            <w:sz w:val="28"/>
            <w:szCs w:val="28"/>
          </w:rPr>
          <w:t>, 446 U.S. 238, 242 (1980)</w:t>
        </w:r>
      </w:hyperlink>
      <w:r w:rsidR="00A5376A" w:rsidRPr="00A5376A">
        <w:rPr>
          <w:color w:val="000000"/>
          <w:sz w:val="28"/>
          <w:szCs w:val="28"/>
        </w:rPr>
        <w:t xml:space="preserve"> (quoting </w:t>
      </w:r>
      <w:hyperlink r:id="rId9" w:anchor="co_pp_sp_780_172" w:history="1">
        <w:r w:rsidR="00A5376A" w:rsidRPr="00A5376A">
          <w:rPr>
            <w:i/>
            <w:iCs/>
            <w:color w:val="000000"/>
            <w:sz w:val="28"/>
            <w:szCs w:val="28"/>
          </w:rPr>
          <w:t>Joint Anti-Fascist Refugee Comm. v. McGrath</w:t>
        </w:r>
        <w:r w:rsidR="00A5376A" w:rsidRPr="00A5376A">
          <w:rPr>
            <w:color w:val="000000"/>
            <w:sz w:val="28"/>
            <w:szCs w:val="28"/>
          </w:rPr>
          <w:t>, 341 U.S. 123, 172 (1951)</w:t>
        </w:r>
      </w:hyperlink>
      <w:r w:rsidR="00A5376A" w:rsidRPr="00A5376A">
        <w:rPr>
          <w:color w:val="000000"/>
          <w:sz w:val="28"/>
          <w:szCs w:val="28"/>
        </w:rPr>
        <w:t xml:space="preserve"> (Frankfurter, J., </w:t>
      </w:r>
      <w:r w:rsidR="00A5376A" w:rsidRPr="00A5376A">
        <w:rPr>
          <w:color w:val="000000"/>
          <w:sz w:val="28"/>
          <w:szCs w:val="28"/>
        </w:rPr>
        <w:lastRenderedPageBreak/>
        <w:t>concurring)).</w:t>
      </w:r>
      <w:r w:rsidR="00A5376A">
        <w:rPr>
          <w:color w:val="000000"/>
          <w:sz w:val="28"/>
          <w:szCs w:val="28"/>
        </w:rPr>
        <w:t xml:space="preserve"> In a time of public crisis in the confidence of the judicial system, </w:t>
      </w:r>
      <w:r w:rsidR="00A54233">
        <w:rPr>
          <w:color w:val="000000"/>
          <w:sz w:val="28"/>
          <w:szCs w:val="28"/>
        </w:rPr>
        <w:t xml:space="preserve">the Court should take care that any amendments concerning a government lawyer’s ethical obligations do not undermine the rights of criminal defendants or these important principles that this Court recently and repeatedly reaffirmed. </w:t>
      </w:r>
    </w:p>
    <w:p w14:paraId="7FAB884A" w14:textId="01AE1484" w:rsidR="00C209F2" w:rsidRPr="00C02762" w:rsidRDefault="002477F1" w:rsidP="002477F1">
      <w:pPr>
        <w:tabs>
          <w:tab w:val="left" w:pos="0"/>
        </w:tabs>
        <w:suppressAutoHyphens/>
        <w:spacing w:before="120" w:after="120" w:line="450" w:lineRule="exact"/>
        <w:rPr>
          <w:sz w:val="28"/>
          <w:szCs w:val="28"/>
        </w:rPr>
      </w:pPr>
      <w:r w:rsidRPr="00C02762">
        <w:rPr>
          <w:sz w:val="28"/>
          <w:szCs w:val="28"/>
        </w:rPr>
        <w:tab/>
      </w:r>
      <w:r w:rsidR="00F15968" w:rsidRPr="00C02762">
        <w:rPr>
          <w:sz w:val="28"/>
          <w:szCs w:val="28"/>
        </w:rPr>
        <w:t xml:space="preserve">RESPECTFULLY </w:t>
      </w:r>
      <w:r w:rsidRPr="00C02762">
        <w:rPr>
          <w:sz w:val="28"/>
          <w:szCs w:val="28"/>
        </w:rPr>
        <w:t xml:space="preserve">SUBMITTED </w:t>
      </w:r>
      <w:r w:rsidR="005D0332">
        <w:rPr>
          <w:sz w:val="28"/>
          <w:szCs w:val="28"/>
        </w:rPr>
        <w:t>May 1, 2024</w:t>
      </w:r>
      <w:r w:rsidR="00F15968" w:rsidRPr="00C02762">
        <w:rPr>
          <w:sz w:val="28"/>
          <w:szCs w:val="28"/>
        </w:rPr>
        <w:t>.</w:t>
      </w:r>
    </w:p>
    <w:p w14:paraId="693A93A4" w14:textId="40DCBDB6" w:rsidR="002477F1" w:rsidRPr="00C02762" w:rsidRDefault="005D0332" w:rsidP="00924CD8">
      <w:pPr>
        <w:keepNext/>
        <w:spacing w:after="120"/>
        <w:ind w:left="1440" w:firstLine="720"/>
        <w:rPr>
          <w:sz w:val="28"/>
          <w:szCs w:val="28"/>
        </w:rPr>
      </w:pPr>
      <w:r w:rsidRPr="007D4561">
        <w:rPr>
          <w:rFonts w:asciiTheme="majorHAnsi" w:hAnsiTheme="majorHAnsi" w:cstheme="majorHAnsi"/>
          <w:noProof/>
          <w:sz w:val="24"/>
        </w:rPr>
        <w:drawing>
          <wp:anchor distT="0" distB="0" distL="114300" distR="114300" simplePos="0" relativeHeight="251659264" behindDoc="1" locked="0" layoutInCell="1" allowOverlap="1" wp14:anchorId="0F2E417A" wp14:editId="693AFCED">
            <wp:simplePos x="0" y="0"/>
            <wp:positionH relativeFrom="column">
              <wp:posOffset>2441050</wp:posOffset>
            </wp:positionH>
            <wp:positionV relativeFrom="paragraph">
              <wp:posOffset>136911</wp:posOffset>
            </wp:positionV>
            <wp:extent cx="2133898" cy="838317"/>
            <wp:effectExtent l="0" t="0" r="0" b="0"/>
            <wp:wrapNone/>
            <wp:docPr id="2"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n a white background&#10;&#10;Description automatically generated"/>
                    <pic:cNvPicPr/>
                  </pic:nvPicPr>
                  <pic:blipFill>
                    <a:blip r:embed="rId10"/>
                    <a:stretch>
                      <a:fillRect/>
                    </a:stretch>
                  </pic:blipFill>
                  <pic:spPr>
                    <a:xfrm>
                      <a:off x="0" y="0"/>
                      <a:ext cx="2133898" cy="838317"/>
                    </a:xfrm>
                    <a:prstGeom prst="rect">
                      <a:avLst/>
                    </a:prstGeom>
                  </pic:spPr>
                </pic:pic>
              </a:graphicData>
            </a:graphic>
            <wp14:sizeRelH relativeFrom="page">
              <wp14:pctWidth>0</wp14:pctWidth>
            </wp14:sizeRelH>
            <wp14:sizeRelV relativeFrom="page">
              <wp14:pctHeight>0</wp14:pctHeight>
            </wp14:sizeRelV>
          </wp:anchor>
        </w:drawing>
      </w:r>
      <w:r w:rsidR="002477F1" w:rsidRPr="00C02762">
        <w:rPr>
          <w:sz w:val="28"/>
          <w:szCs w:val="28"/>
        </w:rPr>
        <w:t>MITCHELL | STEIN | CAREY | CHAPMAN, PC</w:t>
      </w:r>
    </w:p>
    <w:p w14:paraId="073EF324" w14:textId="522DC49E" w:rsidR="002477F1" w:rsidRPr="00C02762" w:rsidRDefault="002477F1" w:rsidP="002477F1">
      <w:pPr>
        <w:keepNext/>
        <w:spacing w:after="120"/>
        <w:ind w:left="2880" w:firstLine="720"/>
        <w:rPr>
          <w:sz w:val="28"/>
          <w:szCs w:val="28"/>
        </w:rPr>
      </w:pPr>
    </w:p>
    <w:p w14:paraId="15026986" w14:textId="77777777" w:rsidR="002477F1" w:rsidRPr="00C02762" w:rsidRDefault="002477F1" w:rsidP="002477F1">
      <w:pPr>
        <w:keepNext/>
        <w:ind w:left="2880" w:firstLine="720"/>
        <w:rPr>
          <w:sz w:val="28"/>
          <w:szCs w:val="28"/>
          <w:u w:val="single"/>
        </w:rPr>
      </w:pPr>
      <w:r w:rsidRPr="00C02762">
        <w:rPr>
          <w:sz w:val="28"/>
          <w:szCs w:val="28"/>
        </w:rPr>
        <w:t>By:</w:t>
      </w:r>
      <w:r w:rsidRPr="00C02762">
        <w:rPr>
          <w:sz w:val="28"/>
          <w:szCs w:val="28"/>
          <w:u w:val="single"/>
        </w:rPr>
        <w:tab/>
      </w:r>
      <w:r w:rsidRPr="00C02762">
        <w:rPr>
          <w:sz w:val="28"/>
          <w:szCs w:val="28"/>
          <w:u w:val="single"/>
        </w:rPr>
        <w:tab/>
      </w:r>
      <w:r w:rsidRPr="00C02762">
        <w:rPr>
          <w:sz w:val="28"/>
          <w:szCs w:val="28"/>
          <w:u w:val="single"/>
        </w:rPr>
        <w:tab/>
      </w:r>
      <w:r w:rsidRPr="00C02762">
        <w:rPr>
          <w:sz w:val="28"/>
          <w:szCs w:val="28"/>
          <w:u w:val="single"/>
        </w:rPr>
        <w:tab/>
      </w:r>
      <w:r w:rsidRPr="00C02762">
        <w:rPr>
          <w:sz w:val="28"/>
          <w:szCs w:val="28"/>
          <w:u w:val="single"/>
        </w:rPr>
        <w:tab/>
      </w:r>
      <w:r w:rsidRPr="00C02762">
        <w:rPr>
          <w:sz w:val="28"/>
          <w:szCs w:val="28"/>
          <w:u w:val="single"/>
        </w:rPr>
        <w:tab/>
      </w:r>
    </w:p>
    <w:p w14:paraId="3067A7AE" w14:textId="1B4DC597" w:rsidR="00C02762" w:rsidRDefault="002477F1" w:rsidP="00570E80">
      <w:pPr>
        <w:keepNext/>
        <w:ind w:left="2880" w:firstLine="720"/>
        <w:rPr>
          <w:sz w:val="28"/>
          <w:szCs w:val="28"/>
        </w:rPr>
      </w:pPr>
      <w:r w:rsidRPr="00C02762">
        <w:rPr>
          <w:sz w:val="28"/>
          <w:szCs w:val="28"/>
        </w:rPr>
        <w:tab/>
      </w:r>
      <w:r w:rsidR="005D0332">
        <w:rPr>
          <w:sz w:val="28"/>
          <w:szCs w:val="28"/>
        </w:rPr>
        <w:t>Molly Brizgys</w:t>
      </w:r>
    </w:p>
    <w:p w14:paraId="047B276B" w14:textId="6F66C090" w:rsidR="00C02762" w:rsidRPr="00C02762" w:rsidRDefault="005D0332" w:rsidP="005D0332">
      <w:pPr>
        <w:keepNext/>
        <w:ind w:left="2880" w:firstLine="720"/>
        <w:rPr>
          <w:sz w:val="28"/>
          <w:szCs w:val="28"/>
        </w:rPr>
      </w:pPr>
      <w:r>
        <w:rPr>
          <w:sz w:val="28"/>
          <w:szCs w:val="28"/>
        </w:rPr>
        <w:tab/>
        <w:t>Katheen E. Brody</w:t>
      </w:r>
    </w:p>
    <w:p w14:paraId="7E828F8C" w14:textId="23DD6415" w:rsidR="005D0332" w:rsidRDefault="005D0332" w:rsidP="005D0332">
      <w:pPr>
        <w:keepNext/>
        <w:ind w:left="1440" w:firstLine="720"/>
        <w:rPr>
          <w:i/>
          <w:iCs/>
          <w:sz w:val="28"/>
          <w:szCs w:val="28"/>
        </w:rPr>
      </w:pPr>
      <w:r>
        <w:rPr>
          <w:i/>
          <w:iCs/>
          <w:sz w:val="28"/>
          <w:szCs w:val="28"/>
        </w:rPr>
        <w:tab/>
      </w:r>
      <w:r>
        <w:rPr>
          <w:i/>
          <w:iCs/>
          <w:sz w:val="28"/>
          <w:szCs w:val="28"/>
        </w:rPr>
        <w:tab/>
      </w:r>
      <w:r w:rsidR="00B50136">
        <w:rPr>
          <w:i/>
          <w:iCs/>
          <w:sz w:val="28"/>
          <w:szCs w:val="28"/>
        </w:rPr>
        <w:tab/>
      </w:r>
      <w:r w:rsidR="00C02762" w:rsidRPr="00570E80">
        <w:rPr>
          <w:i/>
          <w:iCs/>
          <w:sz w:val="28"/>
          <w:szCs w:val="28"/>
        </w:rPr>
        <w:t xml:space="preserve">Attorneys for Arizona Attorneys for </w:t>
      </w:r>
    </w:p>
    <w:p w14:paraId="3F42F1C9" w14:textId="7F554035" w:rsidR="00C02762" w:rsidRPr="00570E80" w:rsidRDefault="005D0332" w:rsidP="005D0332">
      <w:pPr>
        <w:keepNext/>
        <w:ind w:left="1440" w:firstLine="720"/>
        <w:rPr>
          <w:i/>
          <w:iCs/>
          <w:sz w:val="28"/>
          <w:szCs w:val="28"/>
        </w:rPr>
      </w:pPr>
      <w:r>
        <w:rPr>
          <w:i/>
          <w:iCs/>
          <w:sz w:val="28"/>
          <w:szCs w:val="28"/>
        </w:rPr>
        <w:tab/>
      </w:r>
      <w:r>
        <w:rPr>
          <w:i/>
          <w:iCs/>
          <w:sz w:val="28"/>
          <w:szCs w:val="28"/>
        </w:rPr>
        <w:tab/>
      </w:r>
      <w:r w:rsidR="00B50136">
        <w:rPr>
          <w:i/>
          <w:iCs/>
          <w:sz w:val="28"/>
          <w:szCs w:val="28"/>
        </w:rPr>
        <w:tab/>
      </w:r>
      <w:r w:rsidR="00C02762" w:rsidRPr="00570E80">
        <w:rPr>
          <w:i/>
          <w:iCs/>
          <w:sz w:val="28"/>
          <w:szCs w:val="28"/>
        </w:rPr>
        <w:t>Criminal Justice</w:t>
      </w:r>
    </w:p>
    <w:p w14:paraId="7EF67049" w14:textId="674D5A02" w:rsidR="0000296E" w:rsidRPr="00C02762" w:rsidRDefault="0000296E">
      <w:pPr>
        <w:rPr>
          <w:b/>
          <w:snapToGrid/>
          <w:color w:val="000000"/>
          <w:sz w:val="28"/>
          <w:szCs w:val="28"/>
        </w:rPr>
      </w:pPr>
    </w:p>
    <w:sectPr w:rsidR="0000296E" w:rsidRPr="00C027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C2EFE" w14:textId="77777777" w:rsidR="00D33D7D" w:rsidRDefault="00D33D7D" w:rsidP="00C209F2">
      <w:r>
        <w:separator/>
      </w:r>
    </w:p>
  </w:endnote>
  <w:endnote w:type="continuationSeparator" w:id="0">
    <w:p w14:paraId="1EA56A65" w14:textId="77777777" w:rsidR="00D33D7D" w:rsidRDefault="00D33D7D" w:rsidP="00C2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FE239" w14:textId="77777777" w:rsidR="00400B25" w:rsidRDefault="00400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054689"/>
      <w:docPartObj>
        <w:docPartGallery w:val="Page Numbers (Bottom of Page)"/>
        <w:docPartUnique/>
      </w:docPartObj>
    </w:sdtPr>
    <w:sdtEndPr>
      <w:rPr>
        <w:noProof/>
      </w:rPr>
    </w:sdtEndPr>
    <w:sdtContent>
      <w:p w14:paraId="78EAD500" w14:textId="57B0F6DB" w:rsidR="0015299F" w:rsidRDefault="001529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5C9D2C" w14:textId="77777777" w:rsidR="008B44D6" w:rsidRDefault="008B4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B4455" w14:textId="77777777" w:rsidR="00400B25" w:rsidRDefault="0040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4F434" w14:textId="77777777" w:rsidR="00D33D7D" w:rsidRDefault="00D33D7D" w:rsidP="00C209F2">
      <w:r>
        <w:separator/>
      </w:r>
    </w:p>
  </w:footnote>
  <w:footnote w:type="continuationSeparator" w:id="0">
    <w:p w14:paraId="54CBDE62" w14:textId="77777777" w:rsidR="00D33D7D" w:rsidRDefault="00D33D7D" w:rsidP="00C2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4CB09" w14:textId="77777777" w:rsidR="00400B25" w:rsidRDefault="00400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AF92B" w14:textId="77777777" w:rsidR="00400B25" w:rsidRDefault="00400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81B45" w14:textId="77777777" w:rsidR="00400B25" w:rsidRDefault="00400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31521"/>
    <w:multiLevelType w:val="hybridMultilevel"/>
    <w:tmpl w:val="737A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6048867">
    <w:abstractNumId w:val="1"/>
  </w:num>
  <w:num w:numId="2" w16cid:durableId="148211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F1"/>
    <w:rsid w:val="0000296E"/>
    <w:rsid w:val="00003A2B"/>
    <w:rsid w:val="00006C13"/>
    <w:rsid w:val="0001666B"/>
    <w:rsid w:val="0001776C"/>
    <w:rsid w:val="000221B3"/>
    <w:rsid w:val="000268D9"/>
    <w:rsid w:val="000277DE"/>
    <w:rsid w:val="000301F7"/>
    <w:rsid w:val="00040B6C"/>
    <w:rsid w:val="00045825"/>
    <w:rsid w:val="000571BC"/>
    <w:rsid w:val="00061DCE"/>
    <w:rsid w:val="00064A93"/>
    <w:rsid w:val="000A427B"/>
    <w:rsid w:val="00100061"/>
    <w:rsid w:val="001235A8"/>
    <w:rsid w:val="001351F2"/>
    <w:rsid w:val="0015299F"/>
    <w:rsid w:val="00161FD5"/>
    <w:rsid w:val="00192C26"/>
    <w:rsid w:val="001A6A99"/>
    <w:rsid w:val="001B22AD"/>
    <w:rsid w:val="001B2F4E"/>
    <w:rsid w:val="001D6887"/>
    <w:rsid w:val="001F6AA7"/>
    <w:rsid w:val="002037D3"/>
    <w:rsid w:val="002201FB"/>
    <w:rsid w:val="00226D38"/>
    <w:rsid w:val="002363C2"/>
    <w:rsid w:val="00237CCB"/>
    <w:rsid w:val="002477F1"/>
    <w:rsid w:val="00254124"/>
    <w:rsid w:val="00255EC4"/>
    <w:rsid w:val="002709A8"/>
    <w:rsid w:val="0027610A"/>
    <w:rsid w:val="002C01DE"/>
    <w:rsid w:val="002C6CC0"/>
    <w:rsid w:val="002D52FA"/>
    <w:rsid w:val="002D5320"/>
    <w:rsid w:val="002D70AB"/>
    <w:rsid w:val="002E003C"/>
    <w:rsid w:val="002E0D78"/>
    <w:rsid w:val="00306F18"/>
    <w:rsid w:val="00311716"/>
    <w:rsid w:val="00342B0D"/>
    <w:rsid w:val="00357805"/>
    <w:rsid w:val="0036099F"/>
    <w:rsid w:val="00373430"/>
    <w:rsid w:val="00387312"/>
    <w:rsid w:val="003A0406"/>
    <w:rsid w:val="003E5291"/>
    <w:rsid w:val="003E69D9"/>
    <w:rsid w:val="003F0DF3"/>
    <w:rsid w:val="003F4E00"/>
    <w:rsid w:val="003F7529"/>
    <w:rsid w:val="003F795C"/>
    <w:rsid w:val="00400ADD"/>
    <w:rsid w:val="00400B25"/>
    <w:rsid w:val="00401ACF"/>
    <w:rsid w:val="00410E44"/>
    <w:rsid w:val="00414421"/>
    <w:rsid w:val="00422479"/>
    <w:rsid w:val="00442751"/>
    <w:rsid w:val="0044388D"/>
    <w:rsid w:val="0046744A"/>
    <w:rsid w:val="00474EDF"/>
    <w:rsid w:val="00491A2C"/>
    <w:rsid w:val="00491C6B"/>
    <w:rsid w:val="004B694C"/>
    <w:rsid w:val="004D6B3D"/>
    <w:rsid w:val="004E7FD1"/>
    <w:rsid w:val="004F702A"/>
    <w:rsid w:val="0050233E"/>
    <w:rsid w:val="00512CA1"/>
    <w:rsid w:val="00525008"/>
    <w:rsid w:val="00535A28"/>
    <w:rsid w:val="00565E69"/>
    <w:rsid w:val="00570E80"/>
    <w:rsid w:val="00580F3A"/>
    <w:rsid w:val="00595B9D"/>
    <w:rsid w:val="005B11DE"/>
    <w:rsid w:val="005C29EA"/>
    <w:rsid w:val="005C49AC"/>
    <w:rsid w:val="005C78FF"/>
    <w:rsid w:val="005D0332"/>
    <w:rsid w:val="00633D38"/>
    <w:rsid w:val="00655507"/>
    <w:rsid w:val="00657679"/>
    <w:rsid w:val="0066281A"/>
    <w:rsid w:val="0068590F"/>
    <w:rsid w:val="006927B6"/>
    <w:rsid w:val="00695B6A"/>
    <w:rsid w:val="006B6FEF"/>
    <w:rsid w:val="006C21C5"/>
    <w:rsid w:val="006C5207"/>
    <w:rsid w:val="006C5E32"/>
    <w:rsid w:val="006C68BB"/>
    <w:rsid w:val="006D3DBE"/>
    <w:rsid w:val="006F3C15"/>
    <w:rsid w:val="00702047"/>
    <w:rsid w:val="00713B23"/>
    <w:rsid w:val="0072593F"/>
    <w:rsid w:val="00756030"/>
    <w:rsid w:val="0076283F"/>
    <w:rsid w:val="00773600"/>
    <w:rsid w:val="00774B6C"/>
    <w:rsid w:val="007911B6"/>
    <w:rsid w:val="007B2272"/>
    <w:rsid w:val="007C1DCA"/>
    <w:rsid w:val="007C3AC1"/>
    <w:rsid w:val="007E2C5B"/>
    <w:rsid w:val="007F342A"/>
    <w:rsid w:val="007F6B47"/>
    <w:rsid w:val="007F6E6E"/>
    <w:rsid w:val="008218AC"/>
    <w:rsid w:val="00826234"/>
    <w:rsid w:val="00827017"/>
    <w:rsid w:val="00831693"/>
    <w:rsid w:val="00835D13"/>
    <w:rsid w:val="00845FC8"/>
    <w:rsid w:val="008528B4"/>
    <w:rsid w:val="00865830"/>
    <w:rsid w:val="008659A7"/>
    <w:rsid w:val="00865B9E"/>
    <w:rsid w:val="00872564"/>
    <w:rsid w:val="008725D6"/>
    <w:rsid w:val="00892721"/>
    <w:rsid w:val="00896B69"/>
    <w:rsid w:val="00897C08"/>
    <w:rsid w:val="008B44D6"/>
    <w:rsid w:val="008D0D96"/>
    <w:rsid w:val="008F39DC"/>
    <w:rsid w:val="009136D8"/>
    <w:rsid w:val="00924CD8"/>
    <w:rsid w:val="009419DD"/>
    <w:rsid w:val="009629A8"/>
    <w:rsid w:val="009902BA"/>
    <w:rsid w:val="009A0935"/>
    <w:rsid w:val="009A157F"/>
    <w:rsid w:val="009B26A3"/>
    <w:rsid w:val="009D5D5A"/>
    <w:rsid w:val="009E04F7"/>
    <w:rsid w:val="009F2BF7"/>
    <w:rsid w:val="00A1226C"/>
    <w:rsid w:val="00A3051E"/>
    <w:rsid w:val="00A5376A"/>
    <w:rsid w:val="00A54233"/>
    <w:rsid w:val="00A736F0"/>
    <w:rsid w:val="00A94E9C"/>
    <w:rsid w:val="00AC39E7"/>
    <w:rsid w:val="00AC7501"/>
    <w:rsid w:val="00B160FD"/>
    <w:rsid w:val="00B302B5"/>
    <w:rsid w:val="00B324E3"/>
    <w:rsid w:val="00B50136"/>
    <w:rsid w:val="00B50EF6"/>
    <w:rsid w:val="00B57F01"/>
    <w:rsid w:val="00B703ED"/>
    <w:rsid w:val="00B741B3"/>
    <w:rsid w:val="00BA350B"/>
    <w:rsid w:val="00BC3215"/>
    <w:rsid w:val="00BC68D2"/>
    <w:rsid w:val="00BF54A9"/>
    <w:rsid w:val="00C01647"/>
    <w:rsid w:val="00C02762"/>
    <w:rsid w:val="00C10F72"/>
    <w:rsid w:val="00C209F2"/>
    <w:rsid w:val="00C23A5A"/>
    <w:rsid w:val="00C3179C"/>
    <w:rsid w:val="00C54846"/>
    <w:rsid w:val="00C9542D"/>
    <w:rsid w:val="00CE2650"/>
    <w:rsid w:val="00CF4600"/>
    <w:rsid w:val="00CF4B32"/>
    <w:rsid w:val="00D21D8A"/>
    <w:rsid w:val="00D33D7D"/>
    <w:rsid w:val="00D3577B"/>
    <w:rsid w:val="00D37C4A"/>
    <w:rsid w:val="00D97C6D"/>
    <w:rsid w:val="00DB2A86"/>
    <w:rsid w:val="00DC1CA6"/>
    <w:rsid w:val="00DC30A2"/>
    <w:rsid w:val="00DF35A2"/>
    <w:rsid w:val="00DF74A9"/>
    <w:rsid w:val="00E051DD"/>
    <w:rsid w:val="00E20EA0"/>
    <w:rsid w:val="00E22532"/>
    <w:rsid w:val="00E47B79"/>
    <w:rsid w:val="00E555CE"/>
    <w:rsid w:val="00E621E1"/>
    <w:rsid w:val="00E95F8C"/>
    <w:rsid w:val="00E975FC"/>
    <w:rsid w:val="00EA01C3"/>
    <w:rsid w:val="00ED4BE8"/>
    <w:rsid w:val="00F15968"/>
    <w:rsid w:val="00F5321D"/>
    <w:rsid w:val="00F54970"/>
    <w:rsid w:val="00F67CFA"/>
    <w:rsid w:val="00F81E74"/>
    <w:rsid w:val="00F824AE"/>
    <w:rsid w:val="00F859ED"/>
    <w:rsid w:val="00F860D4"/>
    <w:rsid w:val="00F915EB"/>
    <w:rsid w:val="00FB1F82"/>
    <w:rsid w:val="00FD5401"/>
    <w:rsid w:val="00FD769F"/>
    <w:rsid w:val="00FE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30A5"/>
  <w15:chartTrackingRefBased/>
  <w15:docId w15:val="{4FB073B6-E5CA-44DF-B6CE-4F54CA00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061"/>
    <w:pPr>
      <w:spacing w:after="0" w:line="240" w:lineRule="auto"/>
    </w:pPr>
    <w:rPr>
      <w:rFonts w:ascii="Times New Roman" w:eastAsia="Times New Roman" w:hAnsi="Times New Roman" w:cs="Times New Roman"/>
      <w:snapToGrid w:val="0"/>
      <w:sz w:val="26"/>
      <w:szCs w:val="20"/>
    </w:rPr>
  </w:style>
  <w:style w:type="paragraph" w:styleId="Heading1">
    <w:name w:val="heading 1"/>
    <w:basedOn w:val="Normal"/>
    <w:next w:val="Normal"/>
    <w:link w:val="Heading1Char"/>
    <w:uiPriority w:val="9"/>
    <w:qFormat/>
    <w:rsid w:val="007911B6"/>
    <w:pPr>
      <w:spacing w:line="480" w:lineRule="auto"/>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77F1"/>
    <w:rPr>
      <w:color w:val="0000FF"/>
      <w:u w:val="single"/>
    </w:rPr>
  </w:style>
  <w:style w:type="paragraph" w:customStyle="1" w:styleId="Default">
    <w:name w:val="Default"/>
    <w:rsid w:val="00247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rsid w:val="00C209F2"/>
    <w:rPr>
      <w:vertAlign w:val="superscript"/>
    </w:rPr>
  </w:style>
  <w:style w:type="paragraph" w:styleId="BodyText">
    <w:name w:val="Body Text"/>
    <w:basedOn w:val="Normal"/>
    <w:link w:val="BodyTextChar"/>
    <w:uiPriority w:val="1"/>
    <w:qFormat/>
    <w:rsid w:val="007911B6"/>
    <w:pPr>
      <w:spacing w:line="480" w:lineRule="auto"/>
      <w:ind w:firstLine="720"/>
    </w:pPr>
    <w:rPr>
      <w:snapToGrid/>
      <w:sz w:val="28"/>
      <w:szCs w:val="28"/>
    </w:rPr>
  </w:style>
  <w:style w:type="character" w:customStyle="1" w:styleId="BodyTextChar">
    <w:name w:val="Body Text Char"/>
    <w:basedOn w:val="DefaultParagraphFont"/>
    <w:link w:val="BodyText"/>
    <w:uiPriority w:val="1"/>
    <w:rsid w:val="007911B6"/>
    <w:rPr>
      <w:rFonts w:ascii="Times New Roman" w:eastAsia="Times New Roman" w:hAnsi="Times New Roman" w:cs="Times New Roman"/>
      <w:sz w:val="28"/>
      <w:szCs w:val="28"/>
    </w:rPr>
  </w:style>
  <w:style w:type="paragraph" w:styleId="ListParagraph">
    <w:name w:val="List Paragraph"/>
    <w:basedOn w:val="Normal"/>
    <w:uiPriority w:val="34"/>
    <w:qFormat/>
    <w:rsid w:val="00C209F2"/>
    <w:pPr>
      <w:ind w:left="720"/>
    </w:pPr>
    <w:rPr>
      <w:snapToGrid/>
      <w:sz w:val="24"/>
    </w:rPr>
  </w:style>
  <w:style w:type="character" w:customStyle="1" w:styleId="Heading1Char">
    <w:name w:val="Heading 1 Char"/>
    <w:basedOn w:val="DefaultParagraphFont"/>
    <w:link w:val="Heading1"/>
    <w:uiPriority w:val="9"/>
    <w:rsid w:val="007911B6"/>
    <w:rPr>
      <w:rFonts w:ascii="Times New Roman" w:eastAsia="Times New Roman" w:hAnsi="Times New Roman" w:cs="Times New Roman"/>
      <w:b/>
      <w:snapToGrid w:val="0"/>
      <w:sz w:val="28"/>
      <w:szCs w:val="28"/>
    </w:rPr>
  </w:style>
  <w:style w:type="paragraph" w:styleId="FootnoteText">
    <w:name w:val="footnote text"/>
    <w:basedOn w:val="Normal"/>
    <w:link w:val="FootnoteTextChar"/>
    <w:uiPriority w:val="99"/>
    <w:semiHidden/>
    <w:unhideWhenUsed/>
    <w:rsid w:val="00100061"/>
    <w:rPr>
      <w:sz w:val="28"/>
    </w:rPr>
  </w:style>
  <w:style w:type="character" w:customStyle="1" w:styleId="FootnoteTextChar">
    <w:name w:val="Footnote Text Char"/>
    <w:basedOn w:val="DefaultParagraphFont"/>
    <w:link w:val="FootnoteText"/>
    <w:uiPriority w:val="99"/>
    <w:semiHidden/>
    <w:rsid w:val="00100061"/>
    <w:rPr>
      <w:rFonts w:ascii="Times New Roman" w:eastAsia="Times New Roman" w:hAnsi="Times New Roman" w:cs="Times New Roman"/>
      <w:snapToGrid w:val="0"/>
      <w:sz w:val="28"/>
      <w:szCs w:val="20"/>
    </w:rPr>
  </w:style>
  <w:style w:type="paragraph" w:styleId="Header">
    <w:name w:val="header"/>
    <w:basedOn w:val="Normal"/>
    <w:link w:val="HeaderChar"/>
    <w:uiPriority w:val="99"/>
    <w:unhideWhenUsed/>
    <w:rsid w:val="008B44D6"/>
    <w:pPr>
      <w:tabs>
        <w:tab w:val="center" w:pos="4680"/>
        <w:tab w:val="right" w:pos="9360"/>
      </w:tabs>
    </w:pPr>
  </w:style>
  <w:style w:type="character" w:customStyle="1" w:styleId="HeaderChar">
    <w:name w:val="Header Char"/>
    <w:basedOn w:val="DefaultParagraphFont"/>
    <w:link w:val="Header"/>
    <w:uiPriority w:val="99"/>
    <w:rsid w:val="008B44D6"/>
    <w:rPr>
      <w:rFonts w:ascii="Times New Roman" w:eastAsia="Times New Roman" w:hAnsi="Times New Roman" w:cs="Times New Roman"/>
      <w:snapToGrid w:val="0"/>
      <w:sz w:val="26"/>
      <w:szCs w:val="20"/>
    </w:rPr>
  </w:style>
  <w:style w:type="paragraph" w:styleId="Footer">
    <w:name w:val="footer"/>
    <w:basedOn w:val="Normal"/>
    <w:link w:val="FooterChar"/>
    <w:uiPriority w:val="99"/>
    <w:unhideWhenUsed/>
    <w:rsid w:val="008B44D6"/>
    <w:pPr>
      <w:tabs>
        <w:tab w:val="center" w:pos="4680"/>
        <w:tab w:val="right" w:pos="9360"/>
      </w:tabs>
    </w:pPr>
  </w:style>
  <w:style w:type="character" w:customStyle="1" w:styleId="FooterChar">
    <w:name w:val="Footer Char"/>
    <w:basedOn w:val="DefaultParagraphFont"/>
    <w:link w:val="Footer"/>
    <w:uiPriority w:val="99"/>
    <w:rsid w:val="008B44D6"/>
    <w:rPr>
      <w:rFonts w:ascii="Times New Roman" w:eastAsia="Times New Roman" w:hAnsi="Times New Roman" w:cs="Times New Roman"/>
      <w:snapToGrid w:val="0"/>
      <w:sz w:val="26"/>
      <w:szCs w:val="20"/>
    </w:rPr>
  </w:style>
  <w:style w:type="paragraph" w:styleId="Quote">
    <w:name w:val="Quote"/>
    <w:basedOn w:val="BodyText"/>
    <w:next w:val="Normal"/>
    <w:link w:val="QuoteChar"/>
    <w:uiPriority w:val="29"/>
    <w:qFormat/>
    <w:rsid w:val="005B11DE"/>
    <w:pPr>
      <w:spacing w:after="240" w:line="240" w:lineRule="auto"/>
      <w:ind w:left="720" w:right="720" w:firstLine="0"/>
    </w:pPr>
  </w:style>
  <w:style w:type="character" w:customStyle="1" w:styleId="QuoteChar">
    <w:name w:val="Quote Char"/>
    <w:basedOn w:val="DefaultParagraphFont"/>
    <w:link w:val="Quote"/>
    <w:uiPriority w:val="29"/>
    <w:rsid w:val="005B11DE"/>
    <w:rPr>
      <w:rFonts w:ascii="Times New Roman" w:eastAsia="Times New Roman" w:hAnsi="Times New Roman" w:cs="Times New Roman"/>
      <w:sz w:val="28"/>
      <w:szCs w:val="28"/>
    </w:rPr>
  </w:style>
  <w:style w:type="paragraph" w:styleId="Revision">
    <w:name w:val="Revision"/>
    <w:hidden/>
    <w:uiPriority w:val="99"/>
    <w:semiHidden/>
    <w:rsid w:val="00C54846"/>
    <w:pPr>
      <w:spacing w:after="0" w:line="240" w:lineRule="auto"/>
    </w:pPr>
    <w:rPr>
      <w:rFonts w:ascii="Times New Roman" w:eastAsia="Times New Roman" w:hAnsi="Times New Roman" w:cs="Times New Roman"/>
      <w:snapToGrid w:val="0"/>
      <w:sz w:val="26"/>
      <w:szCs w:val="20"/>
    </w:rPr>
  </w:style>
  <w:style w:type="character" w:styleId="CommentReference">
    <w:name w:val="annotation reference"/>
    <w:basedOn w:val="DefaultParagraphFont"/>
    <w:uiPriority w:val="99"/>
    <w:semiHidden/>
    <w:unhideWhenUsed/>
    <w:rsid w:val="0046744A"/>
    <w:rPr>
      <w:sz w:val="16"/>
      <w:szCs w:val="16"/>
    </w:rPr>
  </w:style>
  <w:style w:type="paragraph" w:styleId="CommentText">
    <w:name w:val="annotation text"/>
    <w:basedOn w:val="Normal"/>
    <w:link w:val="CommentTextChar"/>
    <w:uiPriority w:val="99"/>
    <w:unhideWhenUsed/>
    <w:rsid w:val="0046744A"/>
    <w:rPr>
      <w:sz w:val="20"/>
    </w:rPr>
  </w:style>
  <w:style w:type="character" w:customStyle="1" w:styleId="CommentTextChar">
    <w:name w:val="Comment Text Char"/>
    <w:basedOn w:val="DefaultParagraphFont"/>
    <w:link w:val="CommentText"/>
    <w:uiPriority w:val="99"/>
    <w:rsid w:val="0046744A"/>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6744A"/>
    <w:rPr>
      <w:b/>
      <w:bCs/>
    </w:rPr>
  </w:style>
  <w:style w:type="character" w:customStyle="1" w:styleId="CommentSubjectChar">
    <w:name w:val="Comment Subject Char"/>
    <w:basedOn w:val="CommentTextChar"/>
    <w:link w:val="CommentSubject"/>
    <w:uiPriority w:val="99"/>
    <w:semiHidden/>
    <w:rsid w:val="0046744A"/>
    <w:rPr>
      <w:rFonts w:ascii="Times New Roman" w:eastAsia="Times New Roman" w:hAnsi="Times New Roman" w:cs="Times New Roman"/>
      <w:b/>
      <w:bCs/>
      <w:snapToGrid w:val="0"/>
      <w:sz w:val="20"/>
      <w:szCs w:val="20"/>
    </w:rPr>
  </w:style>
  <w:style w:type="character" w:styleId="UnresolvedMention">
    <w:name w:val="Unresolved Mention"/>
    <w:basedOn w:val="DefaultParagraphFont"/>
    <w:uiPriority w:val="99"/>
    <w:semiHidden/>
    <w:unhideWhenUsed/>
    <w:rsid w:val="005D0332"/>
    <w:rPr>
      <w:color w:val="605E5C"/>
      <w:shd w:val="clear" w:color="auto" w:fill="E1DFDD"/>
    </w:rPr>
  </w:style>
  <w:style w:type="character" w:styleId="Emphasis">
    <w:name w:val="Emphasis"/>
    <w:basedOn w:val="DefaultParagraphFont"/>
    <w:uiPriority w:val="20"/>
    <w:qFormat/>
    <w:rsid w:val="004F70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275">
      <w:bodyDiv w:val="1"/>
      <w:marLeft w:val="0"/>
      <w:marRight w:val="0"/>
      <w:marTop w:val="0"/>
      <w:marBottom w:val="0"/>
      <w:divBdr>
        <w:top w:val="none" w:sz="0" w:space="0" w:color="auto"/>
        <w:left w:val="none" w:sz="0" w:space="0" w:color="auto"/>
        <w:bottom w:val="none" w:sz="0" w:space="0" w:color="auto"/>
        <w:right w:val="none" w:sz="0" w:space="0" w:color="auto"/>
      </w:divBdr>
    </w:div>
    <w:div w:id="843588129">
      <w:bodyDiv w:val="1"/>
      <w:marLeft w:val="0"/>
      <w:marRight w:val="0"/>
      <w:marTop w:val="0"/>
      <w:marBottom w:val="0"/>
      <w:divBdr>
        <w:top w:val="none" w:sz="0" w:space="0" w:color="auto"/>
        <w:left w:val="none" w:sz="0" w:space="0" w:color="auto"/>
        <w:bottom w:val="none" w:sz="0" w:space="0" w:color="auto"/>
        <w:right w:val="none" w:sz="0" w:space="0" w:color="auto"/>
      </w:divBdr>
    </w:div>
    <w:div w:id="1207253321">
      <w:bodyDiv w:val="1"/>
      <w:marLeft w:val="0"/>
      <w:marRight w:val="0"/>
      <w:marTop w:val="0"/>
      <w:marBottom w:val="0"/>
      <w:divBdr>
        <w:top w:val="none" w:sz="0" w:space="0" w:color="auto"/>
        <w:left w:val="none" w:sz="0" w:space="0" w:color="auto"/>
        <w:bottom w:val="none" w:sz="0" w:space="0" w:color="auto"/>
        <w:right w:val="none" w:sz="0" w:space="0" w:color="auto"/>
      </w:divBdr>
      <w:divsChild>
        <w:div w:id="1863123796">
          <w:marLeft w:val="0"/>
          <w:marRight w:val="0"/>
          <w:marTop w:val="0"/>
          <w:marBottom w:val="0"/>
          <w:divBdr>
            <w:top w:val="none" w:sz="0" w:space="0" w:color="212121"/>
            <w:left w:val="none" w:sz="0" w:space="0" w:color="212121"/>
            <w:bottom w:val="none" w:sz="0" w:space="0" w:color="212121"/>
            <w:right w:val="none" w:sz="0" w:space="0" w:color="212121"/>
          </w:divBdr>
          <w:divsChild>
            <w:div w:id="98254048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38538124">
      <w:bodyDiv w:val="1"/>
      <w:marLeft w:val="0"/>
      <w:marRight w:val="0"/>
      <w:marTop w:val="0"/>
      <w:marBottom w:val="0"/>
      <w:divBdr>
        <w:top w:val="none" w:sz="0" w:space="0" w:color="auto"/>
        <w:left w:val="none" w:sz="0" w:space="0" w:color="auto"/>
        <w:bottom w:val="none" w:sz="0" w:space="0" w:color="auto"/>
        <w:right w:val="none" w:sz="0" w:space="0" w:color="auto"/>
      </w:divBdr>
    </w:div>
    <w:div w:id="2057700242">
      <w:bodyDiv w:val="1"/>
      <w:marLeft w:val="0"/>
      <w:marRight w:val="0"/>
      <w:marTop w:val="0"/>
      <w:marBottom w:val="0"/>
      <w:divBdr>
        <w:top w:val="none" w:sz="0" w:space="0" w:color="auto"/>
        <w:left w:val="none" w:sz="0" w:space="0" w:color="auto"/>
        <w:bottom w:val="none" w:sz="0" w:space="0" w:color="auto"/>
        <w:right w:val="none" w:sz="0" w:space="0" w:color="auto"/>
      </w:divBdr>
      <w:divsChild>
        <w:div w:id="319892079">
          <w:marLeft w:val="0"/>
          <w:marRight w:val="0"/>
          <w:marTop w:val="0"/>
          <w:marBottom w:val="0"/>
          <w:divBdr>
            <w:top w:val="none" w:sz="0" w:space="0" w:color="212121"/>
            <w:left w:val="none" w:sz="0" w:space="0" w:color="212121"/>
            <w:bottom w:val="none" w:sz="0" w:space="0" w:color="212121"/>
            <w:right w:val="none" w:sz="0" w:space="0" w:color="212121"/>
          </w:divBdr>
          <w:divsChild>
            <w:div w:id="167742198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stlaw.com/Link/Document/FullText?findType=Y&amp;serNum=1980111423&amp;pubNum=0000780&amp;originatingDoc=I27e1fc50f83911ee904fe30eb888026a&amp;refType=RP&amp;fi=co_pp_sp_780_242&amp;originationContext=document&amp;vr=3.0&amp;rs=cblt1.0&amp;transitionType=DocumentItem&amp;contextData=(sc.Search)"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mailto:Molly@mscclaw.com" TargetMode="Externa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webSettings" Target="webSettings.xml" Id="rId4" /><Relationship Type="http://schemas.openxmlformats.org/officeDocument/2006/relationships/hyperlink" Target="https://www.westlaw.com/Link/Document/FullText?findType=Y&amp;serNum=1951117876&amp;pubNum=0000780&amp;originatingDoc=I27e1fc50f83911ee904fe30eb888026a&amp;refType=RP&amp;fi=co_pp_sp_780_172&amp;originationContext=document&amp;vr=3.0&amp;rs=cblt1.0&amp;transitionType=DocumentItem&amp;contextData=(sc.Search)" TargetMode="External" Id="rId9" /><Relationship Type="http://schemas.openxmlformats.org/officeDocument/2006/relationships/footer" Target="footer2.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iManage!1129419.1</documentid>
  <senderid>MBRIZGYS</senderid>
  <senderemail>MOLLY@MSCCLAW.COM</senderemail>
  <lastmodified>2024-05-01T15:20:00.0000000-07:00</lastmodified>
  <database>iManage</database>
</properties>
</file>

<file path=docProps/app.xml><?xml version="1.0" encoding="utf-8"?>
<Properties xmlns="http://schemas.openxmlformats.org/officeDocument/2006/extended-properties" xmlns:vt="http://schemas.openxmlformats.org/officeDocument/2006/docPropsVTypes">
  <Template>Normal</Template>
  <TotalTime>92</TotalTime>
  <Pages>5</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McClellan</dc:creator>
  <cp:keywords/>
  <dc:description/>
  <cp:lastModifiedBy>Molly Brizgys</cp:lastModifiedBy>
  <cp:revision>35</cp:revision>
  <dcterms:created xsi:type="dcterms:W3CDTF">2024-04-30T21:39:00Z</dcterms:created>
  <dcterms:modified xsi:type="dcterms:W3CDTF">2024-05-01T22:20:00Z</dcterms:modified>
</cp:coreProperties>
</file>