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446D6" w14:textId="77777777" w:rsidR="00050F0A" w:rsidRPr="008F5779" w:rsidRDefault="00050F0A" w:rsidP="00050F0A">
      <w:pPr>
        <w:pStyle w:val="Default"/>
        <w:rPr>
          <w:sz w:val="28"/>
          <w:szCs w:val="28"/>
        </w:rPr>
      </w:pPr>
    </w:p>
    <w:p w14:paraId="11FE8112" w14:textId="068DFA9F" w:rsidR="00050F0A" w:rsidRPr="008F5779" w:rsidRDefault="00F70279" w:rsidP="00050F0A">
      <w:pPr>
        <w:pStyle w:val="Default"/>
        <w:rPr>
          <w:sz w:val="28"/>
          <w:szCs w:val="28"/>
        </w:rPr>
      </w:pPr>
      <w:r w:rsidRPr="008F5779">
        <w:rPr>
          <w:noProof/>
          <w:sz w:val="28"/>
          <w:szCs w:val="28"/>
        </w:rPr>
        <w:drawing>
          <wp:anchor distT="0" distB="0" distL="114300" distR="114300" simplePos="0" relativeHeight="251658240" behindDoc="0" locked="0" layoutInCell="1" allowOverlap="1" wp14:anchorId="6172B155" wp14:editId="77381826">
            <wp:simplePos x="0" y="0"/>
            <wp:positionH relativeFrom="column">
              <wp:posOffset>3278505</wp:posOffset>
            </wp:positionH>
            <wp:positionV relativeFrom="paragraph">
              <wp:posOffset>27940</wp:posOffset>
            </wp:positionV>
            <wp:extent cx="2705100" cy="1123950"/>
            <wp:effectExtent l="0" t="0" r="0" b="0"/>
            <wp:wrapThrough wrapText="bothSides">
              <wp:wrapPolygon edited="0">
                <wp:start x="3346" y="0"/>
                <wp:lineTo x="1217" y="732"/>
                <wp:lineTo x="456" y="3295"/>
                <wp:lineTo x="761" y="5858"/>
                <wp:lineTo x="0" y="6224"/>
                <wp:lineTo x="0" y="11349"/>
                <wp:lineTo x="456" y="14644"/>
                <wp:lineTo x="2130" y="17573"/>
                <wp:lineTo x="152" y="17573"/>
                <wp:lineTo x="152" y="20502"/>
                <wp:lineTo x="2434" y="21234"/>
                <wp:lineTo x="3042" y="21234"/>
                <wp:lineTo x="21296" y="20868"/>
                <wp:lineTo x="21448" y="17573"/>
                <wp:lineTo x="18254" y="17573"/>
                <wp:lineTo x="20383" y="15742"/>
                <wp:lineTo x="19470" y="11715"/>
                <wp:lineTo x="20231" y="5858"/>
                <wp:lineTo x="21144" y="732"/>
                <wp:lineTo x="19927" y="366"/>
                <wp:lineTo x="4259" y="0"/>
                <wp:lineTo x="3346" y="0"/>
              </wp:wrapPolygon>
            </wp:wrapThrough>
            <wp:docPr id="1486962557" name="Picture 1486962557" descr="A logo with a red and green triangle and blue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62557" name="Picture 1486962557" descr="A logo with a red and green triangle and blue triangl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705100" cy="1123950"/>
                    </a:xfrm>
                    <a:prstGeom prst="rect">
                      <a:avLst/>
                    </a:prstGeom>
                  </pic:spPr>
                </pic:pic>
              </a:graphicData>
            </a:graphic>
            <wp14:sizeRelH relativeFrom="margin">
              <wp14:pctWidth>0</wp14:pctWidth>
            </wp14:sizeRelH>
            <wp14:sizeRelV relativeFrom="margin">
              <wp14:pctHeight>0</wp14:pctHeight>
            </wp14:sizeRelV>
          </wp:anchor>
        </w:drawing>
      </w:r>
      <w:r w:rsidR="00050F0A" w:rsidRPr="008F5779">
        <w:rPr>
          <w:sz w:val="28"/>
          <w:szCs w:val="28"/>
        </w:rPr>
        <w:t>Joseph Falcon-Freeman, SBN 036798</w:t>
      </w:r>
    </w:p>
    <w:p w14:paraId="2A5459AE" w14:textId="08177270" w:rsidR="00FE6E6C" w:rsidRPr="008F5779" w:rsidRDefault="00FE6E6C" w:rsidP="00050F0A">
      <w:pPr>
        <w:pStyle w:val="Default"/>
        <w:rPr>
          <w:sz w:val="28"/>
          <w:szCs w:val="28"/>
        </w:rPr>
      </w:pPr>
      <w:r w:rsidRPr="008F5779">
        <w:rPr>
          <w:sz w:val="28"/>
          <w:szCs w:val="28"/>
        </w:rPr>
        <w:t>DISABILITY RIGHTS ARIZONA</w:t>
      </w:r>
    </w:p>
    <w:p w14:paraId="06CC7DF7" w14:textId="24CCB067" w:rsidR="00050F0A" w:rsidRPr="008F5779" w:rsidRDefault="00050F0A" w:rsidP="00050F0A">
      <w:pPr>
        <w:pStyle w:val="Default"/>
        <w:rPr>
          <w:sz w:val="28"/>
          <w:szCs w:val="28"/>
        </w:rPr>
      </w:pPr>
      <w:r w:rsidRPr="008F5779">
        <w:rPr>
          <w:sz w:val="28"/>
          <w:szCs w:val="28"/>
        </w:rPr>
        <w:t xml:space="preserve">4539 E. Ft. Lowell Rd, </w:t>
      </w:r>
    </w:p>
    <w:p w14:paraId="75CE9934" w14:textId="1A27A91E" w:rsidR="00050F0A" w:rsidRPr="008F5779" w:rsidRDefault="00050F0A" w:rsidP="00050F0A">
      <w:pPr>
        <w:pStyle w:val="Default"/>
        <w:rPr>
          <w:sz w:val="28"/>
          <w:szCs w:val="28"/>
        </w:rPr>
      </w:pPr>
      <w:r w:rsidRPr="008F5779">
        <w:rPr>
          <w:sz w:val="28"/>
          <w:szCs w:val="28"/>
        </w:rPr>
        <w:t>Tucson, AZ 85712</w:t>
      </w:r>
    </w:p>
    <w:p w14:paraId="418A827C" w14:textId="3BD441D6" w:rsidR="00050F0A" w:rsidRPr="008F5779" w:rsidRDefault="00050F0A" w:rsidP="00050F0A">
      <w:pPr>
        <w:pStyle w:val="Default"/>
        <w:rPr>
          <w:sz w:val="28"/>
          <w:szCs w:val="28"/>
        </w:rPr>
      </w:pPr>
      <w:r w:rsidRPr="008F5779">
        <w:rPr>
          <w:sz w:val="28"/>
          <w:szCs w:val="28"/>
        </w:rPr>
        <w:t>520-327-9547</w:t>
      </w:r>
    </w:p>
    <w:p w14:paraId="7F52840B" w14:textId="0E9D149B" w:rsidR="00050F0A" w:rsidRPr="008F5779" w:rsidRDefault="00050F0A" w:rsidP="00050F0A">
      <w:pPr>
        <w:pStyle w:val="Default"/>
        <w:rPr>
          <w:sz w:val="28"/>
          <w:szCs w:val="28"/>
        </w:rPr>
      </w:pPr>
      <w:r w:rsidRPr="008F5779">
        <w:rPr>
          <w:sz w:val="28"/>
          <w:szCs w:val="28"/>
        </w:rPr>
        <w:t>jfalconfreeman@disabilityrightsaz.org</w:t>
      </w:r>
    </w:p>
    <w:p w14:paraId="3EEAC282" w14:textId="77777777" w:rsidR="00050F0A" w:rsidRPr="008F5779" w:rsidRDefault="00050F0A" w:rsidP="00050F0A">
      <w:pPr>
        <w:pStyle w:val="Default"/>
        <w:rPr>
          <w:sz w:val="28"/>
          <w:szCs w:val="28"/>
        </w:rPr>
      </w:pPr>
    </w:p>
    <w:p w14:paraId="4F34DB81" w14:textId="269D3F5A" w:rsidR="00050F0A" w:rsidRPr="008F5779" w:rsidRDefault="00050F0A" w:rsidP="00050F0A">
      <w:pPr>
        <w:pStyle w:val="Default"/>
        <w:spacing w:line="360" w:lineRule="auto"/>
        <w:jc w:val="center"/>
        <w:rPr>
          <w:sz w:val="28"/>
          <w:szCs w:val="28"/>
        </w:rPr>
      </w:pPr>
      <w:r w:rsidRPr="008F5779">
        <w:rPr>
          <w:b/>
          <w:bCs/>
          <w:sz w:val="28"/>
          <w:szCs w:val="28"/>
        </w:rPr>
        <w:t>IN THE SUPREME COURT</w:t>
      </w:r>
    </w:p>
    <w:p w14:paraId="39D5BB61" w14:textId="79942659" w:rsidR="00050F0A" w:rsidRPr="008F5779" w:rsidRDefault="00050F0A" w:rsidP="00050F0A">
      <w:pPr>
        <w:pStyle w:val="Default"/>
        <w:spacing w:line="360" w:lineRule="auto"/>
        <w:jc w:val="center"/>
        <w:rPr>
          <w:b/>
          <w:bCs/>
          <w:sz w:val="28"/>
          <w:szCs w:val="28"/>
        </w:rPr>
      </w:pPr>
      <w:r w:rsidRPr="008F5779">
        <w:rPr>
          <w:b/>
          <w:bCs/>
          <w:sz w:val="28"/>
          <w:szCs w:val="28"/>
        </w:rPr>
        <w:t>STATE OF ARIZONA</w:t>
      </w:r>
    </w:p>
    <w:p w14:paraId="3B57DC46" w14:textId="77777777" w:rsidR="00050F0A" w:rsidRPr="008F5779" w:rsidRDefault="00050F0A" w:rsidP="00050F0A">
      <w:pPr>
        <w:pStyle w:val="Default"/>
        <w:jc w:val="center"/>
        <w:rPr>
          <w:sz w:val="28"/>
          <w:szCs w:val="28"/>
        </w:rPr>
      </w:pPr>
    </w:p>
    <w:tbl>
      <w:tblPr>
        <w:tblW w:w="14980" w:type="dxa"/>
        <w:tblInd w:w="-22" w:type="dxa"/>
        <w:tblLayout w:type="fixed"/>
        <w:tblLook w:val="0000" w:firstRow="0" w:lastRow="0" w:firstColumn="0" w:lastColumn="0" w:noHBand="0" w:noVBand="0"/>
      </w:tblPr>
      <w:tblGrid>
        <w:gridCol w:w="4540"/>
        <w:gridCol w:w="360"/>
        <w:gridCol w:w="10080"/>
      </w:tblGrid>
      <w:tr w:rsidR="00050F0A" w:rsidRPr="008F5779" w14:paraId="4C878780" w14:textId="77777777" w:rsidTr="009E0801">
        <w:trPr>
          <w:trHeight w:val="2709"/>
        </w:trPr>
        <w:tc>
          <w:tcPr>
            <w:tcW w:w="4540" w:type="dxa"/>
            <w:tcBorders>
              <w:right w:val="single" w:sz="4" w:space="0" w:color="auto"/>
            </w:tcBorders>
          </w:tcPr>
          <w:p w14:paraId="38C7B273" w14:textId="2DD247E6" w:rsidR="00050F0A" w:rsidRPr="008F5779" w:rsidRDefault="00050F0A" w:rsidP="00050F0A">
            <w:pPr>
              <w:widowControl/>
              <w:autoSpaceDE/>
              <w:autoSpaceDN/>
              <w:adjustRightInd/>
              <w:spacing w:line="460" w:lineRule="exact"/>
              <w:ind w:right="112"/>
              <w:jc w:val="both"/>
              <w:rPr>
                <w:rFonts w:ascii="Times New Roman" w:hAnsi="Times New Roman" w:cs="Times New Roman"/>
                <w:iCs w:val="0"/>
                <w:sz w:val="28"/>
                <w:szCs w:val="28"/>
              </w:rPr>
            </w:pPr>
            <w:r w:rsidRPr="008F5779">
              <w:rPr>
                <w:rFonts w:ascii="Times New Roman" w:hAnsi="Times New Roman" w:cs="Times New Roman"/>
                <w:iCs w:val="0"/>
                <w:sz w:val="28"/>
                <w:szCs w:val="28"/>
              </w:rPr>
              <w:t>In the Matter of:</w:t>
            </w:r>
          </w:p>
          <w:p w14:paraId="6015CAB5" w14:textId="77777777" w:rsidR="00050F0A" w:rsidRPr="008F5779" w:rsidRDefault="00050F0A" w:rsidP="00050F0A">
            <w:pPr>
              <w:widowControl/>
              <w:autoSpaceDE/>
              <w:autoSpaceDN/>
              <w:adjustRightInd/>
              <w:ind w:right="112"/>
              <w:jc w:val="both"/>
              <w:rPr>
                <w:rFonts w:ascii="Times New Roman" w:hAnsi="Times New Roman" w:cs="Times New Roman"/>
                <w:iCs w:val="0"/>
                <w:sz w:val="28"/>
                <w:szCs w:val="28"/>
              </w:rPr>
            </w:pPr>
          </w:p>
          <w:p w14:paraId="3F0E65EF" w14:textId="5A2E8214" w:rsidR="00050F0A" w:rsidRPr="008F5779" w:rsidRDefault="00050F0A" w:rsidP="00050F0A">
            <w:pPr>
              <w:widowControl/>
              <w:autoSpaceDE/>
              <w:autoSpaceDN/>
              <w:adjustRightInd/>
              <w:ind w:right="112"/>
              <w:jc w:val="both"/>
              <w:rPr>
                <w:rFonts w:ascii="Times New Roman" w:hAnsi="Times New Roman" w:cs="Times New Roman"/>
                <w:iCs w:val="0"/>
                <w:sz w:val="28"/>
                <w:szCs w:val="28"/>
              </w:rPr>
            </w:pPr>
            <w:r w:rsidRPr="008F5779">
              <w:rPr>
                <w:rFonts w:ascii="Times New Roman" w:hAnsi="Times New Roman" w:cs="Times New Roman"/>
                <w:iCs w:val="0"/>
                <w:sz w:val="28"/>
                <w:szCs w:val="28"/>
              </w:rPr>
              <w:t xml:space="preserve">Petition to Amend </w:t>
            </w:r>
            <w:r w:rsidR="00151D03" w:rsidRPr="008F5779">
              <w:rPr>
                <w:rFonts w:ascii="Times New Roman" w:hAnsi="Times New Roman" w:cs="Times New Roman"/>
                <w:iCs w:val="0"/>
                <w:sz w:val="28"/>
                <w:szCs w:val="28"/>
              </w:rPr>
              <w:t>5(d)</w:t>
            </w:r>
            <w:r w:rsidRPr="008F5779">
              <w:rPr>
                <w:rFonts w:ascii="Times New Roman" w:hAnsi="Times New Roman" w:cs="Times New Roman"/>
                <w:iCs w:val="0"/>
                <w:sz w:val="28"/>
                <w:szCs w:val="28"/>
              </w:rPr>
              <w:t xml:space="preserve">, Rules of </w:t>
            </w:r>
            <w:r w:rsidR="00151D03" w:rsidRPr="008F5779">
              <w:rPr>
                <w:rFonts w:ascii="Times New Roman" w:hAnsi="Times New Roman" w:cs="Times New Roman"/>
                <w:iCs w:val="0"/>
                <w:sz w:val="28"/>
                <w:szCs w:val="28"/>
              </w:rPr>
              <w:t>Procedure for Eviction Actions</w:t>
            </w:r>
          </w:p>
        </w:tc>
        <w:tc>
          <w:tcPr>
            <w:tcW w:w="360" w:type="dxa"/>
            <w:tcBorders>
              <w:left w:val="single" w:sz="4" w:space="0" w:color="auto"/>
            </w:tcBorders>
          </w:tcPr>
          <w:p w14:paraId="2669560C" w14:textId="77777777" w:rsidR="00050F0A" w:rsidRPr="008F5779" w:rsidRDefault="00050F0A" w:rsidP="00050F0A">
            <w:pPr>
              <w:widowControl/>
              <w:autoSpaceDE/>
              <w:autoSpaceDN/>
              <w:adjustRightInd/>
              <w:spacing w:line="460" w:lineRule="exact"/>
              <w:ind w:left="122"/>
              <w:rPr>
                <w:rFonts w:ascii="Times New Roman" w:hAnsi="Times New Roman" w:cs="Times New Roman"/>
                <w:iCs w:val="0"/>
                <w:sz w:val="28"/>
                <w:szCs w:val="28"/>
              </w:rPr>
            </w:pPr>
          </w:p>
        </w:tc>
        <w:tc>
          <w:tcPr>
            <w:tcW w:w="10080" w:type="dxa"/>
          </w:tcPr>
          <w:p w14:paraId="2E6F018D" w14:textId="3C2A297F" w:rsidR="00050F0A" w:rsidRPr="008F5779" w:rsidRDefault="00050F0A" w:rsidP="00050F0A">
            <w:pPr>
              <w:widowControl/>
              <w:autoSpaceDE/>
              <w:autoSpaceDN/>
              <w:adjustRightInd/>
              <w:rPr>
                <w:rFonts w:ascii="Times New Roman" w:hAnsi="Times New Roman" w:cs="Times New Roman"/>
                <w:iCs w:val="0"/>
                <w:sz w:val="28"/>
                <w:szCs w:val="28"/>
              </w:rPr>
            </w:pPr>
            <w:r w:rsidRPr="008F5779">
              <w:rPr>
                <w:rFonts w:ascii="Times New Roman" w:hAnsi="Times New Roman" w:cs="Times New Roman"/>
                <w:iCs w:val="0"/>
                <w:sz w:val="28"/>
                <w:szCs w:val="28"/>
              </w:rPr>
              <w:t>Arizona Supreme Court No. R-24-002</w:t>
            </w:r>
            <w:r w:rsidR="00151D03" w:rsidRPr="008F5779">
              <w:rPr>
                <w:rFonts w:ascii="Times New Roman" w:hAnsi="Times New Roman" w:cs="Times New Roman"/>
                <w:iCs w:val="0"/>
                <w:sz w:val="28"/>
                <w:szCs w:val="28"/>
              </w:rPr>
              <w:t>4</w:t>
            </w:r>
          </w:p>
          <w:p w14:paraId="739B56B6" w14:textId="77777777" w:rsidR="00050F0A" w:rsidRPr="008F5779" w:rsidRDefault="00050F0A" w:rsidP="00050F0A">
            <w:pPr>
              <w:widowControl/>
              <w:autoSpaceDE/>
              <w:autoSpaceDN/>
              <w:adjustRightInd/>
              <w:rPr>
                <w:rFonts w:ascii="Times New Roman" w:hAnsi="Times New Roman" w:cs="Times New Roman"/>
                <w:iCs w:val="0"/>
                <w:sz w:val="28"/>
                <w:szCs w:val="28"/>
              </w:rPr>
            </w:pPr>
          </w:p>
          <w:p w14:paraId="3503AC6B" w14:textId="761D7452" w:rsidR="00050F0A" w:rsidRPr="008F5779" w:rsidRDefault="00050F0A" w:rsidP="00050F0A">
            <w:pPr>
              <w:jc w:val="both"/>
              <w:rPr>
                <w:rFonts w:ascii="Times New Roman" w:hAnsi="Times New Roman" w:cs="Times New Roman"/>
                <w:b/>
                <w:bCs/>
                <w:sz w:val="28"/>
                <w:szCs w:val="28"/>
              </w:rPr>
            </w:pPr>
            <w:r w:rsidRPr="008F5779">
              <w:rPr>
                <w:rFonts w:ascii="Times New Roman" w:hAnsi="Times New Roman" w:cs="Times New Roman"/>
                <w:b/>
                <w:bCs/>
                <w:sz w:val="28"/>
                <w:szCs w:val="28"/>
              </w:rPr>
              <w:t xml:space="preserve">Comment to Petition to Amend Rule </w:t>
            </w:r>
            <w:r w:rsidR="00151D03" w:rsidRPr="008F5779">
              <w:rPr>
                <w:rFonts w:ascii="Times New Roman" w:hAnsi="Times New Roman" w:cs="Times New Roman"/>
                <w:b/>
                <w:bCs/>
                <w:sz w:val="28"/>
                <w:szCs w:val="28"/>
              </w:rPr>
              <w:t>5(d)</w:t>
            </w:r>
            <w:r w:rsidRPr="008F5779">
              <w:rPr>
                <w:rFonts w:ascii="Times New Roman" w:hAnsi="Times New Roman" w:cs="Times New Roman"/>
                <w:b/>
                <w:bCs/>
                <w:sz w:val="28"/>
                <w:szCs w:val="28"/>
              </w:rPr>
              <w:t>,</w:t>
            </w:r>
          </w:p>
          <w:p w14:paraId="52FBA732" w14:textId="13D8A162" w:rsidR="00050F0A" w:rsidRPr="008F5779" w:rsidRDefault="00151D03" w:rsidP="00050F0A">
            <w:pPr>
              <w:jc w:val="both"/>
              <w:rPr>
                <w:rStyle w:val="FootnoteReference"/>
                <w:rFonts w:ascii="Times New Roman" w:hAnsi="Times New Roman" w:cs="Times New Roman"/>
                <w:b/>
                <w:bCs/>
                <w:sz w:val="28"/>
                <w:szCs w:val="28"/>
              </w:rPr>
            </w:pPr>
            <w:r w:rsidRPr="008F5779">
              <w:rPr>
                <w:rFonts w:ascii="Times New Roman" w:hAnsi="Times New Roman" w:cs="Times New Roman"/>
                <w:b/>
                <w:bCs/>
                <w:sz w:val="28"/>
                <w:szCs w:val="28"/>
              </w:rPr>
              <w:t>Rules of Procedure for Eviction Actions</w:t>
            </w:r>
          </w:p>
          <w:p w14:paraId="15467F1F" w14:textId="77777777" w:rsidR="00151D03" w:rsidRPr="008F5779" w:rsidRDefault="00151D03" w:rsidP="00151D03">
            <w:pPr>
              <w:widowControl/>
              <w:autoSpaceDE/>
              <w:autoSpaceDN/>
              <w:adjustRightInd/>
              <w:spacing w:line="460" w:lineRule="exact"/>
              <w:rPr>
                <w:rFonts w:ascii="Times New Roman" w:hAnsi="Times New Roman" w:cs="Times New Roman"/>
                <w:iCs w:val="0"/>
                <w:sz w:val="28"/>
                <w:szCs w:val="28"/>
              </w:rPr>
            </w:pPr>
          </w:p>
        </w:tc>
      </w:tr>
      <w:tr w:rsidR="00050F0A" w:rsidRPr="008F5779" w14:paraId="16C12E1B" w14:textId="77777777" w:rsidTr="009E0801">
        <w:trPr>
          <w:gridAfter w:val="2"/>
          <w:wAfter w:w="10440" w:type="dxa"/>
          <w:trHeight w:val="63"/>
        </w:trPr>
        <w:tc>
          <w:tcPr>
            <w:tcW w:w="4540" w:type="dxa"/>
            <w:tcBorders>
              <w:bottom w:val="single" w:sz="4" w:space="0" w:color="auto"/>
              <w:right w:val="single" w:sz="4" w:space="0" w:color="auto"/>
            </w:tcBorders>
          </w:tcPr>
          <w:p w14:paraId="06661F08" w14:textId="77777777" w:rsidR="00050F0A" w:rsidRPr="008F5779" w:rsidRDefault="00050F0A" w:rsidP="00050F0A">
            <w:pPr>
              <w:widowControl/>
              <w:autoSpaceDE/>
              <w:autoSpaceDN/>
              <w:adjustRightInd/>
              <w:spacing w:line="120" w:lineRule="exact"/>
              <w:jc w:val="both"/>
              <w:rPr>
                <w:rFonts w:ascii="Times New Roman" w:hAnsi="Times New Roman" w:cs="Times New Roman"/>
                <w:iCs w:val="0"/>
                <w:sz w:val="28"/>
                <w:szCs w:val="28"/>
              </w:rPr>
            </w:pPr>
          </w:p>
        </w:tc>
      </w:tr>
    </w:tbl>
    <w:p w14:paraId="7D74B9B5" w14:textId="77777777" w:rsidR="00151D03" w:rsidRPr="008F5779" w:rsidRDefault="00151D03" w:rsidP="00151D03">
      <w:pPr>
        <w:jc w:val="both"/>
        <w:rPr>
          <w:rFonts w:ascii="Times New Roman" w:hAnsi="Times New Roman" w:cs="Times New Roman"/>
          <w:sz w:val="28"/>
          <w:szCs w:val="28"/>
        </w:rPr>
      </w:pPr>
    </w:p>
    <w:p w14:paraId="12B3482A" w14:textId="2A90837E" w:rsidR="00737947" w:rsidRDefault="00151D03" w:rsidP="00FF429A">
      <w:pPr>
        <w:spacing w:line="480" w:lineRule="auto"/>
        <w:ind w:firstLine="720"/>
        <w:contextualSpacing/>
        <w:jc w:val="both"/>
        <w:rPr>
          <w:rFonts w:ascii="Times New Roman" w:hAnsi="Times New Roman" w:cs="Times New Roman"/>
          <w:sz w:val="28"/>
          <w:szCs w:val="28"/>
        </w:rPr>
      </w:pPr>
      <w:r w:rsidRPr="008F5779">
        <w:rPr>
          <w:rFonts w:ascii="Times New Roman" w:hAnsi="Times New Roman" w:cs="Times New Roman"/>
          <w:sz w:val="28"/>
          <w:szCs w:val="28"/>
        </w:rPr>
        <w:t>Pursuant to Rule 28(e) of the Rules of the Supreme Court</w:t>
      </w:r>
      <w:r w:rsidR="00FC5051">
        <w:rPr>
          <w:rFonts w:ascii="Times New Roman" w:hAnsi="Times New Roman" w:cs="Times New Roman"/>
          <w:sz w:val="28"/>
          <w:szCs w:val="28"/>
        </w:rPr>
        <w:t xml:space="preserve"> of Arizona</w:t>
      </w:r>
      <w:r w:rsidRPr="008F5779">
        <w:rPr>
          <w:rFonts w:ascii="Times New Roman" w:hAnsi="Times New Roman" w:cs="Times New Roman"/>
          <w:sz w:val="28"/>
          <w:szCs w:val="28"/>
        </w:rPr>
        <w:t xml:space="preserve">, Disability Rights Arizona (DRAZ), formerly the Arizona Center for Disability Law, respectfully submits this comment in support of Petition R-24-0024 (the Petition), filed by the William E. Morris Institute for Justice, Community Legal Services, DNA People’s Legal Services, and Southern Arizona Legal Aid (Petitioners). The Petition </w:t>
      </w:r>
      <w:r w:rsidR="00FF429A">
        <w:rPr>
          <w:rFonts w:ascii="Times New Roman" w:hAnsi="Times New Roman" w:cs="Times New Roman"/>
          <w:sz w:val="28"/>
          <w:szCs w:val="28"/>
        </w:rPr>
        <w:t xml:space="preserve">appropriately </w:t>
      </w:r>
      <w:r w:rsidRPr="008F5779">
        <w:rPr>
          <w:rFonts w:ascii="Times New Roman" w:hAnsi="Times New Roman" w:cs="Times New Roman"/>
          <w:sz w:val="28"/>
          <w:szCs w:val="28"/>
        </w:rPr>
        <w:t xml:space="preserve">proposes amending Rule 5(d) of the Rules of Procedure for Eviction Actions (RPEA) to </w:t>
      </w:r>
      <w:r w:rsidR="00FF429A">
        <w:rPr>
          <w:rFonts w:ascii="Times New Roman" w:hAnsi="Times New Roman" w:cs="Times New Roman"/>
          <w:sz w:val="28"/>
          <w:szCs w:val="28"/>
        </w:rPr>
        <w:t xml:space="preserve">provide eviction courts </w:t>
      </w:r>
      <w:r w:rsidR="00FC5051">
        <w:rPr>
          <w:rFonts w:ascii="Times New Roman" w:hAnsi="Times New Roman" w:cs="Times New Roman"/>
          <w:sz w:val="28"/>
          <w:szCs w:val="28"/>
        </w:rPr>
        <w:t xml:space="preserve">and tenants </w:t>
      </w:r>
      <w:r w:rsidR="00FF429A">
        <w:rPr>
          <w:rFonts w:ascii="Times New Roman" w:hAnsi="Times New Roman" w:cs="Times New Roman"/>
          <w:sz w:val="28"/>
          <w:szCs w:val="28"/>
        </w:rPr>
        <w:t xml:space="preserve">with the information necessary to determine whether a particular property is covered by the CARES Act notice provision, </w:t>
      </w:r>
      <w:r w:rsidR="00FF429A" w:rsidRPr="008F5779">
        <w:rPr>
          <w:rFonts w:ascii="Times New Roman" w:hAnsi="Times New Roman" w:cs="Times New Roman"/>
          <w:sz w:val="28"/>
          <w:szCs w:val="28"/>
        </w:rPr>
        <w:t>15 U.S.C. § 9058(c)(1)</w:t>
      </w:r>
      <w:r w:rsidR="00FC5051">
        <w:rPr>
          <w:rFonts w:ascii="Times New Roman" w:hAnsi="Times New Roman" w:cs="Times New Roman"/>
          <w:sz w:val="28"/>
          <w:szCs w:val="28"/>
        </w:rPr>
        <w:t xml:space="preserve">. </w:t>
      </w:r>
    </w:p>
    <w:p w14:paraId="49CA3EA5" w14:textId="7A6899A0" w:rsidR="009D1F7B" w:rsidRDefault="00151D03" w:rsidP="00737947">
      <w:pPr>
        <w:spacing w:line="480" w:lineRule="auto"/>
        <w:contextualSpacing/>
        <w:jc w:val="both"/>
        <w:rPr>
          <w:rFonts w:ascii="Times New Roman" w:hAnsi="Times New Roman" w:cs="Times New Roman"/>
          <w:sz w:val="28"/>
          <w:szCs w:val="28"/>
        </w:rPr>
      </w:pPr>
      <w:r w:rsidRPr="008F5779">
        <w:rPr>
          <w:rFonts w:ascii="Times New Roman" w:hAnsi="Times New Roman" w:cs="Times New Roman"/>
          <w:sz w:val="28"/>
          <w:szCs w:val="28"/>
        </w:rPr>
        <w:tab/>
        <w:t xml:space="preserve">DRAZ is a non-profit law firm that provides </w:t>
      </w:r>
      <w:r w:rsidR="00653F01">
        <w:rPr>
          <w:rFonts w:ascii="Times New Roman" w:hAnsi="Times New Roman" w:cs="Times New Roman"/>
          <w:sz w:val="28"/>
          <w:szCs w:val="28"/>
        </w:rPr>
        <w:t>free legal</w:t>
      </w:r>
      <w:r w:rsidR="00F41B18">
        <w:rPr>
          <w:rFonts w:ascii="Times New Roman" w:hAnsi="Times New Roman" w:cs="Times New Roman"/>
          <w:sz w:val="28"/>
          <w:szCs w:val="28"/>
        </w:rPr>
        <w:t xml:space="preserve"> and advocacy</w:t>
      </w:r>
      <w:r w:rsidR="00653F01">
        <w:rPr>
          <w:rFonts w:ascii="Times New Roman" w:hAnsi="Times New Roman" w:cs="Times New Roman"/>
          <w:sz w:val="28"/>
          <w:szCs w:val="28"/>
        </w:rPr>
        <w:t xml:space="preserve"> services</w:t>
      </w:r>
      <w:r w:rsidRPr="008F5779">
        <w:rPr>
          <w:rFonts w:ascii="Times New Roman" w:hAnsi="Times New Roman" w:cs="Times New Roman"/>
          <w:sz w:val="28"/>
          <w:szCs w:val="28"/>
        </w:rPr>
        <w:t xml:space="preserve"> to </w:t>
      </w:r>
      <w:r w:rsidR="005D020F">
        <w:rPr>
          <w:rFonts w:ascii="Times New Roman" w:hAnsi="Times New Roman" w:cs="Times New Roman"/>
          <w:sz w:val="28"/>
          <w:szCs w:val="28"/>
        </w:rPr>
        <w:lastRenderedPageBreak/>
        <w:t>Arizonans</w:t>
      </w:r>
      <w:r w:rsidRPr="008F5779">
        <w:rPr>
          <w:rFonts w:ascii="Times New Roman" w:hAnsi="Times New Roman" w:cs="Times New Roman"/>
          <w:sz w:val="28"/>
          <w:szCs w:val="28"/>
        </w:rPr>
        <w:t xml:space="preserve"> with disabilities</w:t>
      </w:r>
      <w:r w:rsidR="00F41B18">
        <w:rPr>
          <w:rFonts w:ascii="Times New Roman" w:hAnsi="Times New Roman" w:cs="Times New Roman"/>
          <w:sz w:val="28"/>
          <w:szCs w:val="28"/>
        </w:rPr>
        <w:t xml:space="preserve"> who meet grant </w:t>
      </w:r>
      <w:r w:rsidR="009D1F7B">
        <w:rPr>
          <w:rFonts w:ascii="Times New Roman" w:hAnsi="Times New Roman" w:cs="Times New Roman"/>
          <w:sz w:val="28"/>
          <w:szCs w:val="28"/>
        </w:rPr>
        <w:t>requirements</w:t>
      </w:r>
      <w:r w:rsidR="00F41B18">
        <w:rPr>
          <w:rFonts w:ascii="Times New Roman" w:hAnsi="Times New Roman" w:cs="Times New Roman"/>
          <w:sz w:val="28"/>
          <w:szCs w:val="28"/>
        </w:rPr>
        <w:t>.</w:t>
      </w:r>
      <w:r w:rsidRPr="008F5779">
        <w:rPr>
          <w:rFonts w:ascii="Times New Roman" w:hAnsi="Times New Roman" w:cs="Times New Roman"/>
          <w:sz w:val="28"/>
          <w:szCs w:val="28"/>
        </w:rPr>
        <w:t xml:space="preserve"> DRAZ is also the </w:t>
      </w:r>
      <w:r w:rsidR="00653F01">
        <w:rPr>
          <w:rFonts w:ascii="Times New Roman" w:hAnsi="Times New Roman" w:cs="Times New Roman"/>
          <w:sz w:val="28"/>
          <w:szCs w:val="28"/>
        </w:rPr>
        <w:t>federally-</w:t>
      </w:r>
      <w:r w:rsidRPr="008F5779">
        <w:rPr>
          <w:rFonts w:ascii="Times New Roman" w:hAnsi="Times New Roman" w:cs="Times New Roman"/>
          <w:sz w:val="28"/>
          <w:szCs w:val="28"/>
        </w:rPr>
        <w:t xml:space="preserve">designated Protection and Advocacy agency for Arizona. </w:t>
      </w:r>
      <w:r w:rsidR="00653F01">
        <w:rPr>
          <w:rFonts w:ascii="Times New Roman" w:hAnsi="Times New Roman" w:cs="Times New Roman"/>
          <w:sz w:val="28"/>
          <w:szCs w:val="28"/>
        </w:rPr>
        <w:t>DRAZ</w:t>
      </w:r>
      <w:r w:rsidR="00653F01" w:rsidRPr="00653F01">
        <w:rPr>
          <w:rFonts w:ascii="Times New Roman" w:hAnsi="Times New Roman" w:cs="Times New Roman"/>
          <w:sz w:val="28"/>
          <w:szCs w:val="28"/>
        </w:rPr>
        <w:t xml:space="preserve">’s mission is to assist Arizonans with disabilities to promote and protect their legal rights to independence, justice, and equality. Protection and Advocacy agencies throughout the United States work towards ensuring that the human and civil rights of persons with disabilities are protected. </w:t>
      </w:r>
      <w:r w:rsidR="00653F01">
        <w:rPr>
          <w:rFonts w:ascii="Times New Roman" w:hAnsi="Times New Roman" w:cs="Times New Roman"/>
          <w:sz w:val="28"/>
          <w:szCs w:val="28"/>
        </w:rPr>
        <w:t>DRAZ</w:t>
      </w:r>
      <w:r w:rsidR="00653F01" w:rsidRPr="00653F01">
        <w:rPr>
          <w:rFonts w:ascii="Times New Roman" w:hAnsi="Times New Roman" w:cs="Times New Roman"/>
          <w:sz w:val="28"/>
          <w:szCs w:val="28"/>
        </w:rPr>
        <w:t xml:space="preserve"> represents individuals and classes of individuals in negotiations, administrative proceedings, alternative dispute resolution, and litigation.</w:t>
      </w:r>
      <w:r w:rsidR="00653F01">
        <w:rPr>
          <w:rFonts w:ascii="Times New Roman" w:hAnsi="Times New Roman" w:cs="Times New Roman"/>
          <w:sz w:val="28"/>
          <w:szCs w:val="28"/>
        </w:rPr>
        <w:t xml:space="preserve"> For the past decade, one of DRAZ’s areas of focus is addressing discriminatory housing practices</w:t>
      </w:r>
      <w:r w:rsidR="00BA6642" w:rsidRPr="00BA6642">
        <w:rPr>
          <w:rFonts w:ascii="Times New Roman" w:hAnsi="Times New Roman" w:cs="Times New Roman"/>
          <w:sz w:val="28"/>
          <w:szCs w:val="28"/>
        </w:rPr>
        <w:t xml:space="preserve"> that prevent or burden people with disabilities from living in the housing of their choice</w:t>
      </w:r>
      <w:r w:rsidR="00653F01">
        <w:rPr>
          <w:rFonts w:ascii="Times New Roman" w:hAnsi="Times New Roman" w:cs="Times New Roman"/>
          <w:sz w:val="28"/>
          <w:szCs w:val="28"/>
        </w:rPr>
        <w:t xml:space="preserve">. </w:t>
      </w:r>
    </w:p>
    <w:p w14:paraId="7B12F60B" w14:textId="7C81103B" w:rsidR="00F0730A" w:rsidRPr="00737947" w:rsidRDefault="009D1F7B" w:rsidP="009D1F7B">
      <w:pPr>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As explained below, c</w:t>
      </w:r>
      <w:r w:rsidR="00FF429A">
        <w:rPr>
          <w:rFonts w:ascii="Times New Roman" w:hAnsi="Times New Roman" w:cs="Times New Roman"/>
          <w:sz w:val="28"/>
          <w:szCs w:val="28"/>
        </w:rPr>
        <w:t xml:space="preserve">overed housing programs under the CARES Act include programs </w:t>
      </w:r>
      <w:r w:rsidR="0035476B">
        <w:rPr>
          <w:rFonts w:ascii="Times New Roman" w:hAnsi="Times New Roman" w:cs="Times New Roman"/>
          <w:sz w:val="28"/>
          <w:szCs w:val="28"/>
        </w:rPr>
        <w:t xml:space="preserve">specifically </w:t>
      </w:r>
      <w:r w:rsidR="00FF429A">
        <w:rPr>
          <w:rFonts w:ascii="Times New Roman" w:hAnsi="Times New Roman" w:cs="Times New Roman"/>
          <w:sz w:val="28"/>
          <w:szCs w:val="28"/>
        </w:rPr>
        <w:t xml:space="preserve">designed for people with disabilities, and tenants with disabilities are more likely to reside in </w:t>
      </w:r>
      <w:r w:rsidR="00FC5051">
        <w:rPr>
          <w:rFonts w:ascii="Times New Roman" w:hAnsi="Times New Roman" w:cs="Times New Roman"/>
          <w:sz w:val="28"/>
          <w:szCs w:val="28"/>
        </w:rPr>
        <w:t>federally assisted</w:t>
      </w:r>
      <w:r w:rsidR="00FF429A">
        <w:rPr>
          <w:rFonts w:ascii="Times New Roman" w:hAnsi="Times New Roman" w:cs="Times New Roman"/>
          <w:sz w:val="28"/>
          <w:szCs w:val="28"/>
        </w:rPr>
        <w:t xml:space="preserve"> housing in general. </w:t>
      </w:r>
      <w:r w:rsidR="00737947">
        <w:rPr>
          <w:rFonts w:ascii="Times New Roman" w:hAnsi="Times New Roman" w:cs="Times New Roman"/>
          <w:sz w:val="28"/>
          <w:szCs w:val="28"/>
        </w:rPr>
        <w:t xml:space="preserve">Inconsistent and incomplete enforcement of the CARES Act </w:t>
      </w:r>
      <w:r>
        <w:rPr>
          <w:rFonts w:ascii="Times New Roman" w:hAnsi="Times New Roman" w:cs="Times New Roman"/>
          <w:sz w:val="28"/>
          <w:szCs w:val="28"/>
        </w:rPr>
        <w:t xml:space="preserve">notice </w:t>
      </w:r>
      <w:r w:rsidR="00FE7FAB">
        <w:rPr>
          <w:rFonts w:ascii="Times New Roman" w:hAnsi="Times New Roman" w:cs="Times New Roman"/>
          <w:sz w:val="28"/>
          <w:szCs w:val="28"/>
        </w:rPr>
        <w:t>provision</w:t>
      </w:r>
      <w:r>
        <w:rPr>
          <w:rFonts w:ascii="Times New Roman" w:hAnsi="Times New Roman" w:cs="Times New Roman"/>
          <w:sz w:val="28"/>
          <w:szCs w:val="28"/>
        </w:rPr>
        <w:t xml:space="preserve"> </w:t>
      </w:r>
      <w:r w:rsidR="00737947">
        <w:rPr>
          <w:rFonts w:ascii="Times New Roman" w:hAnsi="Times New Roman" w:cs="Times New Roman"/>
          <w:sz w:val="28"/>
          <w:szCs w:val="28"/>
        </w:rPr>
        <w:t xml:space="preserve">has had a devastating disparate impact on tenants with disabilities in Arizona. </w:t>
      </w:r>
      <w:r w:rsidR="00F0730A" w:rsidRPr="008F5779">
        <w:rPr>
          <w:rFonts w:ascii="Times New Roman" w:hAnsi="Times New Roman" w:cs="Times New Roman"/>
          <w:sz w:val="28"/>
          <w:szCs w:val="28"/>
        </w:rPr>
        <w:t xml:space="preserve">The rule change proposed by the Petition is well within this Court’s rulemaking authority to </w:t>
      </w:r>
      <w:r w:rsidR="00DE1DF5">
        <w:rPr>
          <w:rFonts w:ascii="Times New Roman" w:hAnsi="Times New Roman" w:cs="Times New Roman"/>
          <w:sz w:val="28"/>
          <w:szCs w:val="28"/>
        </w:rPr>
        <w:t xml:space="preserve">create a procedural rule for </w:t>
      </w:r>
      <w:r w:rsidR="00F0730A" w:rsidRPr="008F5779">
        <w:rPr>
          <w:rFonts w:ascii="Times New Roman" w:hAnsi="Times New Roman" w:cs="Times New Roman"/>
          <w:sz w:val="28"/>
          <w:szCs w:val="28"/>
        </w:rPr>
        <w:t>implement</w:t>
      </w:r>
      <w:r w:rsidR="00DE1DF5">
        <w:rPr>
          <w:rFonts w:ascii="Times New Roman" w:hAnsi="Times New Roman" w:cs="Times New Roman"/>
          <w:sz w:val="28"/>
          <w:szCs w:val="28"/>
        </w:rPr>
        <w:t xml:space="preserve">ation of the </w:t>
      </w:r>
      <w:r w:rsidR="0035476B">
        <w:rPr>
          <w:rFonts w:ascii="Times New Roman" w:hAnsi="Times New Roman" w:cs="Times New Roman"/>
          <w:sz w:val="28"/>
          <w:szCs w:val="28"/>
        </w:rPr>
        <w:t>substantive</w:t>
      </w:r>
      <w:r w:rsidR="0035476B" w:rsidRPr="008F5779">
        <w:rPr>
          <w:rFonts w:ascii="Times New Roman" w:hAnsi="Times New Roman" w:cs="Times New Roman"/>
          <w:sz w:val="28"/>
          <w:szCs w:val="28"/>
        </w:rPr>
        <w:t xml:space="preserve"> requirements</w:t>
      </w:r>
      <w:r w:rsidR="00F0730A" w:rsidRPr="008F5779">
        <w:rPr>
          <w:rFonts w:ascii="Times New Roman" w:hAnsi="Times New Roman" w:cs="Times New Roman"/>
          <w:sz w:val="28"/>
          <w:szCs w:val="28"/>
        </w:rPr>
        <w:t xml:space="preserve"> of the plain meaning of federal law. The proposed rule change is urgently needed and should be addressed during this year’s Rules Agenda.</w:t>
      </w:r>
    </w:p>
    <w:p w14:paraId="668E34FC" w14:textId="7F176B47" w:rsidR="00737947" w:rsidRPr="008F5779" w:rsidRDefault="00737947" w:rsidP="00737947">
      <w:pPr>
        <w:pStyle w:val="ListParagraph"/>
        <w:numPr>
          <w:ilvl w:val="0"/>
          <w:numId w:val="10"/>
        </w:numPr>
        <w:spacing w:after="120" w:line="240" w:lineRule="auto"/>
        <w:contextualSpacing w:val="0"/>
        <w:jc w:val="both"/>
        <w:rPr>
          <w:rFonts w:ascii="Times New Roman" w:hAnsi="Times New Roman" w:cs="Times New Roman"/>
          <w:b/>
          <w:bCs/>
          <w:sz w:val="28"/>
          <w:szCs w:val="28"/>
        </w:rPr>
      </w:pPr>
      <w:r w:rsidRPr="008F5779">
        <w:rPr>
          <w:rFonts w:ascii="Times New Roman" w:hAnsi="Times New Roman" w:cs="Times New Roman"/>
          <w:b/>
          <w:bCs/>
          <w:sz w:val="28"/>
          <w:szCs w:val="28"/>
        </w:rPr>
        <w:t xml:space="preserve">The lack of consistent enforcement of the CARES Act 30-day notice requirement has </w:t>
      </w:r>
      <w:r w:rsidR="00FC5051">
        <w:rPr>
          <w:rFonts w:ascii="Times New Roman" w:hAnsi="Times New Roman" w:cs="Times New Roman"/>
          <w:b/>
          <w:bCs/>
          <w:sz w:val="28"/>
          <w:szCs w:val="28"/>
        </w:rPr>
        <w:t xml:space="preserve">had </w:t>
      </w:r>
      <w:r w:rsidRPr="008F5779">
        <w:rPr>
          <w:rFonts w:ascii="Times New Roman" w:hAnsi="Times New Roman" w:cs="Times New Roman"/>
          <w:b/>
          <w:bCs/>
          <w:sz w:val="28"/>
          <w:szCs w:val="28"/>
        </w:rPr>
        <w:t xml:space="preserve">a </w:t>
      </w:r>
      <w:r w:rsidR="00FC5051">
        <w:rPr>
          <w:rFonts w:ascii="Times New Roman" w:hAnsi="Times New Roman" w:cs="Times New Roman"/>
          <w:b/>
          <w:bCs/>
          <w:sz w:val="28"/>
          <w:szCs w:val="28"/>
        </w:rPr>
        <w:t>devastating</w:t>
      </w:r>
      <w:r w:rsidRPr="008F5779">
        <w:rPr>
          <w:rFonts w:ascii="Times New Roman" w:hAnsi="Times New Roman" w:cs="Times New Roman"/>
          <w:b/>
          <w:bCs/>
          <w:sz w:val="28"/>
          <w:szCs w:val="28"/>
        </w:rPr>
        <w:t xml:space="preserve"> disparate impact on Arizona tenants with disabilities. </w:t>
      </w:r>
    </w:p>
    <w:p w14:paraId="06B48092" w14:textId="0786827E" w:rsidR="00FF429A" w:rsidRDefault="00737947" w:rsidP="007F72A6">
      <w:pPr>
        <w:spacing w:line="480" w:lineRule="auto"/>
        <w:ind w:firstLine="720"/>
        <w:jc w:val="both"/>
        <w:rPr>
          <w:rFonts w:ascii="Times New Roman" w:hAnsi="Times New Roman" w:cs="Times New Roman"/>
          <w:sz w:val="28"/>
          <w:szCs w:val="28"/>
        </w:rPr>
      </w:pPr>
      <w:r w:rsidRPr="00F24E3C">
        <w:rPr>
          <w:rFonts w:ascii="Times New Roman" w:hAnsi="Times New Roman" w:cs="Times New Roman"/>
          <w:sz w:val="28"/>
          <w:szCs w:val="28"/>
        </w:rPr>
        <w:t>The CARES Act notice provision</w:t>
      </w:r>
      <w:r w:rsidR="007F72A6" w:rsidRPr="00F24E3C">
        <w:rPr>
          <w:rFonts w:ascii="Times New Roman" w:hAnsi="Times New Roman" w:cs="Times New Roman"/>
          <w:sz w:val="28"/>
          <w:szCs w:val="28"/>
        </w:rPr>
        <w:t xml:space="preserve"> is federal law providing</w:t>
      </w:r>
      <w:r w:rsidRPr="00F24E3C">
        <w:rPr>
          <w:rFonts w:ascii="Times New Roman" w:hAnsi="Times New Roman" w:cs="Times New Roman"/>
          <w:sz w:val="28"/>
          <w:szCs w:val="28"/>
        </w:rPr>
        <w:t xml:space="preserve"> for </w:t>
      </w:r>
      <w:r w:rsidR="00FE7FAB">
        <w:rPr>
          <w:rFonts w:ascii="Times New Roman" w:hAnsi="Times New Roman" w:cs="Times New Roman"/>
          <w:sz w:val="28"/>
          <w:szCs w:val="28"/>
        </w:rPr>
        <w:t xml:space="preserve">a </w:t>
      </w:r>
      <w:r w:rsidRPr="00F24E3C">
        <w:rPr>
          <w:rFonts w:ascii="Times New Roman" w:hAnsi="Times New Roman" w:cs="Times New Roman"/>
          <w:sz w:val="28"/>
          <w:szCs w:val="28"/>
        </w:rPr>
        <w:t xml:space="preserve">heightened </w:t>
      </w:r>
      <w:r w:rsidR="007F72A6" w:rsidRPr="00F24E3C">
        <w:rPr>
          <w:rFonts w:ascii="Times New Roman" w:hAnsi="Times New Roman" w:cs="Times New Roman"/>
          <w:sz w:val="28"/>
          <w:szCs w:val="28"/>
        </w:rPr>
        <w:t xml:space="preserve">pre-eviction notice </w:t>
      </w:r>
      <w:r w:rsidR="00FF429A">
        <w:rPr>
          <w:rFonts w:ascii="Times New Roman" w:hAnsi="Times New Roman" w:cs="Times New Roman"/>
          <w:sz w:val="28"/>
          <w:szCs w:val="28"/>
        </w:rPr>
        <w:t>period</w:t>
      </w:r>
      <w:r w:rsidR="007F72A6" w:rsidRPr="00F24E3C">
        <w:rPr>
          <w:rFonts w:ascii="Times New Roman" w:hAnsi="Times New Roman" w:cs="Times New Roman"/>
          <w:sz w:val="28"/>
          <w:szCs w:val="28"/>
        </w:rPr>
        <w:t xml:space="preserve"> for tenants of certain covered </w:t>
      </w:r>
      <w:r w:rsidR="003007B1">
        <w:rPr>
          <w:rFonts w:ascii="Times New Roman" w:hAnsi="Times New Roman" w:cs="Times New Roman"/>
          <w:sz w:val="28"/>
          <w:szCs w:val="28"/>
        </w:rPr>
        <w:t>properties</w:t>
      </w:r>
      <w:r w:rsidR="007F72A6" w:rsidRPr="00F24E3C">
        <w:rPr>
          <w:rFonts w:ascii="Times New Roman" w:hAnsi="Times New Roman" w:cs="Times New Roman"/>
          <w:sz w:val="28"/>
          <w:szCs w:val="28"/>
        </w:rPr>
        <w:t xml:space="preserve"> whose landlords receive </w:t>
      </w:r>
      <w:r w:rsidR="007F72A6" w:rsidRPr="00F24E3C">
        <w:rPr>
          <w:rFonts w:ascii="Times New Roman" w:hAnsi="Times New Roman" w:cs="Times New Roman"/>
          <w:sz w:val="28"/>
          <w:szCs w:val="28"/>
        </w:rPr>
        <w:lastRenderedPageBreak/>
        <w:t xml:space="preserve">substantial federal financial assistance. 15 U.S.C. § 9058. Landlords </w:t>
      </w:r>
      <w:r w:rsidR="000E6697" w:rsidRPr="00F24E3C">
        <w:rPr>
          <w:rFonts w:ascii="Times New Roman" w:hAnsi="Times New Roman" w:cs="Times New Roman"/>
          <w:sz w:val="28"/>
          <w:szCs w:val="28"/>
        </w:rPr>
        <w:t>of covered properties</w:t>
      </w:r>
      <w:r w:rsidR="007F72A6" w:rsidRPr="00F24E3C">
        <w:rPr>
          <w:rFonts w:ascii="Times New Roman" w:hAnsi="Times New Roman" w:cs="Times New Roman"/>
          <w:sz w:val="28"/>
          <w:szCs w:val="28"/>
        </w:rPr>
        <w:t xml:space="preserve"> may not “require the tenant to vacate before the date that is 30 days after the date on which the lessor provides the tenant with a notice to vacate.” 15 U.S.C. § 9058(c)(1). </w:t>
      </w:r>
    </w:p>
    <w:p w14:paraId="2A42C324" w14:textId="33233C30" w:rsidR="007F72A6" w:rsidRPr="00F24E3C" w:rsidRDefault="007F72A6" w:rsidP="009D1F7B">
      <w:pPr>
        <w:spacing w:line="480" w:lineRule="auto"/>
        <w:ind w:firstLine="720"/>
        <w:jc w:val="both"/>
        <w:rPr>
          <w:rFonts w:ascii="Times New Roman" w:hAnsi="Times New Roman" w:cs="Times New Roman"/>
          <w:sz w:val="28"/>
          <w:szCs w:val="28"/>
        </w:rPr>
      </w:pPr>
      <w:r w:rsidRPr="00F24E3C">
        <w:rPr>
          <w:rFonts w:ascii="Times New Roman" w:hAnsi="Times New Roman" w:cs="Times New Roman"/>
          <w:sz w:val="28"/>
          <w:szCs w:val="28"/>
        </w:rPr>
        <w:t>There are two major groups of properties</w:t>
      </w:r>
      <w:r w:rsidR="003007B1">
        <w:rPr>
          <w:rFonts w:ascii="Times New Roman" w:hAnsi="Times New Roman" w:cs="Times New Roman"/>
          <w:sz w:val="28"/>
          <w:szCs w:val="28"/>
        </w:rPr>
        <w:t xml:space="preserve"> covered by the CARES Act</w:t>
      </w:r>
      <w:r w:rsidRPr="00F24E3C">
        <w:rPr>
          <w:rFonts w:ascii="Times New Roman" w:hAnsi="Times New Roman" w:cs="Times New Roman"/>
          <w:sz w:val="28"/>
          <w:szCs w:val="28"/>
        </w:rPr>
        <w:t xml:space="preserve">. The first group </w:t>
      </w:r>
      <w:r w:rsidR="00FC5051">
        <w:rPr>
          <w:rFonts w:ascii="Times New Roman" w:hAnsi="Times New Roman" w:cs="Times New Roman"/>
          <w:sz w:val="28"/>
          <w:szCs w:val="28"/>
        </w:rPr>
        <w:t>are properties participating in a</w:t>
      </w:r>
      <w:r w:rsidRPr="00F24E3C">
        <w:rPr>
          <w:rFonts w:ascii="Times New Roman" w:hAnsi="Times New Roman" w:cs="Times New Roman"/>
          <w:sz w:val="28"/>
          <w:szCs w:val="28"/>
        </w:rPr>
        <w:t xml:space="preserve"> long list of </w:t>
      </w:r>
      <w:r w:rsidR="003007B1" w:rsidRPr="00F24E3C">
        <w:rPr>
          <w:rFonts w:ascii="Times New Roman" w:hAnsi="Times New Roman" w:cs="Times New Roman"/>
          <w:sz w:val="28"/>
          <w:szCs w:val="28"/>
        </w:rPr>
        <w:t>federal</w:t>
      </w:r>
      <w:r w:rsidR="003007B1">
        <w:rPr>
          <w:rFonts w:ascii="Times New Roman" w:hAnsi="Times New Roman" w:cs="Times New Roman"/>
          <w:sz w:val="28"/>
          <w:szCs w:val="28"/>
        </w:rPr>
        <w:t xml:space="preserve">ly funded </w:t>
      </w:r>
      <w:r w:rsidRPr="00F24E3C">
        <w:rPr>
          <w:rFonts w:ascii="Times New Roman" w:hAnsi="Times New Roman" w:cs="Times New Roman"/>
          <w:sz w:val="28"/>
          <w:szCs w:val="28"/>
        </w:rPr>
        <w:t>housing programs administered by the U.S. Department of Housing and Urban Development (HUD) and enumerated in the definitions section of the Violence Against Women Act</w:t>
      </w:r>
      <w:r w:rsidR="00FC5051">
        <w:rPr>
          <w:rFonts w:ascii="Times New Roman" w:hAnsi="Times New Roman" w:cs="Times New Roman"/>
          <w:sz w:val="28"/>
          <w:szCs w:val="28"/>
        </w:rPr>
        <w:t xml:space="preserve"> (VAWA)</w:t>
      </w:r>
      <w:r w:rsidRPr="00F24E3C">
        <w:rPr>
          <w:rFonts w:ascii="Times New Roman" w:hAnsi="Times New Roman" w:cs="Times New Roman"/>
          <w:sz w:val="28"/>
          <w:szCs w:val="28"/>
        </w:rPr>
        <w:t>, 34 U.S.C. § 12491(a)(3)</w:t>
      </w:r>
      <w:r w:rsidR="00FC5051">
        <w:rPr>
          <w:rFonts w:ascii="Times New Roman" w:hAnsi="Times New Roman" w:cs="Times New Roman"/>
          <w:sz w:val="28"/>
          <w:szCs w:val="28"/>
        </w:rPr>
        <w:t>.</w:t>
      </w:r>
      <w:r w:rsidR="00FC5051" w:rsidRPr="002B00C8">
        <w:rPr>
          <w:rStyle w:val="FootnoteReference"/>
          <w:rFonts w:ascii="Times New Roman" w:hAnsi="Times New Roman" w:cs="Times New Roman"/>
          <w:sz w:val="28"/>
          <w:szCs w:val="28"/>
        </w:rPr>
        <w:footnoteReference w:id="1"/>
      </w:r>
      <w:r w:rsidR="00FC5051">
        <w:rPr>
          <w:rFonts w:ascii="Times New Roman" w:hAnsi="Times New Roman" w:cs="Times New Roman"/>
          <w:sz w:val="28"/>
          <w:szCs w:val="28"/>
        </w:rPr>
        <w:t xml:space="preserve"> </w:t>
      </w:r>
      <w:r w:rsidR="009D1F7B">
        <w:rPr>
          <w:rFonts w:ascii="Times New Roman" w:hAnsi="Times New Roman" w:cs="Times New Roman"/>
          <w:sz w:val="28"/>
          <w:szCs w:val="28"/>
        </w:rPr>
        <w:t>Covered properties includ</w:t>
      </w:r>
      <w:r w:rsidR="00D5096D">
        <w:rPr>
          <w:rFonts w:ascii="Times New Roman" w:hAnsi="Times New Roman" w:cs="Times New Roman"/>
          <w:sz w:val="28"/>
          <w:szCs w:val="28"/>
        </w:rPr>
        <w:t>e,</w:t>
      </w:r>
      <w:r w:rsidR="009D1F7B">
        <w:rPr>
          <w:rFonts w:ascii="Times New Roman" w:hAnsi="Times New Roman" w:cs="Times New Roman"/>
          <w:sz w:val="28"/>
          <w:szCs w:val="28"/>
        </w:rPr>
        <w:t xml:space="preserve"> </w:t>
      </w:r>
      <w:r w:rsidR="00D5096D">
        <w:rPr>
          <w:rFonts w:ascii="Times New Roman" w:hAnsi="Times New Roman" w:cs="Times New Roman"/>
          <w:sz w:val="28"/>
          <w:szCs w:val="28"/>
        </w:rPr>
        <w:t xml:space="preserve">among others, </w:t>
      </w:r>
      <w:r w:rsidR="009D1F7B">
        <w:rPr>
          <w:rFonts w:ascii="Times New Roman" w:hAnsi="Times New Roman" w:cs="Times New Roman"/>
          <w:sz w:val="28"/>
          <w:szCs w:val="28"/>
        </w:rPr>
        <w:t xml:space="preserve">those participating in </w:t>
      </w:r>
      <w:r w:rsidR="009D1F7B" w:rsidRPr="008F5779">
        <w:rPr>
          <w:rFonts w:ascii="Times New Roman" w:hAnsi="Times New Roman" w:cs="Times New Roman"/>
          <w:sz w:val="28"/>
          <w:szCs w:val="28"/>
        </w:rPr>
        <w:t xml:space="preserve">HUD’s </w:t>
      </w:r>
      <w:r w:rsidR="009D1F7B">
        <w:rPr>
          <w:rFonts w:ascii="Times New Roman" w:hAnsi="Times New Roman" w:cs="Times New Roman"/>
          <w:sz w:val="28"/>
          <w:szCs w:val="28"/>
        </w:rPr>
        <w:t>Section 811 program</w:t>
      </w:r>
      <w:r w:rsidR="009D1F7B" w:rsidRPr="008F5779">
        <w:rPr>
          <w:rFonts w:ascii="Times New Roman" w:hAnsi="Times New Roman" w:cs="Times New Roman"/>
          <w:sz w:val="28"/>
          <w:szCs w:val="28"/>
        </w:rPr>
        <w:t xml:space="preserve"> to provide supportive housing for persons with disabilities</w:t>
      </w:r>
      <w:r w:rsidR="00AE57EF">
        <w:rPr>
          <w:rFonts w:ascii="Times New Roman" w:hAnsi="Times New Roman" w:cs="Times New Roman"/>
          <w:sz w:val="28"/>
          <w:szCs w:val="28"/>
        </w:rPr>
        <w:t xml:space="preserve">, </w:t>
      </w:r>
      <w:r w:rsidR="009D1F7B" w:rsidRPr="008F5779">
        <w:rPr>
          <w:rFonts w:ascii="Times New Roman" w:hAnsi="Times New Roman" w:cs="Times New Roman"/>
          <w:sz w:val="28"/>
          <w:szCs w:val="28"/>
        </w:rPr>
        <w:t>HUD’s program for homeless veterans with special needs</w:t>
      </w:r>
      <w:r w:rsidR="007A7ABA">
        <w:rPr>
          <w:rFonts w:ascii="Times New Roman" w:hAnsi="Times New Roman" w:cs="Times New Roman"/>
          <w:sz w:val="28"/>
          <w:szCs w:val="28"/>
        </w:rPr>
        <w:t xml:space="preserve">, </w:t>
      </w:r>
      <w:r w:rsidR="00AE57EF">
        <w:rPr>
          <w:rFonts w:ascii="Times New Roman" w:hAnsi="Times New Roman" w:cs="Times New Roman"/>
          <w:sz w:val="28"/>
          <w:szCs w:val="28"/>
        </w:rPr>
        <w:t xml:space="preserve">HUD’s Housing Choice Voucher program, </w:t>
      </w:r>
      <w:r w:rsidR="007A7ABA">
        <w:rPr>
          <w:rFonts w:ascii="Times New Roman" w:hAnsi="Times New Roman" w:cs="Times New Roman"/>
          <w:sz w:val="28"/>
          <w:szCs w:val="28"/>
        </w:rPr>
        <w:t>as well as traditional public housing.</w:t>
      </w:r>
      <w:r w:rsidR="009D1F7B" w:rsidRPr="008F5779">
        <w:rPr>
          <w:rStyle w:val="FootnoteReference"/>
          <w:rFonts w:ascii="Times New Roman" w:hAnsi="Times New Roman" w:cs="Times New Roman"/>
          <w:sz w:val="28"/>
          <w:szCs w:val="28"/>
        </w:rPr>
        <w:footnoteReference w:id="2"/>
      </w:r>
      <w:r w:rsidR="009D1F7B">
        <w:rPr>
          <w:rFonts w:ascii="Times New Roman" w:hAnsi="Times New Roman" w:cs="Times New Roman"/>
          <w:sz w:val="28"/>
          <w:szCs w:val="28"/>
        </w:rPr>
        <w:t xml:space="preserve"> </w:t>
      </w:r>
      <w:r w:rsidRPr="00F24E3C">
        <w:rPr>
          <w:rFonts w:ascii="Times New Roman" w:hAnsi="Times New Roman" w:cs="Times New Roman"/>
          <w:sz w:val="28"/>
          <w:szCs w:val="28"/>
        </w:rPr>
        <w:t xml:space="preserve">The second major group of covered properties are those </w:t>
      </w:r>
      <w:r w:rsidR="003007B1">
        <w:rPr>
          <w:rFonts w:ascii="Times New Roman" w:hAnsi="Times New Roman" w:cs="Times New Roman"/>
          <w:sz w:val="28"/>
          <w:szCs w:val="28"/>
        </w:rPr>
        <w:t xml:space="preserve">properties </w:t>
      </w:r>
      <w:r w:rsidRPr="00F24E3C">
        <w:rPr>
          <w:rFonts w:ascii="Times New Roman" w:hAnsi="Times New Roman" w:cs="Times New Roman"/>
          <w:sz w:val="28"/>
          <w:szCs w:val="28"/>
        </w:rPr>
        <w:t xml:space="preserve">that have a federally backed mortgage loan or federally backed multifamily mortgage loan. 15 U.S.C. § 9058(a)(2)(B). </w:t>
      </w:r>
    </w:p>
    <w:p w14:paraId="58F7AC86" w14:textId="1AF3A5E0" w:rsidR="00F0730A" w:rsidRDefault="00156C49" w:rsidP="00FC505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lawful method by which Arizona landlords may require a tenant to vacate </w:t>
      </w:r>
      <w:r w:rsidR="0073219D">
        <w:rPr>
          <w:rFonts w:ascii="Times New Roman" w:hAnsi="Times New Roman" w:cs="Times New Roman"/>
          <w:sz w:val="28"/>
          <w:szCs w:val="28"/>
        </w:rPr>
        <w:t xml:space="preserve">for alleged violation of a lease agreement </w:t>
      </w:r>
      <w:r>
        <w:rPr>
          <w:rFonts w:ascii="Times New Roman" w:hAnsi="Times New Roman" w:cs="Times New Roman"/>
          <w:sz w:val="28"/>
          <w:szCs w:val="28"/>
        </w:rPr>
        <w:t xml:space="preserve">is by providing a proper notice and </w:t>
      </w:r>
      <w:r w:rsidR="00F0730A">
        <w:rPr>
          <w:rFonts w:ascii="Times New Roman" w:hAnsi="Times New Roman" w:cs="Times New Roman"/>
          <w:sz w:val="28"/>
          <w:szCs w:val="28"/>
        </w:rPr>
        <w:t>then terminati</w:t>
      </w:r>
      <w:r w:rsidR="00FF429A">
        <w:rPr>
          <w:rFonts w:ascii="Times New Roman" w:hAnsi="Times New Roman" w:cs="Times New Roman"/>
          <w:sz w:val="28"/>
          <w:szCs w:val="28"/>
        </w:rPr>
        <w:t>ng</w:t>
      </w:r>
      <w:r w:rsidR="00F0730A">
        <w:rPr>
          <w:rFonts w:ascii="Times New Roman" w:hAnsi="Times New Roman" w:cs="Times New Roman"/>
          <w:sz w:val="28"/>
          <w:szCs w:val="28"/>
        </w:rPr>
        <w:t xml:space="preserve"> the lease agreement by bringing</w:t>
      </w:r>
      <w:r>
        <w:rPr>
          <w:rFonts w:ascii="Times New Roman" w:hAnsi="Times New Roman" w:cs="Times New Roman"/>
          <w:sz w:val="28"/>
          <w:szCs w:val="28"/>
        </w:rPr>
        <w:t xml:space="preserve"> a</w:t>
      </w:r>
      <w:r w:rsidR="009D1F7B">
        <w:rPr>
          <w:rFonts w:ascii="Times New Roman" w:hAnsi="Times New Roman" w:cs="Times New Roman"/>
          <w:sz w:val="28"/>
          <w:szCs w:val="28"/>
        </w:rPr>
        <w:t xml:space="preserve"> judicial</w:t>
      </w:r>
      <w:r>
        <w:rPr>
          <w:rFonts w:ascii="Times New Roman" w:hAnsi="Times New Roman" w:cs="Times New Roman"/>
          <w:sz w:val="28"/>
          <w:szCs w:val="28"/>
        </w:rPr>
        <w:t xml:space="preserve"> action for eviction. </w:t>
      </w:r>
      <w:r>
        <w:rPr>
          <w:rFonts w:ascii="Times New Roman" w:hAnsi="Times New Roman" w:cs="Times New Roman"/>
          <w:i/>
          <w:iCs w:val="0"/>
          <w:sz w:val="28"/>
          <w:szCs w:val="28"/>
        </w:rPr>
        <w:t xml:space="preserve">See </w:t>
      </w:r>
      <w:r>
        <w:rPr>
          <w:rFonts w:ascii="Times New Roman" w:hAnsi="Times New Roman" w:cs="Times New Roman"/>
          <w:sz w:val="28"/>
          <w:szCs w:val="28"/>
        </w:rPr>
        <w:t xml:space="preserve">A.R.S. </w:t>
      </w:r>
      <w:r w:rsidRPr="00F24E3C">
        <w:rPr>
          <w:rFonts w:ascii="Times New Roman" w:hAnsi="Times New Roman" w:cs="Times New Roman"/>
          <w:sz w:val="28"/>
          <w:szCs w:val="28"/>
        </w:rPr>
        <w:t>§</w:t>
      </w:r>
      <w:r w:rsidR="0073219D" w:rsidRPr="00F24E3C">
        <w:rPr>
          <w:rFonts w:ascii="Times New Roman" w:hAnsi="Times New Roman" w:cs="Times New Roman"/>
          <w:sz w:val="28"/>
          <w:szCs w:val="28"/>
        </w:rPr>
        <w:t>§</w:t>
      </w:r>
      <w:r>
        <w:rPr>
          <w:rFonts w:ascii="Times New Roman" w:hAnsi="Times New Roman" w:cs="Times New Roman"/>
          <w:sz w:val="28"/>
          <w:szCs w:val="28"/>
        </w:rPr>
        <w:t xml:space="preserve"> 33-1368</w:t>
      </w:r>
      <w:r w:rsidR="0073219D">
        <w:rPr>
          <w:rFonts w:ascii="Times New Roman" w:hAnsi="Times New Roman" w:cs="Times New Roman"/>
          <w:sz w:val="28"/>
          <w:szCs w:val="28"/>
        </w:rPr>
        <w:t xml:space="preserve">; </w:t>
      </w:r>
      <w:r w:rsidR="00F0730A">
        <w:rPr>
          <w:rFonts w:ascii="Times New Roman" w:hAnsi="Times New Roman" w:cs="Times New Roman"/>
          <w:sz w:val="28"/>
          <w:szCs w:val="28"/>
        </w:rPr>
        <w:t>33-</w:t>
      </w:r>
      <w:r w:rsidR="0073219D">
        <w:rPr>
          <w:rFonts w:ascii="Times New Roman" w:hAnsi="Times New Roman" w:cs="Times New Roman"/>
          <w:sz w:val="28"/>
          <w:szCs w:val="28"/>
        </w:rPr>
        <w:t>1377</w:t>
      </w:r>
      <w:r>
        <w:rPr>
          <w:rFonts w:ascii="Times New Roman" w:hAnsi="Times New Roman" w:cs="Times New Roman"/>
          <w:sz w:val="28"/>
          <w:szCs w:val="28"/>
        </w:rPr>
        <w:t xml:space="preserve">. Under the plain meaning of the CARES Act notice provision, a landlord may not </w:t>
      </w:r>
      <w:r w:rsidR="003007B1">
        <w:rPr>
          <w:rFonts w:ascii="Times New Roman" w:hAnsi="Times New Roman" w:cs="Times New Roman"/>
          <w:sz w:val="28"/>
          <w:szCs w:val="28"/>
        </w:rPr>
        <w:t>require a tenant to vacate until</w:t>
      </w:r>
      <w:r>
        <w:rPr>
          <w:rFonts w:ascii="Times New Roman" w:hAnsi="Times New Roman" w:cs="Times New Roman"/>
          <w:sz w:val="28"/>
          <w:szCs w:val="28"/>
        </w:rPr>
        <w:t xml:space="preserve"> </w:t>
      </w:r>
      <w:r w:rsidR="0073219D">
        <w:rPr>
          <w:rFonts w:ascii="Times New Roman" w:hAnsi="Times New Roman" w:cs="Times New Roman"/>
          <w:sz w:val="28"/>
          <w:szCs w:val="28"/>
        </w:rPr>
        <w:t xml:space="preserve">“30 days after the date on which the lessor provides the tenant with a notice to vacate.” </w:t>
      </w:r>
      <w:r w:rsidR="0073219D" w:rsidRPr="00F24E3C">
        <w:rPr>
          <w:rFonts w:ascii="Times New Roman" w:hAnsi="Times New Roman" w:cs="Times New Roman"/>
          <w:sz w:val="28"/>
          <w:szCs w:val="28"/>
        </w:rPr>
        <w:t>15 U.S.C. § 9058(c)(1)</w:t>
      </w:r>
      <w:r w:rsidR="0073219D">
        <w:rPr>
          <w:rFonts w:ascii="Times New Roman" w:hAnsi="Times New Roman" w:cs="Times New Roman"/>
          <w:sz w:val="28"/>
          <w:szCs w:val="28"/>
        </w:rPr>
        <w:t>.  Accordingly, a landlord</w:t>
      </w:r>
      <w:r w:rsidR="00FC5051">
        <w:rPr>
          <w:rFonts w:ascii="Times New Roman" w:hAnsi="Times New Roman" w:cs="Times New Roman"/>
          <w:sz w:val="28"/>
          <w:szCs w:val="28"/>
        </w:rPr>
        <w:t xml:space="preserve"> of a </w:t>
      </w:r>
      <w:r w:rsidR="00FC5051">
        <w:rPr>
          <w:rFonts w:ascii="Times New Roman" w:hAnsi="Times New Roman" w:cs="Times New Roman"/>
          <w:sz w:val="28"/>
          <w:szCs w:val="28"/>
        </w:rPr>
        <w:lastRenderedPageBreak/>
        <w:t>covered property</w:t>
      </w:r>
      <w:r w:rsidR="0073219D">
        <w:rPr>
          <w:rFonts w:ascii="Times New Roman" w:hAnsi="Times New Roman" w:cs="Times New Roman"/>
          <w:sz w:val="28"/>
          <w:szCs w:val="28"/>
        </w:rPr>
        <w:t xml:space="preserve"> must wait for 30 days after giving a notice to vacate before bringing a judicial action </w:t>
      </w:r>
      <w:r w:rsidR="00D5096D">
        <w:rPr>
          <w:rFonts w:ascii="Times New Roman" w:hAnsi="Times New Roman" w:cs="Times New Roman"/>
          <w:sz w:val="28"/>
          <w:szCs w:val="28"/>
        </w:rPr>
        <w:t xml:space="preserve">for eviction </w:t>
      </w:r>
      <w:r w:rsidR="0073219D">
        <w:rPr>
          <w:rFonts w:ascii="Times New Roman" w:hAnsi="Times New Roman" w:cs="Times New Roman"/>
          <w:sz w:val="28"/>
          <w:szCs w:val="28"/>
        </w:rPr>
        <w:t xml:space="preserve">to enforce the </w:t>
      </w:r>
      <w:r w:rsidR="00FF429A">
        <w:rPr>
          <w:rFonts w:ascii="Times New Roman" w:hAnsi="Times New Roman" w:cs="Times New Roman"/>
          <w:sz w:val="28"/>
          <w:szCs w:val="28"/>
        </w:rPr>
        <w:t xml:space="preserve">demand to vacate. </w:t>
      </w:r>
    </w:p>
    <w:p w14:paraId="62D98E29" w14:textId="3C061621" w:rsidR="00737947" w:rsidRDefault="0073219D" w:rsidP="00F0730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Colorado Supreme Court and intermediate courts of appeals in Ohio, Indiana, and Washington have </w:t>
      </w:r>
      <w:r w:rsidR="00FF429A">
        <w:rPr>
          <w:rFonts w:ascii="Times New Roman" w:hAnsi="Times New Roman" w:cs="Times New Roman"/>
          <w:sz w:val="28"/>
          <w:szCs w:val="28"/>
        </w:rPr>
        <w:t>each</w:t>
      </w:r>
      <w:r>
        <w:rPr>
          <w:rFonts w:ascii="Times New Roman" w:hAnsi="Times New Roman" w:cs="Times New Roman"/>
          <w:sz w:val="28"/>
          <w:szCs w:val="28"/>
        </w:rPr>
        <w:t xml:space="preserve"> </w:t>
      </w:r>
      <w:r w:rsidR="00FC5051">
        <w:rPr>
          <w:rFonts w:ascii="Times New Roman" w:hAnsi="Times New Roman" w:cs="Times New Roman"/>
          <w:sz w:val="28"/>
          <w:szCs w:val="28"/>
        </w:rPr>
        <w:t>held in published</w:t>
      </w:r>
      <w:r>
        <w:rPr>
          <w:rFonts w:ascii="Times New Roman" w:hAnsi="Times New Roman" w:cs="Times New Roman"/>
          <w:sz w:val="28"/>
          <w:szCs w:val="28"/>
        </w:rPr>
        <w:t xml:space="preserve"> opinions that a 30-day notice is required before a landlord in those states may bring a judicial action to evict a tenant from a covered property for nonpayment of rent.</w:t>
      </w:r>
      <w:r w:rsidRPr="008F5779">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Although some commenters argue that the proposed rule would resolve an unsettled question of law, undersigned counsel is aware of no court of record in any state which has reached a different conclusion. </w:t>
      </w:r>
    </w:p>
    <w:p w14:paraId="789399CF" w14:textId="42DD6763" w:rsidR="00737947" w:rsidRPr="008F5779" w:rsidRDefault="00F0730A" w:rsidP="00FE7FAB">
      <w:pPr>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The additional </w:t>
      </w:r>
      <w:r w:rsidR="003007B1">
        <w:rPr>
          <w:rFonts w:ascii="Times New Roman" w:hAnsi="Times New Roman" w:cs="Times New Roman"/>
          <w:sz w:val="28"/>
          <w:szCs w:val="28"/>
        </w:rPr>
        <w:t>notice period</w:t>
      </w:r>
      <w:r>
        <w:rPr>
          <w:rFonts w:ascii="Times New Roman" w:hAnsi="Times New Roman" w:cs="Times New Roman"/>
          <w:sz w:val="28"/>
          <w:szCs w:val="28"/>
        </w:rPr>
        <w:t xml:space="preserve"> granted tenants whose landlords receive significant federal financial assistance and are there</w:t>
      </w:r>
      <w:r w:rsidR="0035476B">
        <w:rPr>
          <w:rFonts w:ascii="Times New Roman" w:hAnsi="Times New Roman" w:cs="Times New Roman"/>
          <w:sz w:val="28"/>
          <w:szCs w:val="28"/>
        </w:rPr>
        <w:t>fore</w:t>
      </w:r>
      <w:r>
        <w:rPr>
          <w:rFonts w:ascii="Times New Roman" w:hAnsi="Times New Roman" w:cs="Times New Roman"/>
          <w:sz w:val="28"/>
          <w:szCs w:val="28"/>
        </w:rPr>
        <w:t xml:space="preserve"> covered by the CARES Act are particularly important for many tenants with disabilities. </w:t>
      </w:r>
      <w:r w:rsidR="00FE7FAB">
        <w:rPr>
          <w:rFonts w:ascii="Times New Roman" w:hAnsi="Times New Roman" w:cs="Times New Roman"/>
          <w:sz w:val="28"/>
          <w:szCs w:val="28"/>
        </w:rPr>
        <w:t xml:space="preserve">Not only do CARES Act covered properties include properties participating in subsidized housing programs designed specifically for individuals with disabilities, but </w:t>
      </w:r>
      <w:r w:rsidR="00737947" w:rsidRPr="008F5779">
        <w:rPr>
          <w:rFonts w:ascii="Times New Roman" w:hAnsi="Times New Roman" w:cs="Times New Roman"/>
          <w:sz w:val="28"/>
          <w:szCs w:val="28"/>
        </w:rPr>
        <w:t xml:space="preserve">HUD-assisted </w:t>
      </w:r>
      <w:r w:rsidR="003007B1">
        <w:rPr>
          <w:rFonts w:ascii="Times New Roman" w:hAnsi="Times New Roman" w:cs="Times New Roman"/>
          <w:sz w:val="28"/>
          <w:szCs w:val="28"/>
        </w:rPr>
        <w:t xml:space="preserve">households in general </w:t>
      </w:r>
      <w:r w:rsidR="00737947" w:rsidRPr="008F5779">
        <w:rPr>
          <w:rFonts w:ascii="Times New Roman" w:hAnsi="Times New Roman" w:cs="Times New Roman"/>
          <w:sz w:val="28"/>
          <w:szCs w:val="28"/>
        </w:rPr>
        <w:t xml:space="preserve">are more than twice as likely as non-assisted </w:t>
      </w:r>
      <w:r w:rsidR="003007B1">
        <w:rPr>
          <w:rFonts w:ascii="Times New Roman" w:hAnsi="Times New Roman" w:cs="Times New Roman"/>
          <w:sz w:val="28"/>
          <w:szCs w:val="28"/>
        </w:rPr>
        <w:t>households</w:t>
      </w:r>
      <w:r w:rsidR="00737947" w:rsidRPr="008F5779">
        <w:rPr>
          <w:rFonts w:ascii="Times New Roman" w:hAnsi="Times New Roman" w:cs="Times New Roman"/>
          <w:sz w:val="28"/>
          <w:szCs w:val="28"/>
        </w:rPr>
        <w:t xml:space="preserve"> to </w:t>
      </w:r>
      <w:r w:rsidR="003007B1">
        <w:rPr>
          <w:rFonts w:ascii="Times New Roman" w:hAnsi="Times New Roman" w:cs="Times New Roman"/>
          <w:sz w:val="28"/>
          <w:szCs w:val="28"/>
        </w:rPr>
        <w:t>include an individual with a</w:t>
      </w:r>
      <w:r w:rsidR="00737947" w:rsidRPr="008F5779">
        <w:rPr>
          <w:rFonts w:ascii="Times New Roman" w:hAnsi="Times New Roman" w:cs="Times New Roman"/>
          <w:sz w:val="28"/>
          <w:szCs w:val="28"/>
        </w:rPr>
        <w:t xml:space="preserve"> disability.</w:t>
      </w:r>
      <w:r w:rsidR="00737947" w:rsidRPr="008F5779">
        <w:rPr>
          <w:rStyle w:val="FootnoteReference"/>
          <w:rFonts w:ascii="Times New Roman" w:hAnsi="Times New Roman" w:cs="Times New Roman"/>
          <w:sz w:val="28"/>
          <w:szCs w:val="28"/>
        </w:rPr>
        <w:footnoteReference w:id="4"/>
      </w:r>
    </w:p>
    <w:p w14:paraId="4DB312F6" w14:textId="581E83DA" w:rsidR="00737947" w:rsidRPr="008F5779" w:rsidRDefault="00737947" w:rsidP="00737947">
      <w:pPr>
        <w:spacing w:line="480" w:lineRule="auto"/>
        <w:ind w:firstLine="720"/>
        <w:contextualSpacing/>
        <w:jc w:val="both"/>
        <w:rPr>
          <w:rFonts w:ascii="Times New Roman" w:hAnsi="Times New Roman" w:cs="Times New Roman"/>
          <w:sz w:val="28"/>
          <w:szCs w:val="28"/>
        </w:rPr>
      </w:pPr>
      <w:r w:rsidRPr="008F5779">
        <w:rPr>
          <w:rFonts w:ascii="Times New Roman" w:hAnsi="Times New Roman" w:cs="Times New Roman"/>
          <w:sz w:val="28"/>
          <w:szCs w:val="28"/>
        </w:rPr>
        <w:lastRenderedPageBreak/>
        <w:t xml:space="preserve">Arizona </w:t>
      </w:r>
      <w:r w:rsidR="0035476B">
        <w:rPr>
          <w:rFonts w:ascii="Times New Roman" w:hAnsi="Times New Roman" w:cs="Times New Roman"/>
          <w:sz w:val="28"/>
          <w:szCs w:val="28"/>
        </w:rPr>
        <w:t xml:space="preserve">eviction </w:t>
      </w:r>
      <w:r w:rsidRPr="008F5779">
        <w:rPr>
          <w:rFonts w:ascii="Times New Roman" w:hAnsi="Times New Roman" w:cs="Times New Roman"/>
          <w:sz w:val="28"/>
          <w:szCs w:val="28"/>
        </w:rPr>
        <w:t xml:space="preserve">courts are clogged with actions seeking eviction of tenants with disabilities for reasons directly related to disability. For example, people with disabilities may face eviction for nonpayment of rent stemming from an interruption in disability benefits, which can be caused by administrative error on the part of Social Security Administration or a tenant’s bank. Similarly, people with disabilities are at a higher risk of missing work due to hospitalization or deterioration of a disability-related medical condition, leading to a loss of income and nonpayment of rent. </w:t>
      </w:r>
    </w:p>
    <w:p w14:paraId="69EB3CA2" w14:textId="7D090446" w:rsidR="00737947" w:rsidRPr="008F5779" w:rsidRDefault="00737947" w:rsidP="00737947">
      <w:pPr>
        <w:spacing w:line="480" w:lineRule="auto"/>
        <w:ind w:firstLine="720"/>
        <w:contextualSpacing/>
        <w:jc w:val="both"/>
        <w:rPr>
          <w:rFonts w:ascii="Times New Roman" w:hAnsi="Times New Roman" w:cs="Times New Roman"/>
          <w:color w:val="000000"/>
          <w:sz w:val="28"/>
          <w:szCs w:val="28"/>
        </w:rPr>
      </w:pPr>
      <w:r w:rsidRPr="008F5779">
        <w:rPr>
          <w:rFonts w:ascii="Times New Roman" w:hAnsi="Times New Roman" w:cs="Times New Roman"/>
          <w:sz w:val="28"/>
          <w:szCs w:val="28"/>
        </w:rPr>
        <w:t xml:space="preserve">Where the CARES Act is not applicable or not properly enforced, only a five-day notice period and opportunity to cure </w:t>
      </w:r>
      <w:r w:rsidR="00857497">
        <w:rPr>
          <w:rFonts w:ascii="Times New Roman" w:hAnsi="Times New Roman" w:cs="Times New Roman"/>
          <w:sz w:val="28"/>
          <w:szCs w:val="28"/>
        </w:rPr>
        <w:t xml:space="preserve">the alleged nonpayment before facing eviction </w:t>
      </w:r>
      <w:r w:rsidRPr="008F5779">
        <w:rPr>
          <w:rFonts w:ascii="Times New Roman" w:hAnsi="Times New Roman" w:cs="Times New Roman"/>
          <w:sz w:val="28"/>
          <w:szCs w:val="28"/>
        </w:rPr>
        <w:t xml:space="preserve">is </w:t>
      </w:r>
      <w:r w:rsidR="00857497">
        <w:rPr>
          <w:rFonts w:ascii="Times New Roman" w:hAnsi="Times New Roman" w:cs="Times New Roman"/>
          <w:sz w:val="28"/>
          <w:szCs w:val="28"/>
        </w:rPr>
        <w:t>available in</w:t>
      </w:r>
      <w:r w:rsidRPr="008F5779">
        <w:rPr>
          <w:rFonts w:ascii="Times New Roman" w:hAnsi="Times New Roman" w:cs="Times New Roman"/>
          <w:sz w:val="28"/>
          <w:szCs w:val="28"/>
        </w:rPr>
        <w:t xml:space="preserve"> nonpayment cases. </w:t>
      </w:r>
      <w:r w:rsidR="003007B1">
        <w:rPr>
          <w:rFonts w:ascii="Times New Roman" w:hAnsi="Times New Roman" w:cs="Times New Roman"/>
          <w:i/>
          <w:iCs w:val="0"/>
          <w:sz w:val="28"/>
          <w:szCs w:val="28"/>
        </w:rPr>
        <w:t xml:space="preserve">See </w:t>
      </w:r>
      <w:r w:rsidRPr="008F5779">
        <w:rPr>
          <w:rFonts w:ascii="Times New Roman" w:hAnsi="Times New Roman" w:cs="Times New Roman"/>
          <w:sz w:val="28"/>
          <w:szCs w:val="28"/>
        </w:rPr>
        <w:t xml:space="preserve">A.R.S. </w:t>
      </w:r>
      <w:r w:rsidRPr="006358EF">
        <w:rPr>
          <w:rFonts w:ascii="Times New Roman" w:hAnsi="Times New Roman" w:cs="Times New Roman"/>
          <w:color w:val="000000"/>
          <w:sz w:val="28"/>
          <w:szCs w:val="28"/>
        </w:rPr>
        <w:t>§</w:t>
      </w:r>
      <w:r w:rsidRPr="008F5779">
        <w:rPr>
          <w:rFonts w:ascii="Times New Roman" w:hAnsi="Times New Roman" w:cs="Times New Roman"/>
          <w:color w:val="000000"/>
          <w:sz w:val="28"/>
          <w:szCs w:val="28"/>
        </w:rPr>
        <w:t xml:space="preserve"> 33-1368(A)(2). Five days is commonly insufficient for a tenant with a disability to resolve a disability-related lapse in income from </w:t>
      </w:r>
      <w:r w:rsidR="003007B1">
        <w:rPr>
          <w:rFonts w:ascii="Times New Roman" w:hAnsi="Times New Roman" w:cs="Times New Roman"/>
          <w:color w:val="000000"/>
          <w:sz w:val="28"/>
          <w:szCs w:val="28"/>
        </w:rPr>
        <w:t xml:space="preserve">either </w:t>
      </w:r>
      <w:r w:rsidRPr="008F5779">
        <w:rPr>
          <w:rFonts w:ascii="Times New Roman" w:hAnsi="Times New Roman" w:cs="Times New Roman"/>
          <w:color w:val="000000"/>
          <w:sz w:val="28"/>
          <w:szCs w:val="28"/>
        </w:rPr>
        <w:t xml:space="preserve">benefits or employment. </w:t>
      </w:r>
      <w:r w:rsidR="00F0730A">
        <w:rPr>
          <w:rFonts w:ascii="Times New Roman" w:hAnsi="Times New Roman" w:cs="Times New Roman"/>
          <w:color w:val="000000"/>
          <w:sz w:val="28"/>
          <w:szCs w:val="28"/>
        </w:rPr>
        <w:t>Tenants</w:t>
      </w:r>
      <w:r w:rsidRPr="008F5779">
        <w:rPr>
          <w:rFonts w:ascii="Times New Roman" w:hAnsi="Times New Roman" w:cs="Times New Roman"/>
          <w:color w:val="000000"/>
          <w:sz w:val="28"/>
          <w:szCs w:val="28"/>
        </w:rPr>
        <w:t xml:space="preserve"> with disabilities may be hospitalized or otherwise incapacitated for the entire five-day cure period. In contrast, when the CARES Act is properly enforced as to covered properties, a disabled tenant has a </w:t>
      </w:r>
      <w:r w:rsidR="00857497">
        <w:rPr>
          <w:rFonts w:ascii="Times New Roman" w:hAnsi="Times New Roman" w:cs="Times New Roman"/>
          <w:color w:val="000000"/>
          <w:sz w:val="28"/>
          <w:szCs w:val="28"/>
        </w:rPr>
        <w:t>realistic</w:t>
      </w:r>
      <w:r w:rsidRPr="008F5779">
        <w:rPr>
          <w:rFonts w:ascii="Times New Roman" w:hAnsi="Times New Roman" w:cs="Times New Roman"/>
          <w:color w:val="000000"/>
          <w:sz w:val="28"/>
          <w:szCs w:val="28"/>
        </w:rPr>
        <w:t xml:space="preserve"> shot at remedying a lapse of income due to the </w:t>
      </w:r>
      <w:r w:rsidR="00F0730A">
        <w:rPr>
          <w:rFonts w:ascii="Times New Roman" w:hAnsi="Times New Roman" w:cs="Times New Roman"/>
          <w:color w:val="000000"/>
          <w:sz w:val="28"/>
          <w:szCs w:val="28"/>
        </w:rPr>
        <w:t xml:space="preserve">expanded protections provided by the </w:t>
      </w:r>
      <w:r w:rsidRPr="008F5779">
        <w:rPr>
          <w:rFonts w:ascii="Times New Roman" w:hAnsi="Times New Roman" w:cs="Times New Roman"/>
          <w:color w:val="000000"/>
          <w:sz w:val="28"/>
          <w:szCs w:val="28"/>
        </w:rPr>
        <w:t>CARES Act</w:t>
      </w:r>
      <w:r w:rsidR="007A7ABA">
        <w:rPr>
          <w:rFonts w:ascii="Times New Roman" w:hAnsi="Times New Roman" w:cs="Times New Roman"/>
          <w:color w:val="000000"/>
          <w:sz w:val="28"/>
          <w:szCs w:val="28"/>
        </w:rPr>
        <w:t xml:space="preserve"> notice provision</w:t>
      </w:r>
      <w:r w:rsidRPr="008F5779">
        <w:rPr>
          <w:rFonts w:ascii="Times New Roman" w:hAnsi="Times New Roman" w:cs="Times New Roman"/>
          <w:color w:val="000000"/>
          <w:sz w:val="28"/>
          <w:szCs w:val="28"/>
        </w:rPr>
        <w:t xml:space="preserve">. </w:t>
      </w:r>
    </w:p>
    <w:p w14:paraId="1CDB51A4" w14:textId="000E1523" w:rsidR="00F0730A" w:rsidRDefault="00737947" w:rsidP="00F0730A">
      <w:pPr>
        <w:spacing w:line="480" w:lineRule="auto"/>
        <w:ind w:firstLine="720"/>
        <w:contextualSpacing/>
        <w:jc w:val="both"/>
        <w:rPr>
          <w:rFonts w:ascii="Times New Roman" w:hAnsi="Times New Roman" w:cs="Times New Roman"/>
          <w:color w:val="000000"/>
          <w:sz w:val="28"/>
          <w:szCs w:val="28"/>
        </w:rPr>
      </w:pPr>
      <w:r w:rsidRPr="008F5779">
        <w:rPr>
          <w:rFonts w:ascii="Times New Roman" w:hAnsi="Times New Roman" w:cs="Times New Roman"/>
          <w:color w:val="000000"/>
          <w:sz w:val="28"/>
          <w:szCs w:val="28"/>
        </w:rPr>
        <w:t xml:space="preserve">Tenants with disabilities also routinely face eviction for alleged noncompliance with a lease agreement even when current on rent. Tenants who rely on service animals or emotional support animals are routinely sued for eviction when landlords </w:t>
      </w:r>
      <w:r w:rsidRPr="008F5779">
        <w:rPr>
          <w:rFonts w:ascii="Times New Roman" w:hAnsi="Times New Roman" w:cs="Times New Roman"/>
          <w:color w:val="000000"/>
          <w:sz w:val="28"/>
          <w:szCs w:val="28"/>
        </w:rPr>
        <w:lastRenderedPageBreak/>
        <w:t xml:space="preserve">misunderstand </w:t>
      </w:r>
      <w:r w:rsidR="00857497">
        <w:rPr>
          <w:rFonts w:ascii="Times New Roman" w:hAnsi="Times New Roman" w:cs="Times New Roman"/>
          <w:color w:val="000000"/>
          <w:sz w:val="28"/>
          <w:szCs w:val="28"/>
        </w:rPr>
        <w:t xml:space="preserve">or ignore the requirements of </w:t>
      </w:r>
      <w:r w:rsidRPr="008F5779">
        <w:rPr>
          <w:rFonts w:ascii="Times New Roman" w:hAnsi="Times New Roman" w:cs="Times New Roman"/>
          <w:color w:val="000000"/>
          <w:sz w:val="28"/>
          <w:szCs w:val="28"/>
        </w:rPr>
        <w:t xml:space="preserve">the Fair Housing Act. </w:t>
      </w:r>
      <w:r w:rsidR="00F0730A">
        <w:rPr>
          <w:rFonts w:ascii="Times New Roman" w:hAnsi="Times New Roman" w:cs="Times New Roman"/>
          <w:color w:val="000000"/>
          <w:sz w:val="28"/>
          <w:szCs w:val="28"/>
        </w:rPr>
        <w:t>Tenants with mental health</w:t>
      </w:r>
      <w:r w:rsidR="00D5096D">
        <w:rPr>
          <w:rFonts w:ascii="Times New Roman" w:hAnsi="Times New Roman" w:cs="Times New Roman"/>
          <w:color w:val="000000"/>
          <w:sz w:val="28"/>
          <w:szCs w:val="28"/>
        </w:rPr>
        <w:t xml:space="preserve"> disabilities</w:t>
      </w:r>
      <w:r w:rsidR="00653F01">
        <w:rPr>
          <w:rFonts w:ascii="Times New Roman" w:hAnsi="Times New Roman" w:cs="Times New Roman"/>
          <w:color w:val="000000"/>
          <w:sz w:val="28"/>
          <w:szCs w:val="28"/>
        </w:rPr>
        <w:t>,</w:t>
      </w:r>
      <w:r w:rsidR="00F0730A">
        <w:rPr>
          <w:rFonts w:ascii="Times New Roman" w:hAnsi="Times New Roman" w:cs="Times New Roman"/>
          <w:color w:val="000000"/>
          <w:sz w:val="28"/>
          <w:szCs w:val="28"/>
        </w:rPr>
        <w:t xml:space="preserve"> or developmental disabilities</w:t>
      </w:r>
      <w:r w:rsidR="0087726D">
        <w:rPr>
          <w:rFonts w:ascii="Times New Roman" w:hAnsi="Times New Roman" w:cs="Times New Roman"/>
          <w:color w:val="000000"/>
          <w:sz w:val="28"/>
          <w:szCs w:val="28"/>
        </w:rPr>
        <w:t xml:space="preserve"> such as autism,</w:t>
      </w:r>
      <w:r w:rsidR="00F0730A">
        <w:rPr>
          <w:rFonts w:ascii="Times New Roman" w:hAnsi="Times New Roman" w:cs="Times New Roman"/>
          <w:color w:val="000000"/>
          <w:sz w:val="28"/>
          <w:szCs w:val="28"/>
        </w:rPr>
        <w:t xml:space="preserve"> that </w:t>
      </w:r>
      <w:r w:rsidR="00653F01">
        <w:rPr>
          <w:rFonts w:ascii="Times New Roman" w:hAnsi="Times New Roman" w:cs="Times New Roman"/>
          <w:color w:val="000000"/>
          <w:sz w:val="28"/>
          <w:szCs w:val="28"/>
        </w:rPr>
        <w:t xml:space="preserve">may </w:t>
      </w:r>
      <w:r w:rsidR="00F0730A">
        <w:rPr>
          <w:rFonts w:ascii="Times New Roman" w:hAnsi="Times New Roman" w:cs="Times New Roman"/>
          <w:color w:val="000000"/>
          <w:sz w:val="28"/>
          <w:szCs w:val="28"/>
        </w:rPr>
        <w:t xml:space="preserve">lead to </w:t>
      </w:r>
      <w:r w:rsidR="002B00C8">
        <w:rPr>
          <w:rFonts w:ascii="Times New Roman" w:hAnsi="Times New Roman" w:cs="Times New Roman"/>
          <w:color w:val="000000"/>
          <w:sz w:val="28"/>
          <w:szCs w:val="28"/>
        </w:rPr>
        <w:t>making noises</w:t>
      </w:r>
      <w:r w:rsidR="00F0730A">
        <w:rPr>
          <w:rFonts w:ascii="Times New Roman" w:hAnsi="Times New Roman" w:cs="Times New Roman"/>
          <w:color w:val="000000"/>
          <w:sz w:val="28"/>
          <w:szCs w:val="28"/>
        </w:rPr>
        <w:t xml:space="preserve"> face eviction for being too </w:t>
      </w:r>
      <w:r w:rsidR="002B00C8">
        <w:rPr>
          <w:rFonts w:ascii="Times New Roman" w:hAnsi="Times New Roman" w:cs="Times New Roman"/>
          <w:color w:val="000000"/>
          <w:sz w:val="28"/>
          <w:szCs w:val="28"/>
        </w:rPr>
        <w:t>loud</w:t>
      </w:r>
      <w:r w:rsidR="00857497">
        <w:rPr>
          <w:rFonts w:ascii="Times New Roman" w:hAnsi="Times New Roman" w:cs="Times New Roman"/>
          <w:color w:val="000000"/>
          <w:sz w:val="28"/>
          <w:szCs w:val="28"/>
        </w:rPr>
        <w:t>.</w:t>
      </w:r>
      <w:r w:rsidR="0087726D" w:rsidRPr="00215F37">
        <w:rPr>
          <w:rStyle w:val="FootnoteReference"/>
          <w:rFonts w:ascii="Times New Roman" w:hAnsi="Times New Roman" w:cs="Times New Roman"/>
          <w:color w:val="000000"/>
          <w:sz w:val="28"/>
          <w:szCs w:val="28"/>
        </w:rPr>
        <w:footnoteReference w:id="5"/>
      </w:r>
      <w:r w:rsidR="00857497">
        <w:rPr>
          <w:rFonts w:ascii="Times New Roman" w:hAnsi="Times New Roman" w:cs="Times New Roman"/>
          <w:color w:val="000000"/>
          <w:sz w:val="28"/>
          <w:szCs w:val="28"/>
        </w:rPr>
        <w:t xml:space="preserve"> Tenants</w:t>
      </w:r>
      <w:r w:rsidR="00F0730A">
        <w:rPr>
          <w:rFonts w:ascii="Times New Roman" w:hAnsi="Times New Roman" w:cs="Times New Roman"/>
          <w:color w:val="000000"/>
          <w:sz w:val="28"/>
          <w:szCs w:val="28"/>
        </w:rPr>
        <w:t xml:space="preserve"> with disabilities may face eviction for failing to maintain landscaping or housekeeping while hospitalized or other</w:t>
      </w:r>
      <w:r w:rsidR="003007B1">
        <w:rPr>
          <w:rFonts w:ascii="Times New Roman" w:hAnsi="Times New Roman" w:cs="Times New Roman"/>
          <w:color w:val="000000"/>
          <w:sz w:val="28"/>
          <w:szCs w:val="28"/>
        </w:rPr>
        <w:t>wise</w:t>
      </w:r>
      <w:r w:rsidR="00F0730A">
        <w:rPr>
          <w:rFonts w:ascii="Times New Roman" w:hAnsi="Times New Roman" w:cs="Times New Roman"/>
          <w:color w:val="000000"/>
          <w:sz w:val="28"/>
          <w:szCs w:val="28"/>
        </w:rPr>
        <w:t xml:space="preserve"> incapacitated due to their disability. Tenants with intellectual</w:t>
      </w:r>
      <w:r w:rsidR="00857497">
        <w:rPr>
          <w:rFonts w:ascii="Times New Roman" w:hAnsi="Times New Roman" w:cs="Times New Roman"/>
          <w:color w:val="000000"/>
          <w:sz w:val="28"/>
          <w:szCs w:val="28"/>
        </w:rPr>
        <w:t xml:space="preserve"> or cognitive</w:t>
      </w:r>
      <w:r w:rsidR="00F0730A">
        <w:rPr>
          <w:rFonts w:ascii="Times New Roman" w:hAnsi="Times New Roman" w:cs="Times New Roman"/>
          <w:color w:val="000000"/>
          <w:sz w:val="28"/>
          <w:szCs w:val="28"/>
        </w:rPr>
        <w:t xml:space="preserve"> disabilities, traumatic brain injuries, or mental health disabilities </w:t>
      </w:r>
      <w:r w:rsidR="003007B1">
        <w:rPr>
          <w:rFonts w:ascii="Times New Roman" w:hAnsi="Times New Roman" w:cs="Times New Roman"/>
          <w:color w:val="000000"/>
          <w:sz w:val="28"/>
          <w:szCs w:val="28"/>
        </w:rPr>
        <w:t>regularly</w:t>
      </w:r>
      <w:r w:rsidR="00F0730A">
        <w:rPr>
          <w:rFonts w:ascii="Times New Roman" w:hAnsi="Times New Roman" w:cs="Times New Roman"/>
          <w:color w:val="000000"/>
          <w:sz w:val="28"/>
          <w:szCs w:val="28"/>
        </w:rPr>
        <w:t xml:space="preserve"> face eviction from CARES Act covered properties because of disability-related </w:t>
      </w:r>
      <w:r w:rsidR="003007B1">
        <w:rPr>
          <w:rFonts w:ascii="Times New Roman" w:hAnsi="Times New Roman" w:cs="Times New Roman"/>
          <w:color w:val="000000"/>
          <w:sz w:val="28"/>
          <w:szCs w:val="28"/>
        </w:rPr>
        <w:t>barriers</w:t>
      </w:r>
      <w:r w:rsidR="0035476B">
        <w:rPr>
          <w:rFonts w:ascii="Times New Roman" w:hAnsi="Times New Roman" w:cs="Times New Roman"/>
          <w:color w:val="000000"/>
          <w:sz w:val="28"/>
          <w:szCs w:val="28"/>
        </w:rPr>
        <w:t xml:space="preserve"> to</w:t>
      </w:r>
      <w:r w:rsidR="00F0730A">
        <w:rPr>
          <w:rFonts w:ascii="Times New Roman" w:hAnsi="Times New Roman" w:cs="Times New Roman"/>
          <w:color w:val="000000"/>
          <w:sz w:val="28"/>
          <w:szCs w:val="28"/>
        </w:rPr>
        <w:t xml:space="preserve"> complying with </w:t>
      </w:r>
      <w:r w:rsidR="00857497">
        <w:rPr>
          <w:rFonts w:ascii="Times New Roman" w:hAnsi="Times New Roman" w:cs="Times New Roman"/>
          <w:color w:val="000000"/>
          <w:sz w:val="28"/>
          <w:szCs w:val="28"/>
        </w:rPr>
        <w:t>burdensome HUD-</w:t>
      </w:r>
      <w:r w:rsidR="00F0730A">
        <w:rPr>
          <w:rFonts w:ascii="Times New Roman" w:hAnsi="Times New Roman" w:cs="Times New Roman"/>
          <w:color w:val="000000"/>
          <w:sz w:val="28"/>
          <w:szCs w:val="28"/>
        </w:rPr>
        <w:t xml:space="preserve">program reporting and recertification requirements. </w:t>
      </w:r>
    </w:p>
    <w:p w14:paraId="2436CD45" w14:textId="645AC4D1" w:rsidR="00737947" w:rsidRPr="008F5779" w:rsidRDefault="00737947" w:rsidP="00737947">
      <w:pPr>
        <w:spacing w:line="480" w:lineRule="auto"/>
        <w:contextualSpacing/>
        <w:jc w:val="both"/>
        <w:rPr>
          <w:rFonts w:ascii="Times New Roman" w:hAnsi="Times New Roman" w:cs="Times New Roman"/>
          <w:sz w:val="28"/>
          <w:szCs w:val="28"/>
        </w:rPr>
      </w:pPr>
      <w:r w:rsidRPr="008F5779">
        <w:rPr>
          <w:rFonts w:ascii="Times New Roman" w:hAnsi="Times New Roman" w:cs="Times New Roman"/>
          <w:sz w:val="28"/>
          <w:szCs w:val="28"/>
        </w:rPr>
        <w:tab/>
        <w:t xml:space="preserve">In all of these cases where tenants are evicted for reasons directly related to their disability, tenants have the right to request reasonable accommodations which may be necessary to allow for equal opportunity to </w:t>
      </w:r>
      <w:r w:rsidR="003007B1">
        <w:rPr>
          <w:rFonts w:ascii="Times New Roman" w:hAnsi="Times New Roman" w:cs="Times New Roman"/>
          <w:sz w:val="28"/>
          <w:szCs w:val="28"/>
        </w:rPr>
        <w:t>remain housed</w:t>
      </w:r>
      <w:r w:rsidRPr="008F5779">
        <w:rPr>
          <w:rFonts w:ascii="Times New Roman" w:hAnsi="Times New Roman" w:cs="Times New Roman"/>
          <w:sz w:val="28"/>
          <w:szCs w:val="28"/>
        </w:rPr>
        <w:t>.</w:t>
      </w:r>
      <w:r w:rsidRPr="008F5779">
        <w:rPr>
          <w:rStyle w:val="FootnoteReference"/>
          <w:rFonts w:ascii="Times New Roman" w:hAnsi="Times New Roman" w:cs="Times New Roman"/>
          <w:sz w:val="28"/>
          <w:szCs w:val="28"/>
        </w:rPr>
        <w:footnoteReference w:id="6"/>
      </w:r>
      <w:r w:rsidRPr="008F5779">
        <w:rPr>
          <w:rFonts w:ascii="Times New Roman" w:hAnsi="Times New Roman" w:cs="Times New Roman"/>
          <w:sz w:val="28"/>
          <w:szCs w:val="28"/>
        </w:rPr>
        <w:t xml:space="preserve"> Tenants also have the right to assert a reasonable accommodation defense in eviction court.</w:t>
      </w:r>
      <w:r w:rsidRPr="008F5779">
        <w:rPr>
          <w:rStyle w:val="FootnoteReference"/>
          <w:rFonts w:ascii="Times New Roman" w:hAnsi="Times New Roman" w:cs="Times New Roman"/>
          <w:sz w:val="28"/>
          <w:szCs w:val="28"/>
        </w:rPr>
        <w:footnoteReference w:id="7"/>
      </w:r>
      <w:r w:rsidRPr="008F5779">
        <w:rPr>
          <w:rFonts w:ascii="Times New Roman" w:hAnsi="Times New Roman" w:cs="Times New Roman"/>
          <w:sz w:val="28"/>
          <w:szCs w:val="28"/>
        </w:rPr>
        <w:t xml:space="preserve"> However, because of the summary nature of eviction proceedings and the lack of attorney representation of tenants, these viable defenses are commonly not raised, leading </w:t>
      </w:r>
      <w:r w:rsidR="00F0730A">
        <w:rPr>
          <w:rFonts w:ascii="Times New Roman" w:hAnsi="Times New Roman" w:cs="Times New Roman"/>
          <w:sz w:val="28"/>
          <w:szCs w:val="28"/>
        </w:rPr>
        <w:t xml:space="preserve">many </w:t>
      </w:r>
      <w:r w:rsidRPr="008F5779">
        <w:rPr>
          <w:rFonts w:ascii="Times New Roman" w:hAnsi="Times New Roman" w:cs="Times New Roman"/>
          <w:sz w:val="28"/>
          <w:szCs w:val="28"/>
        </w:rPr>
        <w:t xml:space="preserve">tenants with disabilities to be </w:t>
      </w:r>
      <w:r w:rsidR="00F0730A">
        <w:rPr>
          <w:rFonts w:ascii="Times New Roman" w:hAnsi="Times New Roman" w:cs="Times New Roman"/>
          <w:sz w:val="28"/>
          <w:szCs w:val="28"/>
        </w:rPr>
        <w:t>unnecessarily evicted</w:t>
      </w:r>
      <w:r w:rsidRPr="008F5779">
        <w:rPr>
          <w:rFonts w:ascii="Times New Roman" w:hAnsi="Times New Roman" w:cs="Times New Roman"/>
          <w:sz w:val="28"/>
          <w:szCs w:val="28"/>
        </w:rPr>
        <w:t xml:space="preserve"> and frequently rendered unhoused.</w:t>
      </w:r>
      <w:r w:rsidRPr="008F5779">
        <w:rPr>
          <w:rStyle w:val="FootnoteReference"/>
          <w:rFonts w:ascii="Times New Roman" w:hAnsi="Times New Roman" w:cs="Times New Roman"/>
          <w:sz w:val="28"/>
          <w:szCs w:val="28"/>
        </w:rPr>
        <w:footnoteReference w:id="8"/>
      </w:r>
      <w:r w:rsidRPr="008F5779">
        <w:rPr>
          <w:rFonts w:ascii="Times New Roman" w:hAnsi="Times New Roman" w:cs="Times New Roman"/>
          <w:sz w:val="28"/>
          <w:szCs w:val="28"/>
        </w:rPr>
        <w:t xml:space="preserve"> </w:t>
      </w:r>
    </w:p>
    <w:p w14:paraId="0F0C156D" w14:textId="48C886E6" w:rsidR="00737947" w:rsidRDefault="00737947" w:rsidP="00F0730A">
      <w:pPr>
        <w:spacing w:line="480" w:lineRule="auto"/>
        <w:ind w:firstLine="720"/>
        <w:contextualSpacing/>
        <w:jc w:val="both"/>
        <w:rPr>
          <w:rFonts w:ascii="Times New Roman" w:hAnsi="Times New Roman" w:cs="Times New Roman"/>
          <w:sz w:val="28"/>
          <w:szCs w:val="28"/>
        </w:rPr>
      </w:pPr>
      <w:r w:rsidRPr="008F5779">
        <w:rPr>
          <w:rFonts w:ascii="Times New Roman" w:hAnsi="Times New Roman" w:cs="Times New Roman"/>
          <w:sz w:val="28"/>
          <w:szCs w:val="28"/>
        </w:rPr>
        <w:lastRenderedPageBreak/>
        <w:t xml:space="preserve">When the CARES Act notice requirement is </w:t>
      </w:r>
      <w:r w:rsidR="00AE57EF">
        <w:rPr>
          <w:rFonts w:ascii="Times New Roman" w:hAnsi="Times New Roman" w:cs="Times New Roman"/>
          <w:sz w:val="28"/>
          <w:szCs w:val="28"/>
        </w:rPr>
        <w:t>properly</w:t>
      </w:r>
      <w:r w:rsidRPr="008F5779">
        <w:rPr>
          <w:rFonts w:ascii="Times New Roman" w:hAnsi="Times New Roman" w:cs="Times New Roman"/>
          <w:sz w:val="28"/>
          <w:szCs w:val="28"/>
        </w:rPr>
        <w:t xml:space="preserve"> enforced, individuals with disabilities face much better prospects of curing alleged lease violations that are related to tenants’ disabilities. Tenants have additional time to request reasonable accommodations that may be sufficient to cure a lease violation, for example additional time to perform landscaping</w:t>
      </w:r>
      <w:r w:rsidR="00625015">
        <w:rPr>
          <w:rFonts w:ascii="Times New Roman" w:hAnsi="Times New Roman" w:cs="Times New Roman"/>
          <w:sz w:val="28"/>
          <w:szCs w:val="28"/>
        </w:rPr>
        <w:t xml:space="preserve"> </w:t>
      </w:r>
      <w:r w:rsidR="00D56B3F">
        <w:rPr>
          <w:rFonts w:ascii="Times New Roman" w:hAnsi="Times New Roman" w:cs="Times New Roman"/>
          <w:sz w:val="28"/>
          <w:szCs w:val="28"/>
        </w:rPr>
        <w:t xml:space="preserve">or housekeeping requirements, to request housekeeping services from a social service agency, </w:t>
      </w:r>
      <w:r w:rsidR="00625015">
        <w:rPr>
          <w:rFonts w:ascii="Times New Roman" w:hAnsi="Times New Roman" w:cs="Times New Roman"/>
          <w:sz w:val="28"/>
          <w:szCs w:val="28"/>
        </w:rPr>
        <w:t xml:space="preserve">or </w:t>
      </w:r>
      <w:r w:rsidR="00D56B3F">
        <w:rPr>
          <w:rFonts w:ascii="Times New Roman" w:hAnsi="Times New Roman" w:cs="Times New Roman"/>
          <w:sz w:val="28"/>
          <w:szCs w:val="28"/>
        </w:rPr>
        <w:t>to install soundproofing measures</w:t>
      </w:r>
      <w:r w:rsidR="00625015">
        <w:rPr>
          <w:rFonts w:ascii="Times New Roman" w:hAnsi="Times New Roman" w:cs="Times New Roman"/>
          <w:sz w:val="28"/>
          <w:szCs w:val="28"/>
        </w:rPr>
        <w:t>.</w:t>
      </w:r>
      <w:r w:rsidRPr="008F5779">
        <w:rPr>
          <w:rFonts w:ascii="Times New Roman" w:hAnsi="Times New Roman" w:cs="Times New Roman"/>
          <w:sz w:val="28"/>
          <w:szCs w:val="28"/>
        </w:rPr>
        <w:t xml:space="preserve"> Even without requesting a reasonable accommodation, the 30-day cure period imposed on covered properties </w:t>
      </w:r>
      <w:r w:rsidR="00625015">
        <w:rPr>
          <w:rFonts w:ascii="Times New Roman" w:hAnsi="Times New Roman" w:cs="Times New Roman"/>
          <w:sz w:val="28"/>
          <w:szCs w:val="28"/>
        </w:rPr>
        <w:t xml:space="preserve">by the CARES Act notice provision </w:t>
      </w:r>
      <w:r w:rsidRPr="008F5779">
        <w:rPr>
          <w:rFonts w:ascii="Times New Roman" w:hAnsi="Times New Roman" w:cs="Times New Roman"/>
          <w:sz w:val="28"/>
          <w:szCs w:val="28"/>
        </w:rPr>
        <w:t xml:space="preserve">may allow a tenant who is hospitalized or incapacitated </w:t>
      </w:r>
      <w:r w:rsidR="0035476B">
        <w:rPr>
          <w:rFonts w:ascii="Times New Roman" w:hAnsi="Times New Roman" w:cs="Times New Roman"/>
          <w:sz w:val="28"/>
          <w:szCs w:val="28"/>
        </w:rPr>
        <w:t xml:space="preserve">sufficient </w:t>
      </w:r>
      <w:r w:rsidRPr="008F5779">
        <w:rPr>
          <w:rFonts w:ascii="Times New Roman" w:hAnsi="Times New Roman" w:cs="Times New Roman"/>
          <w:sz w:val="28"/>
          <w:szCs w:val="28"/>
        </w:rPr>
        <w:t>time to obtain assistance from family, friends, or social services providers to cure a lease violation. And even if the lease violation cannot in a particular circumstance be cured, the 30-day period allows tenants with disabilities a chance to salvage their belongings</w:t>
      </w:r>
      <w:r w:rsidR="00857497">
        <w:rPr>
          <w:rFonts w:ascii="Times New Roman" w:hAnsi="Times New Roman" w:cs="Times New Roman"/>
          <w:sz w:val="28"/>
          <w:szCs w:val="28"/>
        </w:rPr>
        <w:t xml:space="preserve">, vacate, </w:t>
      </w:r>
      <w:r w:rsidRPr="008F5779">
        <w:rPr>
          <w:rFonts w:ascii="Times New Roman" w:hAnsi="Times New Roman" w:cs="Times New Roman"/>
          <w:sz w:val="28"/>
          <w:szCs w:val="28"/>
        </w:rPr>
        <w:t xml:space="preserve">and </w:t>
      </w:r>
      <w:r w:rsidR="00857497">
        <w:rPr>
          <w:rFonts w:ascii="Times New Roman" w:hAnsi="Times New Roman" w:cs="Times New Roman"/>
          <w:sz w:val="28"/>
          <w:szCs w:val="28"/>
        </w:rPr>
        <w:t>locate</w:t>
      </w:r>
      <w:r w:rsidRPr="008F5779">
        <w:rPr>
          <w:rFonts w:ascii="Times New Roman" w:hAnsi="Times New Roman" w:cs="Times New Roman"/>
          <w:sz w:val="28"/>
          <w:szCs w:val="28"/>
        </w:rPr>
        <w:t xml:space="preserve"> alternative housing without facing </w:t>
      </w:r>
      <w:r w:rsidR="00857497">
        <w:rPr>
          <w:rFonts w:ascii="Times New Roman" w:hAnsi="Times New Roman" w:cs="Times New Roman"/>
          <w:sz w:val="28"/>
          <w:szCs w:val="28"/>
        </w:rPr>
        <w:t>a judicial action for eviction</w:t>
      </w:r>
      <w:r w:rsidRPr="008F5779">
        <w:rPr>
          <w:rFonts w:ascii="Times New Roman" w:hAnsi="Times New Roman" w:cs="Times New Roman"/>
          <w:sz w:val="28"/>
          <w:szCs w:val="28"/>
        </w:rPr>
        <w:t xml:space="preserve"> and the collateral consequences of a judgment of eviction. </w:t>
      </w:r>
    </w:p>
    <w:p w14:paraId="713AE0DE" w14:textId="1EA1D4C9" w:rsidR="00151D03" w:rsidRDefault="00151D03" w:rsidP="00857497">
      <w:pPr>
        <w:pStyle w:val="ListParagraph"/>
        <w:numPr>
          <w:ilvl w:val="0"/>
          <w:numId w:val="10"/>
        </w:numPr>
        <w:spacing w:after="0" w:line="240" w:lineRule="auto"/>
        <w:jc w:val="both"/>
        <w:rPr>
          <w:rFonts w:ascii="Times New Roman" w:hAnsi="Times New Roman" w:cs="Times New Roman"/>
          <w:b/>
          <w:bCs/>
          <w:sz w:val="28"/>
          <w:szCs w:val="28"/>
        </w:rPr>
      </w:pPr>
      <w:r w:rsidRPr="008F5779">
        <w:rPr>
          <w:rFonts w:ascii="Times New Roman" w:hAnsi="Times New Roman" w:cs="Times New Roman"/>
          <w:b/>
          <w:bCs/>
          <w:sz w:val="28"/>
          <w:szCs w:val="28"/>
        </w:rPr>
        <w:t xml:space="preserve">The alternative interpretation of the CARES Act notice provision adopted by some Justice Courts in Arizona is </w:t>
      </w:r>
      <w:r w:rsidR="009F2680">
        <w:rPr>
          <w:rFonts w:ascii="Times New Roman" w:hAnsi="Times New Roman" w:cs="Times New Roman"/>
          <w:b/>
          <w:bCs/>
          <w:sz w:val="28"/>
          <w:szCs w:val="28"/>
        </w:rPr>
        <w:t>not consistent with the</w:t>
      </w:r>
      <w:r w:rsidRPr="008F5779">
        <w:rPr>
          <w:rFonts w:ascii="Times New Roman" w:hAnsi="Times New Roman" w:cs="Times New Roman"/>
          <w:b/>
          <w:bCs/>
          <w:sz w:val="28"/>
          <w:szCs w:val="28"/>
        </w:rPr>
        <w:t xml:space="preserve"> plain </w:t>
      </w:r>
      <w:r w:rsidR="009F2680">
        <w:rPr>
          <w:rFonts w:ascii="Times New Roman" w:hAnsi="Times New Roman" w:cs="Times New Roman"/>
          <w:b/>
          <w:bCs/>
          <w:sz w:val="28"/>
          <w:szCs w:val="28"/>
        </w:rPr>
        <w:t>meaning</w:t>
      </w:r>
      <w:r w:rsidRPr="008F5779">
        <w:rPr>
          <w:rFonts w:ascii="Times New Roman" w:hAnsi="Times New Roman" w:cs="Times New Roman"/>
          <w:b/>
          <w:bCs/>
          <w:sz w:val="28"/>
          <w:szCs w:val="28"/>
        </w:rPr>
        <w:t xml:space="preserve"> of the statute. </w:t>
      </w:r>
    </w:p>
    <w:p w14:paraId="1E8A73A1" w14:textId="77777777" w:rsidR="00857497" w:rsidRPr="00857497" w:rsidRDefault="00857497" w:rsidP="00857497">
      <w:pPr>
        <w:pStyle w:val="ListParagraph"/>
        <w:spacing w:after="0" w:line="240" w:lineRule="auto"/>
        <w:ind w:left="1080"/>
        <w:jc w:val="both"/>
        <w:rPr>
          <w:rFonts w:ascii="Times New Roman" w:hAnsi="Times New Roman" w:cs="Times New Roman"/>
          <w:b/>
          <w:bCs/>
          <w:sz w:val="28"/>
          <w:szCs w:val="28"/>
        </w:rPr>
      </w:pPr>
    </w:p>
    <w:p w14:paraId="65130E1D" w14:textId="3CC4F224" w:rsidR="001E7549" w:rsidRDefault="00857497" w:rsidP="001E7549">
      <w:pPr>
        <w:spacing w:line="480" w:lineRule="auto"/>
        <w:ind w:firstLine="720"/>
        <w:contextualSpacing/>
        <w:jc w:val="both"/>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The Maricopa Justice of the Peace Bench commented that it does not interpret the CARES Act notice provision to preclude the filing of an eviction action until the 30-day </w:t>
      </w:r>
      <w:r w:rsidR="00215F37">
        <w:rPr>
          <w:rFonts w:ascii="Times New Roman" w:hAnsi="Times New Roman" w:cs="Times New Roman"/>
          <w:color w:val="000000"/>
          <w:sz w:val="28"/>
          <w:szCs w:val="28"/>
          <w:bdr w:val="none" w:sz="0" w:space="0" w:color="auto" w:frame="1"/>
          <w:shd w:val="clear" w:color="auto" w:fill="FFFFFF"/>
        </w:rPr>
        <w:t xml:space="preserve">notice </w:t>
      </w:r>
      <w:r>
        <w:rPr>
          <w:rFonts w:ascii="Times New Roman" w:hAnsi="Times New Roman" w:cs="Times New Roman"/>
          <w:color w:val="000000"/>
          <w:sz w:val="28"/>
          <w:szCs w:val="28"/>
          <w:bdr w:val="none" w:sz="0" w:space="0" w:color="auto" w:frame="1"/>
          <w:shd w:val="clear" w:color="auto" w:fill="FFFFFF"/>
        </w:rPr>
        <w:t xml:space="preserve">period expires. Instead, they have interpreted the notice provision as merely requiring </w:t>
      </w:r>
      <w:r w:rsidR="00CE3DE2">
        <w:rPr>
          <w:rFonts w:ascii="Times New Roman" w:hAnsi="Times New Roman" w:cs="Times New Roman"/>
          <w:color w:val="000000"/>
          <w:sz w:val="28"/>
          <w:szCs w:val="28"/>
          <w:bdr w:val="none" w:sz="0" w:space="0" w:color="auto" w:frame="1"/>
          <w:shd w:val="clear" w:color="auto" w:fill="FFFFFF"/>
        </w:rPr>
        <w:t xml:space="preserve">the </w:t>
      </w:r>
      <w:r w:rsidR="002B00C8">
        <w:rPr>
          <w:rFonts w:ascii="Times New Roman" w:hAnsi="Times New Roman" w:cs="Times New Roman"/>
          <w:color w:val="000000"/>
          <w:sz w:val="28"/>
          <w:szCs w:val="28"/>
          <w:bdr w:val="none" w:sz="0" w:space="0" w:color="auto" w:frame="1"/>
          <w:shd w:val="clear" w:color="auto" w:fill="FFFFFF"/>
        </w:rPr>
        <w:t xml:space="preserve">eviction </w:t>
      </w:r>
      <w:r w:rsidR="00CE3DE2">
        <w:rPr>
          <w:rFonts w:ascii="Times New Roman" w:hAnsi="Times New Roman" w:cs="Times New Roman"/>
          <w:color w:val="000000"/>
          <w:sz w:val="28"/>
          <w:szCs w:val="28"/>
          <w:bdr w:val="none" w:sz="0" w:space="0" w:color="auto" w:frame="1"/>
          <w:shd w:val="clear" w:color="auto" w:fill="FFFFFF"/>
        </w:rPr>
        <w:t xml:space="preserve">court to </w:t>
      </w:r>
      <w:r>
        <w:rPr>
          <w:rFonts w:ascii="Times New Roman" w:hAnsi="Times New Roman" w:cs="Times New Roman"/>
          <w:color w:val="000000"/>
          <w:sz w:val="28"/>
          <w:szCs w:val="28"/>
          <w:bdr w:val="none" w:sz="0" w:space="0" w:color="auto" w:frame="1"/>
          <w:shd w:val="clear" w:color="auto" w:fill="FFFFFF"/>
        </w:rPr>
        <w:t>postpon</w:t>
      </w:r>
      <w:r w:rsidR="00CE3DE2">
        <w:rPr>
          <w:rFonts w:ascii="Times New Roman" w:hAnsi="Times New Roman" w:cs="Times New Roman"/>
          <w:color w:val="000000"/>
          <w:sz w:val="28"/>
          <w:szCs w:val="28"/>
          <w:bdr w:val="none" w:sz="0" w:space="0" w:color="auto" w:frame="1"/>
          <w:shd w:val="clear" w:color="auto" w:fill="FFFFFF"/>
        </w:rPr>
        <w:t>e issuance</w:t>
      </w:r>
      <w:r>
        <w:rPr>
          <w:rFonts w:ascii="Times New Roman" w:hAnsi="Times New Roman" w:cs="Times New Roman"/>
          <w:color w:val="000000"/>
          <w:sz w:val="28"/>
          <w:szCs w:val="28"/>
          <w:bdr w:val="none" w:sz="0" w:space="0" w:color="auto" w:frame="1"/>
          <w:shd w:val="clear" w:color="auto" w:fill="FFFFFF"/>
        </w:rPr>
        <w:t xml:space="preserve"> of </w:t>
      </w:r>
      <w:r w:rsidR="0035476B">
        <w:rPr>
          <w:rFonts w:ascii="Times New Roman" w:hAnsi="Times New Roman" w:cs="Times New Roman"/>
          <w:color w:val="000000"/>
          <w:sz w:val="28"/>
          <w:szCs w:val="28"/>
          <w:bdr w:val="none" w:sz="0" w:space="0" w:color="auto" w:frame="1"/>
          <w:shd w:val="clear" w:color="auto" w:fill="FFFFFF"/>
        </w:rPr>
        <w:t>a</w:t>
      </w:r>
      <w:r>
        <w:rPr>
          <w:rFonts w:ascii="Times New Roman" w:hAnsi="Times New Roman" w:cs="Times New Roman"/>
          <w:color w:val="000000"/>
          <w:sz w:val="28"/>
          <w:szCs w:val="28"/>
          <w:bdr w:val="none" w:sz="0" w:space="0" w:color="auto" w:frame="1"/>
          <w:shd w:val="clear" w:color="auto" w:fill="FFFFFF"/>
        </w:rPr>
        <w:t xml:space="preserve"> writ of restitution, </w:t>
      </w:r>
      <w:r w:rsidR="00CE3DE2">
        <w:rPr>
          <w:rFonts w:ascii="Times New Roman" w:hAnsi="Times New Roman" w:cs="Times New Roman"/>
          <w:color w:val="000000"/>
          <w:sz w:val="28"/>
          <w:szCs w:val="28"/>
          <w:bdr w:val="none" w:sz="0" w:space="0" w:color="auto" w:frame="1"/>
          <w:shd w:val="clear" w:color="auto" w:fill="FFFFFF"/>
        </w:rPr>
        <w:t>the</w:t>
      </w:r>
      <w:r>
        <w:rPr>
          <w:rFonts w:ascii="Times New Roman" w:hAnsi="Times New Roman" w:cs="Times New Roman"/>
          <w:color w:val="000000"/>
          <w:sz w:val="28"/>
          <w:szCs w:val="28"/>
          <w:bdr w:val="none" w:sz="0" w:space="0" w:color="auto" w:frame="1"/>
          <w:shd w:val="clear" w:color="auto" w:fill="FFFFFF"/>
        </w:rPr>
        <w:t xml:space="preserve"> formal order from a court to a constable to have a tenant physically evicted from their property. </w:t>
      </w:r>
      <w:r w:rsidR="002B00C8">
        <w:rPr>
          <w:rFonts w:ascii="Times New Roman" w:hAnsi="Times New Roman" w:cs="Times New Roman"/>
          <w:color w:val="000000"/>
          <w:sz w:val="28"/>
          <w:szCs w:val="28"/>
          <w:bdr w:val="none" w:sz="0" w:space="0" w:color="auto" w:frame="1"/>
          <w:shd w:val="clear" w:color="auto" w:fill="FFFFFF"/>
        </w:rPr>
        <w:t xml:space="preserve">That bench therefore </w:t>
      </w:r>
      <w:r w:rsidR="00004BF5">
        <w:rPr>
          <w:rFonts w:ascii="Times New Roman" w:hAnsi="Times New Roman" w:cs="Times New Roman"/>
          <w:color w:val="000000"/>
          <w:sz w:val="28"/>
          <w:szCs w:val="28"/>
          <w:bdr w:val="none" w:sz="0" w:space="0" w:color="auto" w:frame="1"/>
          <w:shd w:val="clear" w:color="auto" w:fill="FFFFFF"/>
        </w:rPr>
        <w:t xml:space="preserve">currently </w:t>
      </w:r>
      <w:r w:rsidR="002B00C8">
        <w:rPr>
          <w:rFonts w:ascii="Times New Roman" w:hAnsi="Times New Roman" w:cs="Times New Roman"/>
          <w:color w:val="000000"/>
          <w:sz w:val="28"/>
          <w:szCs w:val="28"/>
          <w:bdr w:val="none" w:sz="0" w:space="0" w:color="auto" w:frame="1"/>
          <w:shd w:val="clear" w:color="auto" w:fill="FFFFFF"/>
        </w:rPr>
        <w:t xml:space="preserve">allows landlords to file judicial actions for evictions from </w:t>
      </w:r>
      <w:r w:rsidR="002B00C8">
        <w:rPr>
          <w:rFonts w:ascii="Times New Roman" w:hAnsi="Times New Roman" w:cs="Times New Roman"/>
          <w:color w:val="000000"/>
          <w:sz w:val="28"/>
          <w:szCs w:val="28"/>
          <w:bdr w:val="none" w:sz="0" w:space="0" w:color="auto" w:frame="1"/>
          <w:shd w:val="clear" w:color="auto" w:fill="FFFFFF"/>
        </w:rPr>
        <w:lastRenderedPageBreak/>
        <w:t>covered properties before expiration of a 30-day notice</w:t>
      </w:r>
      <w:r w:rsidR="007A7ABA">
        <w:rPr>
          <w:rFonts w:ascii="Times New Roman" w:hAnsi="Times New Roman" w:cs="Times New Roman"/>
          <w:color w:val="000000"/>
          <w:sz w:val="28"/>
          <w:szCs w:val="28"/>
          <w:bdr w:val="none" w:sz="0" w:space="0" w:color="auto" w:frame="1"/>
          <w:shd w:val="clear" w:color="auto" w:fill="FFFFFF"/>
        </w:rPr>
        <w:t xml:space="preserve"> period</w:t>
      </w:r>
      <w:r w:rsidR="002B00C8">
        <w:rPr>
          <w:rFonts w:ascii="Times New Roman" w:hAnsi="Times New Roman" w:cs="Times New Roman"/>
          <w:color w:val="000000"/>
          <w:sz w:val="28"/>
          <w:szCs w:val="28"/>
          <w:bdr w:val="none" w:sz="0" w:space="0" w:color="auto" w:frame="1"/>
          <w:shd w:val="clear" w:color="auto" w:fill="FFFFFF"/>
        </w:rPr>
        <w:t xml:space="preserve">. </w:t>
      </w:r>
      <w:r w:rsidR="001E7549">
        <w:rPr>
          <w:rFonts w:ascii="Times New Roman" w:hAnsi="Times New Roman" w:cs="Times New Roman"/>
          <w:sz w:val="28"/>
          <w:szCs w:val="28"/>
        </w:rPr>
        <w:t xml:space="preserve">This </w:t>
      </w:r>
      <w:r w:rsidR="002B00C8">
        <w:rPr>
          <w:rFonts w:ascii="Times New Roman" w:hAnsi="Times New Roman" w:cs="Times New Roman"/>
          <w:sz w:val="28"/>
          <w:szCs w:val="28"/>
        </w:rPr>
        <w:t>practice</w:t>
      </w:r>
      <w:r w:rsidR="001E7549">
        <w:rPr>
          <w:rFonts w:ascii="Times New Roman" w:hAnsi="Times New Roman" w:cs="Times New Roman"/>
          <w:sz w:val="28"/>
          <w:szCs w:val="28"/>
        </w:rPr>
        <w:t xml:space="preserve"> </w:t>
      </w:r>
      <w:r w:rsidR="001E7549" w:rsidRPr="008F5779">
        <w:rPr>
          <w:rFonts w:ascii="Times New Roman" w:hAnsi="Times New Roman" w:cs="Times New Roman"/>
          <w:sz w:val="28"/>
          <w:szCs w:val="28"/>
        </w:rPr>
        <w:t>is contrary to the plain meaning of the CARES Act notice provision.</w:t>
      </w:r>
      <w:r w:rsidR="001E7549" w:rsidRPr="002B00C8">
        <w:rPr>
          <w:rStyle w:val="FootnoteReference"/>
          <w:rFonts w:ascii="Times New Roman" w:hAnsi="Times New Roman" w:cs="Times New Roman"/>
          <w:sz w:val="28"/>
          <w:szCs w:val="28"/>
        </w:rPr>
        <w:footnoteReference w:id="9"/>
      </w:r>
      <w:r w:rsidR="001E7549" w:rsidRPr="002B00C8">
        <w:rPr>
          <w:rFonts w:ascii="Times New Roman" w:hAnsi="Times New Roman" w:cs="Times New Roman"/>
          <w:sz w:val="28"/>
          <w:szCs w:val="28"/>
        </w:rPr>
        <w:t xml:space="preserve"> </w:t>
      </w:r>
    </w:p>
    <w:p w14:paraId="52BA46DE" w14:textId="604A9DBE" w:rsidR="00CE3DE2" w:rsidRDefault="001E7549" w:rsidP="006C3B94">
      <w:pPr>
        <w:spacing w:line="480" w:lineRule="auto"/>
        <w:ind w:firstLine="720"/>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shd w:val="clear" w:color="auto" w:fill="FFFFFF"/>
        </w:rPr>
        <w:t>T</w:t>
      </w:r>
      <w:r w:rsidR="006C3B94">
        <w:rPr>
          <w:rFonts w:ascii="Times New Roman" w:hAnsi="Times New Roman" w:cs="Times New Roman"/>
          <w:color w:val="000000"/>
          <w:sz w:val="28"/>
          <w:szCs w:val="28"/>
          <w:bdr w:val="none" w:sz="0" w:space="0" w:color="auto" w:frame="1"/>
          <w:shd w:val="clear" w:color="auto" w:fill="FFFFFF"/>
        </w:rPr>
        <w:t xml:space="preserve">he CARES Act notice provision </w:t>
      </w:r>
      <w:r w:rsidR="009F2680">
        <w:rPr>
          <w:rFonts w:ascii="Times New Roman" w:hAnsi="Times New Roman" w:cs="Times New Roman"/>
          <w:color w:val="000000"/>
          <w:sz w:val="28"/>
          <w:szCs w:val="28"/>
          <w:bdr w:val="none" w:sz="0" w:space="0" w:color="auto" w:frame="1"/>
          <w:shd w:val="clear" w:color="auto" w:fill="FFFFFF"/>
        </w:rPr>
        <w:t>explicitly</w:t>
      </w:r>
      <w:r w:rsidR="006C3B94">
        <w:rPr>
          <w:rFonts w:ascii="Times New Roman" w:hAnsi="Times New Roman" w:cs="Times New Roman"/>
          <w:color w:val="000000"/>
          <w:sz w:val="28"/>
          <w:szCs w:val="28"/>
          <w:bdr w:val="none" w:sz="0" w:space="0" w:color="auto" w:frame="1"/>
          <w:shd w:val="clear" w:color="auto" w:fill="FFFFFF"/>
        </w:rPr>
        <w:t xml:space="preserve"> provides that </w:t>
      </w:r>
      <w:r w:rsidR="00215F37">
        <w:rPr>
          <w:rFonts w:ascii="Times New Roman" w:hAnsi="Times New Roman" w:cs="Times New Roman"/>
          <w:color w:val="000000"/>
          <w:sz w:val="28"/>
          <w:szCs w:val="28"/>
          <w:bdr w:val="none" w:sz="0" w:space="0" w:color="auto" w:frame="1"/>
          <w:shd w:val="clear" w:color="auto" w:fill="FFFFFF"/>
        </w:rPr>
        <w:t>the</w:t>
      </w:r>
      <w:r w:rsidR="006C3B94">
        <w:rPr>
          <w:rFonts w:ascii="Times New Roman" w:hAnsi="Times New Roman" w:cs="Times New Roman"/>
          <w:color w:val="000000"/>
          <w:sz w:val="28"/>
          <w:szCs w:val="28"/>
          <w:bdr w:val="none" w:sz="0" w:space="0" w:color="auto" w:frame="1"/>
          <w:shd w:val="clear" w:color="auto" w:fill="FFFFFF"/>
        </w:rPr>
        <w:t xml:space="preserve"> “lessor” o</w:t>
      </w:r>
      <w:r w:rsidR="00CE3DE2">
        <w:rPr>
          <w:rFonts w:ascii="Times New Roman" w:hAnsi="Times New Roman" w:cs="Times New Roman"/>
          <w:color w:val="000000"/>
          <w:sz w:val="28"/>
          <w:szCs w:val="28"/>
          <w:bdr w:val="none" w:sz="0" w:space="0" w:color="auto" w:frame="1"/>
          <w:shd w:val="clear" w:color="auto" w:fill="FFFFFF"/>
        </w:rPr>
        <w:t>f</w:t>
      </w:r>
      <w:r w:rsidR="006C3B94">
        <w:rPr>
          <w:rFonts w:ascii="Times New Roman" w:hAnsi="Times New Roman" w:cs="Times New Roman"/>
          <w:color w:val="000000"/>
          <w:sz w:val="28"/>
          <w:szCs w:val="28"/>
          <w:bdr w:val="none" w:sz="0" w:space="0" w:color="auto" w:frame="1"/>
          <w:shd w:val="clear" w:color="auto" w:fill="FFFFFF"/>
        </w:rPr>
        <w:t xml:space="preserve"> a covered property may not require a tenant to vacate until the expiration of a 30-day notice period. </w:t>
      </w:r>
      <w:r w:rsidR="00CE3DE2" w:rsidRPr="00F24E3C">
        <w:rPr>
          <w:rFonts w:ascii="Times New Roman" w:hAnsi="Times New Roman" w:cs="Times New Roman"/>
          <w:sz w:val="28"/>
          <w:szCs w:val="28"/>
        </w:rPr>
        <w:t>15 U.S.C. § 9058(c)(1)</w:t>
      </w:r>
      <w:r w:rsidR="00CE3DE2">
        <w:rPr>
          <w:rFonts w:ascii="Times New Roman" w:hAnsi="Times New Roman" w:cs="Times New Roman"/>
          <w:sz w:val="28"/>
          <w:szCs w:val="28"/>
        </w:rPr>
        <w:t xml:space="preserve">. </w:t>
      </w:r>
      <w:r w:rsidR="006C3B94">
        <w:rPr>
          <w:rFonts w:ascii="Times New Roman" w:hAnsi="Times New Roman" w:cs="Times New Roman"/>
          <w:color w:val="000000"/>
          <w:sz w:val="28"/>
          <w:szCs w:val="28"/>
          <w:bdr w:val="none" w:sz="0" w:space="0" w:color="auto" w:frame="1"/>
          <w:shd w:val="clear" w:color="auto" w:fill="FFFFFF"/>
        </w:rPr>
        <w:t xml:space="preserve">The statutory mechanism </w:t>
      </w:r>
      <w:r w:rsidR="009C7687">
        <w:rPr>
          <w:rFonts w:ascii="Times New Roman" w:hAnsi="Times New Roman" w:cs="Times New Roman"/>
          <w:color w:val="000000"/>
          <w:sz w:val="28"/>
          <w:szCs w:val="28"/>
          <w:bdr w:val="none" w:sz="0" w:space="0" w:color="auto" w:frame="1"/>
          <w:shd w:val="clear" w:color="auto" w:fill="FFFFFF"/>
        </w:rPr>
        <w:t xml:space="preserve">in Arizona </w:t>
      </w:r>
      <w:r w:rsidR="006C3B94">
        <w:rPr>
          <w:rFonts w:ascii="Times New Roman" w:hAnsi="Times New Roman" w:cs="Times New Roman"/>
          <w:color w:val="000000"/>
          <w:sz w:val="28"/>
          <w:szCs w:val="28"/>
          <w:bdr w:val="none" w:sz="0" w:space="0" w:color="auto" w:frame="1"/>
          <w:shd w:val="clear" w:color="auto" w:fill="FFFFFF"/>
        </w:rPr>
        <w:t xml:space="preserve">for </w:t>
      </w:r>
      <w:r w:rsidR="002B00C8">
        <w:rPr>
          <w:rFonts w:ascii="Times New Roman" w:hAnsi="Times New Roman" w:cs="Times New Roman"/>
          <w:color w:val="000000"/>
          <w:sz w:val="28"/>
          <w:szCs w:val="28"/>
          <w:bdr w:val="none" w:sz="0" w:space="0" w:color="auto" w:frame="1"/>
          <w:shd w:val="clear" w:color="auto" w:fill="FFFFFF"/>
        </w:rPr>
        <w:t>a</w:t>
      </w:r>
      <w:r w:rsidR="006C3B94">
        <w:rPr>
          <w:rFonts w:ascii="Times New Roman" w:hAnsi="Times New Roman" w:cs="Times New Roman"/>
          <w:color w:val="000000"/>
          <w:sz w:val="28"/>
          <w:szCs w:val="28"/>
          <w:bdr w:val="none" w:sz="0" w:space="0" w:color="auto" w:frame="1"/>
          <w:shd w:val="clear" w:color="auto" w:fill="FFFFFF"/>
        </w:rPr>
        <w:t xml:space="preserve"> lessor to require a tenant to vacate is by filing an action for eviction after giving proper notice. </w:t>
      </w:r>
      <w:r w:rsidR="003007B1">
        <w:rPr>
          <w:rFonts w:ascii="Times New Roman" w:hAnsi="Times New Roman" w:cs="Times New Roman"/>
          <w:i/>
          <w:iCs w:val="0"/>
          <w:sz w:val="28"/>
          <w:szCs w:val="28"/>
        </w:rPr>
        <w:t xml:space="preserve">See </w:t>
      </w:r>
      <w:r w:rsidR="003007B1">
        <w:rPr>
          <w:rFonts w:ascii="Times New Roman" w:hAnsi="Times New Roman" w:cs="Times New Roman"/>
          <w:sz w:val="28"/>
          <w:szCs w:val="28"/>
        </w:rPr>
        <w:t xml:space="preserve">A.R.S. </w:t>
      </w:r>
      <w:r w:rsidR="003007B1" w:rsidRPr="00F24E3C">
        <w:rPr>
          <w:rFonts w:ascii="Times New Roman" w:hAnsi="Times New Roman" w:cs="Times New Roman"/>
          <w:sz w:val="28"/>
          <w:szCs w:val="28"/>
        </w:rPr>
        <w:t>§§</w:t>
      </w:r>
      <w:r w:rsidR="003007B1">
        <w:rPr>
          <w:rFonts w:ascii="Times New Roman" w:hAnsi="Times New Roman" w:cs="Times New Roman"/>
          <w:sz w:val="28"/>
          <w:szCs w:val="28"/>
        </w:rPr>
        <w:t xml:space="preserve"> 33-1368; 33-1377. </w:t>
      </w:r>
      <w:r w:rsidR="006C3B94">
        <w:rPr>
          <w:rFonts w:ascii="Times New Roman" w:hAnsi="Times New Roman" w:cs="Times New Roman"/>
          <w:color w:val="000000"/>
          <w:sz w:val="28"/>
          <w:szCs w:val="28"/>
          <w:bdr w:val="none" w:sz="0" w:space="0" w:color="auto" w:frame="1"/>
          <w:shd w:val="clear" w:color="auto" w:fill="FFFFFF"/>
        </w:rPr>
        <w:t xml:space="preserve">The court merely enforces that requirement by issuing a writ of restitution if the landlord succeeds in its eviction lawsuit and the tenant has not already vacated. </w:t>
      </w:r>
      <w:r w:rsidR="006C3B94" w:rsidRPr="008F5779">
        <w:rPr>
          <w:rFonts w:ascii="Times New Roman" w:hAnsi="Times New Roman" w:cs="Times New Roman"/>
          <w:sz w:val="28"/>
          <w:szCs w:val="28"/>
        </w:rPr>
        <w:t xml:space="preserve">A.R.S. </w:t>
      </w:r>
      <w:r w:rsidRPr="00CB5F96">
        <w:rPr>
          <w:rFonts w:ascii="Times New Roman" w:hAnsi="Times New Roman" w:cs="Times New Roman"/>
          <w:iCs w:val="0"/>
        </w:rPr>
        <w:t>§</w:t>
      </w:r>
      <w:r>
        <w:rPr>
          <w:rFonts w:ascii="Times New Roman" w:hAnsi="Times New Roman" w:cs="Times New Roman"/>
          <w:iCs w:val="0"/>
        </w:rPr>
        <w:t xml:space="preserve"> </w:t>
      </w:r>
      <w:r w:rsidR="006C3B94" w:rsidRPr="008F5779">
        <w:rPr>
          <w:rFonts w:ascii="Times New Roman" w:hAnsi="Times New Roman" w:cs="Times New Roman"/>
          <w:sz w:val="28"/>
          <w:szCs w:val="28"/>
        </w:rPr>
        <w:t>33-1377(F) (“If the defendant is found guilty, the court shall give judgment for the plaintiff for restitution of the premises . . . and shall grant a writ of restitution”).</w:t>
      </w:r>
      <w:r w:rsidR="006C3B94">
        <w:rPr>
          <w:rFonts w:ascii="Times New Roman" w:hAnsi="Times New Roman" w:cs="Times New Roman"/>
          <w:sz w:val="28"/>
          <w:szCs w:val="28"/>
        </w:rPr>
        <w:t xml:space="preserve"> </w:t>
      </w:r>
      <w:r w:rsidR="00FD74C0">
        <w:rPr>
          <w:rFonts w:ascii="Times New Roman" w:hAnsi="Times New Roman" w:cs="Times New Roman"/>
          <w:sz w:val="28"/>
          <w:szCs w:val="28"/>
        </w:rPr>
        <w:t xml:space="preserve">Whereas a landlord requires a tenant to vacate by providing proper notice and filing an action for eviction, it is the court who issues a writ of restitution. </w:t>
      </w:r>
    </w:p>
    <w:p w14:paraId="47C71F5F" w14:textId="399B98F4" w:rsidR="009F2680" w:rsidRPr="00DE14D0" w:rsidRDefault="009F2680" w:rsidP="00FD74C0">
      <w:pPr>
        <w:widowControl/>
        <w:shd w:val="clear" w:color="auto" w:fill="FFFFFF"/>
        <w:autoSpaceDE/>
        <w:autoSpaceDN/>
        <w:adjustRightInd/>
        <w:spacing w:line="480" w:lineRule="auto"/>
        <w:ind w:firstLine="720"/>
        <w:jc w:val="both"/>
        <w:rPr>
          <w:rFonts w:ascii="Times New Roman" w:hAnsi="Times New Roman" w:cs="Times New Roman"/>
          <w:iCs w:val="0"/>
          <w:color w:val="000000"/>
          <w:sz w:val="28"/>
          <w:szCs w:val="28"/>
        </w:rPr>
      </w:pPr>
      <w:r w:rsidRPr="00FD74C0">
        <w:rPr>
          <w:rFonts w:ascii="Times New Roman" w:hAnsi="Times New Roman" w:cs="Times New Roman"/>
          <w:sz w:val="28"/>
          <w:szCs w:val="28"/>
        </w:rPr>
        <w:t xml:space="preserve">To interpret the notice provision in the manner suggested by the Maricopa Justice of Peace Bench would rewrite the statutory language of the CARES Act to replace the prohibition that </w:t>
      </w:r>
      <w:r w:rsidR="009C7687">
        <w:rPr>
          <w:rFonts w:ascii="Times New Roman" w:hAnsi="Times New Roman" w:cs="Times New Roman"/>
          <w:sz w:val="28"/>
          <w:szCs w:val="28"/>
        </w:rPr>
        <w:t>the</w:t>
      </w:r>
      <w:r w:rsidRPr="00FD74C0">
        <w:rPr>
          <w:rFonts w:ascii="Times New Roman" w:hAnsi="Times New Roman" w:cs="Times New Roman"/>
          <w:sz w:val="28"/>
          <w:szCs w:val="28"/>
        </w:rPr>
        <w:t xml:space="preserve"> </w:t>
      </w:r>
      <w:r w:rsidR="007A7ABA">
        <w:rPr>
          <w:rFonts w:ascii="Times New Roman" w:hAnsi="Times New Roman" w:cs="Times New Roman"/>
          <w:sz w:val="28"/>
          <w:szCs w:val="28"/>
        </w:rPr>
        <w:t>“</w:t>
      </w:r>
      <w:r w:rsidRPr="00FD74C0">
        <w:rPr>
          <w:rFonts w:ascii="Times New Roman" w:hAnsi="Times New Roman" w:cs="Times New Roman"/>
          <w:sz w:val="28"/>
          <w:szCs w:val="28"/>
        </w:rPr>
        <w:t>lessor</w:t>
      </w:r>
      <w:r w:rsidR="007A7ABA">
        <w:rPr>
          <w:rFonts w:ascii="Times New Roman" w:hAnsi="Times New Roman" w:cs="Times New Roman"/>
          <w:sz w:val="28"/>
          <w:szCs w:val="28"/>
        </w:rPr>
        <w:t>”</w:t>
      </w:r>
      <w:r w:rsidRPr="00FD74C0">
        <w:rPr>
          <w:rFonts w:ascii="Times New Roman" w:hAnsi="Times New Roman" w:cs="Times New Roman"/>
          <w:sz w:val="28"/>
          <w:szCs w:val="28"/>
        </w:rPr>
        <w:t xml:space="preserve"> not require a tenant </w:t>
      </w:r>
      <w:r w:rsidR="005B1921">
        <w:rPr>
          <w:rFonts w:ascii="Times New Roman" w:hAnsi="Times New Roman" w:cs="Times New Roman"/>
          <w:sz w:val="28"/>
          <w:szCs w:val="28"/>
        </w:rPr>
        <w:t>to vacate for thirty days</w:t>
      </w:r>
      <w:r w:rsidRPr="00FD74C0">
        <w:rPr>
          <w:rFonts w:ascii="Times New Roman" w:hAnsi="Times New Roman" w:cs="Times New Roman"/>
          <w:sz w:val="28"/>
          <w:szCs w:val="28"/>
        </w:rPr>
        <w:t xml:space="preserve"> with</w:t>
      </w:r>
      <w:r w:rsidR="003007B1" w:rsidRPr="00FD74C0">
        <w:rPr>
          <w:rFonts w:ascii="Times New Roman" w:hAnsi="Times New Roman" w:cs="Times New Roman"/>
          <w:sz w:val="28"/>
          <w:szCs w:val="28"/>
        </w:rPr>
        <w:t xml:space="preserve"> a different</w:t>
      </w:r>
      <w:r w:rsidRPr="00FD74C0">
        <w:rPr>
          <w:rFonts w:ascii="Times New Roman" w:hAnsi="Times New Roman" w:cs="Times New Roman"/>
          <w:sz w:val="28"/>
          <w:szCs w:val="28"/>
        </w:rPr>
        <w:t xml:space="preserve"> requirement</w:t>
      </w:r>
      <w:r w:rsidR="003007B1" w:rsidRPr="00FD74C0">
        <w:rPr>
          <w:rFonts w:ascii="Times New Roman" w:hAnsi="Times New Roman" w:cs="Times New Roman"/>
          <w:sz w:val="28"/>
          <w:szCs w:val="28"/>
        </w:rPr>
        <w:t>, not present in the statutory text,</w:t>
      </w:r>
      <w:r w:rsidRPr="00FD74C0">
        <w:rPr>
          <w:rFonts w:ascii="Times New Roman" w:hAnsi="Times New Roman" w:cs="Times New Roman"/>
          <w:sz w:val="28"/>
          <w:szCs w:val="28"/>
        </w:rPr>
        <w:t xml:space="preserve"> that a </w:t>
      </w:r>
      <w:r w:rsidRPr="00FD74C0">
        <w:rPr>
          <w:rFonts w:ascii="Times New Roman" w:hAnsi="Times New Roman" w:cs="Times New Roman"/>
          <w:i/>
          <w:iCs w:val="0"/>
          <w:sz w:val="28"/>
          <w:szCs w:val="28"/>
        </w:rPr>
        <w:t>court</w:t>
      </w:r>
      <w:r w:rsidRPr="00FD74C0">
        <w:rPr>
          <w:rFonts w:ascii="Times New Roman" w:hAnsi="Times New Roman" w:cs="Times New Roman"/>
          <w:sz w:val="28"/>
          <w:szCs w:val="28"/>
        </w:rPr>
        <w:t xml:space="preserve"> not require a tenant </w:t>
      </w:r>
      <w:r w:rsidR="003007B1" w:rsidRPr="00FD74C0">
        <w:rPr>
          <w:rFonts w:ascii="Times New Roman" w:hAnsi="Times New Roman" w:cs="Times New Roman"/>
          <w:sz w:val="28"/>
          <w:szCs w:val="28"/>
        </w:rPr>
        <w:t>to vacate</w:t>
      </w:r>
      <w:r w:rsidR="005B1921">
        <w:rPr>
          <w:rFonts w:ascii="Times New Roman" w:hAnsi="Times New Roman" w:cs="Times New Roman"/>
          <w:sz w:val="28"/>
          <w:szCs w:val="28"/>
        </w:rPr>
        <w:t xml:space="preserve"> for thirty days</w:t>
      </w:r>
      <w:r w:rsidR="003007B1" w:rsidRPr="00FD74C0">
        <w:rPr>
          <w:rFonts w:ascii="Times New Roman" w:hAnsi="Times New Roman" w:cs="Times New Roman"/>
          <w:sz w:val="28"/>
          <w:szCs w:val="28"/>
        </w:rPr>
        <w:t>.</w:t>
      </w:r>
      <w:r w:rsidRPr="00FD74C0">
        <w:rPr>
          <w:rFonts w:ascii="Times New Roman" w:hAnsi="Times New Roman" w:cs="Times New Roman"/>
          <w:sz w:val="28"/>
          <w:szCs w:val="28"/>
        </w:rPr>
        <w:t xml:space="preserve"> </w:t>
      </w:r>
      <w:r w:rsidR="00625015" w:rsidRPr="00FD74C0">
        <w:rPr>
          <w:rFonts w:ascii="Times New Roman" w:hAnsi="Times New Roman" w:cs="Times New Roman"/>
          <w:i/>
          <w:iCs w:val="0"/>
          <w:sz w:val="28"/>
          <w:szCs w:val="28"/>
        </w:rPr>
        <w:t xml:space="preserve">See </w:t>
      </w:r>
      <w:r w:rsidR="00625015" w:rsidRPr="00625015">
        <w:rPr>
          <w:rFonts w:ascii="Times New Roman" w:hAnsi="Times New Roman" w:cs="Times New Roman"/>
          <w:i/>
          <w:color w:val="212121"/>
          <w:sz w:val="28"/>
          <w:szCs w:val="28"/>
          <w:bdr w:val="none" w:sz="0" w:space="0" w:color="auto" w:frame="1"/>
        </w:rPr>
        <w:t>Sherwood Auburn LLC v. Pinzon</w:t>
      </w:r>
      <w:r w:rsidR="00625015" w:rsidRPr="00625015">
        <w:rPr>
          <w:rFonts w:ascii="Times New Roman" w:hAnsi="Times New Roman" w:cs="Times New Roman"/>
          <w:iCs w:val="0"/>
          <w:color w:val="000000"/>
          <w:sz w:val="28"/>
          <w:szCs w:val="28"/>
        </w:rPr>
        <w:t xml:space="preserve">, 673, 521 P.3d 212, 217 </w:t>
      </w:r>
      <w:r w:rsidR="00FD74C0" w:rsidRPr="00FD74C0">
        <w:rPr>
          <w:rFonts w:ascii="Times New Roman" w:hAnsi="Times New Roman" w:cs="Times New Roman"/>
          <w:color w:val="000000"/>
          <w:sz w:val="28"/>
          <w:szCs w:val="28"/>
        </w:rPr>
        <w:t xml:space="preserve">¶ </w:t>
      </w:r>
      <w:r w:rsidR="00FD74C0">
        <w:rPr>
          <w:rFonts w:ascii="Times New Roman" w:hAnsi="Times New Roman" w:cs="Times New Roman"/>
          <w:color w:val="000000"/>
          <w:sz w:val="28"/>
          <w:szCs w:val="28"/>
        </w:rPr>
        <w:t>15</w:t>
      </w:r>
      <w:r w:rsidR="00FD74C0" w:rsidRPr="00625015">
        <w:rPr>
          <w:rFonts w:ascii="Times New Roman" w:hAnsi="Times New Roman" w:cs="Times New Roman"/>
          <w:iCs w:val="0"/>
          <w:color w:val="000000"/>
          <w:sz w:val="28"/>
          <w:szCs w:val="28"/>
        </w:rPr>
        <w:t xml:space="preserve"> </w:t>
      </w:r>
      <w:r w:rsidR="00625015" w:rsidRPr="00625015">
        <w:rPr>
          <w:rFonts w:ascii="Times New Roman" w:hAnsi="Times New Roman" w:cs="Times New Roman"/>
          <w:iCs w:val="0"/>
          <w:color w:val="000000"/>
          <w:sz w:val="28"/>
          <w:szCs w:val="28"/>
        </w:rPr>
        <w:t>(</w:t>
      </w:r>
      <w:r w:rsidR="00FD74C0" w:rsidRPr="00FD74C0">
        <w:rPr>
          <w:rFonts w:ascii="Times New Roman" w:hAnsi="Times New Roman" w:cs="Times New Roman"/>
          <w:iCs w:val="0"/>
          <w:color w:val="000000"/>
          <w:sz w:val="28"/>
          <w:szCs w:val="28"/>
        </w:rPr>
        <w:t xml:space="preserve">Ct. </w:t>
      </w:r>
      <w:r w:rsidR="00FD74C0" w:rsidRPr="00FD74C0">
        <w:rPr>
          <w:rFonts w:ascii="Times New Roman" w:hAnsi="Times New Roman" w:cs="Times New Roman"/>
          <w:iCs w:val="0"/>
          <w:color w:val="000000"/>
          <w:sz w:val="28"/>
          <w:szCs w:val="28"/>
        </w:rPr>
        <w:lastRenderedPageBreak/>
        <w:t xml:space="preserve">App. Wash. </w:t>
      </w:r>
      <w:r w:rsidR="00625015" w:rsidRPr="00625015">
        <w:rPr>
          <w:rFonts w:ascii="Times New Roman" w:hAnsi="Times New Roman" w:cs="Times New Roman"/>
          <w:iCs w:val="0"/>
          <w:color w:val="000000"/>
          <w:sz w:val="28"/>
          <w:szCs w:val="28"/>
        </w:rPr>
        <w:t>2022)</w:t>
      </w:r>
      <w:r w:rsidR="00FD74C0" w:rsidRPr="00FD74C0">
        <w:rPr>
          <w:rFonts w:ascii="Times New Roman" w:hAnsi="Times New Roman" w:cs="Times New Roman"/>
          <w:iCs w:val="0"/>
          <w:color w:val="000000"/>
          <w:sz w:val="28"/>
          <w:szCs w:val="28"/>
        </w:rPr>
        <w:t xml:space="preserve"> (“The CARES Act notice provision clearly prohibits the lessor (the beneficiary of the federal financial assistance</w:t>
      </w:r>
      <w:r w:rsidR="00FD74C0">
        <w:rPr>
          <w:rFonts w:ascii="Times New Roman" w:hAnsi="Times New Roman" w:cs="Times New Roman"/>
          <w:iCs w:val="0"/>
          <w:color w:val="000000"/>
          <w:sz w:val="28"/>
          <w:szCs w:val="28"/>
        </w:rPr>
        <w:t>)</w:t>
      </w:r>
      <w:r w:rsidR="00FD74C0" w:rsidRPr="00FD74C0">
        <w:rPr>
          <w:rFonts w:ascii="Times New Roman" w:hAnsi="Times New Roman" w:cs="Times New Roman"/>
          <w:iCs w:val="0"/>
          <w:color w:val="000000"/>
          <w:sz w:val="28"/>
          <w:szCs w:val="28"/>
        </w:rPr>
        <w:t>—not a state trial court—from requiring a tenant to vacate a covered housing unit prior to expiration of the notice period.”)</w:t>
      </w:r>
      <w:r w:rsidR="00DE14D0">
        <w:rPr>
          <w:rFonts w:ascii="Times New Roman" w:hAnsi="Times New Roman" w:cs="Times New Roman"/>
          <w:iCs w:val="0"/>
          <w:color w:val="000000"/>
          <w:sz w:val="28"/>
          <w:szCs w:val="28"/>
        </w:rPr>
        <w:t xml:space="preserve">; </w:t>
      </w:r>
      <w:r w:rsidR="00DE14D0">
        <w:rPr>
          <w:rFonts w:ascii="Times New Roman" w:hAnsi="Times New Roman" w:cs="Times New Roman"/>
          <w:i/>
          <w:color w:val="000000"/>
          <w:sz w:val="28"/>
          <w:szCs w:val="28"/>
        </w:rPr>
        <w:t xml:space="preserve">see also </w:t>
      </w:r>
      <w:r w:rsidR="00DE14D0" w:rsidRPr="00FD74C0">
        <w:rPr>
          <w:rFonts w:ascii="Times New Roman" w:hAnsi="Times New Roman" w:cs="Times New Roman"/>
          <w:i/>
          <w:color w:val="212121"/>
          <w:sz w:val="28"/>
          <w:szCs w:val="28"/>
          <w:bdr w:val="none" w:sz="0" w:space="0" w:color="auto" w:frame="1"/>
        </w:rPr>
        <w:t>Olentangy Commons Owner LLC v. Fawley</w:t>
      </w:r>
      <w:r w:rsidR="00DE14D0" w:rsidRPr="00FD74C0">
        <w:rPr>
          <w:rFonts w:ascii="Times New Roman" w:hAnsi="Times New Roman" w:cs="Times New Roman"/>
          <w:color w:val="000000"/>
          <w:sz w:val="28"/>
          <w:szCs w:val="28"/>
        </w:rPr>
        <w:t>, 228 N.E.3d 621, 633 ¶ 40 (2023 Ct. App. Ohio) (“</w:t>
      </w:r>
      <w:r w:rsidR="00DE14D0">
        <w:rPr>
          <w:rFonts w:ascii="Times New Roman" w:hAnsi="Times New Roman" w:cs="Times New Roman"/>
          <w:color w:val="000000"/>
          <w:sz w:val="28"/>
          <w:szCs w:val="28"/>
        </w:rPr>
        <w:t>[T]</w:t>
      </w:r>
      <w:r w:rsidR="00DE14D0" w:rsidRPr="00FD74C0">
        <w:rPr>
          <w:rFonts w:ascii="Times New Roman" w:hAnsi="Times New Roman" w:cs="Times New Roman"/>
          <w:color w:val="000000"/>
          <w:sz w:val="28"/>
          <w:szCs w:val="28"/>
        </w:rPr>
        <w:t>he actor prohibited from requiring the tenant to vacate is ‘the lessor,’ not the court or law enforcement officers”)</w:t>
      </w:r>
      <w:r w:rsidR="00DE14D0">
        <w:rPr>
          <w:rFonts w:ascii="Times New Roman" w:hAnsi="Times New Roman" w:cs="Times New Roman"/>
          <w:color w:val="000000"/>
          <w:sz w:val="28"/>
          <w:szCs w:val="28"/>
        </w:rPr>
        <w:t>.</w:t>
      </w:r>
    </w:p>
    <w:p w14:paraId="3B966833" w14:textId="04915CB5" w:rsidR="009F2680" w:rsidRPr="00FD74C0" w:rsidRDefault="006C3B94" w:rsidP="00FD74C0">
      <w:pPr>
        <w:shd w:val="clear" w:color="auto" w:fill="FFFFFF"/>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Moreover</w:t>
      </w:r>
      <w:r w:rsidRPr="008F5779">
        <w:rPr>
          <w:rFonts w:ascii="Times New Roman" w:hAnsi="Times New Roman" w:cs="Times New Roman"/>
          <w:sz w:val="28"/>
          <w:szCs w:val="28"/>
        </w:rPr>
        <w:t xml:space="preserve">, the point of an eviction action </w:t>
      </w:r>
      <w:r w:rsidR="00CE3DE2">
        <w:rPr>
          <w:rFonts w:ascii="Times New Roman" w:hAnsi="Times New Roman" w:cs="Times New Roman"/>
          <w:sz w:val="28"/>
          <w:szCs w:val="28"/>
        </w:rPr>
        <w:t xml:space="preserve">in Arizona </w:t>
      </w:r>
      <w:r>
        <w:rPr>
          <w:rFonts w:ascii="Times New Roman" w:hAnsi="Times New Roman" w:cs="Times New Roman"/>
          <w:sz w:val="28"/>
          <w:szCs w:val="28"/>
        </w:rPr>
        <w:t>is to provide a “speedy and adequate remedy for obtaining possession of the premises withheld by a tenant.”</w:t>
      </w:r>
      <w:r w:rsidR="00FD74C0" w:rsidRPr="002B00C8">
        <w:rPr>
          <w:rStyle w:val="FootnoteReference"/>
          <w:rFonts w:ascii="Times New Roman" w:hAnsi="Times New Roman" w:cs="Times New Roman"/>
          <w:sz w:val="28"/>
          <w:szCs w:val="28"/>
        </w:rPr>
        <w:footnoteReference w:id="10"/>
      </w:r>
      <w:r>
        <w:rPr>
          <w:rFonts w:ascii="Times New Roman" w:hAnsi="Times New Roman" w:cs="Times New Roman"/>
          <w:sz w:val="28"/>
          <w:szCs w:val="28"/>
        </w:rPr>
        <w:t xml:space="preserve"> </w:t>
      </w:r>
      <w:r w:rsidR="00FD74C0">
        <w:rPr>
          <w:rFonts w:ascii="Times New Roman" w:hAnsi="Times New Roman" w:cs="Times New Roman"/>
          <w:sz w:val="28"/>
          <w:szCs w:val="28"/>
        </w:rPr>
        <w:t>The primary purpose of a special detainer action is to determine the right to “actual possession,” i.e. immediate possession of the premises.</w:t>
      </w:r>
      <w:r w:rsidR="00FD74C0" w:rsidRPr="002B00C8">
        <w:rPr>
          <w:rStyle w:val="FootnoteReference"/>
          <w:rFonts w:ascii="Times New Roman" w:hAnsi="Times New Roman" w:cs="Times New Roman"/>
          <w:sz w:val="28"/>
          <w:szCs w:val="28"/>
        </w:rPr>
        <w:footnoteReference w:id="11"/>
      </w:r>
      <w:r w:rsidR="00FD74C0">
        <w:rPr>
          <w:rFonts w:ascii="Times New Roman" w:hAnsi="Times New Roman" w:cs="Times New Roman"/>
          <w:sz w:val="28"/>
          <w:szCs w:val="28"/>
        </w:rPr>
        <w:t xml:space="preserve"> </w:t>
      </w:r>
      <w:r w:rsidR="009F2680">
        <w:rPr>
          <w:rFonts w:ascii="Times New Roman" w:hAnsi="Times New Roman" w:cs="Times New Roman"/>
          <w:sz w:val="28"/>
          <w:szCs w:val="28"/>
        </w:rPr>
        <w:t xml:space="preserve">But a landlord who cannot “require the tenant to vacate” </w:t>
      </w:r>
      <w:r w:rsidR="00E1601A">
        <w:rPr>
          <w:rFonts w:ascii="Times New Roman" w:hAnsi="Times New Roman" w:cs="Times New Roman"/>
          <w:sz w:val="28"/>
          <w:szCs w:val="28"/>
        </w:rPr>
        <w:t xml:space="preserve">under the CARES Act notice provision </w:t>
      </w:r>
      <w:r w:rsidR="00CE3DE2" w:rsidRPr="00FD74C0">
        <w:rPr>
          <w:rFonts w:ascii="Times New Roman" w:hAnsi="Times New Roman" w:cs="Times New Roman"/>
          <w:sz w:val="28"/>
          <w:szCs w:val="28"/>
        </w:rPr>
        <w:t>has</w:t>
      </w:r>
      <w:r w:rsidR="009F2680" w:rsidRPr="00FD74C0">
        <w:rPr>
          <w:rFonts w:ascii="Times New Roman" w:hAnsi="Times New Roman" w:cs="Times New Roman"/>
          <w:sz w:val="28"/>
          <w:szCs w:val="28"/>
        </w:rPr>
        <w:t xml:space="preserve"> no </w:t>
      </w:r>
      <w:r w:rsidR="00FD74C0" w:rsidRPr="00FD74C0">
        <w:rPr>
          <w:rFonts w:ascii="Times New Roman" w:hAnsi="Times New Roman" w:cs="Times New Roman"/>
          <w:sz w:val="28"/>
          <w:szCs w:val="28"/>
        </w:rPr>
        <w:t xml:space="preserve">present </w:t>
      </w:r>
      <w:r w:rsidR="009F2680" w:rsidRPr="00FD74C0">
        <w:rPr>
          <w:rFonts w:ascii="Times New Roman" w:hAnsi="Times New Roman" w:cs="Times New Roman"/>
          <w:sz w:val="28"/>
          <w:szCs w:val="28"/>
        </w:rPr>
        <w:t>right to possession</w:t>
      </w:r>
      <w:r w:rsidR="009F2680">
        <w:rPr>
          <w:rFonts w:ascii="Times New Roman" w:hAnsi="Times New Roman" w:cs="Times New Roman"/>
          <w:sz w:val="28"/>
          <w:szCs w:val="28"/>
        </w:rPr>
        <w:t xml:space="preserve">. The Maricopa Justice of the Peace Bench’s interpretation allows landlords who have no present right of possession of the premises to nonetheless obtain a judgment of eviction in violation of the limited statutory purpose of an eviction action. </w:t>
      </w:r>
    </w:p>
    <w:p w14:paraId="2C4ED562" w14:textId="145133DB" w:rsidR="006C3B94" w:rsidRDefault="001E7549" w:rsidP="001E7549">
      <w:pPr>
        <w:shd w:val="clear" w:color="auto" w:fill="FFFFFF"/>
        <w:spacing w:line="480" w:lineRule="auto"/>
        <w:ind w:firstLine="720"/>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The interpretation </w:t>
      </w:r>
      <w:r w:rsidR="00AE57EF">
        <w:rPr>
          <w:rFonts w:ascii="Times New Roman" w:hAnsi="Times New Roman" w:cs="Times New Roman"/>
          <w:color w:val="000000"/>
          <w:sz w:val="28"/>
          <w:szCs w:val="28"/>
        </w:rPr>
        <w:t>suggested</w:t>
      </w:r>
      <w:r>
        <w:rPr>
          <w:rFonts w:ascii="Times New Roman" w:hAnsi="Times New Roman" w:cs="Times New Roman"/>
          <w:color w:val="000000"/>
          <w:sz w:val="28"/>
          <w:szCs w:val="28"/>
        </w:rPr>
        <w:t xml:space="preserve"> by the Maricopa Justice of the Peace Bench </w:t>
      </w:r>
      <w:r w:rsidR="003007B1">
        <w:rPr>
          <w:rFonts w:ascii="Times New Roman" w:hAnsi="Times New Roman" w:cs="Times New Roman"/>
          <w:color w:val="000000"/>
          <w:sz w:val="28"/>
          <w:szCs w:val="28"/>
        </w:rPr>
        <w:t xml:space="preserve">also </w:t>
      </w:r>
      <w:r w:rsidR="009F2680">
        <w:rPr>
          <w:rFonts w:ascii="Times New Roman" w:hAnsi="Times New Roman" w:cs="Times New Roman"/>
          <w:sz w:val="28"/>
          <w:szCs w:val="28"/>
        </w:rPr>
        <w:t xml:space="preserve">conflicts with caselaw from Arizona appellate courts strictly construing </w:t>
      </w:r>
      <w:r w:rsidR="003007B1">
        <w:rPr>
          <w:rFonts w:ascii="Times New Roman" w:hAnsi="Times New Roman" w:cs="Times New Roman"/>
          <w:sz w:val="28"/>
          <w:szCs w:val="28"/>
        </w:rPr>
        <w:t xml:space="preserve">eviction </w:t>
      </w:r>
      <w:r w:rsidR="009F2680">
        <w:rPr>
          <w:rFonts w:ascii="Times New Roman" w:hAnsi="Times New Roman" w:cs="Times New Roman"/>
          <w:sz w:val="28"/>
          <w:szCs w:val="28"/>
        </w:rPr>
        <w:t>notice requirements and holding that the giving of a proper notice is a prerequisite to filing a suit for eviction.</w:t>
      </w:r>
      <w:r w:rsidR="00E1601A" w:rsidRPr="002B00C8">
        <w:rPr>
          <w:rStyle w:val="FootnoteReference"/>
          <w:rFonts w:ascii="Times New Roman" w:hAnsi="Times New Roman" w:cs="Times New Roman"/>
          <w:sz w:val="28"/>
          <w:szCs w:val="28"/>
        </w:rPr>
        <w:footnoteReference w:id="12"/>
      </w:r>
      <w:r w:rsidR="009F2680" w:rsidRPr="00F24E3C">
        <w:rPr>
          <w:rFonts w:ascii="Times New Roman" w:hAnsi="Times New Roman" w:cs="Times New Roman"/>
          <w:sz w:val="28"/>
          <w:szCs w:val="28"/>
        </w:rPr>
        <w:t xml:space="preserve"> </w:t>
      </w:r>
      <w:r>
        <w:rPr>
          <w:rFonts w:ascii="Times New Roman" w:hAnsi="Times New Roman" w:cs="Times New Roman"/>
          <w:sz w:val="28"/>
          <w:szCs w:val="28"/>
        </w:rPr>
        <w:t xml:space="preserve">It also conflicts with the requirement that eviction courts </w:t>
      </w:r>
      <w:r w:rsidRPr="00F24E3C">
        <w:rPr>
          <w:rFonts w:ascii="Times New Roman" w:hAnsi="Times New Roman" w:cs="Times New Roman"/>
          <w:sz w:val="28"/>
          <w:szCs w:val="28"/>
        </w:rPr>
        <w:t xml:space="preserve">“shall dismiss” </w:t>
      </w:r>
      <w:r w:rsidRPr="00F24E3C">
        <w:rPr>
          <w:rFonts w:ascii="Times New Roman" w:hAnsi="Times New Roman" w:cs="Times New Roman"/>
          <w:sz w:val="28"/>
          <w:szCs w:val="28"/>
        </w:rPr>
        <w:lastRenderedPageBreak/>
        <w:t xml:space="preserve">an eviction complaint if all </w:t>
      </w:r>
      <w:bookmarkStart w:id="0" w:name="_Hlk165222131"/>
      <w:r w:rsidRPr="00F24E3C">
        <w:rPr>
          <w:rFonts w:ascii="Times New Roman" w:hAnsi="Times New Roman" w:cs="Times New Roman"/>
          <w:sz w:val="28"/>
          <w:szCs w:val="28"/>
        </w:rPr>
        <w:t xml:space="preserve">proper notices and opportunities to cure were not provided prior to the filing of a suit for eviction. </w:t>
      </w:r>
      <w:r w:rsidR="002B00C8">
        <w:rPr>
          <w:rFonts w:ascii="Times New Roman" w:hAnsi="Times New Roman" w:cs="Times New Roman"/>
          <w:i/>
          <w:iCs w:val="0"/>
          <w:sz w:val="28"/>
          <w:szCs w:val="28"/>
        </w:rPr>
        <w:t xml:space="preserve">See </w:t>
      </w:r>
      <w:r w:rsidRPr="00F24E3C">
        <w:rPr>
          <w:rFonts w:ascii="Times New Roman" w:hAnsi="Times New Roman" w:cs="Times New Roman"/>
          <w:sz w:val="28"/>
          <w:szCs w:val="28"/>
        </w:rPr>
        <w:t>RPEA 13(a)(2).</w:t>
      </w:r>
      <w:bookmarkEnd w:id="0"/>
    </w:p>
    <w:p w14:paraId="1BC6FE98" w14:textId="65DDF2EF" w:rsidR="00151D03" w:rsidRPr="00FD74C0" w:rsidRDefault="00490535" w:rsidP="00FD74C0">
      <w:pPr>
        <w:shd w:val="clear" w:color="auto" w:fill="FFFFFF"/>
        <w:spacing w:line="480" w:lineRule="auto"/>
        <w:ind w:firstLine="720"/>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The </w:t>
      </w:r>
      <w:r w:rsidR="0035476B">
        <w:rPr>
          <w:rFonts w:ascii="Times New Roman" w:hAnsi="Times New Roman" w:cs="Times New Roman"/>
          <w:sz w:val="28"/>
          <w:szCs w:val="28"/>
        </w:rPr>
        <w:t xml:space="preserve">interpretation offered by the Maricopa County Justice of the Peace Bench is not supported by the </w:t>
      </w:r>
      <w:r w:rsidR="00333A71">
        <w:rPr>
          <w:rFonts w:ascii="Times New Roman" w:hAnsi="Times New Roman" w:cs="Times New Roman"/>
          <w:sz w:val="28"/>
          <w:szCs w:val="28"/>
        </w:rPr>
        <w:t xml:space="preserve">plain meaning of the </w:t>
      </w:r>
      <w:r w:rsidR="00004BF5">
        <w:rPr>
          <w:rFonts w:ascii="Times New Roman" w:hAnsi="Times New Roman" w:cs="Times New Roman"/>
          <w:sz w:val="28"/>
          <w:szCs w:val="28"/>
        </w:rPr>
        <w:t xml:space="preserve">CARES Act notice provision’s </w:t>
      </w:r>
      <w:r w:rsidR="00333A71">
        <w:rPr>
          <w:rFonts w:ascii="Times New Roman" w:hAnsi="Times New Roman" w:cs="Times New Roman"/>
          <w:sz w:val="28"/>
          <w:szCs w:val="28"/>
        </w:rPr>
        <w:t>statutory language</w:t>
      </w:r>
      <w:r w:rsidR="0035476B">
        <w:rPr>
          <w:rFonts w:ascii="Times New Roman" w:hAnsi="Times New Roman" w:cs="Times New Roman"/>
          <w:sz w:val="28"/>
          <w:szCs w:val="28"/>
        </w:rPr>
        <w:t xml:space="preserve">. This Court is well within its constitutional rulemaking authority to create a procedural rule to implement the plain meaning of substantive federal law. Such action is desperately needed </w:t>
      </w:r>
      <w:r w:rsidR="00CF5B19">
        <w:rPr>
          <w:rFonts w:ascii="Times New Roman" w:hAnsi="Times New Roman" w:cs="Times New Roman"/>
          <w:sz w:val="28"/>
          <w:szCs w:val="28"/>
        </w:rPr>
        <w:t>to</w:t>
      </w:r>
      <w:r w:rsidR="0035476B">
        <w:rPr>
          <w:rFonts w:ascii="Times New Roman" w:hAnsi="Times New Roman" w:cs="Times New Roman"/>
          <w:sz w:val="28"/>
          <w:szCs w:val="28"/>
        </w:rPr>
        <w:t xml:space="preserve"> provide courts and tenants with </w:t>
      </w:r>
      <w:r w:rsidR="00CF5B19">
        <w:rPr>
          <w:rFonts w:ascii="Times New Roman" w:hAnsi="Times New Roman" w:cs="Times New Roman"/>
          <w:sz w:val="28"/>
          <w:szCs w:val="28"/>
        </w:rPr>
        <w:t>the</w:t>
      </w:r>
      <w:r w:rsidR="0035476B">
        <w:rPr>
          <w:rFonts w:ascii="Times New Roman" w:hAnsi="Times New Roman" w:cs="Times New Roman"/>
          <w:sz w:val="28"/>
          <w:szCs w:val="28"/>
        </w:rPr>
        <w:t xml:space="preserve"> information necessary to determine whether a particular property is covered by the CARES Act. DRAZ respectfully urges that the Court adopt the proposed rule change during this year’s Rules Agenda. </w:t>
      </w:r>
    </w:p>
    <w:p w14:paraId="3D8BAB24" w14:textId="7087E9CA" w:rsidR="00FE6E6C" w:rsidRDefault="00FE6E6C" w:rsidP="00AE57EF">
      <w:pPr>
        <w:spacing w:line="480" w:lineRule="auto"/>
        <w:ind w:firstLine="720"/>
        <w:rPr>
          <w:rFonts w:ascii="Times New Roman" w:hAnsi="Times New Roman" w:cs="Times New Roman"/>
          <w:sz w:val="28"/>
          <w:szCs w:val="28"/>
        </w:rPr>
      </w:pPr>
      <w:r w:rsidRPr="008F5779">
        <w:rPr>
          <w:rFonts w:ascii="Times New Roman" w:hAnsi="Times New Roman" w:cs="Times New Roman"/>
          <w:sz w:val="28"/>
          <w:szCs w:val="28"/>
        </w:rPr>
        <w:t xml:space="preserve">RESPECTFULLY SUBMITTED this </w:t>
      </w:r>
      <w:r w:rsidR="00E1601A">
        <w:rPr>
          <w:rFonts w:ascii="Times New Roman" w:hAnsi="Times New Roman" w:cs="Times New Roman"/>
          <w:sz w:val="28"/>
          <w:szCs w:val="28"/>
        </w:rPr>
        <w:t>1</w:t>
      </w:r>
      <w:r w:rsidR="00E1601A" w:rsidRPr="00E1601A">
        <w:rPr>
          <w:rFonts w:ascii="Times New Roman" w:hAnsi="Times New Roman" w:cs="Times New Roman"/>
          <w:sz w:val="28"/>
          <w:szCs w:val="28"/>
          <w:vertAlign w:val="superscript"/>
        </w:rPr>
        <w:t>st</w:t>
      </w:r>
      <w:r w:rsidR="00E1601A">
        <w:rPr>
          <w:rFonts w:ascii="Times New Roman" w:hAnsi="Times New Roman" w:cs="Times New Roman"/>
          <w:sz w:val="28"/>
          <w:szCs w:val="28"/>
        </w:rPr>
        <w:t xml:space="preserve"> day of </w:t>
      </w:r>
      <w:proofErr w:type="gramStart"/>
      <w:r w:rsidR="00E1601A">
        <w:rPr>
          <w:rFonts w:ascii="Times New Roman" w:hAnsi="Times New Roman" w:cs="Times New Roman"/>
          <w:sz w:val="28"/>
          <w:szCs w:val="28"/>
        </w:rPr>
        <w:t>May</w:t>
      </w:r>
      <w:r w:rsidRPr="008F5779">
        <w:rPr>
          <w:rFonts w:ascii="Times New Roman" w:hAnsi="Times New Roman" w:cs="Times New Roman"/>
          <w:sz w:val="28"/>
          <w:szCs w:val="28"/>
        </w:rPr>
        <w:t>,</w:t>
      </w:r>
      <w:proofErr w:type="gramEnd"/>
      <w:r w:rsidRPr="008F5779">
        <w:rPr>
          <w:rFonts w:ascii="Times New Roman" w:hAnsi="Times New Roman" w:cs="Times New Roman"/>
          <w:sz w:val="28"/>
          <w:szCs w:val="28"/>
        </w:rPr>
        <w:t xml:space="preserve"> 2024.</w:t>
      </w:r>
    </w:p>
    <w:p w14:paraId="6CFFC33E" w14:textId="6C194D3A" w:rsidR="00E1601A" w:rsidRPr="00E1601A" w:rsidRDefault="00E1601A" w:rsidP="00E1601A">
      <w:pPr>
        <w:rPr>
          <w:rFonts w:ascii="Times New Roman" w:hAnsi="Times New Roman" w:cs="Times New Roman"/>
          <w:i/>
          <w:iCs w:val="0"/>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1601A">
        <w:rPr>
          <w:rFonts w:ascii="Times New Roman" w:hAnsi="Times New Roman" w:cs="Times New Roman"/>
          <w:i/>
          <w:iCs w:val="0"/>
          <w:sz w:val="28"/>
          <w:szCs w:val="28"/>
          <w:u w:val="single"/>
        </w:rPr>
        <w:t>/s/ Joseph Falcon-Freeman</w:t>
      </w:r>
    </w:p>
    <w:p w14:paraId="342A444C" w14:textId="77777777" w:rsidR="00FE6E6C" w:rsidRPr="008F5779" w:rsidRDefault="00FE6E6C" w:rsidP="00E1601A">
      <w:pPr>
        <w:ind w:left="1440" w:firstLine="720"/>
        <w:jc w:val="both"/>
        <w:rPr>
          <w:rFonts w:ascii="Times New Roman" w:hAnsi="Times New Roman" w:cs="Times New Roman"/>
          <w:sz w:val="28"/>
          <w:szCs w:val="28"/>
        </w:rPr>
      </w:pPr>
      <w:r w:rsidRPr="008F5779">
        <w:rPr>
          <w:rFonts w:ascii="Times New Roman" w:hAnsi="Times New Roman" w:cs="Times New Roman"/>
          <w:sz w:val="28"/>
          <w:szCs w:val="28"/>
        </w:rPr>
        <w:t>Joseph Falcon-Freeman, Staff Attorney</w:t>
      </w:r>
    </w:p>
    <w:p w14:paraId="5CBB2124" w14:textId="27D51242" w:rsidR="00FE6E6C" w:rsidRPr="008F5779" w:rsidRDefault="00FE6E6C" w:rsidP="00E1601A">
      <w:pPr>
        <w:ind w:left="1440" w:firstLine="720"/>
        <w:jc w:val="both"/>
        <w:rPr>
          <w:rFonts w:ascii="Times New Roman" w:hAnsi="Times New Roman" w:cs="Times New Roman"/>
          <w:sz w:val="28"/>
          <w:szCs w:val="28"/>
        </w:rPr>
      </w:pPr>
      <w:r w:rsidRPr="008F5779">
        <w:rPr>
          <w:rFonts w:ascii="Times New Roman" w:hAnsi="Times New Roman" w:cs="Times New Roman"/>
          <w:sz w:val="28"/>
          <w:szCs w:val="28"/>
        </w:rPr>
        <w:t>DISABILITY RIGHTS ARIZONA</w:t>
      </w:r>
    </w:p>
    <w:p w14:paraId="73926655" w14:textId="77777777" w:rsidR="00FE6E6C" w:rsidRPr="008F5779" w:rsidRDefault="00FE6E6C" w:rsidP="00FE6E6C">
      <w:pPr>
        <w:spacing w:line="480" w:lineRule="auto"/>
        <w:ind w:left="1440" w:firstLine="720"/>
        <w:jc w:val="both"/>
        <w:rPr>
          <w:rFonts w:ascii="Times New Roman" w:hAnsi="Times New Roman" w:cs="Times New Roman"/>
          <w:b/>
          <w:bCs/>
          <w:sz w:val="28"/>
          <w:szCs w:val="28"/>
        </w:rPr>
      </w:pPr>
    </w:p>
    <w:sectPr w:rsidR="00FE6E6C" w:rsidRPr="008F5779" w:rsidSect="003C2154">
      <w:footerReference w:type="default" r:id="rId9"/>
      <w:headerReference w:type="first" r:id="rId10"/>
      <w:footerReference w:type="first" r:id="rId11"/>
      <w:endnotePr>
        <w:numFmt w:val="decimal"/>
      </w:endnotePr>
      <w:pgSz w:w="12240" w:h="15840" w:code="1"/>
      <w:pgMar w:top="864" w:right="1152" w:bottom="1296" w:left="1152" w:header="720" w:footer="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DA515" w14:textId="77777777" w:rsidR="003C2154" w:rsidRDefault="003C2154">
      <w:r>
        <w:separator/>
      </w:r>
    </w:p>
  </w:endnote>
  <w:endnote w:type="continuationSeparator" w:id="0">
    <w:p w14:paraId="77933E8E" w14:textId="77777777" w:rsidR="003C2154" w:rsidRDefault="003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15416"/>
      <w:docPartObj>
        <w:docPartGallery w:val="Page Numbers (Bottom of Page)"/>
        <w:docPartUnique/>
      </w:docPartObj>
    </w:sdtPr>
    <w:sdtEndPr/>
    <w:sdtContent>
      <w:sdt>
        <w:sdtPr>
          <w:id w:val="1728636285"/>
          <w:docPartObj>
            <w:docPartGallery w:val="Page Numbers (Top of Page)"/>
            <w:docPartUnique/>
          </w:docPartObj>
        </w:sdtPr>
        <w:sdtEndPr/>
        <w:sdtContent>
          <w:p w14:paraId="44E3D32B" w14:textId="53B5F354" w:rsidR="006F70E9" w:rsidRDefault="006F70E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5E9AF16" w14:textId="77777777" w:rsidR="006F70E9" w:rsidRDefault="006F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29228"/>
      <w:docPartObj>
        <w:docPartGallery w:val="Page Numbers (Bottom of Page)"/>
        <w:docPartUnique/>
      </w:docPartObj>
    </w:sdtPr>
    <w:sdtEndPr>
      <w:rPr>
        <w:noProof/>
      </w:rPr>
    </w:sdtEndPr>
    <w:sdtContent>
      <w:p w14:paraId="6FDC4D3E" w14:textId="397F42B9" w:rsidR="006F70E9" w:rsidRDefault="006F7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1B1AF" w14:textId="77777777" w:rsidR="00160565" w:rsidRPr="00D73440" w:rsidRDefault="00160565" w:rsidP="008E0230">
    <w:pPr>
      <w:ind w:right="1080"/>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D2D02" w14:textId="77777777" w:rsidR="003C2154" w:rsidRDefault="003C2154">
      <w:r>
        <w:separator/>
      </w:r>
    </w:p>
  </w:footnote>
  <w:footnote w:type="continuationSeparator" w:id="0">
    <w:p w14:paraId="41726D05" w14:textId="77777777" w:rsidR="003C2154" w:rsidRDefault="003C2154">
      <w:r>
        <w:continuationSeparator/>
      </w:r>
    </w:p>
  </w:footnote>
  <w:footnote w:id="1">
    <w:p w14:paraId="7FD7BB6C" w14:textId="701CED28" w:rsidR="00FC5051" w:rsidRPr="008D52E8" w:rsidRDefault="00FC5051" w:rsidP="00663F47">
      <w:pPr>
        <w:pStyle w:val="FootnoteText"/>
        <w:ind w:firstLine="720"/>
        <w:rPr>
          <w:rFonts w:ascii="Times New Roman" w:hAnsi="Times New Roman" w:cs="Times New Roman"/>
          <w:szCs w:val="24"/>
        </w:rPr>
      </w:pPr>
      <w:r w:rsidRPr="008D52E8">
        <w:rPr>
          <w:rStyle w:val="FootnoteReference"/>
          <w:rFonts w:ascii="Times New Roman" w:hAnsi="Times New Roman" w:cs="Times New Roman"/>
          <w:szCs w:val="24"/>
        </w:rPr>
        <w:footnoteRef/>
      </w:r>
      <w:r w:rsidRPr="008D52E8">
        <w:rPr>
          <w:rFonts w:ascii="Times New Roman" w:hAnsi="Times New Roman" w:cs="Times New Roman"/>
          <w:szCs w:val="24"/>
        </w:rPr>
        <w:t xml:space="preserve"> The list of covered housing programs under VAWA are explicitly incorporated by reference in the CARES Act</w:t>
      </w:r>
      <w:r w:rsidR="00FE7FAB">
        <w:rPr>
          <w:rFonts w:ascii="Times New Roman" w:hAnsi="Times New Roman" w:cs="Times New Roman"/>
          <w:szCs w:val="24"/>
        </w:rPr>
        <w:t xml:space="preserve">. </w:t>
      </w:r>
      <w:r w:rsidRPr="008D52E8">
        <w:rPr>
          <w:rFonts w:ascii="Times New Roman" w:hAnsi="Times New Roman" w:cs="Times New Roman"/>
          <w:szCs w:val="24"/>
        </w:rPr>
        <w:t>15 U.S.C. § 9058(a)(2)(A)(</w:t>
      </w:r>
      <w:proofErr w:type="spellStart"/>
      <w:r w:rsidRPr="008D52E8">
        <w:rPr>
          <w:rFonts w:ascii="Times New Roman" w:hAnsi="Times New Roman" w:cs="Times New Roman"/>
          <w:szCs w:val="24"/>
        </w:rPr>
        <w:t>i</w:t>
      </w:r>
      <w:proofErr w:type="spellEnd"/>
      <w:r w:rsidRPr="008D52E8">
        <w:rPr>
          <w:rFonts w:ascii="Times New Roman" w:hAnsi="Times New Roman" w:cs="Times New Roman"/>
          <w:szCs w:val="24"/>
        </w:rPr>
        <w:t>).</w:t>
      </w:r>
    </w:p>
  </w:footnote>
  <w:footnote w:id="2">
    <w:p w14:paraId="3DA177A5" w14:textId="06335E8F" w:rsidR="009D1F7B" w:rsidRPr="00CB5F96" w:rsidRDefault="009D1F7B" w:rsidP="00663F47">
      <w:pPr>
        <w:shd w:val="clear" w:color="auto" w:fill="FFFFFF"/>
        <w:ind w:firstLine="720"/>
        <w:rPr>
          <w:rFonts w:ascii="Times New Roman" w:hAnsi="Times New Roman" w:cs="Times New Roman"/>
          <w:color w:val="000000"/>
        </w:rPr>
      </w:pPr>
      <w:r w:rsidRPr="00CB5F96">
        <w:rPr>
          <w:rStyle w:val="FootnoteReference"/>
          <w:rFonts w:ascii="Times New Roman" w:hAnsi="Times New Roman" w:cs="Times New Roman"/>
        </w:rPr>
        <w:footnoteRef/>
      </w:r>
      <w:r w:rsidRPr="00CB5F96">
        <w:rPr>
          <w:rFonts w:ascii="Times New Roman" w:hAnsi="Times New Roman" w:cs="Times New Roman"/>
        </w:rPr>
        <w:t xml:space="preserve"> </w:t>
      </w:r>
      <w:r w:rsidRPr="006358EF">
        <w:rPr>
          <w:rFonts w:ascii="Times New Roman" w:hAnsi="Times New Roman" w:cs="Times New Roman"/>
          <w:color w:val="000000"/>
        </w:rPr>
        <w:t>34 U.S.C. § 12491</w:t>
      </w:r>
      <w:r w:rsidRPr="00CB5F96">
        <w:rPr>
          <w:rFonts w:ascii="Times New Roman" w:hAnsi="Times New Roman" w:cs="Times New Roman"/>
          <w:color w:val="000000"/>
        </w:rPr>
        <w:t>(a)(3)</w:t>
      </w:r>
      <w:r>
        <w:rPr>
          <w:rFonts w:ascii="Times New Roman" w:hAnsi="Times New Roman" w:cs="Times New Roman"/>
          <w:color w:val="000000"/>
        </w:rPr>
        <w:t xml:space="preserve">. </w:t>
      </w:r>
      <w:r w:rsidRPr="00CB5F96">
        <w:rPr>
          <w:rFonts w:ascii="Times New Roman" w:hAnsi="Times New Roman" w:cs="Times New Roman"/>
          <w:color w:val="000000"/>
        </w:rPr>
        <w:t xml:space="preserve"> </w:t>
      </w:r>
    </w:p>
  </w:footnote>
  <w:footnote w:id="3">
    <w:p w14:paraId="2B183CB1" w14:textId="398393FA" w:rsidR="0073219D" w:rsidRPr="00FE7FAB" w:rsidRDefault="0073219D" w:rsidP="00663F47">
      <w:pPr>
        <w:shd w:val="clear" w:color="auto" w:fill="FFFFFF"/>
        <w:ind w:firstLine="720"/>
        <w:rPr>
          <w:rFonts w:ascii="Times New Roman" w:hAnsi="Times New Roman" w:cs="Times New Roman"/>
          <w:color w:val="000000"/>
        </w:rPr>
      </w:pPr>
      <w:r w:rsidRPr="00FE7FAB">
        <w:rPr>
          <w:rStyle w:val="FootnoteReference"/>
          <w:rFonts w:ascii="Times New Roman" w:hAnsi="Times New Roman" w:cs="Times New Roman"/>
        </w:rPr>
        <w:footnoteRef/>
      </w:r>
      <w:r w:rsidRPr="00FE7FAB">
        <w:rPr>
          <w:rFonts w:ascii="Times New Roman" w:hAnsi="Times New Roman" w:cs="Times New Roman"/>
        </w:rPr>
        <w:t xml:space="preserve"> </w:t>
      </w:r>
      <w:r w:rsidR="00AE57EF">
        <w:rPr>
          <w:rFonts w:ascii="Times New Roman" w:hAnsi="Times New Roman" w:cs="Times New Roman"/>
          <w:i/>
          <w:iCs w:val="0"/>
        </w:rPr>
        <w:t xml:space="preserve">See </w:t>
      </w:r>
      <w:r w:rsidRPr="00FE7FAB">
        <w:rPr>
          <w:rFonts w:ascii="Times New Roman" w:hAnsi="Times New Roman" w:cs="Times New Roman"/>
          <w:i/>
          <w:color w:val="212121"/>
          <w:bdr w:val="none" w:sz="0" w:space="0" w:color="auto" w:frame="1"/>
        </w:rPr>
        <w:t>Sherwood Auburn LLC v. Pinzon</w:t>
      </w:r>
      <w:r w:rsidRPr="00FE7FAB">
        <w:rPr>
          <w:rFonts w:ascii="Times New Roman" w:hAnsi="Times New Roman" w:cs="Times New Roman"/>
          <w:color w:val="000000"/>
        </w:rPr>
        <w:t>, 24 Wash. App. 2d 664, 521 P.3d 212 (</w:t>
      </w:r>
      <w:r w:rsidR="00AE57EF">
        <w:rPr>
          <w:rFonts w:ascii="Times New Roman" w:hAnsi="Times New Roman" w:cs="Times New Roman"/>
          <w:color w:val="000000"/>
        </w:rPr>
        <w:t xml:space="preserve">Wash. Ct. App. </w:t>
      </w:r>
      <w:r w:rsidRPr="00FE7FAB">
        <w:rPr>
          <w:rFonts w:ascii="Times New Roman" w:hAnsi="Times New Roman" w:cs="Times New Roman"/>
          <w:color w:val="000000"/>
        </w:rPr>
        <w:t xml:space="preserve">2022), </w:t>
      </w:r>
      <w:r w:rsidRPr="00FE7FAB">
        <w:rPr>
          <w:rFonts w:ascii="Times New Roman" w:hAnsi="Times New Roman" w:cs="Times New Roman"/>
          <w:i/>
          <w:color w:val="212121"/>
          <w:bdr w:val="none" w:sz="0" w:space="0" w:color="auto" w:frame="1"/>
        </w:rPr>
        <w:t>review denied</w:t>
      </w:r>
      <w:r w:rsidRPr="00FE7FAB">
        <w:rPr>
          <w:rFonts w:ascii="Times New Roman" w:hAnsi="Times New Roman" w:cs="Times New Roman"/>
          <w:color w:val="212121"/>
          <w:u w:val="single"/>
          <w:bdr w:val="none" w:sz="0" w:space="0" w:color="auto" w:frame="1"/>
        </w:rPr>
        <w:t>,</w:t>
      </w:r>
      <w:r w:rsidRPr="00FE7FAB">
        <w:rPr>
          <w:rFonts w:ascii="Times New Roman" w:hAnsi="Times New Roman" w:cs="Times New Roman"/>
          <w:color w:val="000000"/>
        </w:rPr>
        <w:t xml:space="preserve"> 526 P.3d 848 (2023); </w:t>
      </w:r>
      <w:r w:rsidRPr="00FE7FAB">
        <w:rPr>
          <w:rFonts w:ascii="Times New Roman" w:hAnsi="Times New Roman" w:cs="Times New Roman"/>
          <w:i/>
          <w:color w:val="212121"/>
          <w:bdr w:val="none" w:sz="0" w:space="0" w:color="auto" w:frame="1"/>
        </w:rPr>
        <w:t>Olentangy Commons Owner LLC v. Fawley</w:t>
      </w:r>
      <w:r w:rsidRPr="00FE7FAB">
        <w:rPr>
          <w:rFonts w:ascii="Times New Roman" w:hAnsi="Times New Roman" w:cs="Times New Roman"/>
          <w:color w:val="000000"/>
        </w:rPr>
        <w:t xml:space="preserve">, 2023-Ohio-4039, 228 N.E.3d 621 (2023 Ct. App. Ohio); </w:t>
      </w:r>
      <w:r w:rsidRPr="00FE7FAB">
        <w:rPr>
          <w:rStyle w:val="Emphasis"/>
          <w:rFonts w:ascii="Times New Roman" w:hAnsi="Times New Roman" w:cs="Times New Roman"/>
        </w:rPr>
        <w:t>In re Arvada Village Gardens LP v. Garate</w:t>
      </w:r>
      <w:r w:rsidRPr="00FE7FAB">
        <w:rPr>
          <w:rFonts w:ascii="Times New Roman" w:hAnsi="Times New Roman" w:cs="Times New Roman"/>
        </w:rPr>
        <w:t xml:space="preserve">, 2023 Colo. 24, ¶ 17, 529 P.3d 105 (2023); </w:t>
      </w:r>
      <w:r w:rsidRPr="00FE7FAB">
        <w:rPr>
          <w:rFonts w:ascii="Times New Roman" w:hAnsi="Times New Roman" w:cs="Times New Roman"/>
          <w:i/>
          <w:color w:val="212121"/>
          <w:bdr w:val="none" w:sz="0" w:space="0" w:color="auto" w:frame="1"/>
        </w:rPr>
        <w:t>Hazelwood v. Common Wealth Apartments</w:t>
      </w:r>
      <w:r w:rsidRPr="00FE7FAB">
        <w:rPr>
          <w:rFonts w:ascii="Times New Roman" w:hAnsi="Times New Roman" w:cs="Times New Roman"/>
          <w:color w:val="000000"/>
        </w:rPr>
        <w:t xml:space="preserve">, 23A-EV-1404, 2024 WL 1223521 (Ind. Ct. App. 2024). The only federal court to have confronted the issue concurred. </w:t>
      </w:r>
      <w:r w:rsidRPr="00FE7FAB">
        <w:rPr>
          <w:rStyle w:val="Emphasis"/>
          <w:rFonts w:ascii="Times New Roman" w:hAnsi="Times New Roman" w:cs="Times New Roman"/>
        </w:rPr>
        <w:t>Watson v. Vici Community Dev. Corp.</w:t>
      </w:r>
      <w:r w:rsidRPr="00FE7FAB">
        <w:rPr>
          <w:rFonts w:ascii="Times New Roman" w:hAnsi="Times New Roman" w:cs="Times New Roman"/>
        </w:rPr>
        <w:t>, W.D.Okla. No. CIV-20-1011-F, 2022 WL 910155 (Mar. 28, 2022)</w:t>
      </w:r>
      <w:r w:rsidRPr="00FE7FAB">
        <w:rPr>
          <w:rFonts w:ascii="Times New Roman" w:hAnsi="Times New Roman" w:cs="Times New Roman"/>
          <w:color w:val="212121"/>
        </w:rPr>
        <w:t xml:space="preserve"> (“The CARES Act requires certain landlords to give tenants at least 30 days’ notice to vacate a covered dwelling before filing a petition for eviction.”) The Pima County Superior Court has reached the same conclusion, as noted in the </w:t>
      </w:r>
      <w:r w:rsidR="009D1F7B" w:rsidRPr="00FE7FAB">
        <w:rPr>
          <w:rFonts w:ascii="Times New Roman" w:hAnsi="Times New Roman" w:cs="Times New Roman"/>
          <w:color w:val="212121"/>
        </w:rPr>
        <w:t xml:space="preserve">Comment of the Maricopa County </w:t>
      </w:r>
      <w:r w:rsidR="00432E58">
        <w:rPr>
          <w:rFonts w:ascii="Times New Roman" w:hAnsi="Times New Roman" w:cs="Times New Roman"/>
          <w:color w:val="212121"/>
        </w:rPr>
        <w:t xml:space="preserve">Justice of the Peace </w:t>
      </w:r>
      <w:r w:rsidR="009D1F7B" w:rsidRPr="00FE7FAB">
        <w:rPr>
          <w:rFonts w:ascii="Times New Roman" w:hAnsi="Times New Roman" w:cs="Times New Roman"/>
          <w:color w:val="212121"/>
        </w:rPr>
        <w:t>Bench</w:t>
      </w:r>
      <w:r w:rsidRPr="00FE7FAB">
        <w:rPr>
          <w:rFonts w:ascii="Times New Roman" w:hAnsi="Times New Roman" w:cs="Times New Roman"/>
          <w:color w:val="212121"/>
        </w:rPr>
        <w:t xml:space="preserve"> at 6, n.8. </w:t>
      </w:r>
      <w:r w:rsidR="00FE7FAB" w:rsidRPr="00FE7FAB">
        <w:rPr>
          <w:rFonts w:ascii="Times New Roman" w:hAnsi="Times New Roman" w:cs="Times New Roman"/>
          <w:color w:val="212121"/>
        </w:rPr>
        <w:t xml:space="preserve">Although all courts of record to have considered the matter </w:t>
      </w:r>
      <w:r w:rsidR="00FE7FAB">
        <w:rPr>
          <w:rFonts w:ascii="Times New Roman" w:hAnsi="Times New Roman" w:cs="Times New Roman"/>
          <w:color w:val="212121"/>
        </w:rPr>
        <w:t xml:space="preserve">appear to </w:t>
      </w:r>
      <w:r w:rsidR="00FE7FAB" w:rsidRPr="00FE7FAB">
        <w:rPr>
          <w:rFonts w:ascii="Times New Roman" w:hAnsi="Times New Roman" w:cs="Times New Roman"/>
          <w:color w:val="212121"/>
        </w:rPr>
        <w:t xml:space="preserve">concur that a </w:t>
      </w:r>
      <w:r w:rsidR="00FE7FAB">
        <w:rPr>
          <w:rFonts w:ascii="Times New Roman" w:hAnsi="Times New Roman" w:cs="Times New Roman"/>
          <w:color w:val="212121"/>
        </w:rPr>
        <w:t xml:space="preserve">30-day </w:t>
      </w:r>
      <w:r w:rsidR="00FE7FAB" w:rsidRPr="00FE7FAB">
        <w:rPr>
          <w:rFonts w:ascii="Times New Roman" w:hAnsi="Times New Roman" w:cs="Times New Roman"/>
          <w:color w:val="212121"/>
        </w:rPr>
        <w:t xml:space="preserve">pre-eviction notice is required in nonpayment cases, there is some dispute in the caselaw as to whether </w:t>
      </w:r>
      <w:r w:rsidR="00FE7FAB">
        <w:rPr>
          <w:rFonts w:ascii="Times New Roman" w:hAnsi="Times New Roman" w:cs="Times New Roman"/>
          <w:color w:val="212121"/>
        </w:rPr>
        <w:t>the same is also</w:t>
      </w:r>
      <w:r w:rsidR="00FE7FAB" w:rsidRPr="00FE7FAB">
        <w:rPr>
          <w:rFonts w:ascii="Times New Roman" w:hAnsi="Times New Roman" w:cs="Times New Roman"/>
          <w:color w:val="212121"/>
        </w:rPr>
        <w:t xml:space="preserve"> true for eviction cases arising from other types of alleged lease violations. </w:t>
      </w:r>
      <w:r w:rsidR="00FE7FAB" w:rsidRPr="00FE7FAB">
        <w:rPr>
          <w:rFonts w:ascii="Times New Roman" w:hAnsi="Times New Roman" w:cs="Times New Roman"/>
          <w:i/>
          <w:iCs w:val="0"/>
          <w:color w:val="000000"/>
        </w:rPr>
        <w:t xml:space="preserve">Compare </w:t>
      </w:r>
      <w:r w:rsidR="00FE7FAB" w:rsidRPr="00FE7FAB">
        <w:rPr>
          <w:rFonts w:ascii="Times New Roman" w:hAnsi="Times New Roman" w:cs="Times New Roman"/>
          <w:i/>
          <w:iCs w:val="0"/>
          <w:color w:val="212121"/>
          <w:bdr w:val="none" w:sz="0" w:space="0" w:color="auto" w:frame="1"/>
        </w:rPr>
        <w:t xml:space="preserve">Pendleton Place, LLC v. </w:t>
      </w:r>
      <w:proofErr w:type="spellStart"/>
      <w:r w:rsidR="00FE7FAB" w:rsidRPr="00FE7FAB">
        <w:rPr>
          <w:rFonts w:ascii="Times New Roman" w:hAnsi="Times New Roman" w:cs="Times New Roman"/>
          <w:i/>
          <w:iCs w:val="0"/>
          <w:color w:val="212121"/>
          <w:bdr w:val="none" w:sz="0" w:space="0" w:color="auto" w:frame="1"/>
        </w:rPr>
        <w:t>Asentista</w:t>
      </w:r>
      <w:proofErr w:type="spellEnd"/>
      <w:r w:rsidR="00FE7FAB" w:rsidRPr="00FE7FAB">
        <w:rPr>
          <w:rFonts w:ascii="Times New Roman" w:hAnsi="Times New Roman" w:cs="Times New Roman"/>
          <w:color w:val="000000"/>
        </w:rPr>
        <w:t xml:space="preserve">, 541 P.3d 397 (Wash. Ct. App. 2024) with </w:t>
      </w:r>
      <w:proofErr w:type="spellStart"/>
      <w:r w:rsidR="00FE7FAB" w:rsidRPr="00FE7FAB">
        <w:rPr>
          <w:rFonts w:ascii="Times New Roman" w:hAnsi="Times New Roman" w:cs="Times New Roman"/>
          <w:i/>
          <w:iCs w:val="0"/>
          <w:color w:val="212121"/>
          <w:bdr w:val="none" w:sz="0" w:space="0" w:color="auto" w:frame="1"/>
        </w:rPr>
        <w:t>Hous</w:t>
      </w:r>
      <w:proofErr w:type="spellEnd"/>
      <w:r w:rsidR="00FE7FAB" w:rsidRPr="00FE7FAB">
        <w:rPr>
          <w:rFonts w:ascii="Times New Roman" w:hAnsi="Times New Roman" w:cs="Times New Roman"/>
          <w:i/>
          <w:iCs w:val="0"/>
          <w:color w:val="212121"/>
          <w:bdr w:val="none" w:sz="0" w:space="0" w:color="auto" w:frame="1"/>
        </w:rPr>
        <w:t xml:space="preserve">. Auth. of </w:t>
      </w:r>
      <w:proofErr w:type="spellStart"/>
      <w:r w:rsidR="00FE7FAB" w:rsidRPr="00FE7FAB">
        <w:rPr>
          <w:rFonts w:ascii="Times New Roman" w:hAnsi="Times New Roman" w:cs="Times New Roman"/>
          <w:i/>
          <w:iCs w:val="0"/>
          <w:color w:val="212121"/>
          <w:bdr w:val="none" w:sz="0" w:space="0" w:color="auto" w:frame="1"/>
        </w:rPr>
        <w:t>Cnty</w:t>
      </w:r>
      <w:proofErr w:type="spellEnd"/>
      <w:r w:rsidR="00FE7FAB" w:rsidRPr="00FE7FAB">
        <w:rPr>
          <w:rFonts w:ascii="Times New Roman" w:hAnsi="Times New Roman" w:cs="Times New Roman"/>
          <w:i/>
          <w:iCs w:val="0"/>
          <w:color w:val="212121"/>
          <w:bdr w:val="none" w:sz="0" w:space="0" w:color="auto" w:frame="1"/>
        </w:rPr>
        <w:t>. of King v. Knight</w:t>
      </w:r>
      <w:r w:rsidR="00FE7FAB" w:rsidRPr="00FE7FAB">
        <w:rPr>
          <w:rFonts w:ascii="Times New Roman" w:hAnsi="Times New Roman" w:cs="Times New Roman"/>
          <w:color w:val="000000"/>
        </w:rPr>
        <w:t xml:space="preserve">, 543 P.3d 891 (Wash. Ct. App. 2024). </w:t>
      </w:r>
    </w:p>
  </w:footnote>
  <w:footnote w:id="4">
    <w:p w14:paraId="12633482" w14:textId="54019CC7" w:rsidR="00737947" w:rsidRPr="00CB5F96" w:rsidRDefault="00737947" w:rsidP="00663F47">
      <w:pPr>
        <w:pStyle w:val="FootnoteText"/>
        <w:ind w:firstLine="720"/>
        <w:rPr>
          <w:rFonts w:ascii="Times New Roman" w:hAnsi="Times New Roman" w:cs="Times New Roman"/>
          <w:szCs w:val="24"/>
        </w:rPr>
      </w:pPr>
      <w:r w:rsidRPr="00FE7FAB">
        <w:rPr>
          <w:rStyle w:val="FootnoteReference"/>
          <w:rFonts w:ascii="Times New Roman" w:hAnsi="Times New Roman" w:cs="Times New Roman"/>
          <w:szCs w:val="24"/>
        </w:rPr>
        <w:footnoteRef/>
      </w:r>
      <w:r w:rsidR="00FC5051" w:rsidRPr="00FE7FAB">
        <w:rPr>
          <w:rFonts w:ascii="Times New Roman" w:hAnsi="Times New Roman" w:cs="Times New Roman"/>
          <w:szCs w:val="24"/>
        </w:rPr>
        <w:t xml:space="preserve"> U.S. Government Accountability Office, </w:t>
      </w:r>
      <w:r w:rsidR="00FC5051" w:rsidRPr="00FE7FAB">
        <w:rPr>
          <w:rFonts w:ascii="Times New Roman" w:hAnsi="Times New Roman" w:cs="Times New Roman"/>
          <w:i/>
          <w:iCs w:val="0"/>
          <w:szCs w:val="24"/>
        </w:rPr>
        <w:t>HUD Rental Assistance: Serving Households with Disabilities</w:t>
      </w:r>
      <w:r w:rsidR="00857497" w:rsidRPr="00FE7FAB">
        <w:rPr>
          <w:rFonts w:ascii="Times New Roman" w:hAnsi="Times New Roman" w:cs="Times New Roman"/>
          <w:szCs w:val="24"/>
        </w:rPr>
        <w:t>, GAO-23-106339</w:t>
      </w:r>
      <w:r w:rsidR="00FC5051" w:rsidRPr="00FE7FAB">
        <w:rPr>
          <w:rFonts w:ascii="Times New Roman" w:hAnsi="Times New Roman" w:cs="Times New Roman"/>
          <w:szCs w:val="24"/>
        </w:rPr>
        <w:t xml:space="preserve"> (March 29, 2023), </w:t>
      </w:r>
      <w:r w:rsidR="00FC5051" w:rsidRPr="00FE7FAB">
        <w:rPr>
          <w:rFonts w:ascii="Times New Roman" w:hAnsi="Times New Roman" w:cs="Times New Roman"/>
          <w:i/>
          <w:iCs w:val="0"/>
          <w:szCs w:val="24"/>
        </w:rPr>
        <w:t>available at</w:t>
      </w:r>
      <w:r w:rsidR="00FC5051" w:rsidRPr="00FE7FAB">
        <w:rPr>
          <w:rFonts w:ascii="Times New Roman" w:hAnsi="Times New Roman" w:cs="Times New Roman"/>
          <w:szCs w:val="24"/>
        </w:rPr>
        <w:t xml:space="preserve"> </w:t>
      </w:r>
      <w:hyperlink r:id="rId1" w:history="1">
        <w:r w:rsidRPr="002B00C8">
          <w:rPr>
            <w:rStyle w:val="Hyperlink"/>
            <w:rFonts w:ascii="Times New Roman" w:hAnsi="Times New Roman" w:cs="Times New Roman"/>
            <w:szCs w:val="24"/>
          </w:rPr>
          <w:t>https://www.gao.gov/assets/gao-23-106339.pdf</w:t>
        </w:r>
      </w:hyperlink>
    </w:p>
  </w:footnote>
  <w:footnote w:id="5">
    <w:p w14:paraId="02740F3B" w14:textId="54F98B8E" w:rsidR="0087726D" w:rsidRPr="00D56B3F" w:rsidRDefault="0087726D" w:rsidP="00663F47">
      <w:pPr>
        <w:pStyle w:val="FootnoteText"/>
        <w:ind w:firstLine="720"/>
        <w:rPr>
          <w:rFonts w:ascii="Times New Roman" w:hAnsi="Times New Roman" w:cs="Times New Roman"/>
        </w:rPr>
      </w:pPr>
      <w:r w:rsidRPr="00D56B3F">
        <w:rPr>
          <w:rStyle w:val="FootnoteReference"/>
          <w:rFonts w:ascii="Times New Roman" w:hAnsi="Times New Roman" w:cs="Times New Roman"/>
        </w:rPr>
        <w:footnoteRef/>
      </w:r>
      <w:r w:rsidRPr="00D56B3F">
        <w:rPr>
          <w:rFonts w:ascii="Times New Roman" w:hAnsi="Times New Roman" w:cs="Times New Roman"/>
        </w:rPr>
        <w:t xml:space="preserve"> For example, children with autism</w:t>
      </w:r>
      <w:r w:rsidR="00D56B3F">
        <w:rPr>
          <w:rFonts w:ascii="Times New Roman" w:hAnsi="Times New Roman" w:cs="Times New Roman"/>
        </w:rPr>
        <w:t xml:space="preserve"> or ADHD</w:t>
      </w:r>
      <w:r w:rsidRPr="00D56B3F">
        <w:rPr>
          <w:rFonts w:ascii="Times New Roman" w:hAnsi="Times New Roman" w:cs="Times New Roman"/>
        </w:rPr>
        <w:t xml:space="preserve"> </w:t>
      </w:r>
      <w:r w:rsidR="00D56B3F">
        <w:rPr>
          <w:rFonts w:ascii="Times New Roman" w:hAnsi="Times New Roman" w:cs="Times New Roman"/>
        </w:rPr>
        <w:t xml:space="preserve">living </w:t>
      </w:r>
      <w:r w:rsidRPr="00D56B3F">
        <w:rPr>
          <w:rFonts w:ascii="Times New Roman" w:hAnsi="Times New Roman" w:cs="Times New Roman"/>
        </w:rPr>
        <w:t>in the household may make self-stimming vocalizations to soothe themselves or</w:t>
      </w:r>
      <w:r w:rsidR="00D56B3F">
        <w:rPr>
          <w:rFonts w:ascii="Times New Roman" w:hAnsi="Times New Roman" w:cs="Times New Roman"/>
        </w:rPr>
        <w:t xml:space="preserve"> drown out offensive sounds or an individual with severe anxiety may pace during the night. </w:t>
      </w:r>
      <w:r w:rsidRPr="00D56B3F">
        <w:rPr>
          <w:rFonts w:ascii="Times New Roman" w:hAnsi="Times New Roman" w:cs="Times New Roman"/>
        </w:rPr>
        <w:t xml:space="preserve">   </w:t>
      </w:r>
    </w:p>
  </w:footnote>
  <w:footnote w:id="6">
    <w:p w14:paraId="3083C699" w14:textId="77777777" w:rsidR="00737947" w:rsidRPr="00CB5F96" w:rsidRDefault="00737947" w:rsidP="00663F47">
      <w:pPr>
        <w:pStyle w:val="FootnoteText"/>
        <w:ind w:firstLine="720"/>
        <w:rPr>
          <w:rFonts w:ascii="Times New Roman" w:hAnsi="Times New Roman" w:cs="Times New Roman"/>
          <w:szCs w:val="24"/>
        </w:rPr>
      </w:pPr>
      <w:r w:rsidRPr="00CB5F96">
        <w:rPr>
          <w:rStyle w:val="FootnoteReference"/>
          <w:rFonts w:ascii="Times New Roman" w:hAnsi="Times New Roman" w:cs="Times New Roman"/>
          <w:szCs w:val="24"/>
        </w:rPr>
        <w:footnoteRef/>
      </w:r>
      <w:r w:rsidRPr="00CB5F96">
        <w:rPr>
          <w:rFonts w:ascii="Times New Roman" w:hAnsi="Times New Roman" w:cs="Times New Roman"/>
          <w:szCs w:val="24"/>
        </w:rPr>
        <w:t xml:space="preserve"> </w:t>
      </w:r>
      <w:r w:rsidRPr="00CB5F96">
        <w:rPr>
          <w:rFonts w:ascii="Times New Roman" w:hAnsi="Times New Roman" w:cs="Times New Roman"/>
          <w:i/>
          <w:iCs w:val="0"/>
          <w:szCs w:val="24"/>
        </w:rPr>
        <w:t>See</w:t>
      </w:r>
      <w:r w:rsidRPr="00CB5F96">
        <w:rPr>
          <w:rFonts w:ascii="Times New Roman" w:hAnsi="Times New Roman" w:cs="Times New Roman"/>
          <w:iCs w:val="0"/>
          <w:szCs w:val="24"/>
        </w:rPr>
        <w:t xml:space="preserve"> 42 U.S.C. 3604(f)(3) (Fair Housing Act); A.R.S. § 41-1491.19(E) (Arizona Fair Housing Act) (defining as unlawful disability discrimination the failure to “make reasonable accommodations in rules, practices or services” when necessary to provide people with disabilities equal access to housing)</w:t>
      </w:r>
    </w:p>
  </w:footnote>
  <w:footnote w:id="7">
    <w:p w14:paraId="4A66A6CF" w14:textId="77777777" w:rsidR="00737947" w:rsidRPr="00CB5F96" w:rsidRDefault="00737947" w:rsidP="00663F47">
      <w:pPr>
        <w:shd w:val="clear" w:color="auto" w:fill="FFFFFF"/>
        <w:ind w:firstLine="720"/>
        <w:rPr>
          <w:rFonts w:ascii="Times New Roman" w:hAnsi="Times New Roman" w:cs="Times New Roman"/>
          <w:iCs w:val="0"/>
          <w:color w:val="000000"/>
        </w:rPr>
      </w:pPr>
      <w:r w:rsidRPr="00CB5F96">
        <w:rPr>
          <w:rStyle w:val="FootnoteReference"/>
          <w:rFonts w:ascii="Times New Roman" w:hAnsi="Times New Roman" w:cs="Times New Roman"/>
        </w:rPr>
        <w:footnoteRef/>
      </w:r>
      <w:r w:rsidRPr="00CB5F96">
        <w:rPr>
          <w:rFonts w:ascii="Times New Roman" w:hAnsi="Times New Roman" w:cs="Times New Roman"/>
        </w:rPr>
        <w:t xml:space="preserve"> </w:t>
      </w:r>
      <w:r w:rsidRPr="00CB5F96">
        <w:rPr>
          <w:rFonts w:ascii="Times New Roman" w:hAnsi="Times New Roman" w:cs="Times New Roman"/>
          <w:i/>
          <w:iCs w:val="0"/>
        </w:rPr>
        <w:t xml:space="preserve">See </w:t>
      </w:r>
      <w:r w:rsidRPr="009269E3">
        <w:rPr>
          <w:rFonts w:ascii="Times New Roman" w:hAnsi="Times New Roman" w:cs="Times New Roman"/>
          <w:i/>
          <w:iCs w:val="0"/>
          <w:color w:val="212121"/>
          <w:bdr w:val="none" w:sz="0" w:space="0" w:color="auto" w:frame="1"/>
        </w:rPr>
        <w:t>Douglas v. Kriegsfeld Corp.</w:t>
      </w:r>
      <w:r w:rsidRPr="009269E3">
        <w:rPr>
          <w:rFonts w:ascii="Times New Roman" w:hAnsi="Times New Roman" w:cs="Times New Roman"/>
          <w:color w:val="000000"/>
        </w:rPr>
        <w:t>, 884 A.2d 1109, 1129 (D.C. 2005)</w:t>
      </w:r>
      <w:r w:rsidRPr="00CB5F96">
        <w:rPr>
          <w:rFonts w:ascii="Times New Roman" w:hAnsi="Times New Roman" w:cs="Times New Roman"/>
          <w:color w:val="000000"/>
        </w:rPr>
        <w:t xml:space="preserve"> (discussing requirements for establishing a reasonable accommodation defense to eviction under the Fair Housing Act); </w:t>
      </w:r>
      <w:r w:rsidRPr="00CB5F96">
        <w:rPr>
          <w:rFonts w:ascii="Times New Roman" w:hAnsi="Times New Roman" w:cs="Times New Roman"/>
          <w:i/>
          <w:iCs w:val="0"/>
          <w:color w:val="000000"/>
        </w:rPr>
        <w:t>see also</w:t>
      </w:r>
      <w:r w:rsidRPr="00CB5F96">
        <w:rPr>
          <w:rFonts w:ascii="Times New Roman" w:hAnsi="Times New Roman" w:cs="Times New Roman"/>
          <w:color w:val="000000"/>
        </w:rPr>
        <w:t xml:space="preserve"> </w:t>
      </w:r>
      <w:r w:rsidRPr="0046163F">
        <w:rPr>
          <w:rFonts w:ascii="Times New Roman" w:hAnsi="Times New Roman" w:cs="Times New Roman"/>
          <w:i/>
          <w:iCs w:val="0"/>
          <w:color w:val="212121"/>
          <w:bdr w:val="none" w:sz="0" w:space="0" w:color="auto" w:frame="1"/>
        </w:rPr>
        <w:t>Miller v. Amos</w:t>
      </w:r>
      <w:r w:rsidRPr="0046163F">
        <w:rPr>
          <w:rFonts w:ascii="Times New Roman" w:hAnsi="Times New Roman" w:cs="Times New Roman"/>
          <w:color w:val="000000"/>
        </w:rPr>
        <w:t>, 2024 CO 11, ¶ 31, 543 P.3d 393, 401</w:t>
      </w:r>
      <w:r w:rsidRPr="00CB5F96">
        <w:rPr>
          <w:rFonts w:ascii="Times New Roman" w:hAnsi="Times New Roman" w:cs="Times New Roman"/>
          <w:color w:val="000000"/>
        </w:rPr>
        <w:t xml:space="preserve"> (2024) (concluding that state fair housing act provided affirmative defense in state eviction action).  </w:t>
      </w:r>
    </w:p>
  </w:footnote>
  <w:footnote w:id="8">
    <w:p w14:paraId="5F1A3B20" w14:textId="77777777" w:rsidR="00737947" w:rsidRPr="0046163F" w:rsidRDefault="00737947" w:rsidP="00663F47">
      <w:pPr>
        <w:pStyle w:val="FootnoteText"/>
        <w:ind w:firstLine="720"/>
      </w:pPr>
      <w:r w:rsidRPr="00CB5F96">
        <w:rPr>
          <w:rStyle w:val="FootnoteReference"/>
          <w:rFonts w:ascii="Times New Roman" w:hAnsi="Times New Roman" w:cs="Times New Roman"/>
          <w:szCs w:val="24"/>
        </w:rPr>
        <w:footnoteRef/>
      </w:r>
      <w:r w:rsidRPr="00CB5F96">
        <w:rPr>
          <w:rFonts w:ascii="Times New Roman" w:hAnsi="Times New Roman" w:cs="Times New Roman"/>
          <w:szCs w:val="24"/>
        </w:rPr>
        <w:t xml:space="preserve"> </w:t>
      </w:r>
      <w:r w:rsidRPr="00CB5F96">
        <w:rPr>
          <w:rFonts w:ascii="Times New Roman" w:hAnsi="Times New Roman" w:cs="Times New Roman"/>
          <w:i/>
          <w:iCs w:val="0"/>
          <w:szCs w:val="24"/>
        </w:rPr>
        <w:t xml:space="preserve">See </w:t>
      </w:r>
      <w:r w:rsidRPr="00CB5F96">
        <w:rPr>
          <w:rFonts w:ascii="Times New Roman" w:hAnsi="Times New Roman" w:cs="Times New Roman"/>
          <w:szCs w:val="24"/>
        </w:rPr>
        <w:t xml:space="preserve">Meghan P. Carter, </w:t>
      </w:r>
      <w:r w:rsidRPr="00CB5F96">
        <w:rPr>
          <w:rFonts w:ascii="Times New Roman" w:hAnsi="Times New Roman" w:cs="Times New Roman"/>
          <w:i/>
          <w:iCs w:val="0"/>
          <w:szCs w:val="24"/>
        </w:rPr>
        <w:t>How Evictions from Subsidized Housing Routinely Violate the Rights of Persons with Mental Illness</w:t>
      </w:r>
      <w:r w:rsidRPr="00CB5F96">
        <w:rPr>
          <w:rFonts w:ascii="Times New Roman" w:hAnsi="Times New Roman" w:cs="Times New Roman"/>
          <w:szCs w:val="24"/>
        </w:rPr>
        <w:t>, 5 Nw. J. L. &amp; Soc. Pol'y. 118 (2010).</w:t>
      </w:r>
    </w:p>
  </w:footnote>
  <w:footnote w:id="9">
    <w:p w14:paraId="5FDFD899" w14:textId="70091420" w:rsidR="003007B1" w:rsidRPr="00CE3DE2" w:rsidRDefault="001E7549" w:rsidP="00663F47">
      <w:pPr>
        <w:ind w:firstLine="720"/>
        <w:contextualSpacing/>
        <w:jc w:val="both"/>
        <w:rPr>
          <w:rFonts w:ascii="Times New Roman" w:hAnsi="Times New Roman" w:cs="Times New Roman"/>
        </w:rPr>
      </w:pPr>
      <w:r w:rsidRPr="00CE3DE2">
        <w:rPr>
          <w:rStyle w:val="FootnoteReference"/>
          <w:rFonts w:ascii="Times New Roman" w:hAnsi="Times New Roman" w:cs="Times New Roman"/>
        </w:rPr>
        <w:footnoteRef/>
      </w:r>
      <w:r w:rsidRPr="00CE3DE2">
        <w:rPr>
          <w:rFonts w:ascii="Times New Roman" w:hAnsi="Times New Roman" w:cs="Times New Roman"/>
        </w:rPr>
        <w:t xml:space="preserve"> The Courts of Appeals of Ohio and Washington have each published opinions reversing trial courts that interpreted the CARES Act notice provision in the same manner as Maricopa Justice Court Bench</w:t>
      </w:r>
      <w:r w:rsidR="0088541B">
        <w:rPr>
          <w:rFonts w:ascii="Times New Roman" w:hAnsi="Times New Roman" w:cs="Times New Roman"/>
        </w:rPr>
        <w:t>,</w:t>
      </w:r>
      <w:r w:rsidR="00625015">
        <w:rPr>
          <w:rFonts w:ascii="Times New Roman" w:hAnsi="Times New Roman" w:cs="Times New Roman"/>
        </w:rPr>
        <w:t xml:space="preserve"> </w:t>
      </w:r>
      <w:r w:rsidRPr="00CE3DE2">
        <w:rPr>
          <w:rFonts w:ascii="Times New Roman" w:hAnsi="Times New Roman" w:cs="Times New Roman"/>
        </w:rPr>
        <w:t xml:space="preserve">holding that this interpretation is contrary to plain meaning of the statutory text. </w:t>
      </w:r>
      <w:r w:rsidR="007A7ABA">
        <w:rPr>
          <w:rFonts w:ascii="Times New Roman" w:hAnsi="Times New Roman" w:cs="Times New Roman"/>
          <w:i/>
          <w:iCs w:val="0"/>
        </w:rPr>
        <w:t xml:space="preserve">See </w:t>
      </w:r>
      <w:r w:rsidR="00580B9E" w:rsidRPr="006779F6">
        <w:rPr>
          <w:rFonts w:ascii="Times New Roman" w:hAnsi="Times New Roman" w:cs="Times New Roman"/>
          <w:i/>
          <w:color w:val="212121"/>
          <w:bdr w:val="none" w:sz="0" w:space="0" w:color="auto" w:frame="1"/>
        </w:rPr>
        <w:t>Sherwood Auburn LLC v. Pinzon</w:t>
      </w:r>
      <w:r w:rsidR="00580B9E" w:rsidRPr="006779F6">
        <w:rPr>
          <w:rFonts w:ascii="Times New Roman" w:hAnsi="Times New Roman" w:cs="Times New Roman"/>
          <w:color w:val="000000"/>
        </w:rPr>
        <w:t xml:space="preserve">, 24 Wash. App. 2d 664, 521 P.3d 212 (2022), </w:t>
      </w:r>
      <w:r w:rsidR="00580B9E" w:rsidRPr="006779F6">
        <w:rPr>
          <w:rFonts w:ascii="Times New Roman" w:hAnsi="Times New Roman" w:cs="Times New Roman"/>
          <w:i/>
          <w:color w:val="212121"/>
          <w:bdr w:val="none" w:sz="0" w:space="0" w:color="auto" w:frame="1"/>
        </w:rPr>
        <w:t>review denied</w:t>
      </w:r>
      <w:r w:rsidR="00580B9E" w:rsidRPr="006779F6">
        <w:rPr>
          <w:rFonts w:ascii="Times New Roman" w:hAnsi="Times New Roman" w:cs="Times New Roman"/>
          <w:color w:val="212121"/>
          <w:u w:val="single"/>
          <w:bdr w:val="none" w:sz="0" w:space="0" w:color="auto" w:frame="1"/>
        </w:rPr>
        <w:t>,</w:t>
      </w:r>
      <w:r w:rsidR="00580B9E" w:rsidRPr="006779F6">
        <w:rPr>
          <w:rFonts w:ascii="Times New Roman" w:hAnsi="Times New Roman" w:cs="Times New Roman"/>
          <w:color w:val="000000"/>
        </w:rPr>
        <w:t xml:space="preserve"> 526 P.3d 848 (Wash. Ct. App. 2023)</w:t>
      </w:r>
      <w:r w:rsidR="00580B9E">
        <w:rPr>
          <w:rFonts w:ascii="Times New Roman" w:hAnsi="Times New Roman" w:cs="Times New Roman"/>
          <w:color w:val="000000"/>
        </w:rPr>
        <w:t>;</w:t>
      </w:r>
      <w:r w:rsidRPr="00CE3DE2">
        <w:rPr>
          <w:rFonts w:ascii="Times New Roman" w:hAnsi="Times New Roman" w:cs="Times New Roman"/>
        </w:rPr>
        <w:t xml:space="preserve"> </w:t>
      </w:r>
      <w:r w:rsidR="003007B1" w:rsidRPr="00CE3DE2">
        <w:rPr>
          <w:rFonts w:ascii="Times New Roman" w:hAnsi="Times New Roman" w:cs="Times New Roman"/>
          <w:i/>
          <w:color w:val="212121"/>
          <w:bdr w:val="none" w:sz="0" w:space="0" w:color="auto" w:frame="1"/>
        </w:rPr>
        <w:t>Olentangy Commons Owner LLC v. Fawley</w:t>
      </w:r>
      <w:r w:rsidR="003007B1" w:rsidRPr="00CE3DE2">
        <w:rPr>
          <w:rFonts w:ascii="Times New Roman" w:hAnsi="Times New Roman" w:cs="Times New Roman"/>
          <w:color w:val="000000"/>
        </w:rPr>
        <w:t>, 2023-Ohio-4039, ¶ 40, 228 N.E.3d 621, 633 (2023 Ct. App. Ohio)</w:t>
      </w:r>
      <w:r w:rsidR="00580B9E">
        <w:rPr>
          <w:rFonts w:ascii="Times New Roman" w:hAnsi="Times New Roman" w:cs="Times New Roman"/>
          <w:color w:val="000000"/>
        </w:rPr>
        <w:t xml:space="preserve">. </w:t>
      </w:r>
    </w:p>
    <w:p w14:paraId="616DAA5E" w14:textId="29856257" w:rsidR="001E7549" w:rsidRDefault="001E7549" w:rsidP="001E7549">
      <w:pPr>
        <w:ind w:firstLine="720"/>
        <w:contextualSpacing/>
        <w:jc w:val="both"/>
        <w:rPr>
          <w:rFonts w:ascii="Times New Roman" w:hAnsi="Times New Roman" w:cs="Times New Roman"/>
          <w:sz w:val="28"/>
          <w:szCs w:val="28"/>
        </w:rPr>
      </w:pPr>
    </w:p>
    <w:p w14:paraId="472DBDD3" w14:textId="77777777" w:rsidR="001E7549" w:rsidRDefault="001E7549" w:rsidP="001E7549">
      <w:pPr>
        <w:pStyle w:val="FootnoteText"/>
      </w:pPr>
    </w:p>
  </w:footnote>
  <w:footnote w:id="10">
    <w:p w14:paraId="13C8DFBC" w14:textId="0F509069" w:rsidR="00FD74C0" w:rsidRPr="00FD74C0" w:rsidRDefault="00FD74C0" w:rsidP="00663F47">
      <w:pPr>
        <w:pStyle w:val="FootnoteText"/>
        <w:ind w:firstLine="720"/>
        <w:rPr>
          <w:rFonts w:ascii="Times New Roman" w:hAnsi="Times New Roman" w:cs="Times New Roman"/>
          <w:szCs w:val="24"/>
        </w:rPr>
      </w:pPr>
      <w:r w:rsidRPr="00FD74C0">
        <w:rPr>
          <w:rStyle w:val="FootnoteReference"/>
          <w:rFonts w:ascii="Times New Roman" w:hAnsi="Times New Roman" w:cs="Times New Roman"/>
          <w:szCs w:val="24"/>
        </w:rPr>
        <w:footnoteRef/>
      </w:r>
      <w:r w:rsidRPr="00FD74C0">
        <w:rPr>
          <w:rFonts w:ascii="Times New Roman" w:hAnsi="Times New Roman" w:cs="Times New Roman"/>
          <w:szCs w:val="24"/>
        </w:rPr>
        <w:t xml:space="preserve"> </w:t>
      </w:r>
      <w:r w:rsidRPr="00FD74C0">
        <w:rPr>
          <w:rFonts w:ascii="Times New Roman" w:hAnsi="Times New Roman" w:cs="Times New Roman"/>
          <w:i/>
          <w:color w:val="212121"/>
          <w:szCs w:val="24"/>
          <w:bdr w:val="none" w:sz="0" w:space="0" w:color="auto" w:frame="1"/>
        </w:rPr>
        <w:t>Iverson v. Nava</w:t>
      </w:r>
      <w:r w:rsidRPr="00FD74C0">
        <w:rPr>
          <w:rFonts w:ascii="Times New Roman" w:hAnsi="Times New Roman" w:cs="Times New Roman"/>
          <w:color w:val="000000"/>
          <w:szCs w:val="24"/>
        </w:rPr>
        <w:t xml:space="preserve">, 248 Ariz. 443, 448, 461 P.3d 463, 468 (Ct. App. 2020) (quoting </w:t>
      </w:r>
      <w:r w:rsidRPr="00FD74C0">
        <w:rPr>
          <w:rFonts w:ascii="Times New Roman" w:hAnsi="Times New Roman" w:cs="Times New Roman"/>
          <w:i/>
          <w:color w:val="212121"/>
          <w:szCs w:val="24"/>
          <w:bdr w:val="none" w:sz="0" w:space="0" w:color="auto" w:frame="1"/>
        </w:rPr>
        <w:t>Olds Bros. Lumber Co. v. Rushing</w:t>
      </w:r>
      <w:r w:rsidRPr="00FD74C0">
        <w:rPr>
          <w:rFonts w:ascii="Times New Roman" w:hAnsi="Times New Roman" w:cs="Times New Roman"/>
          <w:color w:val="000000"/>
          <w:szCs w:val="24"/>
        </w:rPr>
        <w:t>, 64 Ariz. 199, 204, 167 P.2d 394 (1946)).</w:t>
      </w:r>
    </w:p>
  </w:footnote>
  <w:footnote w:id="11">
    <w:p w14:paraId="0F3D2FB3" w14:textId="52DC4076" w:rsidR="00FD74C0" w:rsidRPr="00E1601A" w:rsidRDefault="00FD74C0" w:rsidP="00663F47">
      <w:pPr>
        <w:shd w:val="clear" w:color="auto" w:fill="FFFFFF"/>
        <w:ind w:firstLine="720"/>
        <w:contextualSpacing/>
        <w:jc w:val="both"/>
        <w:rPr>
          <w:rFonts w:ascii="Times New Roman" w:hAnsi="Times New Roman" w:cs="Times New Roman"/>
          <w:color w:val="000000"/>
        </w:rPr>
      </w:pPr>
      <w:r w:rsidRPr="00FD74C0">
        <w:rPr>
          <w:rStyle w:val="FootnoteReference"/>
          <w:rFonts w:ascii="Times New Roman" w:hAnsi="Times New Roman" w:cs="Times New Roman"/>
        </w:rPr>
        <w:footnoteRef/>
      </w:r>
      <w:r w:rsidRPr="00FD74C0">
        <w:rPr>
          <w:rFonts w:ascii="Times New Roman" w:hAnsi="Times New Roman" w:cs="Times New Roman"/>
        </w:rPr>
        <w:t xml:space="preserve"> </w:t>
      </w:r>
      <w:r w:rsidRPr="00FD74C0">
        <w:rPr>
          <w:rFonts w:ascii="Times New Roman" w:hAnsi="Times New Roman" w:cs="Times New Roman"/>
          <w:i/>
          <w:iCs w:val="0"/>
        </w:rPr>
        <w:t xml:space="preserve">See </w:t>
      </w:r>
      <w:r w:rsidRPr="00FD74C0">
        <w:rPr>
          <w:rFonts w:ascii="Times New Roman" w:hAnsi="Times New Roman" w:cs="Times New Roman"/>
        </w:rPr>
        <w:t>A.R.S. § 33-1377(D) (“</w:t>
      </w:r>
      <w:r w:rsidRPr="00FD74C0">
        <w:rPr>
          <w:rFonts w:ascii="Times New Roman" w:hAnsi="Times New Roman" w:cs="Times New Roman"/>
          <w:i/>
          <w:iCs w:val="0"/>
        </w:rPr>
        <w:t>In addition to determining the right to actual possession</w:t>
      </w:r>
      <w:r w:rsidRPr="00FD74C0">
        <w:rPr>
          <w:rFonts w:ascii="Times New Roman" w:hAnsi="Times New Roman" w:cs="Times New Roman"/>
        </w:rPr>
        <w:t>, the court may assess damages, attorney fees and costs as prescribed by law”) (emphasis added).</w:t>
      </w:r>
    </w:p>
  </w:footnote>
  <w:footnote w:id="12">
    <w:p w14:paraId="30F81604" w14:textId="309157A6" w:rsidR="00E1601A" w:rsidRPr="00E1601A" w:rsidRDefault="00E1601A" w:rsidP="00663F47">
      <w:pPr>
        <w:pStyle w:val="FootnoteText"/>
        <w:ind w:firstLine="720"/>
        <w:rPr>
          <w:rFonts w:ascii="Times New Roman" w:hAnsi="Times New Roman" w:cs="Times New Roman"/>
          <w:szCs w:val="24"/>
        </w:rPr>
      </w:pPr>
      <w:r w:rsidRPr="00E1601A">
        <w:rPr>
          <w:rStyle w:val="FootnoteReference"/>
          <w:rFonts w:ascii="Times New Roman" w:hAnsi="Times New Roman" w:cs="Times New Roman"/>
          <w:szCs w:val="24"/>
        </w:rPr>
        <w:footnoteRef/>
      </w:r>
      <w:r w:rsidRPr="00E1601A">
        <w:rPr>
          <w:rFonts w:ascii="Times New Roman" w:hAnsi="Times New Roman" w:cs="Times New Roman"/>
          <w:szCs w:val="24"/>
        </w:rPr>
        <w:t xml:space="preserve"> </w:t>
      </w:r>
      <w:r w:rsidRPr="00E1601A">
        <w:rPr>
          <w:rFonts w:ascii="Times New Roman" w:hAnsi="Times New Roman" w:cs="Times New Roman"/>
          <w:i/>
          <w:szCs w:val="24"/>
          <w:shd w:val="clear" w:color="auto" w:fill="FFFFFF"/>
        </w:rPr>
        <w:t xml:space="preserve">See </w:t>
      </w:r>
      <w:r w:rsidRPr="00E1601A">
        <w:rPr>
          <w:rFonts w:ascii="Times New Roman" w:hAnsi="Times New Roman" w:cs="Times New Roman"/>
          <w:i/>
          <w:szCs w:val="24"/>
        </w:rPr>
        <w:t>Alton v. Tower Cap Co.</w:t>
      </w:r>
      <w:r w:rsidRPr="00E1601A">
        <w:rPr>
          <w:rFonts w:ascii="Times New Roman" w:hAnsi="Times New Roman" w:cs="Times New Roman"/>
          <w:szCs w:val="24"/>
        </w:rPr>
        <w:t xml:space="preserve">, 123 Ariz. 602, 601 P.2d 602 (Ariz. 1979); </w:t>
      </w:r>
      <w:r w:rsidRPr="00E1601A">
        <w:rPr>
          <w:rFonts w:ascii="Times New Roman" w:hAnsi="Times New Roman" w:cs="Times New Roman"/>
          <w:i/>
          <w:szCs w:val="24"/>
        </w:rPr>
        <w:t xml:space="preserve">Bank of New York Mellon v. De </w:t>
      </w:r>
      <w:proofErr w:type="spellStart"/>
      <w:r w:rsidRPr="00E1601A">
        <w:rPr>
          <w:rFonts w:ascii="Times New Roman" w:hAnsi="Times New Roman" w:cs="Times New Roman"/>
          <w:i/>
          <w:szCs w:val="24"/>
        </w:rPr>
        <w:t>Meo</w:t>
      </w:r>
      <w:proofErr w:type="spellEnd"/>
      <w:r w:rsidRPr="00E1601A">
        <w:rPr>
          <w:rFonts w:ascii="Times New Roman" w:hAnsi="Times New Roman" w:cs="Times New Roman"/>
          <w:szCs w:val="24"/>
        </w:rPr>
        <w:t>, 227 Ariz. 192, 254 P.3d 1138 (Ariz. App.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D4D3" w14:textId="75D2691D" w:rsidR="00CD3CB7" w:rsidRDefault="00CD3CB7" w:rsidP="00CD3CB7">
    <w:pPr>
      <w:pStyle w:val="Header"/>
      <w:jc w:val="center"/>
    </w:pPr>
  </w:p>
  <w:p w14:paraId="56DB6590" w14:textId="24176BAF" w:rsidR="00CA512B" w:rsidRDefault="00050F0A">
    <w:pPr>
      <w:pStyle w:val="Header"/>
    </w:pPr>
    <w:r>
      <w:rPr>
        <w:noProof/>
      </w:rPr>
      <w:drawing>
        <wp:anchor distT="0" distB="0" distL="114300" distR="114300" simplePos="0" relativeHeight="251658240" behindDoc="0" locked="0" layoutInCell="1" allowOverlap="1" wp14:anchorId="5491926F" wp14:editId="674E8C76">
          <wp:simplePos x="0" y="0"/>
          <wp:positionH relativeFrom="column">
            <wp:posOffset>3735705</wp:posOffset>
          </wp:positionH>
          <wp:positionV relativeFrom="paragraph">
            <wp:posOffset>234315</wp:posOffset>
          </wp:positionV>
          <wp:extent cx="2381250" cy="1248410"/>
          <wp:effectExtent l="0" t="0" r="0" b="8890"/>
          <wp:wrapThrough wrapText="bothSides">
            <wp:wrapPolygon edited="0">
              <wp:start x="3283" y="0"/>
              <wp:lineTo x="1901" y="330"/>
              <wp:lineTo x="346" y="3296"/>
              <wp:lineTo x="0" y="6592"/>
              <wp:lineTo x="0" y="14503"/>
              <wp:lineTo x="1728" y="15821"/>
              <wp:lineTo x="173" y="18128"/>
              <wp:lineTo x="173" y="20765"/>
              <wp:lineTo x="2419" y="21424"/>
              <wp:lineTo x="21427" y="21424"/>
              <wp:lineTo x="21427" y="17799"/>
              <wp:lineTo x="20390" y="15821"/>
              <wp:lineTo x="20563" y="12855"/>
              <wp:lineTo x="19008" y="10547"/>
              <wp:lineTo x="17107" y="10547"/>
              <wp:lineTo x="20218" y="5603"/>
              <wp:lineTo x="20218" y="5274"/>
              <wp:lineTo x="21254" y="659"/>
              <wp:lineTo x="19872" y="330"/>
              <wp:lineTo x="4320" y="0"/>
              <wp:lineTo x="328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81250" cy="1248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6BA478E"/>
    <w:lvl w:ilvl="0">
      <w:numFmt w:val="decimal"/>
      <w:lvlText w:val="*"/>
      <w:lvlJc w:val="left"/>
    </w:lvl>
  </w:abstractNum>
  <w:abstractNum w:abstractNumId="1" w15:restartNumberingAfterBreak="0">
    <w:nsid w:val="048C0D9A"/>
    <w:multiLevelType w:val="hybridMultilevel"/>
    <w:tmpl w:val="B84CF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8424B"/>
    <w:multiLevelType w:val="hybridMultilevel"/>
    <w:tmpl w:val="3BCE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B35E9"/>
    <w:multiLevelType w:val="hybridMultilevel"/>
    <w:tmpl w:val="F27E7F8C"/>
    <w:lvl w:ilvl="0" w:tplc="345623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13455"/>
    <w:multiLevelType w:val="hybridMultilevel"/>
    <w:tmpl w:val="47A63B84"/>
    <w:lvl w:ilvl="0" w:tplc="95789F00">
      <w:start w:val="2"/>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075E0D"/>
    <w:multiLevelType w:val="hybridMultilevel"/>
    <w:tmpl w:val="07A48A92"/>
    <w:lvl w:ilvl="0" w:tplc="8A428896">
      <w:start w:val="1"/>
      <w:numFmt w:val="decimal"/>
      <w:lvlText w:val="%1)"/>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13FCA"/>
    <w:multiLevelType w:val="hybridMultilevel"/>
    <w:tmpl w:val="E8FE077A"/>
    <w:lvl w:ilvl="0" w:tplc="4C8E58E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96960"/>
    <w:multiLevelType w:val="hybridMultilevel"/>
    <w:tmpl w:val="CFE4DB84"/>
    <w:lvl w:ilvl="0" w:tplc="BCB0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B7A3D"/>
    <w:multiLevelType w:val="hybridMultilevel"/>
    <w:tmpl w:val="3280A6B2"/>
    <w:lvl w:ilvl="0" w:tplc="9A66B7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17436"/>
    <w:multiLevelType w:val="hybridMultilevel"/>
    <w:tmpl w:val="770695A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75940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343362370">
    <w:abstractNumId w:val="4"/>
  </w:num>
  <w:num w:numId="3" w16cid:durableId="689373936">
    <w:abstractNumId w:val="3"/>
  </w:num>
  <w:num w:numId="4" w16cid:durableId="1587957014">
    <w:abstractNumId w:val="9"/>
  </w:num>
  <w:num w:numId="5" w16cid:durableId="455635265">
    <w:abstractNumId w:val="1"/>
  </w:num>
  <w:num w:numId="6" w16cid:durableId="1407920799">
    <w:abstractNumId w:val="7"/>
  </w:num>
  <w:num w:numId="7" w16cid:durableId="1641304189">
    <w:abstractNumId w:val="5"/>
  </w:num>
  <w:num w:numId="8" w16cid:durableId="332727728">
    <w:abstractNumId w:val="2"/>
  </w:num>
  <w:num w:numId="9" w16cid:durableId="1770544985">
    <w:abstractNumId w:val="6"/>
  </w:num>
  <w:num w:numId="10" w16cid:durableId="779102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6B"/>
    <w:rsid w:val="00004BF5"/>
    <w:rsid w:val="0002609F"/>
    <w:rsid w:val="000276CC"/>
    <w:rsid w:val="00047CB8"/>
    <w:rsid w:val="00050F0A"/>
    <w:rsid w:val="00064678"/>
    <w:rsid w:val="00070E9F"/>
    <w:rsid w:val="000713CB"/>
    <w:rsid w:val="00092E31"/>
    <w:rsid w:val="000A0DF8"/>
    <w:rsid w:val="000C2DC2"/>
    <w:rsid w:val="000E6697"/>
    <w:rsid w:val="00104FD1"/>
    <w:rsid w:val="00112376"/>
    <w:rsid w:val="00115558"/>
    <w:rsid w:val="0013092D"/>
    <w:rsid w:val="00140F86"/>
    <w:rsid w:val="00151D03"/>
    <w:rsid w:val="00155917"/>
    <w:rsid w:val="00156C49"/>
    <w:rsid w:val="00160565"/>
    <w:rsid w:val="001741D1"/>
    <w:rsid w:val="001A6686"/>
    <w:rsid w:val="001B3F18"/>
    <w:rsid w:val="001C523F"/>
    <w:rsid w:val="001E7549"/>
    <w:rsid w:val="00215F37"/>
    <w:rsid w:val="002341B7"/>
    <w:rsid w:val="00261FAC"/>
    <w:rsid w:val="00263750"/>
    <w:rsid w:val="00272E05"/>
    <w:rsid w:val="00285038"/>
    <w:rsid w:val="0028571D"/>
    <w:rsid w:val="002B00C8"/>
    <w:rsid w:val="002B195A"/>
    <w:rsid w:val="002B2E12"/>
    <w:rsid w:val="002E69F9"/>
    <w:rsid w:val="003007B1"/>
    <w:rsid w:val="00301DF5"/>
    <w:rsid w:val="00322767"/>
    <w:rsid w:val="00333A71"/>
    <w:rsid w:val="0035476B"/>
    <w:rsid w:val="003553F4"/>
    <w:rsid w:val="00360DD5"/>
    <w:rsid w:val="00394DA4"/>
    <w:rsid w:val="003A577F"/>
    <w:rsid w:val="003B0097"/>
    <w:rsid w:val="003C2154"/>
    <w:rsid w:val="003C46B2"/>
    <w:rsid w:val="003E1570"/>
    <w:rsid w:val="003F2210"/>
    <w:rsid w:val="003F659B"/>
    <w:rsid w:val="0041259B"/>
    <w:rsid w:val="00416717"/>
    <w:rsid w:val="00430181"/>
    <w:rsid w:val="004304B9"/>
    <w:rsid w:val="00431E70"/>
    <w:rsid w:val="00432E58"/>
    <w:rsid w:val="00446A9C"/>
    <w:rsid w:val="00465260"/>
    <w:rsid w:val="0046700B"/>
    <w:rsid w:val="00490535"/>
    <w:rsid w:val="00492667"/>
    <w:rsid w:val="00492DF7"/>
    <w:rsid w:val="004D5165"/>
    <w:rsid w:val="004E26E1"/>
    <w:rsid w:val="004E2E0F"/>
    <w:rsid w:val="00520DF3"/>
    <w:rsid w:val="00521022"/>
    <w:rsid w:val="005212CC"/>
    <w:rsid w:val="00535643"/>
    <w:rsid w:val="0053709C"/>
    <w:rsid w:val="0054792F"/>
    <w:rsid w:val="005741BB"/>
    <w:rsid w:val="00580B9E"/>
    <w:rsid w:val="0058125C"/>
    <w:rsid w:val="00587121"/>
    <w:rsid w:val="00590E36"/>
    <w:rsid w:val="00592D3F"/>
    <w:rsid w:val="005A3573"/>
    <w:rsid w:val="005B1921"/>
    <w:rsid w:val="005B20C3"/>
    <w:rsid w:val="005B3C6C"/>
    <w:rsid w:val="005D020F"/>
    <w:rsid w:val="005D0BF2"/>
    <w:rsid w:val="005E2352"/>
    <w:rsid w:val="00615E30"/>
    <w:rsid w:val="00625015"/>
    <w:rsid w:val="006276A6"/>
    <w:rsid w:val="0063546A"/>
    <w:rsid w:val="0064606B"/>
    <w:rsid w:val="00653F01"/>
    <w:rsid w:val="00663F47"/>
    <w:rsid w:val="006779F6"/>
    <w:rsid w:val="006B755B"/>
    <w:rsid w:val="006C0B8F"/>
    <w:rsid w:val="006C3B94"/>
    <w:rsid w:val="006D2586"/>
    <w:rsid w:val="006F70E9"/>
    <w:rsid w:val="0072429B"/>
    <w:rsid w:val="0073219D"/>
    <w:rsid w:val="00737947"/>
    <w:rsid w:val="00795B22"/>
    <w:rsid w:val="007A12D3"/>
    <w:rsid w:val="007A7ABA"/>
    <w:rsid w:val="007C2FA3"/>
    <w:rsid w:val="007C45C5"/>
    <w:rsid w:val="007E036B"/>
    <w:rsid w:val="007F3B04"/>
    <w:rsid w:val="007F72A6"/>
    <w:rsid w:val="00807F09"/>
    <w:rsid w:val="00850CFF"/>
    <w:rsid w:val="00850D60"/>
    <w:rsid w:val="00857497"/>
    <w:rsid w:val="0087726D"/>
    <w:rsid w:val="0088541B"/>
    <w:rsid w:val="008A32AE"/>
    <w:rsid w:val="008A3B15"/>
    <w:rsid w:val="008D52E8"/>
    <w:rsid w:val="008D65C8"/>
    <w:rsid w:val="008E0230"/>
    <w:rsid w:val="008F19C0"/>
    <w:rsid w:val="008F5779"/>
    <w:rsid w:val="0090255A"/>
    <w:rsid w:val="0091471F"/>
    <w:rsid w:val="009206D2"/>
    <w:rsid w:val="00926C5E"/>
    <w:rsid w:val="009305C6"/>
    <w:rsid w:val="00934C50"/>
    <w:rsid w:val="00964872"/>
    <w:rsid w:val="009666D3"/>
    <w:rsid w:val="009A3099"/>
    <w:rsid w:val="009C7687"/>
    <w:rsid w:val="009D1F7B"/>
    <w:rsid w:val="009D38F2"/>
    <w:rsid w:val="009F2680"/>
    <w:rsid w:val="00A078B9"/>
    <w:rsid w:val="00A23B09"/>
    <w:rsid w:val="00A30BB7"/>
    <w:rsid w:val="00A6125B"/>
    <w:rsid w:val="00A662B5"/>
    <w:rsid w:val="00A97040"/>
    <w:rsid w:val="00A973DC"/>
    <w:rsid w:val="00AC023E"/>
    <w:rsid w:val="00AC1EBD"/>
    <w:rsid w:val="00AD2292"/>
    <w:rsid w:val="00AE4255"/>
    <w:rsid w:val="00AE57EF"/>
    <w:rsid w:val="00AF3942"/>
    <w:rsid w:val="00B127EF"/>
    <w:rsid w:val="00B238E9"/>
    <w:rsid w:val="00B270C6"/>
    <w:rsid w:val="00B60CA5"/>
    <w:rsid w:val="00B92CEA"/>
    <w:rsid w:val="00BA6642"/>
    <w:rsid w:val="00BB1946"/>
    <w:rsid w:val="00BB1F9F"/>
    <w:rsid w:val="00BC127E"/>
    <w:rsid w:val="00BC6891"/>
    <w:rsid w:val="00BD237C"/>
    <w:rsid w:val="00BD7FE8"/>
    <w:rsid w:val="00BE529B"/>
    <w:rsid w:val="00BF0F68"/>
    <w:rsid w:val="00BF7BFB"/>
    <w:rsid w:val="00C07E6B"/>
    <w:rsid w:val="00C24CE7"/>
    <w:rsid w:val="00C3491B"/>
    <w:rsid w:val="00C9002D"/>
    <w:rsid w:val="00C9139B"/>
    <w:rsid w:val="00CA512B"/>
    <w:rsid w:val="00CA71F5"/>
    <w:rsid w:val="00CA78DC"/>
    <w:rsid w:val="00CB5F96"/>
    <w:rsid w:val="00CB7E0E"/>
    <w:rsid w:val="00CD3CB7"/>
    <w:rsid w:val="00CE2273"/>
    <w:rsid w:val="00CE3DE2"/>
    <w:rsid w:val="00CF5B19"/>
    <w:rsid w:val="00D25268"/>
    <w:rsid w:val="00D5096D"/>
    <w:rsid w:val="00D56B3F"/>
    <w:rsid w:val="00D73440"/>
    <w:rsid w:val="00D832E3"/>
    <w:rsid w:val="00D93974"/>
    <w:rsid w:val="00D96F16"/>
    <w:rsid w:val="00DD4F46"/>
    <w:rsid w:val="00DE14D0"/>
    <w:rsid w:val="00DE1DF5"/>
    <w:rsid w:val="00DE607B"/>
    <w:rsid w:val="00E0032B"/>
    <w:rsid w:val="00E04AB9"/>
    <w:rsid w:val="00E1601A"/>
    <w:rsid w:val="00E30C86"/>
    <w:rsid w:val="00E35096"/>
    <w:rsid w:val="00E51175"/>
    <w:rsid w:val="00E56EA9"/>
    <w:rsid w:val="00EA21C2"/>
    <w:rsid w:val="00EA5D84"/>
    <w:rsid w:val="00EB0E09"/>
    <w:rsid w:val="00EB0FB1"/>
    <w:rsid w:val="00EB6BAC"/>
    <w:rsid w:val="00EE6D19"/>
    <w:rsid w:val="00F0730A"/>
    <w:rsid w:val="00F123A8"/>
    <w:rsid w:val="00F13A00"/>
    <w:rsid w:val="00F20E73"/>
    <w:rsid w:val="00F24E3C"/>
    <w:rsid w:val="00F41B18"/>
    <w:rsid w:val="00F42BCA"/>
    <w:rsid w:val="00F626AD"/>
    <w:rsid w:val="00F674B7"/>
    <w:rsid w:val="00F70279"/>
    <w:rsid w:val="00F87E94"/>
    <w:rsid w:val="00FA5080"/>
    <w:rsid w:val="00FC5051"/>
    <w:rsid w:val="00FD74C0"/>
    <w:rsid w:val="00FE6E6C"/>
    <w:rsid w:val="00FE7FAB"/>
    <w:rsid w:val="00FF0E7F"/>
    <w:rsid w:val="00FF429A"/>
    <w:rsid w:val="00FF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4555"/>
  <w15:docId w15:val="{9C35B628-03AC-4875-8262-A2FF7D75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iCs/>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C50"/>
    <w:pPr>
      <w:widowControl w:val="0"/>
      <w:autoSpaceDE w:val="0"/>
      <w:autoSpaceDN w:val="0"/>
      <w:adjustRightInd w:val="0"/>
    </w:pPr>
  </w:style>
  <w:style w:type="paragraph" w:styleId="Heading1">
    <w:name w:val="heading 1"/>
    <w:basedOn w:val="Normal"/>
    <w:next w:val="Normal"/>
    <w:qFormat/>
    <w:rsid w:val="00431E70"/>
    <w:pPr>
      <w:keepNext/>
      <w:outlineLvl w:val="0"/>
    </w:pPr>
    <w:rPr>
      <w:b/>
      <w:bCs/>
    </w:rPr>
  </w:style>
  <w:style w:type="paragraph" w:styleId="Heading2">
    <w:name w:val="heading 2"/>
    <w:basedOn w:val="Normal"/>
    <w:next w:val="Normal"/>
    <w:qFormat/>
    <w:rsid w:val="00431E70"/>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D832E3"/>
    <w:rPr>
      <w:rFonts w:ascii="Arial" w:hAnsi="Arial"/>
      <w:b w:val="0"/>
      <w:i w:val="0"/>
      <w:sz w:val="24"/>
      <w:vertAlign w:val="superscript"/>
    </w:rPr>
  </w:style>
  <w:style w:type="paragraph" w:styleId="Header">
    <w:name w:val="header"/>
    <w:basedOn w:val="Normal"/>
    <w:link w:val="HeaderChar"/>
    <w:uiPriority w:val="99"/>
    <w:rsid w:val="00934C50"/>
    <w:pPr>
      <w:tabs>
        <w:tab w:val="center" w:pos="4320"/>
        <w:tab w:val="right" w:pos="8640"/>
      </w:tabs>
    </w:pPr>
  </w:style>
  <w:style w:type="paragraph" w:styleId="Footer">
    <w:name w:val="footer"/>
    <w:basedOn w:val="Normal"/>
    <w:link w:val="FooterChar"/>
    <w:uiPriority w:val="99"/>
    <w:rsid w:val="00934C50"/>
    <w:pPr>
      <w:tabs>
        <w:tab w:val="center" w:pos="4320"/>
        <w:tab w:val="right" w:pos="8640"/>
      </w:tabs>
    </w:pPr>
  </w:style>
  <w:style w:type="paragraph" w:customStyle="1" w:styleId="Level1">
    <w:name w:val="Level 1"/>
    <w:basedOn w:val="Normal"/>
    <w:rsid w:val="00431E70"/>
    <w:pPr>
      <w:ind w:left="720" w:hanging="720"/>
    </w:pPr>
  </w:style>
  <w:style w:type="character" w:customStyle="1" w:styleId="Hypertext">
    <w:name w:val="Hypertext"/>
    <w:rsid w:val="00431E70"/>
    <w:rPr>
      <w:color w:val="0000FF"/>
      <w:u w:val="single"/>
    </w:rPr>
  </w:style>
  <w:style w:type="character" w:styleId="Hyperlink">
    <w:name w:val="Hyperlink"/>
    <w:basedOn w:val="DefaultParagraphFont"/>
    <w:rsid w:val="00431E70"/>
    <w:rPr>
      <w:color w:val="0000FF"/>
      <w:u w:val="single"/>
    </w:rPr>
  </w:style>
  <w:style w:type="paragraph" w:styleId="BodyText">
    <w:name w:val="Body Text"/>
    <w:basedOn w:val="Normal"/>
    <w:rsid w:val="00431E70"/>
  </w:style>
  <w:style w:type="character" w:styleId="PageNumber">
    <w:name w:val="page number"/>
    <w:basedOn w:val="DefaultParagraphFont"/>
    <w:rsid w:val="00431E70"/>
  </w:style>
  <w:style w:type="paragraph" w:styleId="BalloonText">
    <w:name w:val="Balloon Text"/>
    <w:basedOn w:val="Normal"/>
    <w:link w:val="BalloonTextChar"/>
    <w:rsid w:val="00521022"/>
    <w:rPr>
      <w:rFonts w:ascii="Tahoma" w:hAnsi="Tahoma" w:cs="Tahoma"/>
      <w:sz w:val="16"/>
      <w:szCs w:val="16"/>
    </w:rPr>
  </w:style>
  <w:style w:type="character" w:customStyle="1" w:styleId="BalloonTextChar">
    <w:name w:val="Balloon Text Char"/>
    <w:basedOn w:val="DefaultParagraphFont"/>
    <w:link w:val="BalloonText"/>
    <w:rsid w:val="00521022"/>
    <w:rPr>
      <w:rFonts w:ascii="Tahoma" w:hAnsi="Tahoma" w:cs="Tahoma"/>
      <w:sz w:val="16"/>
      <w:szCs w:val="16"/>
    </w:rPr>
  </w:style>
  <w:style w:type="character" w:customStyle="1" w:styleId="HeaderChar">
    <w:name w:val="Header Char"/>
    <w:basedOn w:val="DefaultParagraphFont"/>
    <w:link w:val="Header"/>
    <w:uiPriority w:val="99"/>
    <w:rsid w:val="00CD3CB7"/>
    <w:rPr>
      <w:szCs w:val="24"/>
    </w:rPr>
  </w:style>
  <w:style w:type="paragraph" w:styleId="NoSpacing">
    <w:name w:val="No Spacing"/>
    <w:uiPriority w:val="1"/>
    <w:qFormat/>
    <w:rsid w:val="0028571D"/>
    <w:rPr>
      <w:rFonts w:ascii="Calibri" w:eastAsia="Calibri" w:hAnsi="Calibri"/>
      <w:sz w:val="22"/>
      <w:szCs w:val="22"/>
    </w:rPr>
  </w:style>
  <w:style w:type="paragraph" w:styleId="FootnoteText">
    <w:name w:val="footnote text"/>
    <w:basedOn w:val="Normal"/>
    <w:link w:val="FootnoteTextChar"/>
    <w:uiPriority w:val="99"/>
    <w:unhideWhenUsed/>
    <w:rsid w:val="00D832E3"/>
    <w:rPr>
      <w:szCs w:val="20"/>
    </w:rPr>
  </w:style>
  <w:style w:type="character" w:customStyle="1" w:styleId="FootnoteTextChar">
    <w:name w:val="Footnote Text Char"/>
    <w:basedOn w:val="DefaultParagraphFont"/>
    <w:link w:val="FootnoteText"/>
    <w:uiPriority w:val="99"/>
    <w:rsid w:val="00D832E3"/>
    <w:rPr>
      <w:szCs w:val="20"/>
    </w:rPr>
  </w:style>
  <w:style w:type="character" w:styleId="UnresolvedMention">
    <w:name w:val="Unresolved Mention"/>
    <w:basedOn w:val="DefaultParagraphFont"/>
    <w:uiPriority w:val="99"/>
    <w:semiHidden/>
    <w:unhideWhenUsed/>
    <w:rsid w:val="00590E36"/>
    <w:rPr>
      <w:color w:val="605E5C"/>
      <w:shd w:val="clear" w:color="auto" w:fill="E1DFDD"/>
    </w:rPr>
  </w:style>
  <w:style w:type="paragraph" w:styleId="ListParagraph">
    <w:name w:val="List Paragraph"/>
    <w:basedOn w:val="Normal"/>
    <w:uiPriority w:val="34"/>
    <w:qFormat/>
    <w:rsid w:val="0058125C"/>
    <w:pPr>
      <w:widowControl/>
      <w:autoSpaceDE/>
      <w:autoSpaceDN/>
      <w:adjustRightInd/>
      <w:spacing w:after="160" w:line="259" w:lineRule="auto"/>
      <w:ind w:left="720"/>
      <w:contextualSpacing/>
    </w:pPr>
    <w:rPr>
      <w:rFonts w:asciiTheme="minorHAnsi" w:eastAsiaTheme="minorHAnsi" w:hAnsiTheme="minorHAnsi" w:cstheme="minorBidi"/>
      <w:iCs w:val="0"/>
      <w:sz w:val="22"/>
      <w:szCs w:val="22"/>
    </w:rPr>
  </w:style>
  <w:style w:type="character" w:customStyle="1" w:styleId="normaltextrun">
    <w:name w:val="normaltextrun"/>
    <w:basedOn w:val="DefaultParagraphFont"/>
    <w:rsid w:val="0058125C"/>
  </w:style>
  <w:style w:type="character" w:customStyle="1" w:styleId="eop">
    <w:name w:val="eop"/>
    <w:basedOn w:val="DefaultParagraphFont"/>
    <w:rsid w:val="0058125C"/>
  </w:style>
  <w:style w:type="character" w:styleId="Emphasis">
    <w:name w:val="Emphasis"/>
    <w:basedOn w:val="DefaultParagraphFont"/>
    <w:uiPriority w:val="20"/>
    <w:qFormat/>
    <w:rsid w:val="0058125C"/>
    <w:rPr>
      <w:i/>
      <w:iCs w:val="0"/>
    </w:rPr>
  </w:style>
  <w:style w:type="paragraph" w:customStyle="1" w:styleId="Default">
    <w:name w:val="Default"/>
    <w:rsid w:val="00050F0A"/>
    <w:pPr>
      <w:autoSpaceDE w:val="0"/>
      <w:autoSpaceDN w:val="0"/>
      <w:adjustRightInd w:val="0"/>
    </w:pPr>
    <w:rPr>
      <w:rFonts w:ascii="Times New Roman" w:hAnsi="Times New Roman" w:cs="Times New Roman"/>
      <w:color w:val="000000"/>
    </w:rPr>
  </w:style>
  <w:style w:type="character" w:customStyle="1" w:styleId="FooterChar">
    <w:name w:val="Footer Char"/>
    <w:basedOn w:val="DefaultParagraphFont"/>
    <w:link w:val="Footer"/>
    <w:uiPriority w:val="99"/>
    <w:rsid w:val="006F70E9"/>
  </w:style>
  <w:style w:type="character" w:styleId="FollowedHyperlink">
    <w:name w:val="FollowedHyperlink"/>
    <w:basedOn w:val="DefaultParagraphFont"/>
    <w:semiHidden/>
    <w:unhideWhenUsed/>
    <w:rsid w:val="00140F86"/>
    <w:rPr>
      <w:color w:val="800080" w:themeColor="followedHyperlink"/>
      <w:u w:val="single"/>
    </w:rPr>
  </w:style>
  <w:style w:type="paragraph" w:styleId="Revision">
    <w:name w:val="Revision"/>
    <w:hidden/>
    <w:uiPriority w:val="99"/>
    <w:semiHidden/>
    <w:rsid w:val="00BD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33741">
      <w:bodyDiv w:val="1"/>
      <w:marLeft w:val="0"/>
      <w:marRight w:val="0"/>
      <w:marTop w:val="0"/>
      <w:marBottom w:val="0"/>
      <w:divBdr>
        <w:top w:val="none" w:sz="0" w:space="0" w:color="auto"/>
        <w:left w:val="none" w:sz="0" w:space="0" w:color="auto"/>
        <w:bottom w:val="none" w:sz="0" w:space="0" w:color="auto"/>
        <w:right w:val="none" w:sz="0" w:space="0" w:color="auto"/>
      </w:divBdr>
    </w:div>
    <w:div w:id="1066148197">
      <w:bodyDiv w:val="1"/>
      <w:marLeft w:val="0"/>
      <w:marRight w:val="0"/>
      <w:marTop w:val="0"/>
      <w:marBottom w:val="0"/>
      <w:divBdr>
        <w:top w:val="none" w:sz="0" w:space="0" w:color="auto"/>
        <w:left w:val="none" w:sz="0" w:space="0" w:color="auto"/>
        <w:bottom w:val="none" w:sz="0" w:space="0" w:color="auto"/>
        <w:right w:val="none" w:sz="0" w:space="0" w:color="auto"/>
      </w:divBdr>
    </w:div>
    <w:div w:id="1117064161">
      <w:bodyDiv w:val="1"/>
      <w:marLeft w:val="0"/>
      <w:marRight w:val="0"/>
      <w:marTop w:val="0"/>
      <w:marBottom w:val="0"/>
      <w:divBdr>
        <w:top w:val="none" w:sz="0" w:space="0" w:color="auto"/>
        <w:left w:val="none" w:sz="0" w:space="0" w:color="auto"/>
        <w:bottom w:val="none" w:sz="0" w:space="0" w:color="auto"/>
        <w:right w:val="none" w:sz="0" w:space="0" w:color="auto"/>
      </w:divBdr>
      <w:divsChild>
        <w:div w:id="853036202">
          <w:marLeft w:val="0"/>
          <w:marRight w:val="0"/>
          <w:marTop w:val="0"/>
          <w:marBottom w:val="0"/>
          <w:divBdr>
            <w:top w:val="none" w:sz="0" w:space="0" w:color="212121"/>
            <w:left w:val="none" w:sz="0" w:space="0" w:color="212121"/>
            <w:bottom w:val="none" w:sz="0" w:space="0" w:color="212121"/>
            <w:right w:val="none" w:sz="0" w:space="0" w:color="212121"/>
          </w:divBdr>
          <w:divsChild>
            <w:div w:id="178129922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64787588">
      <w:bodyDiv w:val="1"/>
      <w:marLeft w:val="0"/>
      <w:marRight w:val="0"/>
      <w:marTop w:val="0"/>
      <w:marBottom w:val="0"/>
      <w:divBdr>
        <w:top w:val="none" w:sz="0" w:space="0" w:color="auto"/>
        <w:left w:val="none" w:sz="0" w:space="0" w:color="auto"/>
        <w:bottom w:val="none" w:sz="0" w:space="0" w:color="auto"/>
        <w:right w:val="none" w:sz="0" w:space="0" w:color="auto"/>
      </w:divBdr>
    </w:div>
    <w:div w:id="1916167192">
      <w:bodyDiv w:val="1"/>
      <w:marLeft w:val="0"/>
      <w:marRight w:val="0"/>
      <w:marTop w:val="0"/>
      <w:marBottom w:val="0"/>
      <w:divBdr>
        <w:top w:val="none" w:sz="0" w:space="0" w:color="auto"/>
        <w:left w:val="none" w:sz="0" w:space="0" w:color="auto"/>
        <w:bottom w:val="none" w:sz="0" w:space="0" w:color="auto"/>
        <w:right w:val="none" w:sz="0" w:space="0" w:color="auto"/>
      </w:divBdr>
      <w:divsChild>
        <w:div w:id="639964685">
          <w:marLeft w:val="0"/>
          <w:marRight w:val="0"/>
          <w:marTop w:val="0"/>
          <w:marBottom w:val="0"/>
          <w:divBdr>
            <w:top w:val="none" w:sz="0" w:space="0" w:color="212121"/>
            <w:left w:val="none" w:sz="0" w:space="0" w:color="212121"/>
            <w:bottom w:val="none" w:sz="0" w:space="0" w:color="212121"/>
            <w:right w:val="none" w:sz="0" w:space="0" w:color="212121"/>
          </w:divBdr>
          <w:divsChild>
            <w:div w:id="70629205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ao.gov/assets/gao-23-10633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ED53-EF50-47C0-9839-8236B88B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2172</Words>
  <Characters>12044</Characters>
  <Application>Microsoft Office Word</Application>
  <DocSecurity>0</DocSecurity>
  <Lines>197</Lines>
  <Paragraphs>44</Paragraphs>
  <ScaleCrop>false</ScaleCrop>
  <HeadingPairs>
    <vt:vector size="2" baseType="variant">
      <vt:variant>
        <vt:lpstr>Title</vt:lpstr>
      </vt:variant>
      <vt:variant>
        <vt:i4>1</vt:i4>
      </vt:variant>
    </vt:vector>
  </HeadingPairs>
  <TitlesOfParts>
    <vt:vector size="1" baseType="lpstr">
      <vt:lpstr/>
    </vt:vector>
  </TitlesOfParts>
  <Company>Arizona Center for Disability Law</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Arizona Center for Disability Law</dc:creator>
  <cp:lastModifiedBy>Joseph Falcon-Freeman</cp:lastModifiedBy>
  <cp:revision>8</cp:revision>
  <cp:lastPrinted>2011-03-10T19:47:00Z</cp:lastPrinted>
  <dcterms:created xsi:type="dcterms:W3CDTF">2024-05-01T17:17:00Z</dcterms:created>
  <dcterms:modified xsi:type="dcterms:W3CDTF">2024-05-01T18:16:00Z</dcterms:modified>
</cp:coreProperties>
</file>