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B1F3C" w14:textId="77777777" w:rsidR="00DF1767" w:rsidRPr="00DF1767" w:rsidRDefault="00DF1767" w:rsidP="00DF1767">
      <w:pPr>
        <w:spacing w:before="6" w:line="240" w:lineRule="auto"/>
        <w:rPr>
          <w:rFonts w:eastAsia="Times New Roman" w:cs="Times New Roman"/>
          <w:szCs w:val="28"/>
        </w:rPr>
      </w:pPr>
      <w:r w:rsidRPr="00DF1767">
        <w:rPr>
          <w:rFonts w:eastAsia="Times New Roman" w:cs="Times New Roman"/>
          <w:szCs w:val="28"/>
        </w:rPr>
        <w:t>Elizabeth Burton Ortiz, Bar No. 012838</w:t>
      </w:r>
    </w:p>
    <w:p w14:paraId="1D3A0BF4" w14:textId="77777777" w:rsidR="00DF1767" w:rsidRPr="00DF1767" w:rsidRDefault="00DF1767" w:rsidP="00DF1767">
      <w:pPr>
        <w:spacing w:before="6" w:line="240" w:lineRule="auto"/>
        <w:rPr>
          <w:rFonts w:eastAsia="Times New Roman" w:cs="Times New Roman"/>
          <w:szCs w:val="28"/>
        </w:rPr>
      </w:pPr>
      <w:r w:rsidRPr="00DF1767">
        <w:rPr>
          <w:rFonts w:eastAsia="Times New Roman" w:cs="Times New Roman"/>
          <w:szCs w:val="28"/>
        </w:rPr>
        <w:t>Executive Director</w:t>
      </w:r>
    </w:p>
    <w:p w14:paraId="56E94A3C" w14:textId="77777777" w:rsidR="00DF1767" w:rsidRPr="00DF1767" w:rsidRDefault="00DF1767" w:rsidP="00DF1767">
      <w:pPr>
        <w:spacing w:before="6" w:line="240" w:lineRule="auto"/>
        <w:rPr>
          <w:rFonts w:eastAsia="Times New Roman" w:cs="Times New Roman"/>
          <w:szCs w:val="28"/>
        </w:rPr>
      </w:pPr>
      <w:r w:rsidRPr="00DF1767">
        <w:rPr>
          <w:rFonts w:eastAsia="Times New Roman" w:cs="Times New Roman"/>
          <w:szCs w:val="28"/>
        </w:rPr>
        <w:t xml:space="preserve">Arizona Prosecuting Attorneys’ </w:t>
      </w:r>
    </w:p>
    <w:p w14:paraId="4ED1BB49" w14:textId="77777777" w:rsidR="00DF1767" w:rsidRPr="00DF1767" w:rsidRDefault="00DF1767" w:rsidP="00DF1767">
      <w:pPr>
        <w:spacing w:before="6" w:line="240" w:lineRule="auto"/>
        <w:rPr>
          <w:rFonts w:eastAsia="Times New Roman" w:cs="Times New Roman"/>
          <w:szCs w:val="28"/>
        </w:rPr>
      </w:pPr>
      <w:r w:rsidRPr="00DF1767">
        <w:rPr>
          <w:rFonts w:eastAsia="Times New Roman" w:cs="Times New Roman"/>
          <w:szCs w:val="28"/>
        </w:rPr>
        <w:t>Advisory Council</w:t>
      </w:r>
    </w:p>
    <w:p w14:paraId="5F0AB10A" w14:textId="77777777" w:rsidR="00DF1767" w:rsidRPr="00DF1767" w:rsidRDefault="00DF1767" w:rsidP="00DF1767">
      <w:pPr>
        <w:spacing w:before="6" w:line="240" w:lineRule="auto"/>
        <w:rPr>
          <w:rFonts w:eastAsia="Times New Roman" w:cs="Times New Roman"/>
          <w:szCs w:val="28"/>
        </w:rPr>
      </w:pPr>
      <w:r w:rsidRPr="00DF1767">
        <w:rPr>
          <w:rFonts w:eastAsia="Times New Roman" w:cs="Times New Roman"/>
          <w:szCs w:val="28"/>
        </w:rPr>
        <w:t>3838 N. Central Avenue, Suite 850</w:t>
      </w:r>
    </w:p>
    <w:p w14:paraId="3836BE73" w14:textId="77777777" w:rsidR="00DF1767" w:rsidRPr="00DF1767" w:rsidRDefault="00DF1767" w:rsidP="00DF1767">
      <w:pPr>
        <w:spacing w:before="6" w:line="240" w:lineRule="auto"/>
        <w:rPr>
          <w:rFonts w:eastAsia="Times New Roman" w:cs="Times New Roman"/>
          <w:szCs w:val="28"/>
        </w:rPr>
      </w:pPr>
      <w:r w:rsidRPr="00DF1767">
        <w:rPr>
          <w:rFonts w:eastAsia="Times New Roman" w:cs="Times New Roman"/>
          <w:szCs w:val="28"/>
        </w:rPr>
        <w:t>Phoenix, AZ 85012</w:t>
      </w:r>
    </w:p>
    <w:p w14:paraId="2735183F" w14:textId="77777777" w:rsidR="00DF1767" w:rsidRPr="00DF1767" w:rsidRDefault="00DF1767" w:rsidP="00DF1767">
      <w:pPr>
        <w:spacing w:before="6" w:line="240" w:lineRule="auto"/>
        <w:rPr>
          <w:rFonts w:eastAsia="Times New Roman" w:cs="Times New Roman"/>
          <w:szCs w:val="28"/>
        </w:rPr>
      </w:pPr>
      <w:r w:rsidRPr="00DF1767">
        <w:rPr>
          <w:rFonts w:eastAsia="Times New Roman" w:cs="Times New Roman"/>
          <w:szCs w:val="28"/>
        </w:rPr>
        <w:t>(602) 542-7222 / FAX (602) 274-4215</w:t>
      </w:r>
    </w:p>
    <w:p w14:paraId="3AEFF3E4" w14:textId="77777777" w:rsidR="002530A4" w:rsidRDefault="00000000" w:rsidP="00DF1767">
      <w:pPr>
        <w:spacing w:before="6" w:line="240" w:lineRule="auto"/>
        <w:rPr>
          <w:rFonts w:eastAsia="Times New Roman" w:cs="Times New Roman"/>
          <w:szCs w:val="28"/>
        </w:rPr>
      </w:pPr>
      <w:hyperlink r:id="rId10" w:history="1">
        <w:r w:rsidR="00DF1767" w:rsidRPr="000D13C6">
          <w:rPr>
            <w:rStyle w:val="Hyperlink"/>
            <w:rFonts w:eastAsia="Times New Roman" w:cs="Times New Roman"/>
            <w:szCs w:val="28"/>
          </w:rPr>
          <w:t>Elizabeth.Ortiz@apaacaz.com</w:t>
        </w:r>
      </w:hyperlink>
    </w:p>
    <w:p w14:paraId="226C44DA" w14:textId="77777777" w:rsidR="002530A4" w:rsidRPr="003B087D" w:rsidRDefault="002530A4">
      <w:pPr>
        <w:spacing w:line="200" w:lineRule="exact"/>
        <w:rPr>
          <w:szCs w:val="28"/>
        </w:rPr>
      </w:pPr>
    </w:p>
    <w:p w14:paraId="2E9A1C90" w14:textId="77777777" w:rsidR="00105E27" w:rsidRDefault="003634EE">
      <w:pPr>
        <w:spacing w:line="241" w:lineRule="auto"/>
        <w:ind w:left="3403" w:right="2994" w:hanging="358"/>
        <w:rPr>
          <w:rFonts w:eastAsia="Times New Roman" w:cs="Times New Roman"/>
          <w:b/>
          <w:bCs/>
          <w:spacing w:val="-15"/>
          <w:szCs w:val="28"/>
        </w:rPr>
      </w:pPr>
      <w:r w:rsidRPr="003B087D">
        <w:rPr>
          <w:rFonts w:eastAsia="Times New Roman" w:cs="Times New Roman"/>
          <w:b/>
          <w:bCs/>
          <w:szCs w:val="28"/>
        </w:rPr>
        <w:t>IN</w:t>
      </w:r>
      <w:r w:rsidRPr="003B087D">
        <w:rPr>
          <w:rFonts w:eastAsia="Times New Roman" w:cs="Times New Roman"/>
          <w:b/>
          <w:bCs/>
          <w:spacing w:val="-3"/>
          <w:szCs w:val="28"/>
        </w:rPr>
        <w:t xml:space="preserve"> </w:t>
      </w:r>
      <w:r w:rsidRPr="003B087D">
        <w:rPr>
          <w:rFonts w:eastAsia="Times New Roman" w:cs="Times New Roman"/>
          <w:b/>
          <w:bCs/>
          <w:szCs w:val="28"/>
        </w:rPr>
        <w:t>T</w:t>
      </w:r>
      <w:r w:rsidRPr="003B087D">
        <w:rPr>
          <w:rFonts w:eastAsia="Times New Roman" w:cs="Times New Roman"/>
          <w:b/>
          <w:bCs/>
          <w:spacing w:val="-1"/>
          <w:szCs w:val="28"/>
        </w:rPr>
        <w:t>H</w:t>
      </w:r>
      <w:r w:rsidRPr="003B087D">
        <w:rPr>
          <w:rFonts w:eastAsia="Times New Roman" w:cs="Times New Roman"/>
          <w:b/>
          <w:bCs/>
          <w:szCs w:val="28"/>
        </w:rPr>
        <w:t>E</w:t>
      </w:r>
      <w:r w:rsidRPr="003B087D">
        <w:rPr>
          <w:rFonts w:eastAsia="Times New Roman" w:cs="Times New Roman"/>
          <w:b/>
          <w:bCs/>
          <w:spacing w:val="-7"/>
          <w:szCs w:val="28"/>
        </w:rPr>
        <w:t xml:space="preserve"> </w:t>
      </w:r>
      <w:r w:rsidRPr="003B087D">
        <w:rPr>
          <w:rFonts w:eastAsia="Times New Roman" w:cs="Times New Roman"/>
          <w:b/>
          <w:bCs/>
          <w:spacing w:val="1"/>
          <w:szCs w:val="28"/>
        </w:rPr>
        <w:t>S</w:t>
      </w:r>
      <w:r w:rsidRPr="003B087D">
        <w:rPr>
          <w:rFonts w:eastAsia="Times New Roman" w:cs="Times New Roman"/>
          <w:b/>
          <w:bCs/>
          <w:szCs w:val="28"/>
        </w:rPr>
        <w:t>U</w:t>
      </w:r>
      <w:r w:rsidRPr="003B087D">
        <w:rPr>
          <w:rFonts w:eastAsia="Times New Roman" w:cs="Times New Roman"/>
          <w:b/>
          <w:bCs/>
          <w:spacing w:val="1"/>
          <w:szCs w:val="28"/>
        </w:rPr>
        <w:t>P</w:t>
      </w:r>
      <w:r w:rsidRPr="003B087D">
        <w:rPr>
          <w:rFonts w:eastAsia="Times New Roman" w:cs="Times New Roman"/>
          <w:b/>
          <w:bCs/>
          <w:szCs w:val="28"/>
        </w:rPr>
        <w:t>RE</w:t>
      </w:r>
      <w:r w:rsidRPr="003B087D">
        <w:rPr>
          <w:rFonts w:eastAsia="Times New Roman" w:cs="Times New Roman"/>
          <w:b/>
          <w:bCs/>
          <w:spacing w:val="-1"/>
          <w:szCs w:val="28"/>
        </w:rPr>
        <w:t>M</w:t>
      </w:r>
      <w:r w:rsidRPr="003B087D">
        <w:rPr>
          <w:rFonts w:eastAsia="Times New Roman" w:cs="Times New Roman"/>
          <w:b/>
          <w:bCs/>
          <w:szCs w:val="28"/>
        </w:rPr>
        <w:t>E</w:t>
      </w:r>
    </w:p>
    <w:p w14:paraId="69469115" w14:textId="77777777" w:rsidR="002530A4" w:rsidRPr="003B087D" w:rsidRDefault="003634EE">
      <w:pPr>
        <w:spacing w:line="241" w:lineRule="auto"/>
        <w:ind w:left="3403" w:right="2994" w:hanging="358"/>
        <w:rPr>
          <w:rFonts w:eastAsia="Times New Roman" w:cs="Times New Roman"/>
          <w:szCs w:val="28"/>
        </w:rPr>
      </w:pPr>
      <w:r w:rsidRPr="003B087D">
        <w:rPr>
          <w:rFonts w:eastAsia="Times New Roman" w:cs="Times New Roman"/>
          <w:b/>
          <w:bCs/>
          <w:szCs w:val="28"/>
        </w:rPr>
        <w:t>COU</w:t>
      </w:r>
      <w:r w:rsidRPr="003B087D">
        <w:rPr>
          <w:rFonts w:eastAsia="Times New Roman" w:cs="Times New Roman"/>
          <w:b/>
          <w:bCs/>
          <w:spacing w:val="2"/>
          <w:szCs w:val="28"/>
        </w:rPr>
        <w:t>R</w:t>
      </w:r>
      <w:r w:rsidRPr="003B087D">
        <w:rPr>
          <w:rFonts w:eastAsia="Times New Roman" w:cs="Times New Roman"/>
          <w:b/>
          <w:bCs/>
          <w:szCs w:val="28"/>
        </w:rPr>
        <w:t xml:space="preserve">T </w:t>
      </w:r>
      <w:r w:rsidRPr="003B087D">
        <w:rPr>
          <w:rFonts w:eastAsia="Times New Roman" w:cs="Times New Roman"/>
          <w:b/>
          <w:bCs/>
          <w:spacing w:val="1"/>
          <w:szCs w:val="28"/>
        </w:rPr>
        <w:t>S</w:t>
      </w:r>
      <w:r w:rsidRPr="003B087D">
        <w:rPr>
          <w:rFonts w:eastAsia="Times New Roman" w:cs="Times New Roman"/>
          <w:b/>
          <w:bCs/>
          <w:spacing w:val="-1"/>
          <w:szCs w:val="28"/>
        </w:rPr>
        <w:t>T</w:t>
      </w:r>
      <w:r w:rsidRPr="003B087D">
        <w:rPr>
          <w:rFonts w:eastAsia="Times New Roman" w:cs="Times New Roman"/>
          <w:b/>
          <w:bCs/>
          <w:szCs w:val="28"/>
        </w:rPr>
        <w:t>ATE</w:t>
      </w:r>
      <w:r w:rsidRPr="003B087D">
        <w:rPr>
          <w:rFonts w:eastAsia="Times New Roman" w:cs="Times New Roman"/>
          <w:b/>
          <w:bCs/>
          <w:spacing w:val="-11"/>
          <w:szCs w:val="28"/>
        </w:rPr>
        <w:t xml:space="preserve"> </w:t>
      </w:r>
      <w:r w:rsidRPr="003B087D">
        <w:rPr>
          <w:rFonts w:eastAsia="Times New Roman" w:cs="Times New Roman"/>
          <w:b/>
          <w:bCs/>
          <w:szCs w:val="28"/>
        </w:rPr>
        <w:t>OF</w:t>
      </w:r>
      <w:r w:rsidRPr="003B087D">
        <w:rPr>
          <w:rFonts w:eastAsia="Times New Roman" w:cs="Times New Roman"/>
          <w:b/>
          <w:bCs/>
          <w:spacing w:val="-4"/>
          <w:szCs w:val="28"/>
        </w:rPr>
        <w:t xml:space="preserve"> </w:t>
      </w:r>
      <w:r w:rsidRPr="003B087D">
        <w:rPr>
          <w:rFonts w:eastAsia="Times New Roman" w:cs="Times New Roman"/>
          <w:b/>
          <w:bCs/>
          <w:szCs w:val="28"/>
        </w:rPr>
        <w:t>A</w:t>
      </w:r>
      <w:r w:rsidRPr="003B087D">
        <w:rPr>
          <w:rFonts w:eastAsia="Times New Roman" w:cs="Times New Roman"/>
          <w:b/>
          <w:bCs/>
          <w:spacing w:val="1"/>
          <w:szCs w:val="28"/>
        </w:rPr>
        <w:t>R</w:t>
      </w:r>
      <w:r w:rsidRPr="003B087D">
        <w:rPr>
          <w:rFonts w:eastAsia="Times New Roman" w:cs="Times New Roman"/>
          <w:b/>
          <w:bCs/>
          <w:szCs w:val="28"/>
        </w:rPr>
        <w:t>I</w:t>
      </w:r>
      <w:r w:rsidRPr="003B087D">
        <w:rPr>
          <w:rFonts w:eastAsia="Times New Roman" w:cs="Times New Roman"/>
          <w:b/>
          <w:bCs/>
          <w:spacing w:val="-1"/>
          <w:szCs w:val="28"/>
        </w:rPr>
        <w:t>Z</w:t>
      </w:r>
      <w:r w:rsidRPr="003B087D">
        <w:rPr>
          <w:rFonts w:eastAsia="Times New Roman" w:cs="Times New Roman"/>
          <w:b/>
          <w:bCs/>
          <w:szCs w:val="28"/>
        </w:rPr>
        <w:t>ONA</w:t>
      </w:r>
    </w:p>
    <w:p w14:paraId="5338CB7D" w14:textId="77777777" w:rsidR="002530A4" w:rsidRPr="003B087D" w:rsidRDefault="002530A4">
      <w:pPr>
        <w:spacing w:before="9" w:line="130" w:lineRule="exact"/>
        <w:rPr>
          <w:szCs w:val="28"/>
        </w:rPr>
      </w:pPr>
    </w:p>
    <w:p w14:paraId="44E353BA" w14:textId="77777777" w:rsidR="002530A4" w:rsidRPr="003B087D" w:rsidRDefault="002530A4">
      <w:pPr>
        <w:spacing w:line="200" w:lineRule="exact"/>
        <w:rPr>
          <w:szCs w:val="28"/>
        </w:rPr>
      </w:pPr>
    </w:p>
    <w:p w14:paraId="600FCDD3" w14:textId="77777777" w:rsidR="002530A4" w:rsidRPr="003B087D" w:rsidRDefault="002530A4" w:rsidP="002D1365">
      <w:pPr>
        <w:spacing w:line="200" w:lineRule="exact"/>
        <w:rPr>
          <w:szCs w:val="28"/>
        </w:rPr>
      </w:pPr>
    </w:p>
    <w:tbl>
      <w:tblPr>
        <w:tblW w:w="10678" w:type="dxa"/>
        <w:tblLayout w:type="fixed"/>
        <w:tblLook w:val="04A0" w:firstRow="1" w:lastRow="0" w:firstColumn="1" w:lastColumn="0" w:noHBand="0" w:noVBand="1"/>
      </w:tblPr>
      <w:tblGrid>
        <w:gridCol w:w="4990"/>
        <w:gridCol w:w="262"/>
        <w:gridCol w:w="5426"/>
      </w:tblGrid>
      <w:tr w:rsidR="002D1365" w:rsidRPr="003B087D" w14:paraId="1DE7824A" w14:textId="77777777" w:rsidTr="003B087D">
        <w:trPr>
          <w:trHeight w:val="1539"/>
        </w:trPr>
        <w:tc>
          <w:tcPr>
            <w:tcW w:w="4990" w:type="dxa"/>
          </w:tcPr>
          <w:p w14:paraId="59580DE3" w14:textId="77777777" w:rsidR="002D1365" w:rsidRPr="003B087D" w:rsidRDefault="00734A6E" w:rsidP="003B087D">
            <w:pPr>
              <w:pStyle w:val="Normal10"/>
              <w:rPr>
                <w:rFonts w:ascii="Times New Roman" w:hAnsi="Times New Roman"/>
                <w:spacing w:val="-2"/>
                <w:sz w:val="28"/>
                <w:szCs w:val="28"/>
              </w:rPr>
            </w:pPr>
            <w:r w:rsidRPr="003B087D">
              <w:rPr>
                <w:rFonts w:ascii="Times New Roman" w:hAnsi="Times New Roman"/>
                <w:spacing w:val="-2"/>
                <w:sz w:val="28"/>
                <w:szCs w:val="28"/>
              </w:rPr>
              <w:t>In the Matter of:</w:t>
            </w:r>
          </w:p>
          <w:p w14:paraId="2219AF6F" w14:textId="77777777" w:rsidR="002D1365" w:rsidRPr="003B087D" w:rsidRDefault="002D1365">
            <w:pPr>
              <w:pStyle w:val="Normal10"/>
              <w:rPr>
                <w:rFonts w:ascii="Times New Roman" w:hAnsi="Times New Roman"/>
                <w:spacing w:val="-2"/>
                <w:sz w:val="28"/>
                <w:szCs w:val="28"/>
              </w:rPr>
            </w:pPr>
          </w:p>
          <w:p w14:paraId="4E6BF35D" w14:textId="77777777" w:rsidR="002D1365" w:rsidRPr="00DF1767" w:rsidRDefault="003B087D" w:rsidP="008D5D38">
            <w:pPr>
              <w:pStyle w:val="Normal10"/>
              <w:jc w:val="left"/>
              <w:rPr>
                <w:rFonts w:ascii="Times New Roman" w:hAnsi="Times New Roman"/>
                <w:b/>
                <w:spacing w:val="-2"/>
                <w:sz w:val="28"/>
                <w:szCs w:val="28"/>
              </w:rPr>
            </w:pPr>
            <w:r w:rsidRPr="00DF1767">
              <w:rPr>
                <w:rFonts w:ascii="Times New Roman" w:hAnsi="Times New Roman"/>
                <w:b/>
                <w:spacing w:val="-2"/>
                <w:sz w:val="28"/>
                <w:szCs w:val="28"/>
              </w:rPr>
              <w:t>PETITION TO AMEND RULE 10.2(a), ARIZONA RULES OF CRIMINAL PROCEDURE</w:t>
            </w:r>
          </w:p>
          <w:p w14:paraId="1E641FE9" w14:textId="77777777" w:rsidR="002D1365" w:rsidRPr="003B087D" w:rsidRDefault="002D1365">
            <w:pPr>
              <w:pStyle w:val="Normal10"/>
              <w:rPr>
                <w:rFonts w:ascii="Times New Roman" w:hAnsi="Times New Roman"/>
                <w:spacing w:val="-2"/>
                <w:sz w:val="28"/>
                <w:szCs w:val="28"/>
              </w:rPr>
            </w:pPr>
          </w:p>
        </w:tc>
        <w:tc>
          <w:tcPr>
            <w:tcW w:w="262" w:type="dxa"/>
            <w:hideMark/>
          </w:tcPr>
          <w:p w14:paraId="0229016B" w14:textId="77777777" w:rsidR="002D1365" w:rsidRPr="003B087D" w:rsidRDefault="002D1365">
            <w:pPr>
              <w:pStyle w:val="Normal10"/>
              <w:rPr>
                <w:rFonts w:ascii="Times New Roman" w:hAnsi="Times New Roman"/>
                <w:spacing w:val="-2"/>
                <w:sz w:val="28"/>
                <w:szCs w:val="28"/>
              </w:rPr>
            </w:pPr>
            <w:r w:rsidRPr="003B087D">
              <w:rPr>
                <w:rFonts w:ascii="Times New Roman" w:hAnsi="Times New Roman"/>
                <w:spacing w:val="-2"/>
                <w:sz w:val="28"/>
                <w:szCs w:val="28"/>
              </w:rPr>
              <w:t>))))))</w:t>
            </w:r>
          </w:p>
        </w:tc>
        <w:tc>
          <w:tcPr>
            <w:tcW w:w="5426" w:type="dxa"/>
          </w:tcPr>
          <w:p w14:paraId="7A281C31" w14:textId="77777777" w:rsidR="003B087D" w:rsidRPr="003B087D" w:rsidRDefault="003B087D" w:rsidP="003B087D">
            <w:pPr>
              <w:pStyle w:val="Normal10"/>
              <w:rPr>
                <w:rFonts w:ascii="Times New Roman" w:hAnsi="Times New Roman"/>
                <w:spacing w:val="-2"/>
                <w:sz w:val="28"/>
                <w:szCs w:val="28"/>
              </w:rPr>
            </w:pPr>
            <w:r w:rsidRPr="003B087D">
              <w:rPr>
                <w:rFonts w:ascii="Times New Roman" w:hAnsi="Times New Roman"/>
                <w:spacing w:val="-2"/>
                <w:sz w:val="28"/>
                <w:szCs w:val="28"/>
              </w:rPr>
              <w:t>Supreme Court No. R-24-0010</w:t>
            </w:r>
          </w:p>
          <w:p w14:paraId="6FCE7817" w14:textId="77777777" w:rsidR="00DF1767" w:rsidRDefault="00DF1767" w:rsidP="003B087D">
            <w:pPr>
              <w:pStyle w:val="Normal10"/>
              <w:rPr>
                <w:rFonts w:asciiTheme="minorHAnsi" w:eastAsiaTheme="minorHAnsi" w:hAnsiTheme="minorHAnsi" w:cstheme="minorBidi"/>
                <w:sz w:val="28"/>
                <w:szCs w:val="28"/>
              </w:rPr>
            </w:pPr>
          </w:p>
          <w:p w14:paraId="5EE1F7AD" w14:textId="77777777" w:rsidR="002D1365" w:rsidRPr="003B087D" w:rsidRDefault="00DF1767" w:rsidP="00DF1767">
            <w:pPr>
              <w:pStyle w:val="Normal10"/>
              <w:jc w:val="left"/>
              <w:rPr>
                <w:rFonts w:ascii="Times New Roman" w:hAnsi="Times New Roman"/>
                <w:spacing w:val="-2"/>
                <w:sz w:val="28"/>
                <w:szCs w:val="28"/>
              </w:rPr>
            </w:pPr>
            <w:r w:rsidRPr="003B087D">
              <w:rPr>
                <w:rFonts w:ascii="Times New Roman" w:hAnsi="Times New Roman"/>
                <w:b/>
                <w:sz w:val="28"/>
                <w:szCs w:val="28"/>
              </w:rPr>
              <w:t xml:space="preserve">COMMENT </w:t>
            </w:r>
            <w:r>
              <w:rPr>
                <w:rFonts w:ascii="Times New Roman" w:hAnsi="Times New Roman"/>
                <w:b/>
                <w:sz w:val="28"/>
                <w:szCs w:val="28"/>
              </w:rPr>
              <w:t xml:space="preserve">IN OPPOSITION </w:t>
            </w:r>
            <w:r w:rsidRPr="003B087D">
              <w:rPr>
                <w:rFonts w:ascii="Times New Roman" w:hAnsi="Times New Roman"/>
                <w:b/>
                <w:sz w:val="28"/>
                <w:szCs w:val="28"/>
              </w:rPr>
              <w:t>TO PETITION TO AMEND RULE 10.</w:t>
            </w:r>
            <w:r w:rsidR="00742AE8">
              <w:rPr>
                <w:rFonts w:ascii="Times New Roman" w:hAnsi="Times New Roman"/>
                <w:b/>
                <w:sz w:val="28"/>
                <w:szCs w:val="28"/>
              </w:rPr>
              <w:t>2(a</w:t>
            </w:r>
            <w:r w:rsidRPr="003B087D">
              <w:rPr>
                <w:rFonts w:ascii="Times New Roman" w:hAnsi="Times New Roman"/>
                <w:b/>
                <w:sz w:val="28"/>
                <w:szCs w:val="28"/>
              </w:rPr>
              <w:t>), ARIZONA RULES OF CRIMINAL PROCEDURE</w:t>
            </w:r>
          </w:p>
        </w:tc>
      </w:tr>
      <w:tr w:rsidR="002D1365" w:rsidRPr="003B087D" w14:paraId="29E3B3D2" w14:textId="77777777" w:rsidTr="003B087D">
        <w:trPr>
          <w:trHeight w:val="902"/>
        </w:trPr>
        <w:tc>
          <w:tcPr>
            <w:tcW w:w="4990" w:type="dxa"/>
            <w:tcBorders>
              <w:top w:val="nil"/>
              <w:left w:val="nil"/>
              <w:bottom w:val="single" w:sz="4" w:space="0" w:color="auto"/>
              <w:right w:val="nil"/>
            </w:tcBorders>
            <w:hideMark/>
          </w:tcPr>
          <w:p w14:paraId="557E0D93" w14:textId="77777777" w:rsidR="002D1365" w:rsidRPr="003B087D" w:rsidRDefault="002D1365" w:rsidP="003B087D">
            <w:pPr>
              <w:pStyle w:val="Normal10"/>
              <w:tabs>
                <w:tab w:val="left" w:pos="3240"/>
              </w:tabs>
              <w:rPr>
                <w:rFonts w:ascii="Times New Roman" w:hAnsi="Times New Roman"/>
                <w:spacing w:val="-2"/>
                <w:sz w:val="28"/>
                <w:szCs w:val="28"/>
              </w:rPr>
            </w:pPr>
          </w:p>
        </w:tc>
        <w:tc>
          <w:tcPr>
            <w:tcW w:w="262" w:type="dxa"/>
            <w:hideMark/>
          </w:tcPr>
          <w:p w14:paraId="5FDB9F2F" w14:textId="77777777" w:rsidR="002D1365" w:rsidRPr="003B087D" w:rsidRDefault="002D1365">
            <w:pPr>
              <w:pStyle w:val="Normal10"/>
              <w:rPr>
                <w:rFonts w:ascii="Times New Roman" w:hAnsi="Times New Roman"/>
                <w:spacing w:val="-2"/>
                <w:sz w:val="28"/>
                <w:szCs w:val="28"/>
              </w:rPr>
            </w:pPr>
            <w:r w:rsidRPr="003B087D">
              <w:rPr>
                <w:rFonts w:ascii="Times New Roman" w:hAnsi="Times New Roman"/>
                <w:spacing w:val="-2"/>
                <w:sz w:val="28"/>
                <w:szCs w:val="28"/>
              </w:rPr>
              <w:t>)))</w:t>
            </w:r>
          </w:p>
        </w:tc>
        <w:tc>
          <w:tcPr>
            <w:tcW w:w="5426" w:type="dxa"/>
          </w:tcPr>
          <w:p w14:paraId="0776C5AA" w14:textId="77777777" w:rsidR="002D1365" w:rsidRPr="003B087D" w:rsidRDefault="002D1365">
            <w:pPr>
              <w:pStyle w:val="Normal10"/>
              <w:rPr>
                <w:rFonts w:ascii="Times New Roman" w:hAnsi="Times New Roman"/>
                <w:spacing w:val="-2"/>
                <w:sz w:val="28"/>
                <w:szCs w:val="28"/>
              </w:rPr>
            </w:pPr>
          </w:p>
          <w:p w14:paraId="7289BA56" w14:textId="77777777" w:rsidR="002D1365" w:rsidRPr="003B087D" w:rsidRDefault="002D1365">
            <w:pPr>
              <w:pStyle w:val="Normal10"/>
              <w:rPr>
                <w:rFonts w:ascii="Times New Roman" w:hAnsi="Times New Roman"/>
                <w:spacing w:val="-2"/>
                <w:sz w:val="28"/>
                <w:szCs w:val="28"/>
              </w:rPr>
            </w:pPr>
          </w:p>
          <w:p w14:paraId="28BE5C32" w14:textId="77777777" w:rsidR="002D1365" w:rsidRPr="003B087D" w:rsidRDefault="002D1365">
            <w:pPr>
              <w:pStyle w:val="Normal10"/>
              <w:rPr>
                <w:rFonts w:ascii="Times New Roman" w:hAnsi="Times New Roman"/>
                <w:spacing w:val="-2"/>
                <w:sz w:val="28"/>
                <w:szCs w:val="28"/>
              </w:rPr>
            </w:pPr>
          </w:p>
        </w:tc>
      </w:tr>
    </w:tbl>
    <w:p w14:paraId="1F7647F9" w14:textId="77777777" w:rsidR="002530A4" w:rsidRPr="003B087D" w:rsidRDefault="002530A4" w:rsidP="002D1365">
      <w:pPr>
        <w:spacing w:before="6" w:line="130" w:lineRule="exact"/>
        <w:rPr>
          <w:szCs w:val="28"/>
        </w:rPr>
      </w:pPr>
    </w:p>
    <w:p w14:paraId="17B3D647" w14:textId="77777777" w:rsidR="002530A4" w:rsidRPr="003B087D" w:rsidRDefault="002530A4">
      <w:pPr>
        <w:spacing w:before="6" w:line="120" w:lineRule="exact"/>
        <w:rPr>
          <w:szCs w:val="28"/>
        </w:rPr>
      </w:pPr>
    </w:p>
    <w:p w14:paraId="69302BD2" w14:textId="77777777" w:rsidR="002530A4" w:rsidRPr="003B087D" w:rsidRDefault="002530A4" w:rsidP="00DF1767">
      <w:pPr>
        <w:spacing w:line="200" w:lineRule="exact"/>
        <w:jc w:val="both"/>
        <w:rPr>
          <w:szCs w:val="28"/>
        </w:rPr>
      </w:pPr>
    </w:p>
    <w:p w14:paraId="780E02CF" w14:textId="77777777" w:rsidR="00B642BC" w:rsidRPr="00742AE8" w:rsidRDefault="003634EE" w:rsidP="001A07FE">
      <w:pPr>
        <w:ind w:firstLine="720"/>
        <w:jc w:val="both"/>
        <w:rPr>
          <w:rFonts w:eastAsia="Times New Roman" w:cs="Times New Roman"/>
          <w:szCs w:val="28"/>
        </w:rPr>
      </w:pPr>
      <w:r w:rsidRPr="00742AE8">
        <w:rPr>
          <w:rFonts w:eastAsia="Times New Roman" w:cs="Times New Roman"/>
          <w:szCs w:val="28"/>
        </w:rPr>
        <w:t>Pursuant to</w:t>
      </w:r>
      <w:r w:rsidR="00DF1767" w:rsidRPr="00742AE8">
        <w:rPr>
          <w:rFonts w:eastAsia="Times New Roman" w:cs="Times New Roman"/>
          <w:szCs w:val="28"/>
        </w:rPr>
        <w:t xml:space="preserve"> Arizona</w:t>
      </w:r>
      <w:r w:rsidR="00742AE8" w:rsidRPr="00742AE8">
        <w:rPr>
          <w:rFonts w:eastAsia="Times New Roman" w:cs="Times New Roman"/>
          <w:szCs w:val="28"/>
        </w:rPr>
        <w:t xml:space="preserve"> Rule of the Supreme Court 28</w:t>
      </w:r>
      <w:r w:rsidRPr="00742AE8">
        <w:rPr>
          <w:rFonts w:eastAsia="Times New Roman" w:cs="Times New Roman"/>
          <w:szCs w:val="28"/>
        </w:rPr>
        <w:t xml:space="preserve">, </w:t>
      </w:r>
      <w:r w:rsidR="00DF1767" w:rsidRPr="00742AE8">
        <w:rPr>
          <w:rFonts w:eastAsia="Times New Roman" w:cs="Times New Roman"/>
          <w:bCs/>
          <w:szCs w:val="28"/>
        </w:rPr>
        <w:t>the Arizona Prosecuting Attorneys’ Advisory Council</w:t>
      </w:r>
      <w:r w:rsidR="00BE5A31">
        <w:rPr>
          <w:rFonts w:eastAsia="Times New Roman" w:cs="Times New Roman"/>
          <w:bCs/>
          <w:szCs w:val="28"/>
        </w:rPr>
        <w:t xml:space="preserve"> (“APAAC”)</w:t>
      </w:r>
      <w:r w:rsidR="00DF1767" w:rsidRPr="00742AE8">
        <w:rPr>
          <w:rFonts w:eastAsia="Times New Roman" w:cs="Times New Roman"/>
          <w:bCs/>
          <w:szCs w:val="28"/>
        </w:rPr>
        <w:t xml:space="preserve"> </w:t>
      </w:r>
      <w:r w:rsidRPr="00742AE8">
        <w:rPr>
          <w:rFonts w:eastAsia="Times New Roman" w:cs="Times New Roman"/>
          <w:szCs w:val="28"/>
        </w:rPr>
        <w:t>respectfully submits th</w:t>
      </w:r>
      <w:r w:rsidR="00742AE8" w:rsidRPr="00742AE8">
        <w:rPr>
          <w:rFonts w:eastAsia="Times New Roman" w:cs="Times New Roman"/>
          <w:szCs w:val="28"/>
        </w:rPr>
        <w:t>e following</w:t>
      </w:r>
      <w:r w:rsidRPr="00742AE8">
        <w:rPr>
          <w:rFonts w:eastAsia="Times New Roman" w:cs="Times New Roman"/>
          <w:szCs w:val="28"/>
        </w:rPr>
        <w:t xml:space="preserve"> </w:t>
      </w:r>
      <w:r w:rsidR="00742AE8" w:rsidRPr="00742AE8">
        <w:rPr>
          <w:rFonts w:eastAsia="Times New Roman" w:cs="Times New Roman"/>
          <w:szCs w:val="28"/>
        </w:rPr>
        <w:t>c</w:t>
      </w:r>
      <w:r w:rsidRPr="00742AE8">
        <w:rPr>
          <w:rFonts w:eastAsia="Times New Roman" w:cs="Times New Roman"/>
          <w:szCs w:val="28"/>
        </w:rPr>
        <w:t xml:space="preserve">omment </w:t>
      </w:r>
      <w:r w:rsidR="00742AE8" w:rsidRPr="00742AE8">
        <w:rPr>
          <w:rFonts w:eastAsia="Times New Roman" w:cs="Times New Roman"/>
          <w:szCs w:val="28"/>
        </w:rPr>
        <w:t>opposing Petition R-24-0010</w:t>
      </w:r>
      <w:r w:rsidR="00742AE8">
        <w:rPr>
          <w:rFonts w:eastAsia="Times New Roman" w:cs="Times New Roman"/>
          <w:szCs w:val="28"/>
        </w:rPr>
        <w:t xml:space="preserve"> (“Petition”)</w:t>
      </w:r>
      <w:r w:rsidR="00742AE8" w:rsidRPr="00742AE8">
        <w:rPr>
          <w:rFonts w:eastAsia="Times New Roman" w:cs="Times New Roman"/>
          <w:szCs w:val="28"/>
        </w:rPr>
        <w:t xml:space="preserve">. </w:t>
      </w:r>
      <w:r w:rsidR="002F2198">
        <w:rPr>
          <w:rFonts w:eastAsia="Times New Roman" w:cs="Times New Roman"/>
          <w:szCs w:val="28"/>
        </w:rPr>
        <w:t xml:space="preserve">For the reasons set forth below, the proposed rule </w:t>
      </w:r>
      <w:r w:rsidR="001A07FE">
        <w:rPr>
          <w:rFonts w:eastAsia="Times New Roman" w:cs="Times New Roman"/>
          <w:szCs w:val="28"/>
        </w:rPr>
        <w:t xml:space="preserve">addresses concerns that are speculative or otherwise already addressed by existing law, it will have effects that sweep beyond its stated purpose, and invites litigation.  </w:t>
      </w:r>
      <w:r w:rsidR="00B642BC">
        <w:rPr>
          <w:rFonts w:eastAsia="Times New Roman" w:cs="Times New Roman"/>
          <w:szCs w:val="28"/>
        </w:rPr>
        <w:t>Thus, the Petition should be rejected.</w:t>
      </w:r>
    </w:p>
    <w:p w14:paraId="4C8EB224" w14:textId="77777777" w:rsidR="00CA2614" w:rsidRPr="004A5E0E" w:rsidRDefault="00B642BC" w:rsidP="004A5E0E">
      <w:pPr>
        <w:pStyle w:val="Heading1"/>
        <w:rPr>
          <w:rFonts w:eastAsia="Times New Roman"/>
        </w:rPr>
      </w:pPr>
      <w:r>
        <w:rPr>
          <w:rFonts w:eastAsia="Times New Roman"/>
        </w:rPr>
        <w:lastRenderedPageBreak/>
        <w:t>Introduction</w:t>
      </w:r>
    </w:p>
    <w:p w14:paraId="1954DB22" w14:textId="77777777" w:rsidR="002530A4" w:rsidRDefault="008C30C7" w:rsidP="00B642BC">
      <w:pPr>
        <w:ind w:firstLine="720"/>
        <w:jc w:val="both"/>
        <w:rPr>
          <w:rFonts w:eastAsia="Times New Roman" w:cs="Times New Roman"/>
          <w:szCs w:val="28"/>
        </w:rPr>
      </w:pPr>
      <w:r>
        <w:rPr>
          <w:rFonts w:eastAsia="Times New Roman" w:cs="Times New Roman"/>
          <w:szCs w:val="28"/>
        </w:rPr>
        <w:t>For approximately 85 years</w:t>
      </w:r>
      <w:r w:rsidR="00E75DE6">
        <w:rPr>
          <w:rFonts w:eastAsia="Times New Roman" w:cs="Times New Roman"/>
          <w:szCs w:val="28"/>
        </w:rPr>
        <w:t xml:space="preserve">, </w:t>
      </w:r>
      <w:r>
        <w:rPr>
          <w:rFonts w:eastAsia="Times New Roman" w:cs="Times New Roman"/>
          <w:szCs w:val="28"/>
        </w:rPr>
        <w:t>Arizona has recognized that both the State and the Defense</w:t>
      </w:r>
      <w:r w:rsidR="00F13921">
        <w:rPr>
          <w:rFonts w:eastAsia="Times New Roman" w:cs="Times New Roman"/>
          <w:szCs w:val="28"/>
        </w:rPr>
        <w:t xml:space="preserve"> in a criminal case</w:t>
      </w:r>
      <w:r>
        <w:rPr>
          <w:rFonts w:eastAsia="Times New Roman" w:cs="Times New Roman"/>
          <w:szCs w:val="28"/>
        </w:rPr>
        <w:t xml:space="preserve"> </w:t>
      </w:r>
      <w:r w:rsidR="002C2E5D">
        <w:rPr>
          <w:rFonts w:eastAsia="Times New Roman" w:cs="Times New Roman"/>
          <w:szCs w:val="28"/>
        </w:rPr>
        <w:t>should be</w:t>
      </w:r>
      <w:r>
        <w:rPr>
          <w:rFonts w:eastAsia="Times New Roman" w:cs="Times New Roman"/>
          <w:szCs w:val="28"/>
        </w:rPr>
        <w:t xml:space="preserve"> entitled </w:t>
      </w:r>
      <w:r w:rsidR="00F75999">
        <w:rPr>
          <w:rFonts w:eastAsia="Times New Roman" w:cs="Times New Roman"/>
          <w:szCs w:val="28"/>
        </w:rPr>
        <w:t>to substantively equivalent</w:t>
      </w:r>
      <w:r>
        <w:rPr>
          <w:rFonts w:eastAsia="Times New Roman" w:cs="Times New Roman"/>
          <w:szCs w:val="28"/>
        </w:rPr>
        <w:t xml:space="preserve"> peremptory change-of-judge rights. </w:t>
      </w:r>
      <w:r w:rsidRPr="00F13921">
        <w:rPr>
          <w:rFonts w:eastAsia="Times New Roman" w:cs="Times New Roman"/>
          <w:i/>
          <w:szCs w:val="28"/>
        </w:rPr>
        <w:t>See, e.g.</w:t>
      </w:r>
      <w:r>
        <w:rPr>
          <w:rFonts w:eastAsia="Times New Roman" w:cs="Times New Roman"/>
          <w:szCs w:val="28"/>
        </w:rPr>
        <w:t>, Ariz. Code Ann. §§ 44</w:t>
      </w:r>
      <w:r>
        <w:rPr>
          <w:rFonts w:eastAsia="Times New Roman" w:cs="Times New Roman"/>
          <w:szCs w:val="28"/>
        </w:rPr>
        <w:noBreakHyphen/>
        <w:t xml:space="preserve">1202 to </w:t>
      </w:r>
      <w:r>
        <w:rPr>
          <w:rFonts w:eastAsia="Times New Roman" w:cs="Times New Roman"/>
          <w:szCs w:val="28"/>
        </w:rPr>
        <w:noBreakHyphen/>
        <w:t>1205</w:t>
      </w:r>
      <w:r w:rsidR="00F13921">
        <w:rPr>
          <w:rFonts w:eastAsia="Times New Roman" w:cs="Times New Roman"/>
          <w:szCs w:val="28"/>
        </w:rPr>
        <w:t xml:space="preserve"> (1939); Ariz. R. Crim. P. 196</w:t>
      </w:r>
      <w:r w:rsidR="00F13921">
        <w:rPr>
          <w:rFonts w:eastAsia="Times New Roman" w:cs="Times New Roman"/>
          <w:szCs w:val="28"/>
        </w:rPr>
        <w:softHyphen/>
        <w:t>–200 (1956); Ariz. R. Crim. P. 10.2(a) (2024)</w:t>
      </w:r>
      <w:r>
        <w:rPr>
          <w:rFonts w:eastAsia="Times New Roman" w:cs="Times New Roman"/>
          <w:szCs w:val="28"/>
        </w:rPr>
        <w:t xml:space="preserve">. </w:t>
      </w:r>
      <w:r w:rsidR="00CA2614">
        <w:rPr>
          <w:rFonts w:eastAsia="Times New Roman" w:cs="Times New Roman"/>
          <w:szCs w:val="28"/>
        </w:rPr>
        <w:t xml:space="preserve">The principles underlying </w:t>
      </w:r>
      <w:r w:rsidR="00F75999">
        <w:rPr>
          <w:rFonts w:eastAsia="Times New Roman" w:cs="Times New Roman"/>
          <w:szCs w:val="28"/>
        </w:rPr>
        <w:t>this practice</w:t>
      </w:r>
      <w:r w:rsidR="00CA2614">
        <w:rPr>
          <w:rFonts w:eastAsia="Times New Roman" w:cs="Times New Roman"/>
          <w:szCs w:val="28"/>
        </w:rPr>
        <w:t xml:space="preserve"> have</w:t>
      </w:r>
      <w:r>
        <w:rPr>
          <w:rFonts w:eastAsia="Times New Roman" w:cs="Times New Roman"/>
          <w:szCs w:val="28"/>
        </w:rPr>
        <w:t xml:space="preserve"> even older roots: </w:t>
      </w:r>
    </w:p>
    <w:p w14:paraId="676768D6" w14:textId="77777777" w:rsidR="008C30C7" w:rsidRPr="003B087D" w:rsidRDefault="008C30C7" w:rsidP="008C30C7">
      <w:pPr>
        <w:spacing w:line="240" w:lineRule="auto"/>
        <w:ind w:left="720" w:right="720"/>
        <w:jc w:val="both"/>
        <w:rPr>
          <w:rFonts w:eastAsia="Times New Roman" w:cs="Times New Roman"/>
          <w:szCs w:val="28"/>
        </w:rPr>
      </w:pPr>
      <w:r w:rsidRPr="008C30C7">
        <w:rPr>
          <w:rFonts w:eastAsia="Times New Roman" w:cs="Times New Roman"/>
          <w:szCs w:val="28"/>
        </w:rPr>
        <w:t>It is the policy of our system that every litigant, no matter in what form his application may be presented to the court, shall have his rights adjudicated by a judge who is not interested in the result. It cannot be doubted for an instant that it would be perversion of justice for a judge to sit in any proceeding in the event of which he has an interest</w:t>
      </w:r>
      <w:r>
        <w:rPr>
          <w:rFonts w:eastAsia="Times New Roman" w:cs="Times New Roman"/>
          <w:szCs w:val="28"/>
        </w:rPr>
        <w:t> </w:t>
      </w:r>
      <w:proofErr w:type="gramStart"/>
      <w:r>
        <w:rPr>
          <w:rFonts w:eastAsia="Times New Roman" w:cs="Times New Roman"/>
          <w:szCs w:val="28"/>
        </w:rPr>
        <w:t>. . . .</w:t>
      </w:r>
      <w:proofErr w:type="gramEnd"/>
      <w:r w:rsidRPr="008C30C7">
        <w:rPr>
          <w:rFonts w:eastAsia="Times New Roman" w:cs="Times New Roman"/>
          <w:szCs w:val="28"/>
        </w:rPr>
        <w:t xml:space="preserve"> Nor should he be allowed to sit, when he is laboring under bias or prejudice toward one or more of the parties litigant</w:t>
      </w:r>
      <w:r>
        <w:rPr>
          <w:rFonts w:eastAsia="Times New Roman" w:cs="Times New Roman"/>
          <w:szCs w:val="28"/>
        </w:rPr>
        <w:t>.</w:t>
      </w:r>
    </w:p>
    <w:p w14:paraId="052DD082" w14:textId="77777777" w:rsidR="002530A4" w:rsidRDefault="002530A4" w:rsidP="00BC5F14">
      <w:pPr>
        <w:tabs>
          <w:tab w:val="left" w:pos="820"/>
        </w:tabs>
        <w:spacing w:before="17" w:line="240" w:lineRule="auto"/>
        <w:ind w:left="100" w:right="-20"/>
        <w:rPr>
          <w:rFonts w:eastAsia="Times New Roman" w:cs="Times New Roman"/>
          <w:szCs w:val="28"/>
        </w:rPr>
      </w:pPr>
    </w:p>
    <w:p w14:paraId="49A4BAE1" w14:textId="77777777" w:rsidR="008C30C7" w:rsidRDefault="008C30C7" w:rsidP="00F13921">
      <w:pPr>
        <w:tabs>
          <w:tab w:val="left" w:pos="820"/>
        </w:tabs>
        <w:jc w:val="both"/>
        <w:rPr>
          <w:rFonts w:eastAsia="Times New Roman" w:cs="Times New Roman"/>
          <w:szCs w:val="28"/>
        </w:rPr>
      </w:pPr>
      <w:r w:rsidRPr="00F13921">
        <w:rPr>
          <w:rFonts w:eastAsia="Times New Roman" w:cs="Times New Roman"/>
          <w:i/>
          <w:szCs w:val="28"/>
        </w:rPr>
        <w:t>Stephens v. Stephens</w:t>
      </w:r>
      <w:r>
        <w:rPr>
          <w:rFonts w:eastAsia="Times New Roman" w:cs="Times New Roman"/>
          <w:szCs w:val="28"/>
        </w:rPr>
        <w:t>, 17 Ariz. 306, 312 (1915) (</w:t>
      </w:r>
      <w:r w:rsidR="00F13921">
        <w:rPr>
          <w:rFonts w:eastAsia="Times New Roman" w:cs="Times New Roman"/>
          <w:szCs w:val="28"/>
        </w:rPr>
        <w:t xml:space="preserve">quoting </w:t>
      </w:r>
      <w:r w:rsidR="00F13921" w:rsidRPr="00F13921">
        <w:rPr>
          <w:rFonts w:eastAsia="Times New Roman" w:cs="Times New Roman"/>
          <w:i/>
          <w:szCs w:val="28"/>
        </w:rPr>
        <w:t xml:space="preserve">State v. Dist. Ct. of Lewis and Clark </w:t>
      </w:r>
      <w:proofErr w:type="spellStart"/>
      <w:r w:rsidR="00F13921" w:rsidRPr="00F13921">
        <w:rPr>
          <w:rFonts w:eastAsia="Times New Roman" w:cs="Times New Roman"/>
          <w:i/>
          <w:szCs w:val="28"/>
        </w:rPr>
        <w:t>Cty</w:t>
      </w:r>
      <w:proofErr w:type="spellEnd"/>
      <w:r w:rsidR="00F13921" w:rsidRPr="00F13921">
        <w:rPr>
          <w:rFonts w:eastAsia="Times New Roman" w:cs="Times New Roman"/>
          <w:i/>
          <w:szCs w:val="28"/>
        </w:rPr>
        <w:t>.</w:t>
      </w:r>
      <w:r w:rsidR="00F13921">
        <w:rPr>
          <w:rFonts w:eastAsia="Times New Roman" w:cs="Times New Roman"/>
          <w:szCs w:val="28"/>
        </w:rPr>
        <w:t>, 82 P. 789, 790 (Mont. 1905)</w:t>
      </w:r>
      <w:r w:rsidR="004A5E0E">
        <w:rPr>
          <w:rFonts w:eastAsia="Times New Roman" w:cs="Times New Roman"/>
          <w:szCs w:val="28"/>
        </w:rPr>
        <w:t>)</w:t>
      </w:r>
      <w:r w:rsidR="00F13921">
        <w:rPr>
          <w:rFonts w:eastAsia="Times New Roman" w:cs="Times New Roman"/>
          <w:szCs w:val="28"/>
        </w:rPr>
        <w:t xml:space="preserve">; </w:t>
      </w:r>
      <w:r w:rsidR="00F13921" w:rsidRPr="00F13921">
        <w:rPr>
          <w:rFonts w:eastAsia="Times New Roman" w:cs="Times New Roman"/>
          <w:i/>
          <w:szCs w:val="28"/>
        </w:rPr>
        <w:t>see also State v. Barnes</w:t>
      </w:r>
      <w:r w:rsidR="00F13921">
        <w:rPr>
          <w:rFonts w:eastAsia="Times New Roman" w:cs="Times New Roman"/>
          <w:szCs w:val="28"/>
        </w:rPr>
        <w:t>, 118 Ariz. 200, 203 (App. 1978) (“[T]</w:t>
      </w:r>
      <w:r w:rsidR="00F13921" w:rsidRPr="00F13921">
        <w:rPr>
          <w:rFonts w:eastAsia="Times New Roman" w:cs="Times New Roman"/>
          <w:szCs w:val="28"/>
        </w:rPr>
        <w:t>he State has an equal right with appellant to an impartial court.</w:t>
      </w:r>
      <w:r w:rsidR="00F13921">
        <w:rPr>
          <w:rFonts w:eastAsia="Times New Roman" w:cs="Times New Roman"/>
          <w:szCs w:val="28"/>
        </w:rPr>
        <w:t xml:space="preserve">”). </w:t>
      </w:r>
      <w:r w:rsidR="008B5F97">
        <w:rPr>
          <w:rFonts w:eastAsia="Times New Roman" w:cs="Times New Roman"/>
          <w:szCs w:val="28"/>
        </w:rPr>
        <w:t>The Petition’s propo</w:t>
      </w:r>
      <w:r w:rsidR="00E8668F">
        <w:rPr>
          <w:rFonts w:eastAsia="Times New Roman" w:cs="Times New Roman"/>
          <w:szCs w:val="28"/>
        </w:rPr>
        <w:t>sed changes to Rule 10.2(a) would</w:t>
      </w:r>
      <w:r w:rsidR="008B5F97">
        <w:rPr>
          <w:rFonts w:eastAsia="Times New Roman" w:cs="Times New Roman"/>
          <w:szCs w:val="28"/>
        </w:rPr>
        <w:t xml:space="preserve"> </w:t>
      </w:r>
      <w:r w:rsidR="004A5E0E">
        <w:rPr>
          <w:rFonts w:eastAsia="Times New Roman" w:cs="Times New Roman"/>
          <w:szCs w:val="28"/>
        </w:rPr>
        <w:t>undermine th</w:t>
      </w:r>
      <w:r w:rsidR="008B5F97">
        <w:rPr>
          <w:rFonts w:eastAsia="Times New Roman" w:cs="Times New Roman"/>
          <w:szCs w:val="28"/>
        </w:rPr>
        <w:t>is long</w:t>
      </w:r>
      <w:r w:rsidR="008B5F97">
        <w:rPr>
          <w:rFonts w:eastAsia="Times New Roman" w:cs="Times New Roman"/>
          <w:szCs w:val="28"/>
        </w:rPr>
        <w:noBreakHyphen/>
      </w:r>
      <w:r w:rsidR="004A5E0E">
        <w:rPr>
          <w:rFonts w:eastAsia="Times New Roman" w:cs="Times New Roman"/>
          <w:szCs w:val="28"/>
        </w:rPr>
        <w:t>standing balance whenever the State dismiss</w:t>
      </w:r>
      <w:r w:rsidR="003230EF">
        <w:rPr>
          <w:rFonts w:eastAsia="Times New Roman" w:cs="Times New Roman"/>
          <w:szCs w:val="28"/>
        </w:rPr>
        <w:t>es</w:t>
      </w:r>
      <w:r w:rsidR="004A5E0E">
        <w:rPr>
          <w:rFonts w:eastAsia="Times New Roman" w:cs="Times New Roman"/>
          <w:szCs w:val="28"/>
        </w:rPr>
        <w:t xml:space="preserve"> and refile</w:t>
      </w:r>
      <w:r w:rsidR="003230EF">
        <w:rPr>
          <w:rFonts w:eastAsia="Times New Roman" w:cs="Times New Roman"/>
          <w:szCs w:val="28"/>
        </w:rPr>
        <w:t>s</w:t>
      </w:r>
      <w:r w:rsidR="004A5E0E">
        <w:rPr>
          <w:rFonts w:eastAsia="Times New Roman" w:cs="Times New Roman"/>
          <w:szCs w:val="28"/>
        </w:rPr>
        <w:t xml:space="preserve"> a prosecution, regardless of the circumstances surrounding the dismissal or the stage of criminal proceedings at which </w:t>
      </w:r>
      <w:r w:rsidR="00DD0D9E">
        <w:rPr>
          <w:rFonts w:eastAsia="Times New Roman" w:cs="Times New Roman"/>
          <w:szCs w:val="28"/>
        </w:rPr>
        <w:t xml:space="preserve">it </w:t>
      </w:r>
      <w:r w:rsidR="004A5E0E">
        <w:rPr>
          <w:rFonts w:eastAsia="Times New Roman" w:cs="Times New Roman"/>
          <w:szCs w:val="28"/>
        </w:rPr>
        <w:t>occurred</w:t>
      </w:r>
      <w:r w:rsidR="008B5F97">
        <w:rPr>
          <w:rFonts w:eastAsia="Times New Roman" w:cs="Times New Roman"/>
          <w:szCs w:val="28"/>
        </w:rPr>
        <w:t xml:space="preserve">. </w:t>
      </w:r>
    </w:p>
    <w:p w14:paraId="4FA237A8" w14:textId="59F2047E" w:rsidR="00BF54CF" w:rsidRDefault="00BF54CF" w:rsidP="006B2460">
      <w:pPr>
        <w:pStyle w:val="Heading1"/>
        <w:spacing w:after="360" w:line="240" w:lineRule="auto"/>
        <w:rPr>
          <w:rFonts w:eastAsia="Times New Roman"/>
        </w:rPr>
      </w:pPr>
      <w:r>
        <w:rPr>
          <w:rFonts w:eastAsia="Times New Roman"/>
        </w:rPr>
        <w:t xml:space="preserve">The Petition’s </w:t>
      </w:r>
      <w:r w:rsidR="0019614B">
        <w:rPr>
          <w:rFonts w:eastAsia="Times New Roman"/>
        </w:rPr>
        <w:t>Primary Concern</w:t>
      </w:r>
      <w:r w:rsidR="00DD0D9E">
        <w:rPr>
          <w:rFonts w:eastAsia="Times New Roman"/>
        </w:rPr>
        <w:t>s</w:t>
      </w:r>
      <w:r w:rsidR="00F75999">
        <w:rPr>
          <w:rFonts w:eastAsia="Times New Roman"/>
        </w:rPr>
        <w:t xml:space="preserve"> </w:t>
      </w:r>
      <w:r w:rsidR="00DD0D9E">
        <w:rPr>
          <w:rFonts w:eastAsia="Times New Roman"/>
        </w:rPr>
        <w:t>Are</w:t>
      </w:r>
      <w:r>
        <w:rPr>
          <w:rFonts w:eastAsia="Times New Roman"/>
        </w:rPr>
        <w:t xml:space="preserve"> </w:t>
      </w:r>
      <w:r w:rsidR="002A454D">
        <w:rPr>
          <w:rFonts w:eastAsia="Times New Roman"/>
        </w:rPr>
        <w:t xml:space="preserve">Speculative and </w:t>
      </w:r>
      <w:r w:rsidR="00F75999">
        <w:rPr>
          <w:rFonts w:eastAsia="Times New Roman"/>
        </w:rPr>
        <w:t xml:space="preserve">Already Addressed </w:t>
      </w:r>
      <w:r w:rsidR="00867605">
        <w:rPr>
          <w:rFonts w:eastAsia="Times New Roman"/>
        </w:rPr>
        <w:t>b</w:t>
      </w:r>
      <w:r w:rsidR="00F75999">
        <w:rPr>
          <w:rFonts w:eastAsia="Times New Roman"/>
        </w:rPr>
        <w:t xml:space="preserve">y </w:t>
      </w:r>
      <w:r w:rsidR="00DD0D9E">
        <w:rPr>
          <w:rFonts w:eastAsia="Times New Roman"/>
        </w:rPr>
        <w:t>Existing Law</w:t>
      </w:r>
      <w:r>
        <w:rPr>
          <w:rFonts w:eastAsia="Times New Roman"/>
        </w:rPr>
        <w:t xml:space="preserve">. </w:t>
      </w:r>
    </w:p>
    <w:p w14:paraId="1D3E13C8" w14:textId="77777777" w:rsidR="003230EF" w:rsidRDefault="003230EF" w:rsidP="006B2460">
      <w:pPr>
        <w:tabs>
          <w:tab w:val="left" w:pos="720"/>
        </w:tabs>
        <w:jc w:val="both"/>
      </w:pPr>
      <w:r>
        <w:tab/>
      </w:r>
      <w:r w:rsidR="00F75999">
        <w:t xml:space="preserve">The Petition’s </w:t>
      </w:r>
      <w:r w:rsidR="0019614B">
        <w:t xml:space="preserve">central </w:t>
      </w:r>
      <w:r w:rsidR="00F75999">
        <w:t xml:space="preserve">justification for </w:t>
      </w:r>
      <w:r>
        <w:t>eliminating the State</w:t>
      </w:r>
      <w:r w:rsidR="00532C89">
        <w:t xml:space="preserve">’s right to a </w:t>
      </w:r>
      <w:r w:rsidR="00532C89">
        <w:lastRenderedPageBreak/>
        <w:t>change of judge when a prosecution is dismissed and refiled is that the State’s “exclusive control</w:t>
      </w:r>
      <w:r w:rsidR="008B3B11">
        <w:t xml:space="preserve"> over dismissing and refiling a new case h</w:t>
      </w:r>
      <w:r w:rsidR="00532C89">
        <w:t xml:space="preserve">as given it unequal and unfair power to changes of judge as a matter right.” The Petition posits </w:t>
      </w:r>
      <w:r w:rsidR="009D2AFA">
        <w:t xml:space="preserve">that </w:t>
      </w:r>
      <w:r w:rsidR="00532C89">
        <w:t>a prosecutor who has received adverse ruling</w:t>
      </w:r>
      <w:r w:rsidR="009D2AFA">
        <w:t>s</w:t>
      </w:r>
      <w:r w:rsidR="00532C89">
        <w:t xml:space="preserve"> </w:t>
      </w:r>
      <w:r w:rsidR="008B3B11">
        <w:t>from the assigned judicial officer</w:t>
      </w:r>
      <w:r w:rsidR="009D2AFA">
        <w:t xml:space="preserve"> in a pending case may decide to seek a new indictment for the “primary purpose” of ref</w:t>
      </w:r>
      <w:r w:rsidR="00EA4357">
        <w:t>reshing their right to a change of j</w:t>
      </w:r>
      <w:r w:rsidR="009D2AFA">
        <w:t>udge, thereby enabling the prosecution to gain a tactical advantage in the new case.</w:t>
      </w:r>
    </w:p>
    <w:p w14:paraId="71899AC6" w14:textId="77777777" w:rsidR="00784AD7" w:rsidRDefault="003230EF" w:rsidP="003230EF">
      <w:pPr>
        <w:tabs>
          <w:tab w:val="left" w:pos="820"/>
        </w:tabs>
        <w:jc w:val="both"/>
      </w:pPr>
      <w:r>
        <w:tab/>
      </w:r>
      <w:r w:rsidR="009D2AFA">
        <w:t>At the outset, the Petition’</w:t>
      </w:r>
      <w:r w:rsidR="002A454D">
        <w:t xml:space="preserve">s assertions </w:t>
      </w:r>
      <w:r w:rsidR="0078405B">
        <w:t>are almost entirely</w:t>
      </w:r>
      <w:r w:rsidR="002A454D">
        <w:t xml:space="preserve"> based on speculation as to the State’s motives when dismissing a prosecution</w:t>
      </w:r>
      <w:r w:rsidR="0078405B">
        <w:t xml:space="preserve">. </w:t>
      </w:r>
      <w:r w:rsidR="00DE2A2D">
        <w:t>Furthermore</w:t>
      </w:r>
      <w:r w:rsidR="00954E55">
        <w:t>, the</w:t>
      </w:r>
      <w:r w:rsidR="0078405B">
        <w:t xml:space="preserve"> Petition </w:t>
      </w:r>
      <w:r w:rsidR="00DE2A2D">
        <w:t xml:space="preserve">points to a single case where the proposed rule would arguably apply. </w:t>
      </w:r>
      <w:r w:rsidR="00DA7894">
        <w:t xml:space="preserve">Permanently removing </w:t>
      </w:r>
      <w:r w:rsidR="00EA4357">
        <w:t xml:space="preserve">a prosecutor’s </w:t>
      </w:r>
      <w:r w:rsidR="00DA7894">
        <w:t xml:space="preserve">right to exercise a peremptory change of judge whenever a prosecution is refiled </w:t>
      </w:r>
      <w:r w:rsidR="00EA4357">
        <w:t xml:space="preserve">should be based on more than mere suspicion that the right is being abused.  </w:t>
      </w:r>
    </w:p>
    <w:p w14:paraId="470383D5" w14:textId="77777777" w:rsidR="00DE2A2D" w:rsidRDefault="00DE2A2D" w:rsidP="003230EF">
      <w:pPr>
        <w:tabs>
          <w:tab w:val="left" w:pos="820"/>
        </w:tabs>
        <w:jc w:val="both"/>
      </w:pPr>
      <w:r>
        <w:tab/>
        <w:t xml:space="preserve">Furthermore, a party has other recourse if there is reason to believe anything improper occurs. Specifically, in addressing any dismissal, the superior court may dismiss a case with or without prejudice, provided the court finds that a dismissal with prejudice is required by the interests of justice. Ariz. R. Crim. P. 16.4(d); </w:t>
      </w:r>
      <w:r w:rsidRPr="00E8668F">
        <w:rPr>
          <w:i/>
        </w:rPr>
        <w:t>State v. Gilbert</w:t>
      </w:r>
      <w:r>
        <w:t xml:space="preserve">, 172 Ariz. 402, 404 (App. 1991). Arizona courts have repeatedly held that these provisions vest the superior court with the sole discretion to decide whether to dismiss a pending criminal prosecution, </w:t>
      </w:r>
      <w:r>
        <w:lastRenderedPageBreak/>
        <w:t xml:space="preserve">including whether the dismissal should be with or without prejudice. </w:t>
      </w:r>
      <w:r w:rsidRPr="0078405B">
        <w:rPr>
          <w:i/>
        </w:rPr>
        <w:t>State v. Johnson</w:t>
      </w:r>
      <w:r>
        <w:t xml:space="preserve">, 122 Ariz. 260, 265 (1979); </w:t>
      </w:r>
      <w:r w:rsidRPr="0078405B">
        <w:rPr>
          <w:i/>
        </w:rPr>
        <w:t>State v. West</w:t>
      </w:r>
      <w:r>
        <w:t xml:space="preserve">, 173 Ariz. 602, 611–12 (App. 1992); </w:t>
      </w:r>
      <w:r w:rsidRPr="0078405B">
        <w:rPr>
          <w:i/>
        </w:rPr>
        <w:t>Application of Parham</w:t>
      </w:r>
      <w:r>
        <w:t xml:space="preserve">, 6 Ariz. App. 191, 193 (1967). </w:t>
      </w:r>
    </w:p>
    <w:p w14:paraId="6CE55D6A" w14:textId="77777777" w:rsidR="00122C7A" w:rsidRPr="00760424" w:rsidRDefault="00F36B8E" w:rsidP="003230EF">
      <w:pPr>
        <w:tabs>
          <w:tab w:val="left" w:pos="820"/>
        </w:tabs>
        <w:jc w:val="both"/>
        <w:rPr>
          <w:sz w:val="24"/>
        </w:rPr>
      </w:pPr>
      <w:r>
        <w:tab/>
      </w:r>
      <w:r w:rsidR="00E55ED6">
        <w:t>As a result,</w:t>
      </w:r>
      <w:r w:rsidR="009B497E">
        <w:t xml:space="preserve"> </w:t>
      </w:r>
      <w:r w:rsidR="001B4311">
        <w:t xml:space="preserve">a defendant </w:t>
      </w:r>
      <w:r w:rsidR="00A37F1B">
        <w:t xml:space="preserve">may </w:t>
      </w:r>
      <w:r w:rsidR="001B4311">
        <w:t>argue that the motion to dismiss should be with prejudice</w:t>
      </w:r>
      <w:r w:rsidR="00EA4357">
        <w:t>, or move to dismiss the</w:t>
      </w:r>
      <w:r w:rsidR="003B3B24">
        <w:t xml:space="preserve"> successive prosecution on grounds that going forward constitutes </w:t>
      </w:r>
      <w:r w:rsidR="00CA3D53">
        <w:t>a violation</w:t>
      </w:r>
      <w:r w:rsidR="009B497E">
        <w:t xml:space="preserve"> of</w:t>
      </w:r>
      <w:r w:rsidR="00CA3D53">
        <w:t xml:space="preserve"> the defendant’s</w:t>
      </w:r>
      <w:r w:rsidR="003B3B24">
        <w:t xml:space="preserve"> due</w:t>
      </w:r>
      <w:r w:rsidR="003B3B24">
        <w:noBreakHyphen/>
        <w:t>process rights</w:t>
      </w:r>
      <w:r w:rsidR="00E8668F">
        <w:t>.</w:t>
      </w:r>
      <w:r w:rsidR="00CA3D53">
        <w:rPr>
          <w:rStyle w:val="FootnoteReference"/>
        </w:rPr>
        <w:footnoteReference w:id="1"/>
      </w:r>
      <w:r w:rsidR="00E8668F">
        <w:t xml:space="preserve"> </w:t>
      </w:r>
      <w:r w:rsidR="003B3B24" w:rsidRPr="003B3B24">
        <w:rPr>
          <w:i/>
        </w:rPr>
        <w:t>See, e.g.</w:t>
      </w:r>
      <w:r w:rsidR="003B3B24">
        <w:t xml:space="preserve">, </w:t>
      </w:r>
      <w:r w:rsidR="003B3B24" w:rsidRPr="00A37F1B">
        <w:rPr>
          <w:i/>
        </w:rPr>
        <w:t>Gilbert</w:t>
      </w:r>
      <w:r w:rsidR="00A37F1B" w:rsidRPr="00A37F1B">
        <w:rPr>
          <w:i/>
        </w:rPr>
        <w:t>,</w:t>
      </w:r>
      <w:r w:rsidR="00A37F1B">
        <w:t xml:space="preserve"> 172 Ariz. at 404–05 (reversing dismissal with prejudice, in part, because defendant “did not assert that the state was acting in bad faith or with the motive of simply harassing her” by seeking dismissal without prejudice)</w:t>
      </w:r>
      <w:r w:rsidR="003B3B24">
        <w:t xml:space="preserve">; </w:t>
      </w:r>
      <w:r w:rsidR="003B3B24" w:rsidRPr="00A37F1B">
        <w:rPr>
          <w:i/>
        </w:rPr>
        <w:t>State v. Garcia</w:t>
      </w:r>
      <w:r w:rsidR="003B3B24">
        <w:t>, 170 Ariz. 245, 247 (App. 1991) (</w:t>
      </w:r>
      <w:r w:rsidR="00760424">
        <w:t xml:space="preserve">noting, in appeal from State’s contested motion to dismiss, that proof </w:t>
      </w:r>
      <w:r w:rsidR="009B497E">
        <w:t xml:space="preserve">that the </w:t>
      </w:r>
      <w:r w:rsidR="00760424">
        <w:t xml:space="preserve">State sought dismissal to gain a tactical advantage “by delaying in the hope that a critical witness would become </w:t>
      </w:r>
      <w:r w:rsidR="009B497E">
        <w:t>un</w:t>
      </w:r>
      <w:r w:rsidR="00760424">
        <w:t xml:space="preserve">available” would justify dismissal with prejudice); </w:t>
      </w:r>
      <w:r w:rsidR="00760424" w:rsidRPr="00760424">
        <w:rPr>
          <w:i/>
        </w:rPr>
        <w:t>State v. Huffman</w:t>
      </w:r>
      <w:r w:rsidR="00760424">
        <w:t xml:space="preserve">, 222 Ariz. 416, 420, ¶¶ 9–15 (App. 2009) (recognizing defendants’ right to seek dismissal of successive prosecution </w:t>
      </w:r>
      <w:r w:rsidR="009B497E">
        <w:t>on due</w:t>
      </w:r>
      <w:r w:rsidR="009B497E">
        <w:noBreakHyphen/>
      </w:r>
      <w:r w:rsidR="00DA7894">
        <w:t>process grounds</w:t>
      </w:r>
      <w:r w:rsidR="00A37F1B">
        <w:t>).</w:t>
      </w:r>
    </w:p>
    <w:p w14:paraId="363D9FF3" w14:textId="77777777" w:rsidR="002927F7" w:rsidRDefault="00CE09D3" w:rsidP="005B7F15">
      <w:pPr>
        <w:tabs>
          <w:tab w:val="left" w:pos="820"/>
        </w:tabs>
        <w:ind w:firstLine="821"/>
        <w:jc w:val="both"/>
      </w:pPr>
      <w:r>
        <w:t xml:space="preserve">As for </w:t>
      </w:r>
      <w:r w:rsidR="008E3DF9">
        <w:t xml:space="preserve">the Petition’s claim that </w:t>
      </w:r>
      <w:r w:rsidR="00786B2F">
        <w:t xml:space="preserve">professional discipline is an inadequate </w:t>
      </w:r>
      <w:r w:rsidR="00786B2F">
        <w:lastRenderedPageBreak/>
        <w:t>remedy for its allegations of prosecutors’ abuse of Rule 10.2</w:t>
      </w:r>
      <w:r w:rsidR="00B97644">
        <w:t>(a)</w:t>
      </w:r>
      <w:r w:rsidR="008E3DF9">
        <w:t>, such reasoning has</w:t>
      </w:r>
      <w:r>
        <w:t xml:space="preserve"> been </w:t>
      </w:r>
      <w:r w:rsidR="00A26900">
        <w:t xml:space="preserve">rejected </w:t>
      </w:r>
      <w:r w:rsidR="008E3DF9">
        <w:t>in case</w:t>
      </w:r>
      <w:r w:rsidR="00786B2F">
        <w:t xml:space="preserve"> </w:t>
      </w:r>
      <w:r w:rsidR="008E3DF9">
        <w:t xml:space="preserve">law addressing attempts </w:t>
      </w:r>
      <w:r w:rsidR="002927F7">
        <w:t>to inject court review into the peremptory change-of-judge process. As aptl</w:t>
      </w:r>
      <w:r w:rsidR="00786B2F">
        <w:t>y stated by a majority of the Arizona Court of Appeals</w:t>
      </w:r>
      <w:r w:rsidR="002927F7">
        <w:t xml:space="preserve">, </w:t>
      </w:r>
    </w:p>
    <w:p w14:paraId="752DEB3D" w14:textId="77777777" w:rsidR="002927F7" w:rsidRDefault="002927F7" w:rsidP="002927F7">
      <w:pPr>
        <w:tabs>
          <w:tab w:val="left" w:pos="820"/>
        </w:tabs>
        <w:spacing w:line="240" w:lineRule="auto"/>
        <w:ind w:left="720" w:right="720"/>
        <w:jc w:val="both"/>
      </w:pPr>
      <w:r w:rsidRPr="002927F7">
        <w:t>The dissent further suggests that Rule 10.2(b) is “relegated to an empty and ineffectual exercise” unless trial judges may question attorneys about their reasons for exercising their right to a change of judge. But</w:t>
      </w:r>
      <w:r>
        <w:t xml:space="preserve"> </w:t>
      </w:r>
      <w:r w:rsidRPr="002927F7">
        <w:t>that assumes attorneys will not honestly execute the avowals now required under Rule 10.2(b) and that judges will be unable or unwilling to report abuses of the rule to the State Bar, as the comments to the 2001 amendments to Rule 10.2 and ER 8.4(g) contemplate. We cannot accept those assumptions.</w:t>
      </w:r>
      <w:r>
        <w:t xml:space="preserve"> Although respondents may not view the avowal requirement coupled with the State Bar enforcement mechanism as a perfect or adequate remedy for alleged violations of Rule 10.2(b), it is the remedy our supreme court has chosen. . . . </w:t>
      </w:r>
      <w:r w:rsidRPr="002927F7">
        <w:t>We can reasonably assume that, in interpreting the 2001 amendments to Rule 10.2, the supreme court placed some measure of confidence in b</w:t>
      </w:r>
      <w:r>
        <w:t>oth the integrity of this state’</w:t>
      </w:r>
      <w:r w:rsidRPr="002927F7">
        <w:t>s trial lawyers (to submit honest avowals) and the vigilance of its trial courts (to refer the rare violator to the State Bar for potential discipline).</w:t>
      </w:r>
    </w:p>
    <w:p w14:paraId="7DA68BAD" w14:textId="77777777" w:rsidR="00786B2F" w:rsidRDefault="00786B2F" w:rsidP="00786B2F">
      <w:pPr>
        <w:tabs>
          <w:tab w:val="left" w:pos="820"/>
        </w:tabs>
        <w:spacing w:line="240" w:lineRule="auto"/>
        <w:ind w:right="720"/>
        <w:jc w:val="both"/>
      </w:pPr>
    </w:p>
    <w:p w14:paraId="79496A40" w14:textId="77777777" w:rsidR="00BE5A31" w:rsidRDefault="00BE5A31" w:rsidP="00BE5A31">
      <w:pPr>
        <w:tabs>
          <w:tab w:val="left" w:pos="820"/>
        </w:tabs>
        <w:jc w:val="both"/>
      </w:pPr>
      <w:r w:rsidRPr="00BE5A31">
        <w:rPr>
          <w:i/>
        </w:rPr>
        <w:t>Bergeron ex rel. Perez v. O’Neil</w:t>
      </w:r>
      <w:r>
        <w:t>, 205 Ariz. 640, 651–52, ¶¶ 35–36 (App. 2003)</w:t>
      </w:r>
      <w:r w:rsidR="009B497E">
        <w:t xml:space="preserve"> (citations omitted)</w:t>
      </w:r>
      <w:r>
        <w:t xml:space="preserve">. </w:t>
      </w:r>
      <w:r w:rsidR="00A26900">
        <w:t xml:space="preserve">Simply put, the Petition offers no compelling explanation for why the type of abuse </w:t>
      </w:r>
      <w:r w:rsidR="009B497E">
        <w:t>it alleges</w:t>
      </w:r>
      <w:r w:rsidR="00A26900">
        <w:t xml:space="preserve"> should not and cannot be addressed via discipline by the Arizona State Bar.</w:t>
      </w:r>
    </w:p>
    <w:p w14:paraId="107E0394" w14:textId="77777777" w:rsidR="00DD0D9E" w:rsidRDefault="00DD0D9E" w:rsidP="00BC0384">
      <w:pPr>
        <w:pStyle w:val="Heading1"/>
        <w:spacing w:after="360" w:line="240" w:lineRule="auto"/>
        <w:rPr>
          <w:rFonts w:eastAsia="Times New Roman"/>
        </w:rPr>
      </w:pPr>
      <w:r>
        <w:rPr>
          <w:rFonts w:eastAsia="Times New Roman"/>
        </w:rPr>
        <w:t xml:space="preserve">The Petition’s Proposed </w:t>
      </w:r>
      <w:r w:rsidR="00BE5A31">
        <w:rPr>
          <w:rFonts w:eastAsia="Times New Roman"/>
        </w:rPr>
        <w:t xml:space="preserve">Changes Reach Far Beyond </w:t>
      </w:r>
      <w:r w:rsidR="00BC0384">
        <w:rPr>
          <w:rFonts w:eastAsia="Times New Roman"/>
        </w:rPr>
        <w:t>Its Asserted Purpose.</w:t>
      </w:r>
    </w:p>
    <w:p w14:paraId="4D5BEEA6" w14:textId="77777777" w:rsidR="007845B4" w:rsidRDefault="00BE5A31" w:rsidP="00BC0384">
      <w:pPr>
        <w:ind w:firstLine="720"/>
        <w:jc w:val="both"/>
      </w:pPr>
      <w:r>
        <w:t xml:space="preserve">Finally, the Petition’s proposed amendments to Rule 10.2(a) should not be adopted because </w:t>
      </w:r>
      <w:r w:rsidR="009B497E">
        <w:t>they would</w:t>
      </w:r>
      <w:r w:rsidR="00BC0384">
        <w:t xml:space="preserve"> deprive the State of its right to a change of judge </w:t>
      </w:r>
      <w:r w:rsidR="00BC0384">
        <w:lastRenderedPageBreak/>
        <w:t>in circumstances that have nothing to do with the Petition’s asserted purpose</w:t>
      </w:r>
      <w:r>
        <w:t>. Under the Petition’s proposed rule, the State would lose its right to a peremptory change of judge whenever a prosecution is d</w:t>
      </w:r>
      <w:r w:rsidR="00256BE1">
        <w:t xml:space="preserve">ismissed and refiled, no matter </w:t>
      </w:r>
      <w:r>
        <w:t xml:space="preserve">the circumstances </w:t>
      </w:r>
      <w:r w:rsidR="00BC0384">
        <w:t xml:space="preserve">surrounding the dismissal or its timing. </w:t>
      </w:r>
    </w:p>
    <w:p w14:paraId="5ADF44BF" w14:textId="77777777" w:rsidR="001B4311" w:rsidRDefault="00BC0384" w:rsidP="00BC0384">
      <w:pPr>
        <w:ind w:firstLine="720"/>
        <w:jc w:val="both"/>
      </w:pPr>
      <w:r>
        <w:t>Thus, for purposes of Rule 10.2</w:t>
      </w:r>
      <w:r w:rsidR="009B497E">
        <w:t>(a)</w:t>
      </w:r>
      <w:r>
        <w:t xml:space="preserve">, the Petition treats </w:t>
      </w:r>
      <w:r w:rsidR="00256BE1">
        <w:t>a dismissal sought shortly after a defendant is arraigned t</w:t>
      </w:r>
      <w:r w:rsidR="00B97644">
        <w:t>he same as a dismissal sough</w:t>
      </w:r>
      <w:r w:rsidR="00B45175">
        <w:t>t on the eve of trial, even though these situations are vastly different from a due</w:t>
      </w:r>
      <w:r w:rsidR="00B45175">
        <w:noBreakHyphen/>
        <w:t xml:space="preserve">process perspective. </w:t>
      </w:r>
      <w:r w:rsidR="00B97644">
        <w:t xml:space="preserve">And the Petition’s proposed changes do not recognize </w:t>
      </w:r>
      <w:r w:rsidR="009E4A22">
        <w:t>that a prosecutor may wish to exercise their right to a change of judge for reasons that,</w:t>
      </w:r>
      <w:r w:rsidR="007845B4">
        <w:t xml:space="preserve"> although arising from the prior proc</w:t>
      </w:r>
      <w:r w:rsidR="009B497E">
        <w:t xml:space="preserve">eedings, are totally independent from </w:t>
      </w:r>
      <w:r w:rsidR="009E4A22">
        <w:t xml:space="preserve">the </w:t>
      </w:r>
      <w:r w:rsidR="007845B4">
        <w:t>prosecutor’</w:t>
      </w:r>
      <w:r w:rsidR="009E4A22">
        <w:t>s motive</w:t>
      </w:r>
      <w:r w:rsidR="007845B4">
        <w:t xml:space="preserve"> for dismissing and refiling the prosecution</w:t>
      </w:r>
      <w:r w:rsidR="00B97644">
        <w:t xml:space="preserve">. </w:t>
      </w:r>
    </w:p>
    <w:p w14:paraId="425D498C" w14:textId="77777777" w:rsidR="001B4311" w:rsidRDefault="001B4311" w:rsidP="00BC0384">
      <w:pPr>
        <w:ind w:firstLine="720"/>
        <w:jc w:val="both"/>
      </w:pPr>
      <w:r>
        <w:t xml:space="preserve">Furthermore, </w:t>
      </w:r>
      <w:r w:rsidR="00895799">
        <w:t xml:space="preserve">the language of the proposed rule invites </w:t>
      </w:r>
      <w:proofErr w:type="spellStart"/>
      <w:r w:rsidR="00895799">
        <w:t>addditional</w:t>
      </w:r>
      <w:proofErr w:type="spellEnd"/>
      <w:r w:rsidR="00895799">
        <w:t xml:space="preserve"> litigation, which is not the intent of the rule. Specifically, whether a case involves “the same subject matter” could be subject to argument. </w:t>
      </w:r>
    </w:p>
    <w:p w14:paraId="0FDB6ADC" w14:textId="77777777" w:rsidR="00B45175" w:rsidRPr="00BE5A31" w:rsidRDefault="009E4A22" w:rsidP="00BC0384">
      <w:pPr>
        <w:ind w:firstLine="720"/>
        <w:jc w:val="both"/>
      </w:pPr>
      <w:r>
        <w:t xml:space="preserve">Ultimately, </w:t>
      </w:r>
      <w:r w:rsidR="00B45175">
        <w:t>t</w:t>
      </w:r>
      <w:r w:rsidR="00C0670D">
        <w:t>he Petition appears to be</w:t>
      </w:r>
      <w:r w:rsidR="00B45175">
        <w:t xml:space="preserve"> premised on </w:t>
      </w:r>
      <w:r w:rsidR="00C0670D">
        <w:t xml:space="preserve">the </w:t>
      </w:r>
      <w:r w:rsidR="00B45175">
        <w:t xml:space="preserve">idea that the alleged abusive practice it has identified </w:t>
      </w:r>
      <w:r w:rsidR="00250247">
        <w:t xml:space="preserve">is so prejudicial to the administration and fundamental fairness of our justice system </w:t>
      </w:r>
      <w:r w:rsidR="007845B4">
        <w:t xml:space="preserve">that it must be eliminated, even if legitimate </w:t>
      </w:r>
      <w:r w:rsidR="00C0670D">
        <w:t>conduct is swept away in the process</w:t>
      </w:r>
      <w:r w:rsidR="00250247">
        <w:t xml:space="preserve">. </w:t>
      </w:r>
      <w:r w:rsidR="00B45175">
        <w:t xml:space="preserve">But as discussed above, the Petition offers little, if </w:t>
      </w:r>
      <w:r w:rsidR="00C0670D">
        <w:t>any, actual evidence to show that this alleged practice presents such a threat</w:t>
      </w:r>
      <w:r w:rsidR="00250247">
        <w:t>. And it is telling that the Pe</w:t>
      </w:r>
      <w:r w:rsidR="007845B4">
        <w:t xml:space="preserve">tition would leave the </w:t>
      </w:r>
      <w:r w:rsidR="007845B4">
        <w:lastRenderedPageBreak/>
        <w:t>defense’s</w:t>
      </w:r>
      <w:r w:rsidR="00250247">
        <w:t xml:space="preserve"> entitlement </w:t>
      </w:r>
      <w:r w:rsidR="007845B4">
        <w:t>to a change of judge as a matter of right intact</w:t>
      </w:r>
      <w:r w:rsidR="00250247">
        <w:t xml:space="preserve">, </w:t>
      </w:r>
      <w:r w:rsidR="00C0670D">
        <w:t>even though defense counsel</w:t>
      </w:r>
      <w:r w:rsidR="007845B4">
        <w:t xml:space="preserve"> may also be motivated to </w:t>
      </w:r>
      <w:r w:rsidR="00C0670D">
        <w:t xml:space="preserve">take advantage of their refreshed peremptory change-of-judge </w:t>
      </w:r>
      <w:r w:rsidR="003634EE">
        <w:t xml:space="preserve">right and </w:t>
      </w:r>
      <w:r w:rsidR="00C0670D">
        <w:t>e</w:t>
      </w:r>
      <w:r w:rsidR="000C284C">
        <w:t>liminate the judicial officer</w:t>
      </w:r>
      <w:r w:rsidR="00C0670D">
        <w:t xml:space="preserve"> who presided over the prior proceedings.</w:t>
      </w:r>
    </w:p>
    <w:p w14:paraId="6F9F3C15" w14:textId="77777777" w:rsidR="00BE5A31" w:rsidRDefault="00B45175" w:rsidP="00BE5A31">
      <w:pPr>
        <w:pStyle w:val="Heading1"/>
      </w:pPr>
      <w:r>
        <w:t>Conclusion</w:t>
      </w:r>
    </w:p>
    <w:p w14:paraId="4AD0DA61" w14:textId="77777777" w:rsidR="00BE5A31" w:rsidRPr="00BE5A31" w:rsidRDefault="00BE5A31" w:rsidP="006B2460">
      <w:pPr>
        <w:ind w:firstLine="720"/>
        <w:jc w:val="both"/>
      </w:pPr>
      <w:r>
        <w:t>For the reasons outlined above, the APAAC opposes Petition R-24-0010, and</w:t>
      </w:r>
      <w:r w:rsidR="00256BE1">
        <w:t xml:space="preserve"> requests</w:t>
      </w:r>
      <w:r>
        <w:t xml:space="preserve"> this Court </w:t>
      </w:r>
      <w:proofErr w:type="gramStart"/>
      <w:r>
        <w:t>deny</w:t>
      </w:r>
      <w:proofErr w:type="gramEnd"/>
      <w:r>
        <w:t xml:space="preserve"> the Petition.</w:t>
      </w:r>
    </w:p>
    <w:p w14:paraId="00803C0A" w14:textId="689D0F4A" w:rsidR="00F97BB9" w:rsidRPr="004F4F8C" w:rsidRDefault="00F97BB9" w:rsidP="00F97BB9">
      <w:pPr>
        <w:ind w:firstLine="720"/>
        <w:rPr>
          <w:szCs w:val="28"/>
        </w:rPr>
      </w:pPr>
      <w:r w:rsidRPr="004F4F8C">
        <w:rPr>
          <w:szCs w:val="28"/>
        </w:rPr>
        <w:t xml:space="preserve">Respectfully submitted </w:t>
      </w:r>
      <w:proofErr w:type="gramStart"/>
      <w:r w:rsidRPr="004F4F8C">
        <w:rPr>
          <w:szCs w:val="28"/>
        </w:rPr>
        <w:t xml:space="preserve">this </w:t>
      </w:r>
      <w:r>
        <w:rPr>
          <w:szCs w:val="28"/>
          <w:u w:val="single"/>
        </w:rPr>
        <w:t xml:space="preserve"> 1</w:t>
      </w:r>
      <w:proofErr w:type="gramEnd"/>
      <w:r w:rsidRPr="008E7312">
        <w:rPr>
          <w:szCs w:val="28"/>
          <w:u w:val="single"/>
          <w:vertAlign w:val="superscript"/>
        </w:rPr>
        <w:t>st</w:t>
      </w:r>
      <w:r>
        <w:rPr>
          <w:szCs w:val="28"/>
          <w:u w:val="single"/>
        </w:rPr>
        <w:t xml:space="preserve"> </w:t>
      </w:r>
      <w:r w:rsidRPr="004F4F8C">
        <w:rPr>
          <w:szCs w:val="28"/>
        </w:rPr>
        <w:t xml:space="preserve"> day of </w:t>
      </w:r>
      <w:r>
        <w:rPr>
          <w:szCs w:val="28"/>
        </w:rPr>
        <w:t>May</w:t>
      </w:r>
      <w:r w:rsidRPr="004F4F8C">
        <w:rPr>
          <w:szCs w:val="28"/>
        </w:rPr>
        <w:t>, 202</w:t>
      </w:r>
      <w:r>
        <w:rPr>
          <w:szCs w:val="28"/>
        </w:rPr>
        <w:t>4</w:t>
      </w:r>
      <w:r w:rsidRPr="004F4F8C">
        <w:rPr>
          <w:szCs w:val="28"/>
        </w:rPr>
        <w:t>.</w:t>
      </w:r>
    </w:p>
    <w:p w14:paraId="528C0ACC" w14:textId="77777777" w:rsidR="00F97BB9" w:rsidRPr="004F4F8C" w:rsidRDefault="00F97BB9" w:rsidP="00F97BB9">
      <w:pPr>
        <w:spacing w:line="240" w:lineRule="auto"/>
        <w:ind w:left="4320"/>
        <w:rPr>
          <w:szCs w:val="28"/>
        </w:rPr>
      </w:pPr>
    </w:p>
    <w:p w14:paraId="618712AB" w14:textId="77777777" w:rsidR="00F97BB9" w:rsidRPr="008E7312" w:rsidRDefault="00F97BB9" w:rsidP="00F97BB9">
      <w:pPr>
        <w:spacing w:line="424" w:lineRule="exact"/>
        <w:ind w:left="3600"/>
        <w:rPr>
          <w:sz w:val="16"/>
        </w:rPr>
      </w:pPr>
      <w:r w:rsidRPr="008E7312">
        <w:rPr>
          <w:i/>
          <w:iCs/>
          <w:szCs w:val="28"/>
          <w:u w:val="single"/>
        </w:rPr>
        <w:t>/s/</w:t>
      </w:r>
      <w:r>
        <w:rPr>
          <w:szCs w:val="28"/>
          <w:u w:val="single"/>
        </w:rPr>
        <w:t xml:space="preserve"> </w:t>
      </w:r>
      <w:r w:rsidRPr="008E7312">
        <w:rPr>
          <w:rFonts w:ascii="Lucida Handwriting" w:hAnsi="Lucida Handwriting"/>
          <w:szCs w:val="28"/>
          <w:u w:val="single"/>
        </w:rPr>
        <w:t>Elizabeth Burton Ortiz</w:t>
      </w:r>
      <w:r w:rsidRPr="008E7312">
        <w:rPr>
          <w:rFonts w:ascii="Lucida Handwriting" w:hAnsi="Lucida Handwriting"/>
          <w:szCs w:val="28"/>
          <w:u w:val="single"/>
        </w:rPr>
        <w:tab/>
      </w:r>
      <w:r w:rsidRPr="008E7312">
        <w:rPr>
          <w:rFonts w:ascii="Lucida Handwriting" w:hAnsi="Lucida Handwriting"/>
          <w:szCs w:val="28"/>
          <w:u w:val="single"/>
        </w:rPr>
        <w:tab/>
      </w:r>
    </w:p>
    <w:p w14:paraId="15E41845" w14:textId="77777777" w:rsidR="00F97BB9" w:rsidRDefault="00F97BB9" w:rsidP="00F97BB9">
      <w:pPr>
        <w:ind w:left="2880" w:firstLine="720"/>
      </w:pPr>
      <w:r>
        <w:rPr>
          <w:szCs w:val="28"/>
        </w:rPr>
        <w:t>Elizabeth Burton Ortiz</w:t>
      </w:r>
    </w:p>
    <w:p w14:paraId="154B704E" w14:textId="6A83C2FD" w:rsidR="002530A4" w:rsidRDefault="002530A4" w:rsidP="00F97BB9">
      <w:pPr>
        <w:tabs>
          <w:tab w:val="left" w:pos="820"/>
        </w:tabs>
        <w:jc w:val="both"/>
        <w:rPr>
          <w:szCs w:val="28"/>
        </w:rPr>
      </w:pPr>
    </w:p>
    <w:sectPr w:rsidR="002530A4">
      <w:footerReference w:type="default" r:id="rId11"/>
      <w:pgSz w:w="12240" w:h="15840"/>
      <w:pgMar w:top="1480" w:right="172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0606A" w14:textId="77777777" w:rsidR="00A77B4F" w:rsidRDefault="00A77B4F" w:rsidP="00CA3D53">
      <w:pPr>
        <w:spacing w:line="240" w:lineRule="auto"/>
      </w:pPr>
      <w:r>
        <w:separator/>
      </w:r>
    </w:p>
  </w:endnote>
  <w:endnote w:type="continuationSeparator" w:id="0">
    <w:p w14:paraId="51A48840" w14:textId="77777777" w:rsidR="00A77B4F" w:rsidRDefault="00A77B4F" w:rsidP="00CA3D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1396066"/>
      <w:docPartObj>
        <w:docPartGallery w:val="Page Numbers (Bottom of Page)"/>
        <w:docPartUnique/>
      </w:docPartObj>
    </w:sdtPr>
    <w:sdtEndPr>
      <w:rPr>
        <w:noProof/>
      </w:rPr>
    </w:sdtEndPr>
    <w:sdtContent>
      <w:p w14:paraId="7D777786" w14:textId="77777777" w:rsidR="001B4311" w:rsidRDefault="001B4311">
        <w:pPr>
          <w:pStyle w:val="Footer"/>
          <w:jc w:val="center"/>
        </w:pPr>
        <w:r>
          <w:fldChar w:fldCharType="begin"/>
        </w:r>
        <w:r>
          <w:instrText xml:space="preserve"> PAGE   \* MERGEFORMAT </w:instrText>
        </w:r>
        <w:r>
          <w:fldChar w:fldCharType="separate"/>
        </w:r>
        <w:r w:rsidR="001A07FE">
          <w:rPr>
            <w:noProof/>
          </w:rPr>
          <w:t>3</w:t>
        </w:r>
        <w:r>
          <w:rPr>
            <w:noProof/>
          </w:rPr>
          <w:fldChar w:fldCharType="end"/>
        </w:r>
      </w:p>
    </w:sdtContent>
  </w:sdt>
  <w:p w14:paraId="6B315892" w14:textId="77777777" w:rsidR="001B4311" w:rsidRDefault="001B4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05FCC" w14:textId="77777777" w:rsidR="00A77B4F" w:rsidRDefault="00A77B4F" w:rsidP="00CA3D53">
      <w:pPr>
        <w:spacing w:line="240" w:lineRule="auto"/>
      </w:pPr>
      <w:r>
        <w:separator/>
      </w:r>
    </w:p>
  </w:footnote>
  <w:footnote w:type="continuationSeparator" w:id="0">
    <w:p w14:paraId="60799C39" w14:textId="77777777" w:rsidR="00A77B4F" w:rsidRDefault="00A77B4F" w:rsidP="00CA3D53">
      <w:pPr>
        <w:spacing w:line="240" w:lineRule="auto"/>
      </w:pPr>
      <w:r>
        <w:continuationSeparator/>
      </w:r>
    </w:p>
  </w:footnote>
  <w:footnote w:id="1">
    <w:p w14:paraId="50AFFC4C" w14:textId="77777777" w:rsidR="00CA3D53" w:rsidRDefault="00CA3D53">
      <w:pPr>
        <w:pStyle w:val="FootnoteText"/>
      </w:pPr>
      <w:r w:rsidRPr="008E3DF9">
        <w:rPr>
          <w:rStyle w:val="FootnoteReference"/>
          <w:sz w:val="28"/>
        </w:rPr>
        <w:footnoteRef/>
      </w:r>
      <w:r w:rsidRPr="008E3DF9">
        <w:rPr>
          <w:sz w:val="28"/>
        </w:rPr>
        <w:t xml:space="preserve"> Critically, such challenges would not be directed to the State’s actual exercise of its peremptory change-of-judge right under Rule 10.2</w:t>
      </w:r>
      <w:r w:rsidR="009B497E">
        <w:rPr>
          <w:sz w:val="28"/>
        </w:rPr>
        <w:t>(a)</w:t>
      </w:r>
      <w:r w:rsidRPr="008E3DF9">
        <w:rPr>
          <w:sz w:val="28"/>
        </w:rPr>
        <w:t xml:space="preserve">, which is summary and automatic, but </w:t>
      </w:r>
      <w:r w:rsidR="009B497E">
        <w:rPr>
          <w:sz w:val="28"/>
        </w:rPr>
        <w:t>to the prosecutor’s</w:t>
      </w:r>
      <w:r w:rsidRPr="008E3DF9">
        <w:rPr>
          <w:sz w:val="28"/>
        </w:rPr>
        <w:t xml:space="preserve"> reasons for dismissing and refiling a prosecution.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E5FE5"/>
    <w:multiLevelType w:val="hybridMultilevel"/>
    <w:tmpl w:val="55AE809C"/>
    <w:lvl w:ilvl="0" w:tplc="2DAA304A">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8580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0A4"/>
    <w:rsid w:val="000C284C"/>
    <w:rsid w:val="000D439E"/>
    <w:rsid w:val="00105E27"/>
    <w:rsid w:val="00122C7A"/>
    <w:rsid w:val="0019614B"/>
    <w:rsid w:val="001A07FE"/>
    <w:rsid w:val="001A7900"/>
    <w:rsid w:val="001B4311"/>
    <w:rsid w:val="001D5FBB"/>
    <w:rsid w:val="002443E6"/>
    <w:rsid w:val="00250247"/>
    <w:rsid w:val="002530A4"/>
    <w:rsid w:val="00256BE1"/>
    <w:rsid w:val="002927F7"/>
    <w:rsid w:val="002A454D"/>
    <w:rsid w:val="002B2CCB"/>
    <w:rsid w:val="002C2E5D"/>
    <w:rsid w:val="002D1365"/>
    <w:rsid w:val="002F2198"/>
    <w:rsid w:val="003230EF"/>
    <w:rsid w:val="003634EE"/>
    <w:rsid w:val="003B087D"/>
    <w:rsid w:val="003B3B24"/>
    <w:rsid w:val="003D1276"/>
    <w:rsid w:val="004A5E0E"/>
    <w:rsid w:val="004C0969"/>
    <w:rsid w:val="004E7159"/>
    <w:rsid w:val="00532C89"/>
    <w:rsid w:val="005B7F15"/>
    <w:rsid w:val="005D3038"/>
    <w:rsid w:val="006B2460"/>
    <w:rsid w:val="006F1C47"/>
    <w:rsid w:val="00710D49"/>
    <w:rsid w:val="00734A6E"/>
    <w:rsid w:val="00740152"/>
    <w:rsid w:val="00742AE8"/>
    <w:rsid w:val="00760424"/>
    <w:rsid w:val="0078405B"/>
    <w:rsid w:val="007845B4"/>
    <w:rsid w:val="00784AD7"/>
    <w:rsid w:val="00786B2F"/>
    <w:rsid w:val="00867605"/>
    <w:rsid w:val="00877658"/>
    <w:rsid w:val="00895799"/>
    <w:rsid w:val="008B3B11"/>
    <w:rsid w:val="008B5F97"/>
    <w:rsid w:val="008C30C7"/>
    <w:rsid w:val="008D5D38"/>
    <w:rsid w:val="008E3DF9"/>
    <w:rsid w:val="00954E55"/>
    <w:rsid w:val="00975B83"/>
    <w:rsid w:val="009B497E"/>
    <w:rsid w:val="009D2AFA"/>
    <w:rsid w:val="009E233A"/>
    <w:rsid w:val="009E4A22"/>
    <w:rsid w:val="00A26900"/>
    <w:rsid w:val="00A37F1B"/>
    <w:rsid w:val="00A77B4F"/>
    <w:rsid w:val="00AF6FC3"/>
    <w:rsid w:val="00B45175"/>
    <w:rsid w:val="00B642BC"/>
    <w:rsid w:val="00B97644"/>
    <w:rsid w:val="00BC0384"/>
    <w:rsid w:val="00BC5F14"/>
    <w:rsid w:val="00BE112E"/>
    <w:rsid w:val="00BE5A31"/>
    <w:rsid w:val="00BF54CF"/>
    <w:rsid w:val="00C0670D"/>
    <w:rsid w:val="00C26E06"/>
    <w:rsid w:val="00CA2614"/>
    <w:rsid w:val="00CA3D53"/>
    <w:rsid w:val="00CE09D3"/>
    <w:rsid w:val="00CE2B75"/>
    <w:rsid w:val="00DA7894"/>
    <w:rsid w:val="00DD0D9E"/>
    <w:rsid w:val="00DE2A2D"/>
    <w:rsid w:val="00DF1767"/>
    <w:rsid w:val="00E55ED6"/>
    <w:rsid w:val="00E75DE6"/>
    <w:rsid w:val="00E8668F"/>
    <w:rsid w:val="00EA4357"/>
    <w:rsid w:val="00F13921"/>
    <w:rsid w:val="00F36B8E"/>
    <w:rsid w:val="00F75999"/>
    <w:rsid w:val="00F97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3A182"/>
  <w15:docId w15:val="{C2765F7C-CBAF-4898-BE44-7832BDD6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21"/>
    <w:pPr>
      <w:spacing w:after="0" w:line="480" w:lineRule="auto"/>
    </w:pPr>
    <w:rPr>
      <w:rFonts w:ascii="Times New Roman" w:hAnsi="Times New Roman"/>
      <w:sz w:val="28"/>
    </w:rPr>
  </w:style>
  <w:style w:type="paragraph" w:styleId="Heading1">
    <w:name w:val="heading 1"/>
    <w:basedOn w:val="Normal"/>
    <w:next w:val="Normal"/>
    <w:link w:val="Heading1Char"/>
    <w:uiPriority w:val="9"/>
    <w:qFormat/>
    <w:rsid w:val="00B642BC"/>
    <w:pPr>
      <w:keepNext/>
      <w:keepLines/>
      <w:numPr>
        <w:numId w:val="1"/>
      </w:numPr>
      <w:jc w:val="both"/>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10"/>
    <w:basedOn w:val="Normal"/>
    <w:rsid w:val="002D1365"/>
    <w:pPr>
      <w:widowControl/>
      <w:spacing w:line="240" w:lineRule="auto"/>
      <w:jc w:val="both"/>
    </w:pPr>
    <w:rPr>
      <w:rFonts w:ascii="Courier New" w:eastAsia="Times New Roman" w:hAnsi="Courier New" w:cs="Times New Roman"/>
      <w:sz w:val="20"/>
      <w:szCs w:val="20"/>
    </w:rPr>
  </w:style>
  <w:style w:type="character" w:styleId="Hyperlink">
    <w:name w:val="Hyperlink"/>
    <w:basedOn w:val="DefaultParagraphFont"/>
    <w:uiPriority w:val="99"/>
    <w:unhideWhenUsed/>
    <w:rsid w:val="00DF1767"/>
    <w:rPr>
      <w:color w:val="0000FF" w:themeColor="hyperlink"/>
      <w:u w:val="single"/>
    </w:rPr>
  </w:style>
  <w:style w:type="character" w:customStyle="1" w:styleId="Heading1Char">
    <w:name w:val="Heading 1 Char"/>
    <w:basedOn w:val="DefaultParagraphFont"/>
    <w:link w:val="Heading1"/>
    <w:uiPriority w:val="9"/>
    <w:rsid w:val="00B642BC"/>
    <w:rPr>
      <w:rFonts w:ascii="Times New Roman" w:eastAsiaTheme="majorEastAsia" w:hAnsi="Times New Roman" w:cstheme="majorBidi"/>
      <w:b/>
      <w:bCs/>
      <w:sz w:val="28"/>
      <w:szCs w:val="28"/>
    </w:rPr>
  </w:style>
  <w:style w:type="paragraph" w:styleId="FootnoteText">
    <w:name w:val="footnote text"/>
    <w:basedOn w:val="Normal"/>
    <w:link w:val="FootnoteTextChar"/>
    <w:uiPriority w:val="99"/>
    <w:semiHidden/>
    <w:unhideWhenUsed/>
    <w:rsid w:val="00CA3D53"/>
    <w:pPr>
      <w:spacing w:line="240" w:lineRule="auto"/>
    </w:pPr>
    <w:rPr>
      <w:sz w:val="20"/>
      <w:szCs w:val="20"/>
    </w:rPr>
  </w:style>
  <w:style w:type="character" w:customStyle="1" w:styleId="FootnoteTextChar">
    <w:name w:val="Footnote Text Char"/>
    <w:basedOn w:val="DefaultParagraphFont"/>
    <w:link w:val="FootnoteText"/>
    <w:uiPriority w:val="99"/>
    <w:semiHidden/>
    <w:rsid w:val="00CA3D53"/>
    <w:rPr>
      <w:rFonts w:ascii="Times New Roman" w:hAnsi="Times New Roman"/>
      <w:sz w:val="20"/>
      <w:szCs w:val="20"/>
    </w:rPr>
  </w:style>
  <w:style w:type="character" w:styleId="FootnoteReference">
    <w:name w:val="footnote reference"/>
    <w:basedOn w:val="DefaultParagraphFont"/>
    <w:uiPriority w:val="99"/>
    <w:semiHidden/>
    <w:unhideWhenUsed/>
    <w:rsid w:val="00CA3D53"/>
    <w:rPr>
      <w:vertAlign w:val="superscript"/>
    </w:rPr>
  </w:style>
  <w:style w:type="paragraph" w:styleId="Header">
    <w:name w:val="header"/>
    <w:basedOn w:val="Normal"/>
    <w:link w:val="HeaderChar"/>
    <w:uiPriority w:val="99"/>
    <w:unhideWhenUsed/>
    <w:rsid w:val="001B4311"/>
    <w:pPr>
      <w:tabs>
        <w:tab w:val="center" w:pos="4680"/>
        <w:tab w:val="right" w:pos="9360"/>
      </w:tabs>
      <w:spacing w:line="240" w:lineRule="auto"/>
    </w:pPr>
  </w:style>
  <w:style w:type="character" w:customStyle="1" w:styleId="HeaderChar">
    <w:name w:val="Header Char"/>
    <w:basedOn w:val="DefaultParagraphFont"/>
    <w:link w:val="Header"/>
    <w:uiPriority w:val="99"/>
    <w:rsid w:val="001B4311"/>
    <w:rPr>
      <w:rFonts w:ascii="Times New Roman" w:hAnsi="Times New Roman"/>
      <w:sz w:val="28"/>
    </w:rPr>
  </w:style>
  <w:style w:type="paragraph" w:styleId="Footer">
    <w:name w:val="footer"/>
    <w:basedOn w:val="Normal"/>
    <w:link w:val="FooterChar"/>
    <w:uiPriority w:val="99"/>
    <w:unhideWhenUsed/>
    <w:rsid w:val="001B4311"/>
    <w:pPr>
      <w:tabs>
        <w:tab w:val="center" w:pos="4680"/>
        <w:tab w:val="right" w:pos="9360"/>
      </w:tabs>
      <w:spacing w:line="240" w:lineRule="auto"/>
    </w:pPr>
  </w:style>
  <w:style w:type="character" w:customStyle="1" w:styleId="FooterChar">
    <w:name w:val="Footer Char"/>
    <w:basedOn w:val="DefaultParagraphFont"/>
    <w:link w:val="Footer"/>
    <w:uiPriority w:val="99"/>
    <w:rsid w:val="001B4311"/>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200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Elizabeth.Ortiz@apaacaz.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6D02B0C4E2C1469C5472F9B6E92497" ma:contentTypeVersion="18" ma:contentTypeDescription="Create a new document." ma:contentTypeScope="" ma:versionID="d21b233be36d57519edbbac9a29491b6">
  <xsd:schema xmlns:xsd="http://www.w3.org/2001/XMLSchema" xmlns:xs="http://www.w3.org/2001/XMLSchema" xmlns:p="http://schemas.microsoft.com/office/2006/metadata/properties" xmlns:ns2="bf70374b-5ede-4d07-a6d4-3a8a64b98b0b" xmlns:ns3="5dedd23f-364b-4ca1-be4a-e2c9edd82fa2" targetNamespace="http://schemas.microsoft.com/office/2006/metadata/properties" ma:root="true" ma:fieldsID="a05fbc266c6fef2dca0139d00f7af074" ns2:_="" ns3:_="">
    <xsd:import namespace="bf70374b-5ede-4d07-a6d4-3a8a64b98b0b"/>
    <xsd:import namespace="5dedd23f-364b-4ca1-be4a-e2c9edd82f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0374b-5ede-4d07-a6d4-3a8a64b98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7d558-35fb-44f4-ba25-fadd1c45b2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edd23f-364b-4ca1-be4a-e2c9edd82f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0bde76-527e-4c8a-bd63-69cebd3f5eac}" ma:internalName="TaxCatchAll" ma:showField="CatchAllData" ma:web="5dedd23f-364b-4ca1-be4a-e2c9edd82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DFEC4-FC96-46A7-AAD6-5BAA3CD03701}">
  <ds:schemaRefs>
    <ds:schemaRef ds:uri="http://schemas.microsoft.com/sharepoint/v3/contenttype/forms"/>
  </ds:schemaRefs>
</ds:datastoreItem>
</file>

<file path=customXml/itemProps2.xml><?xml version="1.0" encoding="utf-8"?>
<ds:datastoreItem xmlns:ds="http://schemas.openxmlformats.org/officeDocument/2006/customXml" ds:itemID="{8EEB246B-6B8F-4C37-AB81-98F598CA0A1E}">
  <ds:schemaRefs>
    <ds:schemaRef ds:uri="http://schemas.openxmlformats.org/officeDocument/2006/bibliography"/>
  </ds:schemaRefs>
</ds:datastoreItem>
</file>

<file path=customXml/itemProps3.xml><?xml version="1.0" encoding="utf-8"?>
<ds:datastoreItem xmlns:ds="http://schemas.openxmlformats.org/officeDocument/2006/customXml" ds:itemID="{36DD0F7F-03F5-4DF6-A2C2-6E2607629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0374b-5ede-4d07-a6d4-3a8a64b98b0b"/>
    <ds:schemaRef ds:uri="5dedd23f-364b-4ca1-be4a-e2c9edd82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Arizona Attorney General</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xptest3</dc:creator>
  <cp:lastModifiedBy>Diana Cooney</cp:lastModifiedBy>
  <cp:revision>3</cp:revision>
  <cp:lastPrinted>2024-04-25T16:12:00Z</cp:lastPrinted>
  <dcterms:created xsi:type="dcterms:W3CDTF">2024-04-25T16:12:00Z</dcterms:created>
  <dcterms:modified xsi:type="dcterms:W3CDTF">2024-04-25T16:14:00Z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2013-01-09T00:00:00Z</vt:filetime>
  </property>
  <property fmtid="{D5CDD505-2E9C-101B-9397-08002B2CF9AE}" pid="3" name="LastSaved">
    <vt:filetime>2024-04-03T00:00:00Z</vt:filetime>
  </property>
</Properties>
</file>