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2D8D9" w14:textId="2F444EDA" w:rsidR="0011149A" w:rsidRDefault="0011149A" w:rsidP="001114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Elizabeth Burton Ortiz</w:t>
      </w:r>
    </w:p>
    <w:p w14:paraId="78281E77" w14:textId="4710BB20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State Bar No. 012838</w:t>
      </w:r>
    </w:p>
    <w:p w14:paraId="38741F35" w14:textId="5084809A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ARIZONA PROSECUTING ATTORNEYS’</w:t>
      </w:r>
    </w:p>
    <w:p w14:paraId="577E4339" w14:textId="1C8ABEB8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ADVISORY COUNCIL</w:t>
      </w:r>
    </w:p>
    <w:p w14:paraId="0FD1AF3E" w14:textId="2234737B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3838 N. Central Avenue, Suite 850</w:t>
      </w:r>
    </w:p>
    <w:p w14:paraId="755E3D3F" w14:textId="54A2B970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Phoenix, Arizona 85012</w:t>
      </w:r>
    </w:p>
    <w:p w14:paraId="784C0795" w14:textId="1814366A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Tel. (602) 542-7222</w:t>
      </w:r>
    </w:p>
    <w:p w14:paraId="5382B8C8" w14:textId="35A274E6" w:rsidR="0011149A" w:rsidRP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Fax. (602) 274-4215</w:t>
      </w:r>
    </w:p>
    <w:p w14:paraId="749764A3" w14:textId="77777777" w:rsidR="0011149A" w:rsidRPr="005A5BAF" w:rsidRDefault="0011149A" w:rsidP="0011149A">
      <w:pPr>
        <w:spacing w:line="240" w:lineRule="auto"/>
        <w:rPr>
          <w:sz w:val="28"/>
          <w:szCs w:val="28"/>
        </w:rPr>
      </w:pPr>
    </w:p>
    <w:p w14:paraId="6EFCC22A" w14:textId="74F7628C" w:rsidR="0011149A" w:rsidRPr="00C058A6" w:rsidRDefault="0011149A" w:rsidP="0011149A">
      <w:pPr>
        <w:spacing w:line="240" w:lineRule="auto"/>
        <w:jc w:val="center"/>
        <w:rPr>
          <w:b/>
          <w:bCs/>
          <w:sz w:val="28"/>
          <w:szCs w:val="28"/>
        </w:rPr>
      </w:pPr>
      <w:r w:rsidRPr="00C058A6">
        <w:rPr>
          <w:b/>
          <w:bCs/>
          <w:sz w:val="28"/>
          <w:szCs w:val="28"/>
        </w:rPr>
        <w:t>IN THE SUPR</w:t>
      </w:r>
      <w:r>
        <w:rPr>
          <w:b/>
          <w:bCs/>
          <w:sz w:val="28"/>
          <w:szCs w:val="28"/>
        </w:rPr>
        <w:t>EME</w:t>
      </w:r>
      <w:r w:rsidRPr="00C058A6">
        <w:rPr>
          <w:b/>
          <w:bCs/>
          <w:sz w:val="28"/>
          <w:szCs w:val="28"/>
        </w:rPr>
        <w:t xml:space="preserve"> COURT OF THE STATE OF ARIZONA</w:t>
      </w:r>
    </w:p>
    <w:p w14:paraId="71B1B652" w14:textId="181B40AB" w:rsidR="0011149A" w:rsidRPr="00C058A6" w:rsidRDefault="0011149A" w:rsidP="0011149A">
      <w:pPr>
        <w:spacing w:line="240" w:lineRule="auto"/>
        <w:rPr>
          <w:b/>
          <w:bCs/>
          <w:sz w:val="28"/>
          <w:szCs w:val="28"/>
        </w:rPr>
      </w:pPr>
    </w:p>
    <w:p w14:paraId="49AC6BBD" w14:textId="77777777" w:rsidR="0011149A" w:rsidRPr="005A5BAF" w:rsidRDefault="0011149A" w:rsidP="0011149A">
      <w:pPr>
        <w:spacing w:line="240" w:lineRule="auto"/>
        <w:jc w:val="center"/>
        <w:rPr>
          <w:sz w:val="28"/>
          <w:szCs w:val="28"/>
        </w:rPr>
      </w:pPr>
    </w:p>
    <w:tbl>
      <w:tblPr>
        <w:tblW w:w="9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170"/>
      </w:tblGrid>
      <w:tr w:rsidR="0011149A" w:rsidRPr="00366DB2" w14:paraId="3EA585E9" w14:textId="77777777" w:rsidTr="007F651D">
        <w:trPr>
          <w:trHeight w:val="1425"/>
        </w:trPr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</w:tcPr>
          <w:p w14:paraId="667C1750" w14:textId="457C675B" w:rsidR="0011149A" w:rsidRDefault="0011149A" w:rsidP="007F651D">
            <w:pPr>
              <w:spacing w:line="240" w:lineRule="auto"/>
              <w:rPr>
                <w:sz w:val="28"/>
                <w:szCs w:val="28"/>
              </w:rPr>
            </w:pPr>
            <w:bookmarkStart w:id="0" w:name="Parties"/>
            <w:bookmarkEnd w:id="0"/>
            <w:r>
              <w:rPr>
                <w:sz w:val="28"/>
                <w:szCs w:val="28"/>
              </w:rPr>
              <w:t xml:space="preserve">In the Matter of </w:t>
            </w:r>
          </w:p>
          <w:p w14:paraId="653924D9" w14:textId="77777777" w:rsidR="0011149A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2775FAAD" w14:textId="77777777" w:rsidR="00A60805" w:rsidRDefault="0011149A" w:rsidP="00A60805">
            <w:pPr>
              <w:spacing w:line="240" w:lineRule="auto"/>
              <w:ind w:right="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ARIZONA SUPREME COURT </w:t>
            </w:r>
          </w:p>
          <w:p w14:paraId="33915AAE" w14:textId="1F51FD7A" w:rsidR="0011149A" w:rsidRPr="005A5BAF" w:rsidRDefault="0011149A" w:rsidP="00A60805">
            <w:pPr>
              <w:spacing w:line="240" w:lineRule="auto"/>
              <w:ind w:right="2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RULE 81 (ARIZONA CODE OF JUDICIAL CONDUCT) 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31B909FB" w14:textId="70E8660C" w:rsidR="0011149A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  <w:bookmarkStart w:id="1" w:name="CaseNumber"/>
            <w:bookmarkEnd w:id="1"/>
            <w:r>
              <w:rPr>
                <w:sz w:val="28"/>
                <w:szCs w:val="28"/>
              </w:rPr>
              <w:t>In Re: R-24-0006</w:t>
            </w:r>
          </w:p>
          <w:p w14:paraId="22C0C145" w14:textId="77777777" w:rsidR="0011149A" w:rsidRPr="005A5BAF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57C33ACC" w14:textId="69B8EB3C" w:rsidR="0011149A" w:rsidRDefault="0011149A" w:rsidP="00A60805">
            <w:pPr>
              <w:spacing w:line="240" w:lineRule="auto"/>
              <w:ind w:left="1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ARIZONA PROSECUTING ATTORNEYS’ ADVISORY COUNCIL COMMENT IN OPPOSITION</w:t>
            </w:r>
          </w:p>
          <w:p w14:paraId="77B38FEE" w14:textId="77777777" w:rsidR="0011149A" w:rsidRPr="005A5BAF" w:rsidRDefault="0011149A" w:rsidP="007F651D">
            <w:pPr>
              <w:spacing w:line="240" w:lineRule="auto"/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11149A" w:rsidRPr="00366DB2" w14:paraId="7337AE15" w14:textId="77777777" w:rsidTr="007F651D">
        <w:trPr>
          <w:trHeight w:val="64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394" w14:textId="628DCB09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33AD1CAA" w14:textId="77777777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13316C91" w14:textId="77777777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EC31A" w14:textId="0C53C386" w:rsidR="0011149A" w:rsidRPr="005A5BAF" w:rsidRDefault="0011149A" w:rsidP="0011149A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392FA0C6" w14:textId="21B358AA" w:rsidR="0011149A" w:rsidRPr="005A5BAF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</w:tc>
      </w:tr>
    </w:tbl>
    <w:p w14:paraId="5B3E06D3" w14:textId="6BF0288B" w:rsidR="0011149A" w:rsidRPr="00800CF2" w:rsidRDefault="0011149A" w:rsidP="00971047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Prosecuting Attorneys’ Advisory Council (“APAAC”) respectfully submits the following comment</w:t>
      </w:r>
      <w:r w:rsidR="0050575A">
        <w:rPr>
          <w:sz w:val="28"/>
          <w:szCs w:val="28"/>
        </w:rPr>
        <w:t xml:space="preserve"> </w:t>
      </w:r>
      <w:r>
        <w:rPr>
          <w:sz w:val="28"/>
          <w:szCs w:val="28"/>
        </w:rPr>
        <w:t>opposi</w:t>
      </w:r>
      <w:r w:rsidR="0050575A">
        <w:rPr>
          <w:sz w:val="28"/>
          <w:szCs w:val="28"/>
        </w:rPr>
        <w:t>ng</w:t>
      </w:r>
      <w:r>
        <w:rPr>
          <w:sz w:val="28"/>
          <w:szCs w:val="28"/>
        </w:rPr>
        <w:t xml:space="preserve"> </w:t>
      </w:r>
      <w:r w:rsidR="0050575A">
        <w:rPr>
          <w:sz w:val="28"/>
          <w:szCs w:val="28"/>
        </w:rPr>
        <w:t>P</w:t>
      </w:r>
      <w:r>
        <w:rPr>
          <w:sz w:val="28"/>
          <w:szCs w:val="28"/>
        </w:rPr>
        <w:t xml:space="preserve">etition R-24-0006, which proposes </w:t>
      </w:r>
      <w:proofErr w:type="gramStart"/>
      <w:r>
        <w:rPr>
          <w:sz w:val="28"/>
          <w:szCs w:val="28"/>
        </w:rPr>
        <w:t xml:space="preserve">to </w:t>
      </w:r>
      <w:r w:rsidR="000E585A">
        <w:rPr>
          <w:sz w:val="28"/>
          <w:szCs w:val="28"/>
        </w:rPr>
        <w:t xml:space="preserve"> amend</w:t>
      </w:r>
      <w:proofErr w:type="gramEnd"/>
      <w:r w:rsidR="000E585A">
        <w:rPr>
          <w:sz w:val="28"/>
          <w:szCs w:val="28"/>
        </w:rPr>
        <w:t xml:space="preserve"> Arizona Code of Judicial Conduct Rule 2.6 </w:t>
      </w:r>
      <w:r w:rsidR="001C2C98">
        <w:rPr>
          <w:sz w:val="28"/>
          <w:szCs w:val="28"/>
        </w:rPr>
        <w:t xml:space="preserve">by adding </w:t>
      </w:r>
      <w:r w:rsidR="002578A3">
        <w:rPr>
          <w:sz w:val="28"/>
          <w:szCs w:val="28"/>
        </w:rPr>
        <w:t xml:space="preserve">a comment </w:t>
      </w:r>
      <w:r w:rsidR="006A378F">
        <w:rPr>
          <w:sz w:val="28"/>
          <w:szCs w:val="28"/>
        </w:rPr>
        <w:t xml:space="preserve">with </w:t>
      </w:r>
      <w:r w:rsidR="00E53912">
        <w:rPr>
          <w:sz w:val="28"/>
          <w:szCs w:val="28"/>
        </w:rPr>
        <w:t xml:space="preserve">examples </w:t>
      </w:r>
      <w:r w:rsidR="0049511D">
        <w:rPr>
          <w:sz w:val="28"/>
          <w:szCs w:val="28"/>
        </w:rPr>
        <w:t xml:space="preserve">of permissible judicial actions </w:t>
      </w:r>
      <w:r w:rsidR="006A378F">
        <w:rPr>
          <w:sz w:val="28"/>
          <w:szCs w:val="28"/>
        </w:rPr>
        <w:t xml:space="preserve">that </w:t>
      </w:r>
      <w:r w:rsidR="001E55C2">
        <w:rPr>
          <w:sz w:val="28"/>
          <w:szCs w:val="28"/>
        </w:rPr>
        <w:t xml:space="preserve">purportedly will </w:t>
      </w:r>
      <w:r w:rsidR="00B857A0">
        <w:rPr>
          <w:sz w:val="28"/>
          <w:szCs w:val="28"/>
        </w:rPr>
        <w:t>ensure self-represented litigants</w:t>
      </w:r>
      <w:r w:rsidR="00C91A1B">
        <w:rPr>
          <w:sz w:val="28"/>
          <w:szCs w:val="28"/>
        </w:rPr>
        <w:t>’</w:t>
      </w:r>
      <w:r w:rsidR="00B857A0">
        <w:rPr>
          <w:sz w:val="28"/>
          <w:szCs w:val="28"/>
        </w:rPr>
        <w:t xml:space="preserve"> right to be heard. </w:t>
      </w:r>
      <w:r w:rsidR="008E3A64">
        <w:rPr>
          <w:sz w:val="28"/>
          <w:szCs w:val="28"/>
        </w:rPr>
        <w:t xml:space="preserve"> APAAC objects to the Petition on the basis that </w:t>
      </w:r>
      <w:r w:rsidR="00971047">
        <w:rPr>
          <w:sz w:val="28"/>
          <w:szCs w:val="28"/>
        </w:rPr>
        <w:t xml:space="preserve">the amendment is both unnecessary and </w:t>
      </w:r>
      <w:r w:rsidR="008D7FA5">
        <w:rPr>
          <w:sz w:val="28"/>
          <w:szCs w:val="28"/>
        </w:rPr>
        <w:t xml:space="preserve">potentially </w:t>
      </w:r>
      <w:r w:rsidR="00971047">
        <w:rPr>
          <w:sz w:val="28"/>
          <w:szCs w:val="28"/>
        </w:rPr>
        <w:t>contrary to Arizona law.</w:t>
      </w:r>
    </w:p>
    <w:p w14:paraId="39B5B040" w14:textId="4D245B2F" w:rsidR="0011149A" w:rsidRDefault="00632E40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Under the Petition</w:t>
      </w:r>
      <w:r w:rsidR="000F4E7D">
        <w:rPr>
          <w:sz w:val="28"/>
          <w:szCs w:val="28"/>
        </w:rPr>
        <w:t xml:space="preserve">, judges may take the following steps in assisting self-represented litigants: “liberally construing pleadings; providing brief information about the proceeding and evidentiary and foundational requirements; modifying the </w:t>
      </w:r>
      <w:r w:rsidR="000F4E7D">
        <w:rPr>
          <w:sz w:val="28"/>
          <w:szCs w:val="28"/>
        </w:rPr>
        <w:lastRenderedPageBreak/>
        <w:t>traditional order of taking evidence; attempting to make legal concepts understandable; explaining the basis for a ruling; and making referrals to any resources available to assist the litigant in preparation of the case.” (</w:t>
      </w:r>
      <w:r w:rsidR="00DF65B3">
        <w:rPr>
          <w:sz w:val="28"/>
          <w:szCs w:val="28"/>
        </w:rPr>
        <w:t xml:space="preserve">Pet. </w:t>
      </w:r>
      <w:r w:rsidR="000F4E7D">
        <w:rPr>
          <w:sz w:val="28"/>
          <w:szCs w:val="28"/>
        </w:rPr>
        <w:t>at 3</w:t>
      </w:r>
      <w:r w:rsidR="00DF65B3">
        <w:rPr>
          <w:sz w:val="28"/>
          <w:szCs w:val="28"/>
        </w:rPr>
        <w:t>; Attachment</w:t>
      </w:r>
      <w:r w:rsidR="000F4E7D">
        <w:rPr>
          <w:sz w:val="28"/>
          <w:szCs w:val="28"/>
        </w:rPr>
        <w:t>.)</w:t>
      </w:r>
      <w:r w:rsidR="004F3B97">
        <w:rPr>
          <w:sz w:val="28"/>
          <w:szCs w:val="28"/>
        </w:rPr>
        <w:t xml:space="preserve"> </w:t>
      </w:r>
    </w:p>
    <w:p w14:paraId="61734C4D" w14:textId="3D327502" w:rsidR="00201A20" w:rsidRDefault="00296F63" w:rsidP="00201A2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Although </w:t>
      </w:r>
      <w:r w:rsidR="00551DD8">
        <w:rPr>
          <w:sz w:val="28"/>
          <w:szCs w:val="28"/>
        </w:rPr>
        <w:t>t</w:t>
      </w:r>
      <w:r w:rsidR="00EC60FB">
        <w:rPr>
          <w:sz w:val="28"/>
          <w:szCs w:val="28"/>
        </w:rPr>
        <w:t xml:space="preserve">he </w:t>
      </w:r>
      <w:r w:rsidR="004F3B97">
        <w:rPr>
          <w:sz w:val="28"/>
          <w:szCs w:val="28"/>
        </w:rPr>
        <w:t xml:space="preserve">Petition </w:t>
      </w:r>
      <w:r w:rsidR="00EC60FB">
        <w:rPr>
          <w:sz w:val="28"/>
          <w:szCs w:val="28"/>
        </w:rPr>
        <w:t xml:space="preserve">claims there is a significant need for this change, </w:t>
      </w:r>
      <w:r w:rsidR="00B549F7">
        <w:rPr>
          <w:sz w:val="28"/>
          <w:szCs w:val="28"/>
        </w:rPr>
        <w:t xml:space="preserve">it also </w:t>
      </w:r>
      <w:r w:rsidR="004F3B97">
        <w:rPr>
          <w:sz w:val="28"/>
          <w:szCs w:val="28"/>
        </w:rPr>
        <w:t>admit</w:t>
      </w:r>
      <w:r w:rsidR="00B549F7">
        <w:rPr>
          <w:sz w:val="28"/>
          <w:szCs w:val="28"/>
        </w:rPr>
        <w:t>s</w:t>
      </w:r>
      <w:r w:rsidR="00517712">
        <w:rPr>
          <w:sz w:val="28"/>
          <w:szCs w:val="28"/>
        </w:rPr>
        <w:t>:</w:t>
      </w:r>
      <w:r w:rsidR="004F3B97">
        <w:rPr>
          <w:sz w:val="28"/>
          <w:szCs w:val="28"/>
        </w:rPr>
        <w:t xml:space="preserve"> “many Arizona judges are already treating self-represented litigants” in this manner</w:t>
      </w:r>
      <w:r w:rsidR="00EC60FB">
        <w:rPr>
          <w:sz w:val="28"/>
          <w:szCs w:val="28"/>
        </w:rPr>
        <w:t xml:space="preserve">. (Pet. at 8.) </w:t>
      </w:r>
      <w:r w:rsidR="00201A20">
        <w:rPr>
          <w:sz w:val="28"/>
          <w:szCs w:val="28"/>
        </w:rPr>
        <w:t xml:space="preserve"> </w:t>
      </w:r>
      <w:r w:rsidR="004A111A">
        <w:rPr>
          <w:sz w:val="28"/>
          <w:szCs w:val="28"/>
        </w:rPr>
        <w:t>T</w:t>
      </w:r>
      <w:r w:rsidR="00201A20">
        <w:rPr>
          <w:sz w:val="28"/>
          <w:szCs w:val="28"/>
        </w:rPr>
        <w:t xml:space="preserve">he </w:t>
      </w:r>
      <w:r w:rsidR="001E4631">
        <w:rPr>
          <w:sz w:val="28"/>
          <w:szCs w:val="28"/>
        </w:rPr>
        <w:t xml:space="preserve">qualifying statement added to the Petition by the </w:t>
      </w:r>
      <w:r w:rsidR="00201A20">
        <w:rPr>
          <w:sz w:val="28"/>
          <w:szCs w:val="28"/>
        </w:rPr>
        <w:t xml:space="preserve">Arizona Judicial Council </w:t>
      </w:r>
      <w:r w:rsidR="001E4631">
        <w:rPr>
          <w:sz w:val="28"/>
          <w:szCs w:val="28"/>
        </w:rPr>
        <w:t>t</w:t>
      </w:r>
      <w:r w:rsidR="00201A20">
        <w:rPr>
          <w:sz w:val="28"/>
          <w:szCs w:val="28"/>
        </w:rPr>
        <w:t>hat the expanded steps were “aspirational goals,” and that</w:t>
      </w:r>
      <w:r w:rsidR="008E5377">
        <w:rPr>
          <w:sz w:val="28"/>
          <w:szCs w:val="28"/>
        </w:rPr>
        <w:t>, “a</w:t>
      </w:r>
      <w:r w:rsidR="00201A20">
        <w:rPr>
          <w:sz w:val="28"/>
          <w:szCs w:val="28"/>
        </w:rPr>
        <w:t xml:space="preserve"> judge would not be subject to discipline for failing to take these steps” </w:t>
      </w:r>
      <w:r w:rsidR="004C38FC">
        <w:rPr>
          <w:sz w:val="28"/>
          <w:szCs w:val="28"/>
        </w:rPr>
        <w:t xml:space="preserve">further undercuts the </w:t>
      </w:r>
      <w:r w:rsidR="003D6BBE">
        <w:rPr>
          <w:sz w:val="28"/>
          <w:szCs w:val="28"/>
        </w:rPr>
        <w:t xml:space="preserve">claim that there is significant need for the amendment. </w:t>
      </w:r>
      <w:r w:rsidR="00201A20">
        <w:rPr>
          <w:sz w:val="28"/>
          <w:szCs w:val="28"/>
        </w:rPr>
        <w:t xml:space="preserve">(Pet. at 9.) </w:t>
      </w:r>
    </w:p>
    <w:p w14:paraId="420E4BBD" w14:textId="5BAA1602" w:rsidR="004F3B97" w:rsidRDefault="00E41603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Additionally, </w:t>
      </w:r>
      <w:r w:rsidR="00551DD8">
        <w:rPr>
          <w:sz w:val="28"/>
          <w:szCs w:val="28"/>
        </w:rPr>
        <w:t xml:space="preserve">provisions in the </w:t>
      </w:r>
      <w:r w:rsidR="00C716C0">
        <w:rPr>
          <w:sz w:val="28"/>
          <w:szCs w:val="28"/>
        </w:rPr>
        <w:t xml:space="preserve">Petition </w:t>
      </w:r>
      <w:r w:rsidR="00551DD8">
        <w:rPr>
          <w:sz w:val="28"/>
          <w:szCs w:val="28"/>
        </w:rPr>
        <w:t>a</w:t>
      </w:r>
      <w:r w:rsidR="006D0133">
        <w:rPr>
          <w:sz w:val="28"/>
          <w:szCs w:val="28"/>
        </w:rPr>
        <w:t xml:space="preserve">re </w:t>
      </w:r>
      <w:r w:rsidR="00551DD8">
        <w:rPr>
          <w:sz w:val="28"/>
          <w:szCs w:val="28"/>
        </w:rPr>
        <w:t xml:space="preserve">potentially contrary to Arizona law. </w:t>
      </w:r>
      <w:r w:rsidR="00FB37DD">
        <w:rPr>
          <w:sz w:val="28"/>
          <w:szCs w:val="28"/>
        </w:rPr>
        <w:t xml:space="preserve">For example, the </w:t>
      </w:r>
      <w:r w:rsidR="007B2786">
        <w:rPr>
          <w:sz w:val="28"/>
          <w:szCs w:val="28"/>
        </w:rPr>
        <w:t xml:space="preserve">Petition </w:t>
      </w:r>
      <w:r w:rsidR="00FB37DD">
        <w:rPr>
          <w:sz w:val="28"/>
          <w:szCs w:val="28"/>
        </w:rPr>
        <w:t>permit</w:t>
      </w:r>
      <w:r w:rsidR="003C62A8">
        <w:rPr>
          <w:sz w:val="28"/>
          <w:szCs w:val="28"/>
        </w:rPr>
        <w:t>s</w:t>
      </w:r>
      <w:r w:rsidR="00FB37DD">
        <w:rPr>
          <w:sz w:val="28"/>
          <w:szCs w:val="28"/>
        </w:rPr>
        <w:t xml:space="preserve"> trial courts to liberally construe pleadings, while Arizona law requires </w:t>
      </w:r>
      <w:r w:rsidR="00C90E02">
        <w:rPr>
          <w:sz w:val="28"/>
          <w:szCs w:val="28"/>
        </w:rPr>
        <w:t xml:space="preserve">all </w:t>
      </w:r>
      <w:r w:rsidR="00FB37DD">
        <w:rPr>
          <w:sz w:val="28"/>
          <w:szCs w:val="28"/>
        </w:rPr>
        <w:t>litigants to make specific, developed legal arguments</w:t>
      </w:r>
      <w:r w:rsidR="00013147">
        <w:rPr>
          <w:sz w:val="28"/>
          <w:szCs w:val="28"/>
        </w:rPr>
        <w:t xml:space="preserve">, with citations to </w:t>
      </w:r>
      <w:r w:rsidR="00C90E02">
        <w:rPr>
          <w:sz w:val="28"/>
          <w:szCs w:val="28"/>
        </w:rPr>
        <w:t xml:space="preserve">the record and </w:t>
      </w:r>
      <w:r w:rsidR="00013147">
        <w:rPr>
          <w:sz w:val="28"/>
          <w:szCs w:val="28"/>
        </w:rPr>
        <w:t>legal authorities,</w:t>
      </w:r>
      <w:r w:rsidR="00FB37DD">
        <w:rPr>
          <w:sz w:val="28"/>
          <w:szCs w:val="28"/>
        </w:rPr>
        <w:t xml:space="preserve"> to </w:t>
      </w:r>
      <w:r w:rsidR="00013147">
        <w:rPr>
          <w:sz w:val="28"/>
          <w:szCs w:val="28"/>
        </w:rPr>
        <w:t xml:space="preserve">assert their respective legal positions and </w:t>
      </w:r>
      <w:r w:rsidR="00FB37DD">
        <w:rPr>
          <w:sz w:val="28"/>
          <w:szCs w:val="28"/>
        </w:rPr>
        <w:t>preserve any error for appeal.</w:t>
      </w:r>
      <w:r w:rsidR="00013147">
        <w:rPr>
          <w:sz w:val="28"/>
          <w:szCs w:val="28"/>
        </w:rPr>
        <w:t xml:space="preserve"> </w:t>
      </w:r>
      <w:r w:rsidR="00DF65B3">
        <w:rPr>
          <w:i/>
          <w:iCs/>
          <w:sz w:val="28"/>
          <w:szCs w:val="28"/>
        </w:rPr>
        <w:t xml:space="preserve">See </w:t>
      </w:r>
      <w:r w:rsidR="00013147">
        <w:rPr>
          <w:sz w:val="28"/>
          <w:szCs w:val="28"/>
        </w:rPr>
        <w:t xml:space="preserve">Ariz. R. Crim. P. 1.9(a) (“Motions, Oral Argument, and Proposed Orders. </w:t>
      </w:r>
      <w:r w:rsidR="00013147" w:rsidRPr="00013147">
        <w:rPr>
          <w:sz w:val="28"/>
          <w:szCs w:val="28"/>
        </w:rPr>
        <w:t>Content. A motion must include a memorandum that states facts, arguments, and authorities pertinent to the motion</w:t>
      </w:r>
      <w:r w:rsidR="00013147">
        <w:rPr>
          <w:sz w:val="28"/>
          <w:szCs w:val="28"/>
        </w:rPr>
        <w:t xml:space="preserve">.”); </w:t>
      </w:r>
      <w:r w:rsidR="009626E5">
        <w:rPr>
          <w:sz w:val="28"/>
          <w:szCs w:val="28"/>
        </w:rPr>
        <w:t>Ariz. R. Civ. P. 5.2 (same); Ariz. R. Crim. P. 31.10</w:t>
      </w:r>
      <w:r w:rsidR="00DF65B3">
        <w:rPr>
          <w:sz w:val="28"/>
          <w:szCs w:val="28"/>
        </w:rPr>
        <w:t xml:space="preserve"> (criminal appellate argument)</w:t>
      </w:r>
      <w:r w:rsidR="009626E5">
        <w:rPr>
          <w:sz w:val="28"/>
          <w:szCs w:val="28"/>
        </w:rPr>
        <w:t xml:space="preserve">; </w:t>
      </w:r>
      <w:r w:rsidR="00013147" w:rsidRPr="00013147">
        <w:rPr>
          <w:sz w:val="28"/>
          <w:szCs w:val="28"/>
        </w:rPr>
        <w:t>Ariz. R. Civ. App. P. 13(a)(7)(A)</w:t>
      </w:r>
      <w:r w:rsidR="00DF65B3">
        <w:rPr>
          <w:sz w:val="28"/>
          <w:szCs w:val="28"/>
        </w:rPr>
        <w:t xml:space="preserve"> (civil appellate argument)</w:t>
      </w:r>
      <w:r w:rsidR="00013147" w:rsidRPr="00013147">
        <w:rPr>
          <w:sz w:val="28"/>
          <w:szCs w:val="28"/>
        </w:rPr>
        <w:t xml:space="preserve">; </w:t>
      </w:r>
      <w:r w:rsidR="00013147" w:rsidRPr="00013147">
        <w:rPr>
          <w:i/>
          <w:iCs/>
          <w:sz w:val="28"/>
          <w:szCs w:val="28"/>
        </w:rPr>
        <w:t>Ritchie</w:t>
      </w:r>
      <w:r w:rsidR="00013147">
        <w:rPr>
          <w:i/>
          <w:iCs/>
          <w:sz w:val="28"/>
          <w:szCs w:val="28"/>
        </w:rPr>
        <w:t xml:space="preserve"> v. Krasner</w:t>
      </w:r>
      <w:r w:rsidR="00013147" w:rsidRPr="00013147">
        <w:rPr>
          <w:sz w:val="28"/>
          <w:szCs w:val="28"/>
        </w:rPr>
        <w:t xml:space="preserve">, 221 Ariz. 288, ¶ 62 </w:t>
      </w:r>
      <w:r w:rsidR="00013147">
        <w:rPr>
          <w:sz w:val="28"/>
          <w:szCs w:val="28"/>
        </w:rPr>
        <w:t xml:space="preserve">(App. 2009) </w:t>
      </w:r>
      <w:r w:rsidR="00013147" w:rsidRPr="00013147">
        <w:rPr>
          <w:sz w:val="28"/>
          <w:szCs w:val="28"/>
        </w:rPr>
        <w:t xml:space="preserve">(failure to provide citations to authorities, statutes, and </w:t>
      </w:r>
      <w:r w:rsidR="00013147" w:rsidRPr="00013147">
        <w:rPr>
          <w:sz w:val="28"/>
          <w:szCs w:val="28"/>
        </w:rPr>
        <w:lastRenderedPageBreak/>
        <w:t xml:space="preserve">parts of the record relied on </w:t>
      </w:r>
      <w:r w:rsidR="00013147">
        <w:rPr>
          <w:sz w:val="28"/>
          <w:szCs w:val="28"/>
        </w:rPr>
        <w:t>“</w:t>
      </w:r>
      <w:r w:rsidR="00013147" w:rsidRPr="00013147">
        <w:rPr>
          <w:sz w:val="28"/>
          <w:szCs w:val="28"/>
        </w:rPr>
        <w:t>can constitute abandonment and waiver</w:t>
      </w:r>
      <w:r w:rsidR="00013147">
        <w:rPr>
          <w:sz w:val="28"/>
          <w:szCs w:val="28"/>
        </w:rPr>
        <w:t>”</w:t>
      </w:r>
      <w:r w:rsidR="00013147" w:rsidRPr="00013147">
        <w:rPr>
          <w:sz w:val="28"/>
          <w:szCs w:val="28"/>
        </w:rPr>
        <w:t xml:space="preserve"> of claim)</w:t>
      </w:r>
      <w:r w:rsidR="00013147">
        <w:rPr>
          <w:sz w:val="28"/>
          <w:szCs w:val="28"/>
        </w:rPr>
        <w:t xml:space="preserve">; </w:t>
      </w:r>
      <w:r w:rsidR="00013147" w:rsidRPr="00013147">
        <w:rPr>
          <w:i/>
          <w:iCs/>
          <w:sz w:val="28"/>
          <w:szCs w:val="28"/>
        </w:rPr>
        <w:t xml:space="preserve">J.W. v. </w:t>
      </w:r>
      <w:proofErr w:type="spellStart"/>
      <w:r w:rsidR="00013147" w:rsidRPr="00013147">
        <w:rPr>
          <w:i/>
          <w:iCs/>
          <w:sz w:val="28"/>
          <w:szCs w:val="28"/>
        </w:rPr>
        <w:t>Dep</w:t>
      </w:r>
      <w:r w:rsidR="00013147">
        <w:rPr>
          <w:i/>
          <w:iCs/>
          <w:sz w:val="28"/>
          <w:szCs w:val="28"/>
        </w:rPr>
        <w:t>’</w:t>
      </w:r>
      <w:r w:rsidR="00013147" w:rsidRPr="00013147">
        <w:rPr>
          <w:i/>
          <w:iCs/>
          <w:sz w:val="28"/>
          <w:szCs w:val="28"/>
        </w:rPr>
        <w:t>t</w:t>
      </w:r>
      <w:proofErr w:type="spellEnd"/>
      <w:r w:rsidR="00013147" w:rsidRPr="00013147">
        <w:rPr>
          <w:i/>
          <w:iCs/>
          <w:sz w:val="28"/>
          <w:szCs w:val="28"/>
        </w:rPr>
        <w:t xml:space="preserve"> of Child Safety</w:t>
      </w:r>
      <w:r w:rsidR="00013147" w:rsidRPr="00013147">
        <w:rPr>
          <w:sz w:val="28"/>
          <w:szCs w:val="28"/>
        </w:rPr>
        <w:t>, 252 Ariz. 184, ¶ 11 (App. 2021) (</w:t>
      </w:r>
      <w:r w:rsidR="00013147">
        <w:rPr>
          <w:sz w:val="28"/>
          <w:szCs w:val="28"/>
        </w:rPr>
        <w:t>“</w:t>
      </w:r>
      <w:r w:rsidR="00013147" w:rsidRPr="00013147">
        <w:rPr>
          <w:sz w:val="28"/>
          <w:szCs w:val="28"/>
        </w:rPr>
        <w:t>Arguments that are unsupported by legal authority and adequate citation to the record are waived.</w:t>
      </w:r>
      <w:r w:rsidR="00013147">
        <w:rPr>
          <w:sz w:val="28"/>
          <w:szCs w:val="28"/>
        </w:rPr>
        <w:t>”</w:t>
      </w:r>
      <w:r w:rsidR="00013147" w:rsidRPr="00013147">
        <w:rPr>
          <w:sz w:val="28"/>
          <w:szCs w:val="28"/>
        </w:rPr>
        <w:t xml:space="preserve">); </w:t>
      </w:r>
      <w:r w:rsidR="00013147" w:rsidRPr="00013147">
        <w:rPr>
          <w:i/>
          <w:iCs/>
          <w:sz w:val="28"/>
          <w:szCs w:val="28"/>
        </w:rPr>
        <w:t>Stafford v. Burns</w:t>
      </w:r>
      <w:r w:rsidR="00013147" w:rsidRPr="00013147">
        <w:rPr>
          <w:sz w:val="28"/>
          <w:szCs w:val="28"/>
        </w:rPr>
        <w:t>, 241 Ariz. 474, ¶ 34 (App. 2017) (concluding that appellant</w:t>
      </w:r>
      <w:r w:rsidR="00013147">
        <w:rPr>
          <w:sz w:val="28"/>
          <w:szCs w:val="28"/>
        </w:rPr>
        <w:t>’</w:t>
      </w:r>
      <w:r w:rsidR="00013147" w:rsidRPr="00013147">
        <w:rPr>
          <w:sz w:val="28"/>
          <w:szCs w:val="28"/>
        </w:rPr>
        <w:t>s failure to meaningfully develop argument constituted waiver).</w:t>
      </w:r>
    </w:p>
    <w:p w14:paraId="73C74F8F" w14:textId="29006B4D" w:rsidR="00013147" w:rsidRDefault="00013147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Further, flexibility </w:t>
      </w:r>
      <w:r w:rsidR="009F4AF5">
        <w:rPr>
          <w:sz w:val="28"/>
          <w:szCs w:val="28"/>
        </w:rPr>
        <w:t>to</w:t>
      </w:r>
      <w:r>
        <w:rPr>
          <w:sz w:val="28"/>
          <w:szCs w:val="28"/>
        </w:rPr>
        <w:t xml:space="preserve"> the “traditional order of taking evidence” </w:t>
      </w:r>
      <w:r w:rsidR="00026740">
        <w:rPr>
          <w:sz w:val="28"/>
          <w:szCs w:val="28"/>
        </w:rPr>
        <w:t xml:space="preserve">sought by the Petition </w:t>
      </w:r>
      <w:r w:rsidR="000D237A">
        <w:rPr>
          <w:sz w:val="28"/>
          <w:szCs w:val="28"/>
        </w:rPr>
        <w:t xml:space="preserve">has potential impact to a party’s </w:t>
      </w:r>
      <w:r w:rsidR="009E191F">
        <w:rPr>
          <w:sz w:val="28"/>
          <w:szCs w:val="28"/>
        </w:rPr>
        <w:t xml:space="preserve">burden of proof </w:t>
      </w:r>
      <w:r w:rsidR="000D237A">
        <w:rPr>
          <w:sz w:val="28"/>
          <w:szCs w:val="28"/>
        </w:rPr>
        <w:t>in both civil and criminal cases</w:t>
      </w:r>
      <w:r w:rsidR="009E191F">
        <w:rPr>
          <w:sz w:val="28"/>
          <w:szCs w:val="28"/>
        </w:rPr>
        <w:t>.</w:t>
      </w:r>
      <w:r w:rsidR="000D23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(Pet. </w:t>
      </w:r>
      <w:r w:rsidR="00DF65B3">
        <w:rPr>
          <w:sz w:val="28"/>
          <w:szCs w:val="28"/>
        </w:rPr>
        <w:t xml:space="preserve">at 3; </w:t>
      </w:r>
      <w:r>
        <w:rPr>
          <w:sz w:val="28"/>
          <w:szCs w:val="28"/>
        </w:rPr>
        <w:t xml:space="preserve">Attachment.) </w:t>
      </w:r>
      <w:r w:rsidR="00A478C3">
        <w:rPr>
          <w:sz w:val="28"/>
          <w:szCs w:val="28"/>
        </w:rPr>
        <w:t xml:space="preserve">Altering the order of taking evidence could directly cause a self-represented litigant to forfeit fundamental </w:t>
      </w:r>
      <w:r w:rsidR="00A9340B">
        <w:rPr>
          <w:sz w:val="28"/>
          <w:szCs w:val="28"/>
        </w:rPr>
        <w:t xml:space="preserve">criminal </w:t>
      </w:r>
      <w:r w:rsidR="00A478C3">
        <w:rPr>
          <w:sz w:val="28"/>
          <w:szCs w:val="28"/>
        </w:rPr>
        <w:t xml:space="preserve">defenses (like the State’s failure </w:t>
      </w:r>
      <w:r w:rsidR="00C90E02">
        <w:rPr>
          <w:sz w:val="28"/>
          <w:szCs w:val="28"/>
        </w:rPr>
        <w:t>to</w:t>
      </w:r>
      <w:r w:rsidR="00A478C3">
        <w:rPr>
          <w:sz w:val="28"/>
          <w:szCs w:val="28"/>
        </w:rPr>
        <w:t xml:space="preserve"> </w:t>
      </w:r>
      <w:r w:rsidR="00C90E02">
        <w:rPr>
          <w:sz w:val="28"/>
          <w:szCs w:val="28"/>
        </w:rPr>
        <w:t xml:space="preserve">meet its burden of </w:t>
      </w:r>
      <w:r w:rsidR="00A478C3">
        <w:rPr>
          <w:sz w:val="28"/>
          <w:szCs w:val="28"/>
        </w:rPr>
        <w:t xml:space="preserve">proof), </w:t>
      </w:r>
      <w:r w:rsidR="009626E5">
        <w:rPr>
          <w:sz w:val="28"/>
          <w:szCs w:val="28"/>
        </w:rPr>
        <w:t xml:space="preserve">or </w:t>
      </w:r>
      <w:r w:rsidR="00A478C3">
        <w:rPr>
          <w:sz w:val="28"/>
          <w:szCs w:val="28"/>
        </w:rPr>
        <w:t xml:space="preserve">cause confusion about </w:t>
      </w:r>
      <w:r w:rsidR="0019413B">
        <w:rPr>
          <w:sz w:val="28"/>
          <w:szCs w:val="28"/>
        </w:rPr>
        <w:t xml:space="preserve">the </w:t>
      </w:r>
      <w:r w:rsidR="00A478C3">
        <w:rPr>
          <w:sz w:val="28"/>
          <w:szCs w:val="28"/>
        </w:rPr>
        <w:t>burden of proving affirmative defenses</w:t>
      </w:r>
      <w:r w:rsidR="00C741A3">
        <w:rPr>
          <w:sz w:val="28"/>
          <w:szCs w:val="28"/>
        </w:rPr>
        <w:t xml:space="preserve"> with evidence</w:t>
      </w:r>
      <w:r w:rsidR="009626E5">
        <w:rPr>
          <w:sz w:val="28"/>
          <w:szCs w:val="28"/>
        </w:rPr>
        <w:t xml:space="preserve">, </w:t>
      </w:r>
      <w:r w:rsidR="009626E5" w:rsidRPr="009626E5">
        <w:rPr>
          <w:sz w:val="28"/>
          <w:szCs w:val="28"/>
        </w:rPr>
        <w:t>A.R.S. § 13-205(A) (</w:t>
      </w:r>
      <w:r w:rsidR="009626E5">
        <w:rPr>
          <w:sz w:val="28"/>
          <w:szCs w:val="28"/>
        </w:rPr>
        <w:t>“</w:t>
      </w:r>
      <w:r w:rsidR="009626E5" w:rsidRPr="009626E5">
        <w:rPr>
          <w:sz w:val="28"/>
          <w:szCs w:val="28"/>
        </w:rPr>
        <w:t>Except as otherwise provided by law, a defendant shall prove any affirmative defense raised by a preponderance of the evidence.</w:t>
      </w:r>
      <w:r w:rsidR="009626E5">
        <w:rPr>
          <w:sz w:val="28"/>
          <w:szCs w:val="28"/>
        </w:rPr>
        <w:t>”</w:t>
      </w:r>
      <w:r w:rsidR="009626E5" w:rsidRPr="009626E5">
        <w:rPr>
          <w:sz w:val="28"/>
          <w:szCs w:val="28"/>
        </w:rPr>
        <w:t>).</w:t>
      </w:r>
      <w:r w:rsidR="009626E5">
        <w:rPr>
          <w:sz w:val="28"/>
          <w:szCs w:val="28"/>
        </w:rPr>
        <w:t xml:space="preserve"> </w:t>
      </w:r>
    </w:p>
    <w:p w14:paraId="0893F908" w14:textId="19081706" w:rsidR="009E35EC" w:rsidRDefault="00C741A3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8C054F">
        <w:rPr>
          <w:sz w:val="28"/>
          <w:szCs w:val="28"/>
        </w:rPr>
        <w:t>inally</w:t>
      </w:r>
      <w:r w:rsidR="004B7D0C">
        <w:rPr>
          <w:sz w:val="28"/>
          <w:szCs w:val="28"/>
        </w:rPr>
        <w:t>, t</w:t>
      </w:r>
      <w:r w:rsidR="009E35EC">
        <w:rPr>
          <w:sz w:val="28"/>
          <w:szCs w:val="28"/>
        </w:rPr>
        <w:t xml:space="preserve">he Petition </w:t>
      </w:r>
      <w:r w:rsidR="005700F6">
        <w:rPr>
          <w:sz w:val="28"/>
          <w:szCs w:val="28"/>
        </w:rPr>
        <w:t xml:space="preserve">does </w:t>
      </w:r>
      <w:r w:rsidR="00E33C3E">
        <w:rPr>
          <w:sz w:val="28"/>
          <w:szCs w:val="28"/>
        </w:rPr>
        <w:t>not reconcile the potentially conflicting propositi</w:t>
      </w:r>
      <w:r w:rsidR="005146EA">
        <w:rPr>
          <w:sz w:val="28"/>
          <w:szCs w:val="28"/>
        </w:rPr>
        <w:t xml:space="preserve">on </w:t>
      </w:r>
      <w:r w:rsidR="009E35EC">
        <w:rPr>
          <w:sz w:val="28"/>
          <w:szCs w:val="28"/>
        </w:rPr>
        <w:t>that judges must ethically treat self-represented litigants differently than represented parties (Pet. at 4),</w:t>
      </w:r>
      <w:r w:rsidR="003B386C">
        <w:rPr>
          <w:sz w:val="28"/>
          <w:szCs w:val="28"/>
        </w:rPr>
        <w:t xml:space="preserve"> </w:t>
      </w:r>
      <w:r w:rsidR="00EC60FB">
        <w:rPr>
          <w:sz w:val="28"/>
          <w:szCs w:val="28"/>
        </w:rPr>
        <w:t xml:space="preserve">with </w:t>
      </w:r>
      <w:r w:rsidR="003B386C">
        <w:rPr>
          <w:sz w:val="28"/>
          <w:szCs w:val="28"/>
        </w:rPr>
        <w:t xml:space="preserve">Arizona law </w:t>
      </w:r>
      <w:r w:rsidR="00EC60FB">
        <w:rPr>
          <w:sz w:val="28"/>
          <w:szCs w:val="28"/>
        </w:rPr>
        <w:t xml:space="preserve">that </w:t>
      </w:r>
      <w:r w:rsidR="003B386C">
        <w:rPr>
          <w:sz w:val="28"/>
          <w:szCs w:val="28"/>
        </w:rPr>
        <w:t xml:space="preserve">has long required courts to </w:t>
      </w:r>
      <w:r w:rsidR="003B386C" w:rsidRPr="003B386C">
        <w:rPr>
          <w:sz w:val="28"/>
          <w:szCs w:val="28"/>
        </w:rPr>
        <w:t>hold all persons representing themselves to the same standard as a licensed attorney.</w:t>
      </w:r>
      <w:r w:rsidR="003B386C">
        <w:rPr>
          <w:sz w:val="28"/>
          <w:szCs w:val="28"/>
        </w:rPr>
        <w:t xml:space="preserve"> </w:t>
      </w:r>
      <w:r w:rsidR="003B386C" w:rsidRPr="003B386C">
        <w:rPr>
          <w:i/>
          <w:iCs/>
          <w:sz w:val="28"/>
          <w:szCs w:val="28"/>
        </w:rPr>
        <w:t>Bloch v. Bentfield</w:t>
      </w:r>
      <w:r w:rsidR="003B386C" w:rsidRPr="003B386C">
        <w:rPr>
          <w:sz w:val="28"/>
          <w:szCs w:val="28"/>
        </w:rPr>
        <w:t xml:space="preserve">, 1 </w:t>
      </w:r>
      <w:proofErr w:type="spellStart"/>
      <w:r w:rsidR="003B386C" w:rsidRPr="003B386C">
        <w:rPr>
          <w:sz w:val="28"/>
          <w:szCs w:val="28"/>
        </w:rPr>
        <w:t>Ariz.App</w:t>
      </w:r>
      <w:proofErr w:type="spellEnd"/>
      <w:r w:rsidR="003B386C" w:rsidRPr="003B386C">
        <w:rPr>
          <w:sz w:val="28"/>
          <w:szCs w:val="28"/>
        </w:rPr>
        <w:t>. 412, 417 (1965) (</w:t>
      </w:r>
      <w:r w:rsidR="003B386C">
        <w:rPr>
          <w:sz w:val="28"/>
          <w:szCs w:val="28"/>
        </w:rPr>
        <w:t>“</w:t>
      </w:r>
      <w:r w:rsidR="003B386C" w:rsidRPr="003B386C">
        <w:rPr>
          <w:sz w:val="28"/>
          <w:szCs w:val="28"/>
        </w:rPr>
        <w:t xml:space="preserve">When one undertakes to represent himself that person is </w:t>
      </w:r>
      <w:r w:rsidR="003B386C">
        <w:rPr>
          <w:sz w:val="28"/>
          <w:szCs w:val="28"/>
        </w:rPr>
        <w:t>‘</w:t>
      </w:r>
      <w:r w:rsidR="003B386C" w:rsidRPr="003B386C">
        <w:rPr>
          <w:sz w:val="28"/>
          <w:szCs w:val="28"/>
        </w:rPr>
        <w:t xml:space="preserve">entitled to no more consideration than if he </w:t>
      </w:r>
      <w:r w:rsidR="003B386C">
        <w:rPr>
          <w:sz w:val="28"/>
          <w:szCs w:val="28"/>
        </w:rPr>
        <w:t>h</w:t>
      </w:r>
      <w:r w:rsidR="003B386C" w:rsidRPr="003B386C">
        <w:rPr>
          <w:sz w:val="28"/>
          <w:szCs w:val="28"/>
        </w:rPr>
        <w:t>ad been represented by counsel.</w:t>
      </w:r>
      <w:r w:rsidR="003B386C">
        <w:rPr>
          <w:sz w:val="28"/>
          <w:szCs w:val="28"/>
        </w:rPr>
        <w:t>’</w:t>
      </w:r>
      <w:r w:rsidR="003B386C" w:rsidRPr="003B386C">
        <w:rPr>
          <w:sz w:val="28"/>
          <w:szCs w:val="28"/>
        </w:rPr>
        <w:t xml:space="preserve"> He is </w:t>
      </w:r>
      <w:r w:rsidR="003B386C">
        <w:rPr>
          <w:sz w:val="28"/>
          <w:szCs w:val="28"/>
        </w:rPr>
        <w:t>‘</w:t>
      </w:r>
      <w:r w:rsidR="003B386C" w:rsidRPr="003B386C">
        <w:rPr>
          <w:sz w:val="28"/>
          <w:szCs w:val="28"/>
        </w:rPr>
        <w:t xml:space="preserve">held to the same notice of statutes of local rules as would be </w:t>
      </w:r>
      <w:r w:rsidR="003B386C" w:rsidRPr="003B386C">
        <w:rPr>
          <w:sz w:val="28"/>
          <w:szCs w:val="28"/>
        </w:rPr>
        <w:lastRenderedPageBreak/>
        <w:t>attributed to a duly qualified member of the bar. Such a rule is indispensable to the orderly and efficient administration of justice.</w:t>
      </w:r>
      <w:r w:rsidR="003B386C">
        <w:rPr>
          <w:sz w:val="28"/>
          <w:szCs w:val="28"/>
        </w:rPr>
        <w:t>’”</w:t>
      </w:r>
      <w:r w:rsidR="003B386C" w:rsidRPr="003B386C">
        <w:rPr>
          <w:sz w:val="28"/>
          <w:szCs w:val="28"/>
        </w:rPr>
        <w:t xml:space="preserve">) (quoting </w:t>
      </w:r>
      <w:r w:rsidR="003B386C" w:rsidRPr="003B386C">
        <w:rPr>
          <w:i/>
          <w:iCs/>
          <w:sz w:val="28"/>
          <w:szCs w:val="28"/>
        </w:rPr>
        <w:t>Smith v. Rabb</w:t>
      </w:r>
      <w:r w:rsidR="003B386C" w:rsidRPr="003B386C">
        <w:rPr>
          <w:sz w:val="28"/>
          <w:szCs w:val="28"/>
        </w:rPr>
        <w:t xml:space="preserve">, 95 Ariz. 49, 53 (1963)); </w:t>
      </w:r>
      <w:r w:rsidR="003B386C" w:rsidRPr="003B386C">
        <w:rPr>
          <w:i/>
          <w:iCs/>
          <w:sz w:val="28"/>
          <w:szCs w:val="28"/>
        </w:rPr>
        <w:t>Maher v. Uhlman</w:t>
      </w:r>
      <w:r w:rsidR="003B386C" w:rsidRPr="003B386C">
        <w:rPr>
          <w:sz w:val="28"/>
          <w:szCs w:val="28"/>
        </w:rPr>
        <w:t>, 211 Ariz. 543, 551 (App. 2005) (</w:t>
      </w:r>
      <w:r w:rsidR="003B386C">
        <w:rPr>
          <w:sz w:val="28"/>
          <w:szCs w:val="28"/>
        </w:rPr>
        <w:t>“</w:t>
      </w:r>
      <w:r w:rsidR="003B386C" w:rsidRPr="003B386C">
        <w:rPr>
          <w:sz w:val="28"/>
          <w:szCs w:val="28"/>
        </w:rPr>
        <w:t>That [a party] was unrepresented did not excuse him from his burden to diligently adhere to the court</w:t>
      </w:r>
      <w:r>
        <w:rPr>
          <w:sz w:val="28"/>
          <w:szCs w:val="28"/>
        </w:rPr>
        <w:t>’</w:t>
      </w:r>
      <w:r w:rsidR="003B386C" w:rsidRPr="003B386C">
        <w:rPr>
          <w:sz w:val="28"/>
          <w:szCs w:val="28"/>
        </w:rPr>
        <w:t>s rules.</w:t>
      </w:r>
      <w:r w:rsidR="003B386C">
        <w:rPr>
          <w:sz w:val="28"/>
          <w:szCs w:val="28"/>
        </w:rPr>
        <w:t>”</w:t>
      </w:r>
      <w:r w:rsidR="003B386C" w:rsidRPr="003B386C">
        <w:rPr>
          <w:sz w:val="28"/>
          <w:szCs w:val="28"/>
        </w:rPr>
        <w:t xml:space="preserve">) (citing </w:t>
      </w:r>
      <w:r w:rsidR="003B386C" w:rsidRPr="003B386C">
        <w:rPr>
          <w:i/>
          <w:iCs/>
          <w:sz w:val="28"/>
          <w:szCs w:val="28"/>
        </w:rPr>
        <w:t>Homecraft Corp. v. Fimbres</w:t>
      </w:r>
      <w:r w:rsidR="003B386C" w:rsidRPr="003B386C">
        <w:rPr>
          <w:sz w:val="28"/>
          <w:szCs w:val="28"/>
        </w:rPr>
        <w:t>, 119 Ariz. 299, 301 (App. 1978)).</w:t>
      </w:r>
    </w:p>
    <w:p w14:paraId="0D04FAE8" w14:textId="046EC516" w:rsidR="00AE24BF" w:rsidRDefault="00AE24BF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Accordingly, for the reasons stated herein, APAAC respectfully requests that the Petition be denied in its entirety.</w:t>
      </w:r>
    </w:p>
    <w:p w14:paraId="741E9204" w14:textId="77777777" w:rsidR="00A60805" w:rsidRPr="004F4F8C" w:rsidRDefault="00A60805" w:rsidP="00A60805">
      <w:pPr>
        <w:spacing w:line="480" w:lineRule="auto"/>
        <w:ind w:firstLine="1440"/>
        <w:rPr>
          <w:sz w:val="28"/>
          <w:szCs w:val="28"/>
        </w:rPr>
      </w:pPr>
      <w:r w:rsidRPr="004F4F8C">
        <w:rPr>
          <w:sz w:val="28"/>
          <w:szCs w:val="28"/>
        </w:rPr>
        <w:t xml:space="preserve">Respectfully submitted </w:t>
      </w:r>
      <w:proofErr w:type="gramStart"/>
      <w:r w:rsidRPr="004F4F8C"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1</w:t>
      </w:r>
      <w:proofErr w:type="gramEnd"/>
      <w:r w:rsidRPr="008E7312">
        <w:rPr>
          <w:sz w:val="28"/>
          <w:szCs w:val="28"/>
          <w:u w:val="single"/>
          <w:vertAlign w:val="superscript"/>
        </w:rPr>
        <w:t>st</w:t>
      </w:r>
      <w:r>
        <w:rPr>
          <w:sz w:val="28"/>
          <w:szCs w:val="28"/>
          <w:u w:val="single"/>
        </w:rPr>
        <w:t xml:space="preserve"> </w:t>
      </w:r>
      <w:r w:rsidRPr="004F4F8C">
        <w:rPr>
          <w:sz w:val="28"/>
          <w:szCs w:val="28"/>
        </w:rPr>
        <w:t xml:space="preserve"> day of </w:t>
      </w:r>
      <w:r>
        <w:rPr>
          <w:sz w:val="28"/>
          <w:szCs w:val="28"/>
        </w:rPr>
        <w:t>May</w:t>
      </w:r>
      <w:r w:rsidRPr="004F4F8C">
        <w:rPr>
          <w:sz w:val="28"/>
          <w:szCs w:val="28"/>
        </w:rPr>
        <w:t>, 202</w:t>
      </w:r>
      <w:r>
        <w:rPr>
          <w:sz w:val="28"/>
          <w:szCs w:val="28"/>
        </w:rPr>
        <w:t>4</w:t>
      </w:r>
      <w:r w:rsidRPr="004F4F8C">
        <w:rPr>
          <w:sz w:val="28"/>
          <w:szCs w:val="28"/>
        </w:rPr>
        <w:t>.</w:t>
      </w:r>
    </w:p>
    <w:p w14:paraId="53D4951E" w14:textId="77777777" w:rsidR="00A60805" w:rsidRPr="004F4F8C" w:rsidRDefault="00A60805" w:rsidP="00A60805">
      <w:pPr>
        <w:spacing w:line="240" w:lineRule="auto"/>
        <w:ind w:left="4320"/>
        <w:rPr>
          <w:sz w:val="28"/>
          <w:szCs w:val="28"/>
        </w:rPr>
      </w:pPr>
    </w:p>
    <w:p w14:paraId="1D698EDF" w14:textId="77777777" w:rsidR="00A60805" w:rsidRPr="008E7312" w:rsidRDefault="00A60805" w:rsidP="00A60805">
      <w:pPr>
        <w:ind w:left="3600" w:firstLine="720"/>
      </w:pPr>
      <w:r w:rsidRPr="008E7312">
        <w:rPr>
          <w:i/>
          <w:iCs/>
          <w:sz w:val="28"/>
          <w:szCs w:val="28"/>
          <w:u w:val="single"/>
        </w:rPr>
        <w:t>/s/</w:t>
      </w:r>
      <w:r>
        <w:rPr>
          <w:sz w:val="28"/>
          <w:szCs w:val="28"/>
          <w:u w:val="single"/>
        </w:rPr>
        <w:t xml:space="preserve"> </w:t>
      </w:r>
      <w:r w:rsidRPr="008E7312">
        <w:rPr>
          <w:rFonts w:ascii="Lucida Handwriting" w:hAnsi="Lucida Handwriting"/>
          <w:sz w:val="28"/>
          <w:szCs w:val="28"/>
          <w:u w:val="single"/>
        </w:rPr>
        <w:t>Elizabeth Burton Ortiz</w:t>
      </w:r>
      <w:r w:rsidRPr="008E7312">
        <w:rPr>
          <w:rFonts w:ascii="Lucida Handwriting" w:hAnsi="Lucida Handwriting"/>
          <w:sz w:val="28"/>
          <w:szCs w:val="28"/>
          <w:u w:val="single"/>
        </w:rPr>
        <w:tab/>
      </w:r>
      <w:r w:rsidRPr="008E7312">
        <w:rPr>
          <w:rFonts w:ascii="Lucida Handwriting" w:hAnsi="Lucida Handwriting"/>
          <w:sz w:val="28"/>
          <w:szCs w:val="28"/>
          <w:u w:val="single"/>
        </w:rPr>
        <w:tab/>
      </w:r>
    </w:p>
    <w:p w14:paraId="759AB4DC" w14:textId="77777777" w:rsidR="00A60805" w:rsidRDefault="00A60805" w:rsidP="00A60805">
      <w:pPr>
        <w:ind w:left="3600" w:firstLine="720"/>
      </w:pPr>
      <w:r>
        <w:rPr>
          <w:sz w:val="28"/>
          <w:szCs w:val="28"/>
        </w:rPr>
        <w:t>Elizabeth Burton Ortiz</w:t>
      </w:r>
    </w:p>
    <w:p w14:paraId="2B44965D" w14:textId="77777777" w:rsidR="007D4915" w:rsidRDefault="007D4915" w:rsidP="00A60805">
      <w:pPr>
        <w:spacing w:line="480" w:lineRule="auto"/>
        <w:ind w:firstLine="1440"/>
      </w:pPr>
    </w:p>
    <w:sectPr w:rsidR="007D4915" w:rsidSect="009B44EA">
      <w:headerReference w:type="default" r:id="rId9"/>
      <w:footerReference w:type="default" r:id="rId10"/>
      <w:headerReference w:type="first" r:id="rId11"/>
      <w:pgSz w:w="12240" w:h="15840"/>
      <w:pgMar w:top="1440" w:right="1440" w:bottom="1368" w:left="1440" w:header="432" w:footer="432" w:gutter="0"/>
      <w:pgNumType w:fmt="numberInDash"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47999" w14:textId="77777777" w:rsidR="009B44EA" w:rsidRDefault="009B44EA">
      <w:pPr>
        <w:spacing w:line="240" w:lineRule="auto"/>
      </w:pPr>
      <w:r>
        <w:separator/>
      </w:r>
    </w:p>
  </w:endnote>
  <w:endnote w:type="continuationSeparator" w:id="0">
    <w:p w14:paraId="4497E987" w14:textId="77777777" w:rsidR="009B44EA" w:rsidRDefault="009B4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07D9C" w14:textId="77777777" w:rsidR="00096D01" w:rsidRDefault="00306789">
    <w:pPr>
      <w:pStyle w:val="Foot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#</w:t>
    </w:r>
    <w:r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28EFB" w14:textId="77777777" w:rsidR="009B44EA" w:rsidRDefault="009B44EA">
      <w:pPr>
        <w:spacing w:line="240" w:lineRule="auto"/>
      </w:pPr>
      <w:r>
        <w:separator/>
      </w:r>
    </w:p>
  </w:footnote>
  <w:footnote w:type="continuationSeparator" w:id="0">
    <w:p w14:paraId="0BCCFBA9" w14:textId="77777777" w:rsidR="009B44EA" w:rsidRDefault="009B4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AA14" w14:textId="77777777" w:rsidR="00096D01" w:rsidRDefault="00306789">
    <w:pPr>
      <w:tabs>
        <w:tab w:val="right" w:pos="9342"/>
      </w:tabs>
      <w:spacing w:line="240" w:lineRule="auto"/>
      <w:ind w:right="1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9BF94" wp14:editId="56B74211">
              <wp:simplePos x="0" y="0"/>
              <wp:positionH relativeFrom="margin">
                <wp:posOffset>-105410</wp:posOffset>
              </wp:positionH>
              <wp:positionV relativeFrom="page">
                <wp:posOffset>414655</wp:posOffset>
              </wp:positionV>
              <wp:extent cx="0" cy="10210800"/>
              <wp:effectExtent l="0" t="0" r="19050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ECFFA3" id="Line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3pt,32.65pt" to="-8.3pt,8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">
              <w10:wrap anchorx="margin" anchory="page"/>
            </v:line>
          </w:pict>
        </mc:Fallback>
      </mc:AlternateContent>
    </w:r>
    <w:r>
      <w:rPr>
        <w:b/>
        <w:bCs/>
        <w:sz w:val="18"/>
        <w:szCs w:val="18"/>
      </w:rPr>
      <w:tab/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E73F2" wp14:editId="5B62E8B9">
              <wp:simplePos x="0" y="0"/>
              <wp:positionH relativeFrom="margin">
                <wp:posOffset>-638175</wp:posOffset>
              </wp:positionH>
              <wp:positionV relativeFrom="margin">
                <wp:posOffset>0</wp:posOffset>
              </wp:positionV>
              <wp:extent cx="457200" cy="843915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3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40984499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2C8C6FBC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2A7441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5EBA9B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3CDB2514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E2A484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724C29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849BDB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FFF4157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E7A5AC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56F8882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8B816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5DEF37D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3D3DDF2A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09A7209C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B9AA5A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26D3207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0C9037E4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13BCD91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EE0B76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73F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0.25pt;margin-top:0;width:36pt;height:66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" stroked="f">
              <v:textbox inset="0,0,0,0">
                <w:txbxContent>
                  <w:p w14:paraId="40984499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2C8C6FBC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22A7441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05EBA9B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3CDB2514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3E2A484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7724C29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5849BDB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1FFF4157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1E7A5AC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56F8882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178B816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5DEF37D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3D3DDF2A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09A7209C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6B9AA5A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26D3207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0C9037E4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13BCD91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4EE0B76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6EAED" wp14:editId="5EEF919D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Lin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167CF5" id="Line 15" o:spid="_x0000_s1026" style="position:absolute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9ACC" w14:textId="77777777" w:rsidR="00096D01" w:rsidRDefault="00306789">
    <w:pPr>
      <w:tabs>
        <w:tab w:val="right" w:pos="8910"/>
      </w:tabs>
      <w:spacing w:line="240" w:lineRule="auto"/>
      <w:ind w:right="1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21645" wp14:editId="760D0D8F">
              <wp:simplePos x="0" y="0"/>
              <wp:positionH relativeFrom="margin">
                <wp:posOffset>-581025</wp:posOffset>
              </wp:positionH>
              <wp:positionV relativeFrom="margin">
                <wp:posOffset>0</wp:posOffset>
              </wp:positionV>
              <wp:extent cx="407670" cy="83343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833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7C07798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5CD934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A97A17E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61B6067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34E0C3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4364CD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22E2E1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10AC2239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6A998B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235433D8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055A20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20351DF1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0CA59BA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DE110B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E4BBFC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B0A34ED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319D41F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8F765D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60B825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293055D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2164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45.75pt;margin-top:0;width:32.1pt;height:65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" stroked="f">
              <v:textbox inset="0,0,0,0">
                <w:txbxContent>
                  <w:p w14:paraId="7C07798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45CD934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7A97A17E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261B6067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034E0C3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64364CD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122E2E1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10AC2239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36A998B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235433D8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7055A20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20351DF1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30CA59BA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5DE110B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1E4BBFC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5B0A34ED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319D41F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78F765D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460B825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4293055D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E2580" wp14:editId="188197C3">
              <wp:simplePos x="0" y="0"/>
              <wp:positionH relativeFrom="margin">
                <wp:posOffset>-104775</wp:posOffset>
              </wp:positionH>
              <wp:positionV relativeFrom="page">
                <wp:posOffset>283845</wp:posOffset>
              </wp:positionV>
              <wp:extent cx="0" cy="1021080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0300BC" id="Lin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25pt,22.35pt" to="-8.25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4491B"/>
    <w:multiLevelType w:val="hybridMultilevel"/>
    <w:tmpl w:val="6360E85C"/>
    <w:lvl w:ilvl="0" w:tplc="B34263DC">
      <w:start w:val="1"/>
      <w:numFmt w:val="upperLetter"/>
      <w:lvlText w:val="%1."/>
      <w:lvlJc w:val="left"/>
      <w:pPr>
        <w:ind w:left="108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A0734"/>
    <w:multiLevelType w:val="hybridMultilevel"/>
    <w:tmpl w:val="DF7E9B8A"/>
    <w:lvl w:ilvl="0" w:tplc="8DAC8E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600320">
    <w:abstractNumId w:val="1"/>
  </w:num>
  <w:num w:numId="2" w16cid:durableId="10870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A"/>
    <w:rsid w:val="00013147"/>
    <w:rsid w:val="00026740"/>
    <w:rsid w:val="00096D01"/>
    <w:rsid w:val="000D237A"/>
    <w:rsid w:val="000E585A"/>
    <w:rsid w:val="000F4E7D"/>
    <w:rsid w:val="0011149A"/>
    <w:rsid w:val="001263A4"/>
    <w:rsid w:val="001809BF"/>
    <w:rsid w:val="0019413B"/>
    <w:rsid w:val="001B3A84"/>
    <w:rsid w:val="001C2C98"/>
    <w:rsid w:val="001D2B0C"/>
    <w:rsid w:val="001E4631"/>
    <w:rsid w:val="001E55C2"/>
    <w:rsid w:val="00201A20"/>
    <w:rsid w:val="002578A3"/>
    <w:rsid w:val="00296F63"/>
    <w:rsid w:val="002D3D36"/>
    <w:rsid w:val="00306789"/>
    <w:rsid w:val="003213DB"/>
    <w:rsid w:val="003B386C"/>
    <w:rsid w:val="003C62A8"/>
    <w:rsid w:val="003D1D2A"/>
    <w:rsid w:val="003D6BBE"/>
    <w:rsid w:val="00424148"/>
    <w:rsid w:val="0049511D"/>
    <w:rsid w:val="004A111A"/>
    <w:rsid w:val="004B7C3D"/>
    <w:rsid w:val="004B7D0C"/>
    <w:rsid w:val="004C38FC"/>
    <w:rsid w:val="004E2FAF"/>
    <w:rsid w:val="004F3B97"/>
    <w:rsid w:val="0050575A"/>
    <w:rsid w:val="005146EA"/>
    <w:rsid w:val="00517712"/>
    <w:rsid w:val="00527239"/>
    <w:rsid w:val="00551DD8"/>
    <w:rsid w:val="005700F6"/>
    <w:rsid w:val="00597436"/>
    <w:rsid w:val="005B102A"/>
    <w:rsid w:val="00632E40"/>
    <w:rsid w:val="006A378F"/>
    <w:rsid w:val="006D0133"/>
    <w:rsid w:val="00700D93"/>
    <w:rsid w:val="007B2786"/>
    <w:rsid w:val="007D4915"/>
    <w:rsid w:val="00800CF2"/>
    <w:rsid w:val="00830B0B"/>
    <w:rsid w:val="008A648A"/>
    <w:rsid w:val="008B1DA6"/>
    <w:rsid w:val="008C054F"/>
    <w:rsid w:val="008D7FA5"/>
    <w:rsid w:val="008E3A64"/>
    <w:rsid w:val="008E5377"/>
    <w:rsid w:val="009626E5"/>
    <w:rsid w:val="00971047"/>
    <w:rsid w:val="009B44EA"/>
    <w:rsid w:val="009E191F"/>
    <w:rsid w:val="009E35EC"/>
    <w:rsid w:val="009E36D7"/>
    <w:rsid w:val="009E74D0"/>
    <w:rsid w:val="009F4AF5"/>
    <w:rsid w:val="00A34ED0"/>
    <w:rsid w:val="00A478C3"/>
    <w:rsid w:val="00A60805"/>
    <w:rsid w:val="00A81479"/>
    <w:rsid w:val="00A9340B"/>
    <w:rsid w:val="00AE24BF"/>
    <w:rsid w:val="00B549F7"/>
    <w:rsid w:val="00B857A0"/>
    <w:rsid w:val="00BC130D"/>
    <w:rsid w:val="00BE112E"/>
    <w:rsid w:val="00BE41F4"/>
    <w:rsid w:val="00C32CDB"/>
    <w:rsid w:val="00C716C0"/>
    <w:rsid w:val="00C741A3"/>
    <w:rsid w:val="00C90E02"/>
    <w:rsid w:val="00C91A1B"/>
    <w:rsid w:val="00CD07E8"/>
    <w:rsid w:val="00CE0958"/>
    <w:rsid w:val="00D14E3D"/>
    <w:rsid w:val="00D970DD"/>
    <w:rsid w:val="00DF65B3"/>
    <w:rsid w:val="00E33C3E"/>
    <w:rsid w:val="00E41603"/>
    <w:rsid w:val="00E53912"/>
    <w:rsid w:val="00EA6A06"/>
    <w:rsid w:val="00EC60FB"/>
    <w:rsid w:val="00FB37DD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3C31"/>
  <w15:chartTrackingRefBased/>
  <w15:docId w15:val="{EC5B1763-B5CB-4D7D-9569-C2F0501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9A"/>
    <w:pPr>
      <w:spacing w:after="0" w:line="424" w:lineRule="exact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4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149A"/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styleId="ListParagraph">
    <w:name w:val="List Paragraph"/>
    <w:basedOn w:val="Normal"/>
    <w:uiPriority w:val="34"/>
    <w:qFormat/>
    <w:rsid w:val="00111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8" ma:contentTypeDescription="Create a new document." ma:contentTypeScope="" ma:versionID="d21b233be36d57519edbbac9a29491b6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a05fbc266c6fef2dca0139d00f7af074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D03881-66C2-4991-A9F6-2DF6E23F2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A8458-6355-459E-B408-BA030C311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Braccio</dc:creator>
  <cp:keywords/>
  <dc:description/>
  <cp:lastModifiedBy>Diana Cooney</cp:lastModifiedBy>
  <cp:revision>51</cp:revision>
  <cp:lastPrinted>2024-04-10T18:54:00Z</cp:lastPrinted>
  <dcterms:created xsi:type="dcterms:W3CDTF">2024-04-09T22:15:00Z</dcterms:created>
  <dcterms:modified xsi:type="dcterms:W3CDTF">2024-04-24T16:31:00Z</dcterms:modified>
</cp:coreProperties>
</file>