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02E91" w14:textId="2E7CD3D0" w:rsidR="007A5580" w:rsidRPr="007A5580" w:rsidRDefault="007A5580" w:rsidP="007A5580">
      <w:pPr>
        <w:pStyle w:val="Default"/>
        <w:rPr>
          <w:sz w:val="23"/>
          <w:szCs w:val="23"/>
        </w:rPr>
      </w:pPr>
      <w:r w:rsidRPr="007A5580">
        <w:rPr>
          <w:sz w:val="23"/>
          <w:szCs w:val="23"/>
        </w:rPr>
        <w:t xml:space="preserve">April 30, 2024 </w:t>
      </w:r>
    </w:p>
    <w:p w14:paraId="159E343E" w14:textId="77777777" w:rsidR="007A5580" w:rsidRPr="007A5580" w:rsidRDefault="007A5580" w:rsidP="007A5580">
      <w:pPr>
        <w:pStyle w:val="Default"/>
        <w:rPr>
          <w:sz w:val="23"/>
          <w:szCs w:val="23"/>
        </w:rPr>
      </w:pPr>
    </w:p>
    <w:p w14:paraId="25174ABE" w14:textId="77777777" w:rsidR="007A5580" w:rsidRPr="007A5580" w:rsidRDefault="007A5580" w:rsidP="007A5580">
      <w:pPr>
        <w:pStyle w:val="Default"/>
        <w:rPr>
          <w:sz w:val="23"/>
          <w:szCs w:val="23"/>
        </w:rPr>
      </w:pPr>
      <w:r w:rsidRPr="007A5580">
        <w:rPr>
          <w:sz w:val="23"/>
          <w:szCs w:val="23"/>
        </w:rPr>
        <w:t xml:space="preserve">To the Honorable Justices of the Arizona Supreme Court, </w:t>
      </w:r>
    </w:p>
    <w:p w14:paraId="58B0F4C7" w14:textId="77777777" w:rsidR="007A5580" w:rsidRPr="007A5580" w:rsidRDefault="007A5580" w:rsidP="007A5580">
      <w:pPr>
        <w:pStyle w:val="Default"/>
        <w:rPr>
          <w:sz w:val="23"/>
          <w:szCs w:val="23"/>
        </w:rPr>
      </w:pPr>
    </w:p>
    <w:p w14:paraId="099B1B3E" w14:textId="5DD02C14" w:rsidR="007A5580" w:rsidRPr="007A5580" w:rsidRDefault="007A5580" w:rsidP="007A5580">
      <w:pPr>
        <w:pStyle w:val="Default"/>
        <w:rPr>
          <w:sz w:val="23"/>
          <w:szCs w:val="23"/>
        </w:rPr>
      </w:pPr>
      <w:r w:rsidRPr="007A5580">
        <w:rPr>
          <w:sz w:val="23"/>
          <w:szCs w:val="23"/>
        </w:rPr>
        <w:t xml:space="preserve">We, the undersigned managing partners </w:t>
      </w:r>
      <w:r w:rsidRPr="00436762">
        <w:rPr>
          <w:sz w:val="23"/>
          <w:szCs w:val="23"/>
        </w:rPr>
        <w:t>and leaders in</w:t>
      </w:r>
      <w:r w:rsidR="00A20A17">
        <w:rPr>
          <w:sz w:val="23"/>
          <w:szCs w:val="23"/>
        </w:rPr>
        <w:t xml:space="preserve"> the profession</w:t>
      </w:r>
      <w:r w:rsidRPr="007A5580">
        <w:rPr>
          <w:sz w:val="23"/>
          <w:szCs w:val="23"/>
        </w:rPr>
        <w:t xml:space="preserve"> across the state, respectfully urge you to reject the petition seeking to limit the activities of the State Bar of Arizona to purely regulatory functions. We believe that granting this petition would undermine the Bar’s mission to enhance the legal profession and serve the public. The current structure of our Bar plays a vital role in ensuring a just and competent legal profession and protecting the public. As set forth in Arizona Supreme Court Rule 32, the Bar contributes significantly to our profession and to public protection, beyond attorney regulation, in several ways: </w:t>
      </w:r>
    </w:p>
    <w:p w14:paraId="4897FD51" w14:textId="77777777" w:rsidR="007A5580" w:rsidRPr="007A5580" w:rsidRDefault="007A5580" w:rsidP="007A5580">
      <w:pPr>
        <w:pStyle w:val="Default"/>
        <w:rPr>
          <w:sz w:val="23"/>
          <w:szCs w:val="23"/>
        </w:rPr>
      </w:pPr>
    </w:p>
    <w:p w14:paraId="1E70C030" w14:textId="77777777" w:rsidR="007A5580" w:rsidRPr="007A5580" w:rsidRDefault="007A5580" w:rsidP="007A5580">
      <w:pPr>
        <w:pStyle w:val="Default"/>
        <w:rPr>
          <w:sz w:val="23"/>
          <w:szCs w:val="23"/>
        </w:rPr>
      </w:pPr>
      <w:r w:rsidRPr="007A5580">
        <w:rPr>
          <w:b/>
          <w:bCs/>
          <w:sz w:val="23"/>
          <w:szCs w:val="23"/>
        </w:rPr>
        <w:t>Promoting Professional Development</w:t>
      </w:r>
      <w:r w:rsidRPr="007A5580">
        <w:rPr>
          <w:sz w:val="23"/>
          <w:szCs w:val="23"/>
        </w:rPr>
        <w:t xml:space="preserve">: The Bar offers educational programs and a multitude of resources that keep attorneys </w:t>
      </w:r>
      <w:proofErr w:type="gramStart"/>
      <w:r w:rsidRPr="007A5580">
        <w:rPr>
          <w:sz w:val="23"/>
          <w:szCs w:val="23"/>
        </w:rPr>
        <w:t>up-to-date</w:t>
      </w:r>
      <w:proofErr w:type="gramEnd"/>
      <w:r w:rsidRPr="007A5580">
        <w:rPr>
          <w:sz w:val="23"/>
          <w:szCs w:val="23"/>
        </w:rPr>
        <w:t xml:space="preserve"> on legal developments and improve their professional skills. </w:t>
      </w:r>
    </w:p>
    <w:p w14:paraId="21394BFB" w14:textId="77777777" w:rsidR="007A5580" w:rsidRPr="007A5580" w:rsidRDefault="007A5580" w:rsidP="007A5580">
      <w:pPr>
        <w:pStyle w:val="Default"/>
        <w:rPr>
          <w:sz w:val="23"/>
          <w:szCs w:val="23"/>
        </w:rPr>
      </w:pPr>
    </w:p>
    <w:p w14:paraId="6689C0C9" w14:textId="77777777" w:rsidR="007A5580" w:rsidRPr="007A5580" w:rsidRDefault="007A5580" w:rsidP="007A5580">
      <w:pPr>
        <w:pStyle w:val="Default"/>
        <w:rPr>
          <w:sz w:val="23"/>
          <w:szCs w:val="23"/>
        </w:rPr>
      </w:pPr>
      <w:r w:rsidRPr="007A5580">
        <w:rPr>
          <w:b/>
          <w:bCs/>
          <w:sz w:val="23"/>
          <w:szCs w:val="23"/>
        </w:rPr>
        <w:t>Promoting Access to Justice</w:t>
      </w:r>
      <w:r w:rsidRPr="007A5580">
        <w:rPr>
          <w:sz w:val="23"/>
          <w:szCs w:val="23"/>
        </w:rPr>
        <w:t xml:space="preserve">: The Bar leads initiatives that provide legal aid to low- and middle-income residents, encourages pro bono work, and promotes access to justice for all. These initiatives serve the public and increase public trust in the legal system. </w:t>
      </w:r>
    </w:p>
    <w:p w14:paraId="4D9681D2" w14:textId="77777777" w:rsidR="007A5580" w:rsidRPr="007A5580" w:rsidRDefault="007A5580" w:rsidP="007A5580">
      <w:pPr>
        <w:pStyle w:val="Default"/>
        <w:rPr>
          <w:sz w:val="23"/>
          <w:szCs w:val="23"/>
        </w:rPr>
      </w:pPr>
    </w:p>
    <w:p w14:paraId="4DB5C692" w14:textId="77777777" w:rsidR="007A5580" w:rsidRDefault="007A5580" w:rsidP="007A5580">
      <w:pPr>
        <w:pStyle w:val="Default"/>
        <w:rPr>
          <w:sz w:val="23"/>
          <w:szCs w:val="23"/>
        </w:rPr>
      </w:pPr>
      <w:r w:rsidRPr="007A5580">
        <w:rPr>
          <w:b/>
          <w:bCs/>
          <w:sz w:val="23"/>
          <w:szCs w:val="23"/>
        </w:rPr>
        <w:t>Community Building</w:t>
      </w:r>
      <w:r w:rsidRPr="007A5580">
        <w:rPr>
          <w:sz w:val="23"/>
          <w:szCs w:val="23"/>
        </w:rPr>
        <w:t xml:space="preserve">: The Bar facilitates networking, mentorship, and collaboration among legal professionals. The connections between our members are strengthened by Bar events, conferences, and committees that help create a thriving legal community. </w:t>
      </w:r>
    </w:p>
    <w:p w14:paraId="7227C663" w14:textId="77777777" w:rsidR="000A1335" w:rsidRPr="007A5580" w:rsidRDefault="000A1335" w:rsidP="007A5580">
      <w:pPr>
        <w:pStyle w:val="Default"/>
        <w:rPr>
          <w:sz w:val="23"/>
          <w:szCs w:val="23"/>
        </w:rPr>
      </w:pPr>
    </w:p>
    <w:p w14:paraId="518FA9ED" w14:textId="77777777" w:rsidR="007A5580" w:rsidRPr="007A5580" w:rsidRDefault="007A5580" w:rsidP="007A5580">
      <w:pPr>
        <w:pStyle w:val="Default"/>
        <w:rPr>
          <w:sz w:val="23"/>
          <w:szCs w:val="23"/>
        </w:rPr>
      </w:pPr>
      <w:r w:rsidRPr="007A5580">
        <w:rPr>
          <w:sz w:val="23"/>
          <w:szCs w:val="23"/>
        </w:rPr>
        <w:t xml:space="preserve">Limiting the Bar’s activities would hinder its ability to fulfill these essential roles. Our well-rounded Bar strengthens the legal profession, promotes professionalism, and serves the public good. </w:t>
      </w:r>
    </w:p>
    <w:p w14:paraId="0F76CF9A" w14:textId="77777777" w:rsidR="007A5580" w:rsidRPr="007A5580" w:rsidRDefault="007A5580" w:rsidP="007A5580">
      <w:pPr>
        <w:pStyle w:val="Default"/>
        <w:rPr>
          <w:sz w:val="23"/>
          <w:szCs w:val="23"/>
        </w:rPr>
      </w:pPr>
      <w:r w:rsidRPr="007A5580">
        <w:rPr>
          <w:sz w:val="23"/>
          <w:szCs w:val="23"/>
        </w:rPr>
        <w:t xml:space="preserve">We ask that this Court maintain our Bar’s multifaceted role so it can continue to serve the public and improve our profession. </w:t>
      </w:r>
    </w:p>
    <w:p w14:paraId="2148045F" w14:textId="77777777" w:rsidR="007A5580" w:rsidRPr="007A5580" w:rsidRDefault="007A5580" w:rsidP="007A5580">
      <w:pPr>
        <w:pStyle w:val="Default"/>
        <w:rPr>
          <w:sz w:val="23"/>
          <w:szCs w:val="23"/>
        </w:rPr>
      </w:pPr>
    </w:p>
    <w:p w14:paraId="5C070D00" w14:textId="77777777" w:rsidR="007A5580" w:rsidRDefault="007A5580" w:rsidP="007A5580">
      <w:pPr>
        <w:pStyle w:val="Default"/>
        <w:rPr>
          <w:sz w:val="23"/>
          <w:szCs w:val="23"/>
        </w:rPr>
      </w:pPr>
      <w:r w:rsidRPr="007A5580">
        <w:rPr>
          <w:sz w:val="23"/>
          <w:szCs w:val="23"/>
        </w:rPr>
        <w:t xml:space="preserve">Sincerely, </w:t>
      </w:r>
    </w:p>
    <w:p w14:paraId="5276D5FC" w14:textId="77777777" w:rsidR="005D607A" w:rsidRDefault="005D607A" w:rsidP="007A5580">
      <w:pPr>
        <w:pStyle w:val="Default"/>
        <w:rPr>
          <w:sz w:val="23"/>
          <w:szCs w:val="23"/>
        </w:rPr>
      </w:pPr>
    </w:p>
    <w:p w14:paraId="3584A6FC" w14:textId="77777777" w:rsidR="00B46319" w:rsidRPr="00436762" w:rsidRDefault="00B46319" w:rsidP="00811294">
      <w:pPr>
        <w:spacing w:after="80" w:line="240" w:lineRule="auto"/>
        <w:rPr>
          <w:rFonts w:ascii="Times New Roman" w:hAnsi="Times New Roman" w:cs="Times New Roman"/>
          <w:sz w:val="23"/>
          <w:szCs w:val="23"/>
        </w:rPr>
      </w:pPr>
      <w:r w:rsidRPr="00436762">
        <w:rPr>
          <w:rFonts w:ascii="Times New Roman" w:hAnsi="Times New Roman" w:cs="Times New Roman"/>
          <w:sz w:val="23"/>
          <w:szCs w:val="23"/>
        </w:rPr>
        <w:t>Frances T. Lynch, Bache &amp; Lynch</w:t>
      </w:r>
    </w:p>
    <w:p w14:paraId="0EF533F8" w14:textId="32192A9F" w:rsidR="007A5580" w:rsidRPr="007A5580" w:rsidRDefault="007A5580" w:rsidP="00811294">
      <w:pPr>
        <w:pStyle w:val="Default"/>
        <w:spacing w:after="80"/>
        <w:rPr>
          <w:sz w:val="23"/>
          <w:szCs w:val="23"/>
        </w:rPr>
      </w:pPr>
      <w:r w:rsidRPr="007A5580">
        <w:rPr>
          <w:sz w:val="23"/>
          <w:szCs w:val="23"/>
        </w:rPr>
        <w:t>David J. Armstrong, Balla</w:t>
      </w:r>
      <w:r w:rsidR="008F7AC2">
        <w:rPr>
          <w:sz w:val="23"/>
          <w:szCs w:val="23"/>
        </w:rPr>
        <w:t>r</w:t>
      </w:r>
      <w:r w:rsidRPr="007A5580">
        <w:rPr>
          <w:sz w:val="23"/>
          <w:szCs w:val="23"/>
        </w:rPr>
        <w:t>d Spahr LLP</w:t>
      </w:r>
    </w:p>
    <w:p w14:paraId="36D23459" w14:textId="0AD0E8B2" w:rsidR="007A5580" w:rsidRPr="007A5580" w:rsidRDefault="007A5580" w:rsidP="00811294">
      <w:pPr>
        <w:pStyle w:val="Default"/>
        <w:spacing w:after="80"/>
        <w:rPr>
          <w:sz w:val="23"/>
          <w:szCs w:val="23"/>
        </w:rPr>
      </w:pPr>
      <w:r w:rsidRPr="007A5580">
        <w:rPr>
          <w:sz w:val="23"/>
          <w:szCs w:val="23"/>
        </w:rPr>
        <w:t xml:space="preserve">Patrick J. McGroder III, Beus O’Connor McGroder PLLC </w:t>
      </w:r>
    </w:p>
    <w:p w14:paraId="5C9EBF3E" w14:textId="403462AB" w:rsidR="007A5580" w:rsidRPr="007A5580" w:rsidRDefault="007A5580" w:rsidP="00811294">
      <w:pPr>
        <w:pStyle w:val="Default"/>
        <w:spacing w:after="80"/>
        <w:rPr>
          <w:sz w:val="23"/>
          <w:szCs w:val="23"/>
        </w:rPr>
      </w:pPr>
      <w:r w:rsidRPr="007A5580">
        <w:rPr>
          <w:sz w:val="23"/>
          <w:szCs w:val="23"/>
        </w:rPr>
        <w:t xml:space="preserve">Robert N. Brier, Brier &amp; Hubbard, PLC </w:t>
      </w:r>
    </w:p>
    <w:p w14:paraId="2B9464E3" w14:textId="3A6EA8AC" w:rsidR="007A5580" w:rsidRPr="007A5580" w:rsidRDefault="007A5580" w:rsidP="00811294">
      <w:pPr>
        <w:pStyle w:val="Default"/>
        <w:spacing w:after="80"/>
        <w:rPr>
          <w:sz w:val="23"/>
          <w:szCs w:val="23"/>
        </w:rPr>
      </w:pPr>
      <w:r w:rsidRPr="007A5580">
        <w:rPr>
          <w:sz w:val="23"/>
          <w:szCs w:val="23"/>
        </w:rPr>
        <w:t xml:space="preserve">Sean K. </w:t>
      </w:r>
      <w:proofErr w:type="spellStart"/>
      <w:r w:rsidRPr="007A5580">
        <w:rPr>
          <w:sz w:val="23"/>
          <w:szCs w:val="23"/>
        </w:rPr>
        <w:t>McElenney</w:t>
      </w:r>
      <w:proofErr w:type="spellEnd"/>
      <w:r w:rsidRPr="007A5580">
        <w:rPr>
          <w:sz w:val="23"/>
          <w:szCs w:val="23"/>
        </w:rPr>
        <w:t xml:space="preserve">, Bryan Cave Leighton Paisner </w:t>
      </w:r>
      <w:r w:rsidR="00F63C09">
        <w:rPr>
          <w:sz w:val="23"/>
          <w:szCs w:val="23"/>
        </w:rPr>
        <w:t>LLP</w:t>
      </w:r>
    </w:p>
    <w:p w14:paraId="4C566676" w14:textId="60A80425" w:rsidR="007A5580" w:rsidRPr="007A5580" w:rsidRDefault="007A5580" w:rsidP="00811294">
      <w:pPr>
        <w:pStyle w:val="Default"/>
        <w:spacing w:after="80"/>
        <w:rPr>
          <w:sz w:val="23"/>
          <w:szCs w:val="23"/>
        </w:rPr>
      </w:pPr>
      <w:r w:rsidRPr="007A5580">
        <w:rPr>
          <w:sz w:val="23"/>
          <w:szCs w:val="23"/>
        </w:rPr>
        <w:t xml:space="preserve">Susanne E. Ingold, Burch &amp; Cracchiolo, PA </w:t>
      </w:r>
    </w:p>
    <w:p w14:paraId="53B84B37" w14:textId="4F044A5E" w:rsidR="007A5580" w:rsidRDefault="007A5580" w:rsidP="00811294">
      <w:pPr>
        <w:pStyle w:val="Default"/>
        <w:spacing w:after="80"/>
        <w:rPr>
          <w:sz w:val="23"/>
          <w:szCs w:val="23"/>
        </w:rPr>
      </w:pPr>
      <w:r w:rsidRPr="007A5580">
        <w:rPr>
          <w:sz w:val="23"/>
          <w:szCs w:val="23"/>
        </w:rPr>
        <w:t xml:space="preserve">Nicholas Boca, Cantor Law Group PLLC </w:t>
      </w:r>
    </w:p>
    <w:p w14:paraId="6345C278" w14:textId="60EA9B56" w:rsidR="00187019" w:rsidRPr="007A5580" w:rsidRDefault="00187019" w:rsidP="00811294">
      <w:pPr>
        <w:pStyle w:val="Default"/>
        <w:spacing w:after="80"/>
        <w:rPr>
          <w:sz w:val="23"/>
          <w:szCs w:val="23"/>
        </w:rPr>
      </w:pPr>
      <w:r>
        <w:rPr>
          <w:sz w:val="23"/>
          <w:szCs w:val="23"/>
        </w:rPr>
        <w:t>William P. Ring, Coconino County Attorney</w:t>
      </w:r>
    </w:p>
    <w:p w14:paraId="52CD4DE9" w14:textId="169DB117" w:rsidR="007A5580" w:rsidRPr="007A5580" w:rsidRDefault="007A5580" w:rsidP="00811294">
      <w:pPr>
        <w:pStyle w:val="Default"/>
        <w:spacing w:after="80"/>
        <w:rPr>
          <w:sz w:val="23"/>
          <w:szCs w:val="23"/>
        </w:rPr>
      </w:pPr>
      <w:r w:rsidRPr="007A5580">
        <w:rPr>
          <w:sz w:val="23"/>
          <w:szCs w:val="23"/>
        </w:rPr>
        <w:t>Daniel G. Dowd, Cohen Dowd Quigley</w:t>
      </w:r>
      <w:r w:rsidR="000D6E0C">
        <w:rPr>
          <w:sz w:val="23"/>
          <w:szCs w:val="23"/>
        </w:rPr>
        <w:t>, PC</w:t>
      </w:r>
    </w:p>
    <w:p w14:paraId="1A349461" w14:textId="3F3EEC45" w:rsidR="007A5580" w:rsidRPr="007A5580" w:rsidRDefault="007A5580" w:rsidP="00811294">
      <w:pPr>
        <w:pStyle w:val="Default"/>
        <w:spacing w:after="80"/>
        <w:rPr>
          <w:sz w:val="23"/>
          <w:szCs w:val="23"/>
        </w:rPr>
      </w:pPr>
      <w:r w:rsidRPr="007A5580">
        <w:rPr>
          <w:sz w:val="23"/>
          <w:szCs w:val="23"/>
        </w:rPr>
        <w:t xml:space="preserve">Jill Chasson, Coppersmith Brockelman PLC </w:t>
      </w:r>
    </w:p>
    <w:p w14:paraId="0D0F3B35" w14:textId="0EA8E0E1" w:rsidR="007A5580" w:rsidRPr="007A5580" w:rsidRDefault="007A5580" w:rsidP="00811294">
      <w:pPr>
        <w:pStyle w:val="Default"/>
        <w:spacing w:after="80"/>
        <w:rPr>
          <w:sz w:val="23"/>
          <w:szCs w:val="23"/>
        </w:rPr>
      </w:pPr>
      <w:r w:rsidRPr="007A5580">
        <w:rPr>
          <w:sz w:val="23"/>
          <w:szCs w:val="23"/>
        </w:rPr>
        <w:t xml:space="preserve">David Lewis, DLA Piper </w:t>
      </w:r>
    </w:p>
    <w:p w14:paraId="1C5F0EF0" w14:textId="77777777" w:rsidR="007A5580" w:rsidRPr="007A5580" w:rsidRDefault="007A5580" w:rsidP="00811294">
      <w:pPr>
        <w:pStyle w:val="Default"/>
        <w:spacing w:after="80"/>
        <w:rPr>
          <w:color w:val="auto"/>
          <w:sz w:val="23"/>
          <w:szCs w:val="23"/>
        </w:rPr>
      </w:pPr>
    </w:p>
    <w:p w14:paraId="4EAC87B9" w14:textId="4BDF9BA6" w:rsidR="007A5580" w:rsidRDefault="007A5580" w:rsidP="00811294">
      <w:pPr>
        <w:pStyle w:val="Default"/>
        <w:pageBreakBefore/>
        <w:spacing w:after="80"/>
        <w:rPr>
          <w:color w:val="auto"/>
          <w:sz w:val="23"/>
          <w:szCs w:val="23"/>
        </w:rPr>
      </w:pPr>
      <w:r w:rsidRPr="007A5580">
        <w:rPr>
          <w:color w:val="auto"/>
          <w:sz w:val="23"/>
          <w:szCs w:val="23"/>
        </w:rPr>
        <w:lastRenderedPageBreak/>
        <w:t xml:space="preserve">Christine Whalin, DM Cantor PLLC </w:t>
      </w:r>
    </w:p>
    <w:p w14:paraId="490A26A6" w14:textId="4576A1F0" w:rsidR="00612A24" w:rsidRPr="00436762" w:rsidRDefault="00612A24" w:rsidP="00811294">
      <w:pPr>
        <w:spacing w:after="80" w:line="240" w:lineRule="auto"/>
        <w:rPr>
          <w:rFonts w:ascii="Times New Roman" w:hAnsi="Times New Roman" w:cs="Times New Roman"/>
          <w:sz w:val="23"/>
          <w:szCs w:val="23"/>
        </w:rPr>
      </w:pPr>
      <w:r w:rsidRPr="00436762">
        <w:rPr>
          <w:rFonts w:ascii="Times New Roman" w:hAnsi="Times New Roman" w:cs="Times New Roman"/>
          <w:sz w:val="23"/>
          <w:szCs w:val="23"/>
        </w:rPr>
        <w:t>Brian Clymer, Esq.</w:t>
      </w:r>
    </w:p>
    <w:p w14:paraId="4AD8F1D6" w14:textId="78044856" w:rsidR="00BB3225" w:rsidRDefault="00BB3225" w:rsidP="00811294">
      <w:pPr>
        <w:spacing w:after="80" w:line="240" w:lineRule="auto"/>
        <w:rPr>
          <w:rFonts w:ascii="Times New Roman" w:hAnsi="Times New Roman" w:cs="Times New Roman"/>
          <w:sz w:val="23"/>
          <w:szCs w:val="23"/>
        </w:rPr>
      </w:pPr>
      <w:r w:rsidRPr="00436762">
        <w:rPr>
          <w:rFonts w:ascii="Times New Roman" w:hAnsi="Times New Roman" w:cs="Times New Roman"/>
          <w:sz w:val="23"/>
          <w:szCs w:val="23"/>
        </w:rPr>
        <w:t xml:space="preserve">Timothy </w:t>
      </w:r>
      <w:proofErr w:type="spellStart"/>
      <w:r w:rsidRPr="00436762">
        <w:rPr>
          <w:rFonts w:ascii="Times New Roman" w:hAnsi="Times New Roman" w:cs="Times New Roman"/>
          <w:sz w:val="23"/>
          <w:szCs w:val="23"/>
        </w:rPr>
        <w:t>Medcoff</w:t>
      </w:r>
      <w:proofErr w:type="spellEnd"/>
      <w:r w:rsidR="003F46CA">
        <w:rPr>
          <w:rFonts w:ascii="Times New Roman" w:hAnsi="Times New Roman" w:cs="Times New Roman"/>
          <w:sz w:val="23"/>
          <w:szCs w:val="23"/>
        </w:rPr>
        <w:t>,</w:t>
      </w:r>
      <w:r w:rsidRPr="00436762">
        <w:rPr>
          <w:rFonts w:ascii="Times New Roman" w:hAnsi="Times New Roman" w:cs="Times New Roman"/>
          <w:sz w:val="23"/>
          <w:szCs w:val="23"/>
        </w:rPr>
        <w:t xml:space="preserve"> Farhang &amp; </w:t>
      </w:r>
      <w:proofErr w:type="spellStart"/>
      <w:r w:rsidRPr="00436762">
        <w:rPr>
          <w:rFonts w:ascii="Times New Roman" w:hAnsi="Times New Roman" w:cs="Times New Roman"/>
          <w:sz w:val="23"/>
          <w:szCs w:val="23"/>
        </w:rPr>
        <w:t>Medcoff</w:t>
      </w:r>
      <w:proofErr w:type="spellEnd"/>
      <w:r w:rsidR="00F63C09">
        <w:rPr>
          <w:rFonts w:ascii="Times New Roman" w:hAnsi="Times New Roman" w:cs="Times New Roman"/>
          <w:sz w:val="23"/>
          <w:szCs w:val="23"/>
        </w:rPr>
        <w:t xml:space="preserve"> PLLC</w:t>
      </w:r>
    </w:p>
    <w:p w14:paraId="3A3C4F38" w14:textId="4C6D79FC" w:rsidR="00187019" w:rsidRDefault="00187019" w:rsidP="00811294">
      <w:pPr>
        <w:spacing w:after="80" w:line="240" w:lineRule="auto"/>
        <w:rPr>
          <w:rFonts w:ascii="Times New Roman" w:hAnsi="Times New Roman" w:cs="Times New Roman"/>
          <w:sz w:val="23"/>
          <w:szCs w:val="23"/>
        </w:rPr>
      </w:pPr>
      <w:r>
        <w:rPr>
          <w:rFonts w:ascii="Times New Roman" w:hAnsi="Times New Roman" w:cs="Times New Roman"/>
          <w:sz w:val="23"/>
          <w:szCs w:val="23"/>
        </w:rPr>
        <w:t>Nicole M. Goodwin, Greenberg Traurig LLP</w:t>
      </w:r>
    </w:p>
    <w:p w14:paraId="1CDBDD35" w14:textId="63688746" w:rsidR="00187019" w:rsidRPr="00436762" w:rsidRDefault="00187019" w:rsidP="00811294">
      <w:pPr>
        <w:spacing w:after="80" w:line="240" w:lineRule="auto"/>
        <w:rPr>
          <w:rFonts w:ascii="Times New Roman" w:hAnsi="Times New Roman" w:cs="Times New Roman"/>
          <w:sz w:val="23"/>
          <w:szCs w:val="23"/>
        </w:rPr>
      </w:pPr>
      <w:r>
        <w:rPr>
          <w:rFonts w:ascii="Times New Roman" w:hAnsi="Times New Roman" w:cs="Times New Roman"/>
          <w:sz w:val="23"/>
          <w:szCs w:val="23"/>
        </w:rPr>
        <w:t>Jeremy Zangara, Greenberg Traurig LLP</w:t>
      </w:r>
    </w:p>
    <w:p w14:paraId="1BF6A0B3" w14:textId="77777777" w:rsidR="007A5580" w:rsidRPr="007A5580" w:rsidRDefault="007A5580" w:rsidP="00811294">
      <w:pPr>
        <w:pStyle w:val="Default"/>
        <w:spacing w:after="80"/>
        <w:rPr>
          <w:color w:val="auto"/>
          <w:sz w:val="23"/>
          <w:szCs w:val="23"/>
        </w:rPr>
      </w:pPr>
      <w:r w:rsidRPr="007A5580">
        <w:rPr>
          <w:color w:val="auto"/>
          <w:sz w:val="23"/>
          <w:szCs w:val="23"/>
        </w:rPr>
        <w:t xml:space="preserve">James Goodnow, </w:t>
      </w:r>
      <w:proofErr w:type="spellStart"/>
      <w:r w:rsidRPr="007A5580">
        <w:rPr>
          <w:color w:val="auto"/>
          <w:sz w:val="23"/>
          <w:szCs w:val="23"/>
        </w:rPr>
        <w:t>Fennemore</w:t>
      </w:r>
      <w:proofErr w:type="spellEnd"/>
      <w:r w:rsidRPr="007A5580">
        <w:rPr>
          <w:color w:val="auto"/>
          <w:sz w:val="23"/>
          <w:szCs w:val="23"/>
        </w:rPr>
        <w:t xml:space="preserve"> </w:t>
      </w:r>
    </w:p>
    <w:p w14:paraId="5F7FA946" w14:textId="1330199B" w:rsidR="007A5580" w:rsidRDefault="007A5580" w:rsidP="00811294">
      <w:pPr>
        <w:pStyle w:val="Default"/>
        <w:spacing w:after="80"/>
        <w:rPr>
          <w:color w:val="auto"/>
          <w:sz w:val="23"/>
          <w:szCs w:val="23"/>
        </w:rPr>
      </w:pPr>
      <w:r w:rsidRPr="007A5580">
        <w:rPr>
          <w:color w:val="auto"/>
          <w:sz w:val="23"/>
          <w:szCs w:val="23"/>
        </w:rPr>
        <w:t xml:space="preserve">Kevin E. O’Malley, Gallagher &amp; Kennedy, PA </w:t>
      </w:r>
    </w:p>
    <w:p w14:paraId="0A1067E2" w14:textId="77777777" w:rsidR="00B46319" w:rsidRPr="00436762" w:rsidRDefault="00B46319" w:rsidP="00811294">
      <w:pPr>
        <w:spacing w:after="80" w:line="240" w:lineRule="auto"/>
        <w:rPr>
          <w:rFonts w:ascii="Times New Roman" w:hAnsi="Times New Roman" w:cs="Times New Roman"/>
          <w:sz w:val="23"/>
          <w:szCs w:val="23"/>
        </w:rPr>
      </w:pPr>
      <w:r w:rsidRPr="00436762">
        <w:rPr>
          <w:rFonts w:ascii="Times New Roman" w:hAnsi="Times New Roman" w:cs="Times New Roman"/>
          <w:sz w:val="23"/>
          <w:szCs w:val="23"/>
        </w:rPr>
        <w:t>Lawrence M. Hecker, Hecker Pew PLLC</w:t>
      </w:r>
    </w:p>
    <w:p w14:paraId="3F8DCFC0" w14:textId="27387A73" w:rsidR="007A5580" w:rsidRPr="007A5580" w:rsidRDefault="007A5580" w:rsidP="00811294">
      <w:pPr>
        <w:pStyle w:val="Default"/>
        <w:spacing w:after="80"/>
        <w:rPr>
          <w:color w:val="auto"/>
          <w:sz w:val="23"/>
          <w:szCs w:val="23"/>
        </w:rPr>
      </w:pPr>
      <w:r w:rsidRPr="007A5580">
        <w:rPr>
          <w:color w:val="auto"/>
          <w:sz w:val="23"/>
          <w:szCs w:val="23"/>
        </w:rPr>
        <w:t xml:space="preserve">John G. </w:t>
      </w:r>
      <w:proofErr w:type="spellStart"/>
      <w:r w:rsidRPr="007A5580">
        <w:rPr>
          <w:color w:val="auto"/>
          <w:sz w:val="23"/>
          <w:szCs w:val="23"/>
        </w:rPr>
        <w:t>Sinodis</w:t>
      </w:r>
      <w:proofErr w:type="spellEnd"/>
      <w:r w:rsidRPr="007A5580">
        <w:rPr>
          <w:color w:val="auto"/>
          <w:sz w:val="23"/>
          <w:szCs w:val="23"/>
        </w:rPr>
        <w:t xml:space="preserve">, Jennings Haug Keleher McLeod </w:t>
      </w:r>
      <w:r w:rsidR="00F63C09">
        <w:rPr>
          <w:color w:val="auto"/>
          <w:sz w:val="23"/>
          <w:szCs w:val="23"/>
        </w:rPr>
        <w:t>LLP</w:t>
      </w:r>
    </w:p>
    <w:p w14:paraId="3E67D31D" w14:textId="77777777" w:rsidR="007A5580" w:rsidRDefault="007A5580" w:rsidP="00811294">
      <w:pPr>
        <w:pStyle w:val="Default"/>
        <w:spacing w:after="80"/>
        <w:rPr>
          <w:color w:val="auto"/>
          <w:sz w:val="23"/>
          <w:szCs w:val="23"/>
        </w:rPr>
      </w:pPr>
      <w:r w:rsidRPr="007A5580">
        <w:rPr>
          <w:color w:val="auto"/>
          <w:sz w:val="23"/>
          <w:szCs w:val="23"/>
        </w:rPr>
        <w:t xml:space="preserve">Sean J. O’Hara, </w:t>
      </w:r>
      <w:proofErr w:type="spellStart"/>
      <w:r w:rsidRPr="007A5580">
        <w:rPr>
          <w:color w:val="auto"/>
          <w:sz w:val="23"/>
          <w:szCs w:val="23"/>
        </w:rPr>
        <w:t>Kercsmar</w:t>
      </w:r>
      <w:proofErr w:type="spellEnd"/>
      <w:r w:rsidRPr="007A5580">
        <w:rPr>
          <w:color w:val="auto"/>
          <w:sz w:val="23"/>
          <w:szCs w:val="23"/>
        </w:rPr>
        <w:t xml:space="preserve"> &amp; O’Hara LLC </w:t>
      </w:r>
    </w:p>
    <w:p w14:paraId="3F8574E3" w14:textId="77777777" w:rsidR="002214E9" w:rsidRPr="00436762" w:rsidRDefault="002214E9" w:rsidP="00811294">
      <w:pPr>
        <w:spacing w:after="80" w:line="240" w:lineRule="auto"/>
        <w:rPr>
          <w:rFonts w:ascii="Times New Roman" w:hAnsi="Times New Roman" w:cs="Times New Roman"/>
          <w:sz w:val="23"/>
          <w:szCs w:val="23"/>
        </w:rPr>
      </w:pPr>
      <w:r w:rsidRPr="00436762">
        <w:rPr>
          <w:rFonts w:ascii="Times New Roman" w:hAnsi="Times New Roman" w:cs="Times New Roman"/>
          <w:sz w:val="23"/>
          <w:szCs w:val="23"/>
        </w:rPr>
        <w:t>E. Hardy Smith, Lawyer &amp; Mediator</w:t>
      </w:r>
    </w:p>
    <w:p w14:paraId="301ADBA0" w14:textId="77777777" w:rsidR="007A5580" w:rsidRDefault="007A5580" w:rsidP="00811294">
      <w:pPr>
        <w:pStyle w:val="Default"/>
        <w:spacing w:after="80"/>
        <w:rPr>
          <w:color w:val="auto"/>
          <w:sz w:val="23"/>
          <w:szCs w:val="23"/>
        </w:rPr>
      </w:pPr>
      <w:r w:rsidRPr="007A5580">
        <w:rPr>
          <w:color w:val="auto"/>
          <w:sz w:val="23"/>
          <w:szCs w:val="23"/>
        </w:rPr>
        <w:t xml:space="preserve">Kenneth Van Winkle, Jr., Lewis Roca </w:t>
      </w:r>
    </w:p>
    <w:p w14:paraId="6634F620" w14:textId="059076DA" w:rsidR="00BB3225" w:rsidRPr="00436762" w:rsidRDefault="00BB3225" w:rsidP="00811294">
      <w:pPr>
        <w:spacing w:after="80" w:line="240" w:lineRule="auto"/>
        <w:rPr>
          <w:rFonts w:ascii="Times New Roman" w:hAnsi="Times New Roman" w:cs="Times New Roman"/>
          <w:sz w:val="23"/>
          <w:szCs w:val="23"/>
        </w:rPr>
      </w:pPr>
      <w:r w:rsidRPr="00436762">
        <w:rPr>
          <w:rFonts w:ascii="Times New Roman" w:hAnsi="Times New Roman" w:cs="Times New Roman"/>
          <w:sz w:val="23"/>
          <w:szCs w:val="23"/>
        </w:rPr>
        <w:t>Sam Daniels, McEvoy, Daniels &amp; Darcy, PC</w:t>
      </w:r>
    </w:p>
    <w:p w14:paraId="090E06FC" w14:textId="77777777" w:rsidR="00B46319" w:rsidRPr="00436762" w:rsidRDefault="00B46319" w:rsidP="00811294">
      <w:pPr>
        <w:spacing w:after="80" w:line="240" w:lineRule="auto"/>
        <w:rPr>
          <w:rFonts w:ascii="Times New Roman" w:hAnsi="Times New Roman" w:cs="Times New Roman"/>
          <w:sz w:val="23"/>
          <w:szCs w:val="23"/>
        </w:rPr>
      </w:pPr>
      <w:r w:rsidRPr="00436762">
        <w:rPr>
          <w:rFonts w:ascii="Times New Roman" w:hAnsi="Times New Roman" w:cs="Times New Roman"/>
          <w:sz w:val="23"/>
          <w:szCs w:val="23"/>
        </w:rPr>
        <w:t>Jonathan Rothschild, Mesch, Clark, Rothschild</w:t>
      </w:r>
    </w:p>
    <w:p w14:paraId="116845AC" w14:textId="469EDE77" w:rsidR="007A5580" w:rsidRDefault="007A5580" w:rsidP="00811294">
      <w:pPr>
        <w:pStyle w:val="Default"/>
        <w:spacing w:after="80"/>
        <w:rPr>
          <w:color w:val="auto"/>
          <w:sz w:val="23"/>
          <w:szCs w:val="23"/>
        </w:rPr>
      </w:pPr>
      <w:r w:rsidRPr="007A5580">
        <w:rPr>
          <w:color w:val="auto"/>
          <w:sz w:val="23"/>
          <w:szCs w:val="23"/>
        </w:rPr>
        <w:t xml:space="preserve">Scott W. Rodgers, Osborn </w:t>
      </w:r>
      <w:proofErr w:type="spellStart"/>
      <w:r w:rsidRPr="007A5580">
        <w:rPr>
          <w:color w:val="auto"/>
          <w:sz w:val="23"/>
          <w:szCs w:val="23"/>
        </w:rPr>
        <w:t>Maledon</w:t>
      </w:r>
      <w:proofErr w:type="spellEnd"/>
      <w:r w:rsidRPr="007A5580">
        <w:rPr>
          <w:color w:val="auto"/>
          <w:sz w:val="23"/>
          <w:szCs w:val="23"/>
        </w:rPr>
        <w:t xml:space="preserve">, PA </w:t>
      </w:r>
    </w:p>
    <w:p w14:paraId="684581F7" w14:textId="635293E1" w:rsidR="007A5580" w:rsidRPr="007A5580" w:rsidRDefault="007A5580" w:rsidP="00811294">
      <w:pPr>
        <w:pStyle w:val="Default"/>
        <w:spacing w:after="80"/>
        <w:rPr>
          <w:color w:val="auto"/>
          <w:sz w:val="23"/>
          <w:szCs w:val="23"/>
        </w:rPr>
      </w:pPr>
      <w:r w:rsidRPr="007A5580">
        <w:rPr>
          <w:color w:val="auto"/>
          <w:sz w:val="23"/>
          <w:szCs w:val="23"/>
        </w:rPr>
        <w:t xml:space="preserve">Scott J. Palumbo, Palumbo Wolfe &amp; Palumbo, PC </w:t>
      </w:r>
    </w:p>
    <w:p w14:paraId="4D97E08F" w14:textId="77777777" w:rsidR="007A5580" w:rsidRPr="007A5580" w:rsidRDefault="007A5580" w:rsidP="00811294">
      <w:pPr>
        <w:pStyle w:val="Default"/>
        <w:spacing w:after="80"/>
        <w:rPr>
          <w:color w:val="auto"/>
          <w:sz w:val="23"/>
          <w:szCs w:val="23"/>
        </w:rPr>
      </w:pPr>
      <w:r w:rsidRPr="007A5580">
        <w:rPr>
          <w:color w:val="auto"/>
          <w:sz w:val="23"/>
          <w:szCs w:val="23"/>
        </w:rPr>
        <w:t xml:space="preserve">Todd R. Kerr, Perkins </w:t>
      </w:r>
      <w:proofErr w:type="spellStart"/>
      <w:r w:rsidRPr="007A5580">
        <w:rPr>
          <w:color w:val="auto"/>
          <w:sz w:val="23"/>
          <w:szCs w:val="23"/>
        </w:rPr>
        <w:t>Coie</w:t>
      </w:r>
      <w:proofErr w:type="spellEnd"/>
      <w:r w:rsidRPr="007A5580">
        <w:rPr>
          <w:color w:val="auto"/>
          <w:sz w:val="23"/>
          <w:szCs w:val="23"/>
        </w:rPr>
        <w:t xml:space="preserve"> LLP </w:t>
      </w:r>
    </w:p>
    <w:p w14:paraId="568EA324" w14:textId="77777777" w:rsidR="007A5580" w:rsidRPr="007A5580" w:rsidRDefault="007A5580" w:rsidP="00811294">
      <w:pPr>
        <w:pStyle w:val="Default"/>
        <w:spacing w:after="80"/>
        <w:rPr>
          <w:color w:val="auto"/>
          <w:sz w:val="23"/>
          <w:szCs w:val="23"/>
        </w:rPr>
      </w:pPr>
      <w:r w:rsidRPr="007A5580">
        <w:rPr>
          <w:color w:val="auto"/>
          <w:sz w:val="23"/>
          <w:szCs w:val="23"/>
        </w:rPr>
        <w:t xml:space="preserve">Phillip P. Guttilla, Polsinelli </w:t>
      </w:r>
    </w:p>
    <w:p w14:paraId="39158A13" w14:textId="77777777" w:rsidR="007A5580" w:rsidRDefault="007A5580" w:rsidP="00811294">
      <w:pPr>
        <w:pStyle w:val="Default"/>
        <w:spacing w:after="80"/>
        <w:rPr>
          <w:color w:val="auto"/>
          <w:sz w:val="23"/>
          <w:szCs w:val="23"/>
        </w:rPr>
      </w:pPr>
      <w:r w:rsidRPr="007A5580">
        <w:rPr>
          <w:color w:val="auto"/>
          <w:sz w:val="23"/>
          <w:szCs w:val="23"/>
        </w:rPr>
        <w:t xml:space="preserve">Jason Wood, Quarles &amp; Brady LLP </w:t>
      </w:r>
    </w:p>
    <w:p w14:paraId="7CD9DE04" w14:textId="0B1A5EBC" w:rsidR="00A20A17" w:rsidRDefault="00A20A17" w:rsidP="00811294">
      <w:pPr>
        <w:pStyle w:val="Default"/>
        <w:spacing w:after="80"/>
        <w:rPr>
          <w:color w:val="auto"/>
          <w:sz w:val="23"/>
          <w:szCs w:val="23"/>
        </w:rPr>
      </w:pPr>
      <w:r>
        <w:rPr>
          <w:color w:val="auto"/>
          <w:sz w:val="23"/>
          <w:szCs w:val="23"/>
        </w:rPr>
        <w:t>Brandon B. Rafi, Rafi Law Group</w:t>
      </w:r>
      <w:r w:rsidR="000D6E0C">
        <w:rPr>
          <w:color w:val="auto"/>
          <w:sz w:val="23"/>
          <w:szCs w:val="23"/>
        </w:rPr>
        <w:t xml:space="preserve"> PLLC</w:t>
      </w:r>
    </w:p>
    <w:p w14:paraId="7BB156C9" w14:textId="77777777" w:rsidR="00B46319" w:rsidRPr="00436762" w:rsidRDefault="00B46319" w:rsidP="00811294">
      <w:pPr>
        <w:spacing w:after="80" w:line="240" w:lineRule="auto"/>
        <w:rPr>
          <w:rFonts w:ascii="Times New Roman" w:hAnsi="Times New Roman" w:cs="Times New Roman"/>
          <w:sz w:val="23"/>
          <w:szCs w:val="23"/>
        </w:rPr>
      </w:pPr>
      <w:r w:rsidRPr="00436762">
        <w:rPr>
          <w:rFonts w:ascii="Times New Roman" w:hAnsi="Times New Roman" w:cs="Times New Roman"/>
          <w:sz w:val="23"/>
          <w:szCs w:val="23"/>
        </w:rPr>
        <w:t>Leighton H. Rockafellow, Rockafellow Law Firm</w:t>
      </w:r>
    </w:p>
    <w:p w14:paraId="0A5EC742" w14:textId="77777777" w:rsidR="007A5580" w:rsidRDefault="007A5580" w:rsidP="00811294">
      <w:pPr>
        <w:pStyle w:val="Default"/>
        <w:spacing w:after="80"/>
        <w:rPr>
          <w:color w:val="auto"/>
          <w:sz w:val="23"/>
          <w:szCs w:val="23"/>
        </w:rPr>
      </w:pPr>
      <w:r w:rsidRPr="007A5580">
        <w:rPr>
          <w:color w:val="auto"/>
          <w:sz w:val="23"/>
          <w:szCs w:val="23"/>
        </w:rPr>
        <w:t xml:space="preserve">Jordan R. Rose, Rose Law Group PC </w:t>
      </w:r>
    </w:p>
    <w:p w14:paraId="6A4B915D" w14:textId="77777777" w:rsidR="00B46319" w:rsidRPr="00436762" w:rsidRDefault="00B46319" w:rsidP="00811294">
      <w:pPr>
        <w:spacing w:after="80" w:line="240" w:lineRule="auto"/>
        <w:rPr>
          <w:rFonts w:ascii="Times New Roman" w:hAnsi="Times New Roman" w:cs="Times New Roman"/>
          <w:sz w:val="23"/>
          <w:szCs w:val="23"/>
        </w:rPr>
      </w:pPr>
      <w:r w:rsidRPr="00436762">
        <w:rPr>
          <w:rFonts w:ascii="Times New Roman" w:hAnsi="Times New Roman" w:cs="Times New Roman"/>
          <w:sz w:val="23"/>
          <w:szCs w:val="23"/>
        </w:rPr>
        <w:t>Mark Rubin, Rubin &amp; Bernstein PLLC</w:t>
      </w:r>
    </w:p>
    <w:p w14:paraId="06408353" w14:textId="77777777" w:rsidR="00BB3225" w:rsidRPr="00436762" w:rsidRDefault="00BB3225" w:rsidP="00811294">
      <w:pPr>
        <w:spacing w:after="80" w:line="240" w:lineRule="auto"/>
        <w:rPr>
          <w:rFonts w:ascii="Times New Roman" w:hAnsi="Times New Roman" w:cs="Times New Roman"/>
          <w:sz w:val="23"/>
          <w:szCs w:val="23"/>
        </w:rPr>
      </w:pPr>
      <w:r w:rsidRPr="00436762">
        <w:rPr>
          <w:rFonts w:ascii="Times New Roman" w:hAnsi="Times New Roman" w:cs="Times New Roman"/>
          <w:sz w:val="23"/>
          <w:szCs w:val="23"/>
        </w:rPr>
        <w:t>Russell B. Stowers, Russell B. Stowers PLLC</w:t>
      </w:r>
    </w:p>
    <w:p w14:paraId="710EE5F9" w14:textId="0759F020" w:rsidR="007A5580" w:rsidRDefault="007A5580" w:rsidP="00811294">
      <w:pPr>
        <w:pStyle w:val="Default"/>
        <w:spacing w:after="80"/>
        <w:rPr>
          <w:color w:val="auto"/>
          <w:sz w:val="23"/>
          <w:szCs w:val="23"/>
        </w:rPr>
      </w:pPr>
      <w:r w:rsidRPr="007A5580">
        <w:rPr>
          <w:color w:val="auto"/>
          <w:sz w:val="23"/>
          <w:szCs w:val="23"/>
        </w:rPr>
        <w:t>Bryan J. Gottfredson, Sacks Tierney</w:t>
      </w:r>
      <w:r w:rsidR="00F63C09">
        <w:rPr>
          <w:color w:val="auto"/>
          <w:sz w:val="23"/>
          <w:szCs w:val="23"/>
        </w:rPr>
        <w:t>,</w:t>
      </w:r>
      <w:r w:rsidRPr="007A5580">
        <w:rPr>
          <w:color w:val="auto"/>
          <w:sz w:val="23"/>
          <w:szCs w:val="23"/>
        </w:rPr>
        <w:t xml:space="preserve"> </w:t>
      </w:r>
      <w:r w:rsidR="00F63C09">
        <w:rPr>
          <w:color w:val="auto"/>
          <w:sz w:val="23"/>
          <w:szCs w:val="23"/>
        </w:rPr>
        <w:t>PA</w:t>
      </w:r>
    </w:p>
    <w:p w14:paraId="03C35522" w14:textId="423EE382" w:rsidR="00AF434B" w:rsidRPr="007A5580" w:rsidRDefault="00AF434B" w:rsidP="00811294">
      <w:pPr>
        <w:pStyle w:val="Default"/>
        <w:spacing w:after="80"/>
        <w:rPr>
          <w:color w:val="auto"/>
          <w:sz w:val="23"/>
          <w:szCs w:val="23"/>
        </w:rPr>
      </w:pPr>
      <w:r>
        <w:rPr>
          <w:color w:val="auto"/>
          <w:sz w:val="23"/>
          <w:szCs w:val="23"/>
        </w:rPr>
        <w:t xml:space="preserve">Ted A. Schmidt, Schmidt, Sethi &amp; </w:t>
      </w:r>
      <w:proofErr w:type="spellStart"/>
      <w:r>
        <w:rPr>
          <w:color w:val="auto"/>
          <w:sz w:val="23"/>
          <w:szCs w:val="23"/>
        </w:rPr>
        <w:t>Akmajian</w:t>
      </w:r>
      <w:proofErr w:type="spellEnd"/>
      <w:r>
        <w:rPr>
          <w:color w:val="auto"/>
          <w:sz w:val="23"/>
          <w:szCs w:val="23"/>
        </w:rPr>
        <w:t xml:space="preserve"> PC</w:t>
      </w:r>
    </w:p>
    <w:p w14:paraId="639967BB" w14:textId="3705D21B" w:rsidR="007A5580" w:rsidRPr="007A5580" w:rsidRDefault="007A5580" w:rsidP="00811294">
      <w:pPr>
        <w:pStyle w:val="Default"/>
        <w:spacing w:after="80"/>
        <w:rPr>
          <w:color w:val="auto"/>
          <w:sz w:val="23"/>
          <w:szCs w:val="23"/>
        </w:rPr>
      </w:pPr>
      <w:r w:rsidRPr="007A5580">
        <w:rPr>
          <w:color w:val="auto"/>
          <w:sz w:val="23"/>
          <w:szCs w:val="23"/>
        </w:rPr>
        <w:t>Barbara J. Dawson, Snell &amp; Wilmer LLP</w:t>
      </w:r>
    </w:p>
    <w:p w14:paraId="0F2D6EE4" w14:textId="77777777" w:rsidR="007A5580" w:rsidRPr="007A5580" w:rsidRDefault="007A5580" w:rsidP="00811294">
      <w:pPr>
        <w:pStyle w:val="Default"/>
        <w:spacing w:after="80"/>
        <w:rPr>
          <w:color w:val="auto"/>
          <w:sz w:val="23"/>
          <w:szCs w:val="23"/>
        </w:rPr>
      </w:pPr>
      <w:r w:rsidRPr="007A5580">
        <w:rPr>
          <w:color w:val="auto"/>
          <w:sz w:val="23"/>
          <w:szCs w:val="23"/>
        </w:rPr>
        <w:t xml:space="preserve">David E. Funkhouser III, Spencer Fane LLP </w:t>
      </w:r>
    </w:p>
    <w:p w14:paraId="5D03E144" w14:textId="77777777" w:rsidR="007A5580" w:rsidRDefault="007A5580" w:rsidP="00811294">
      <w:pPr>
        <w:pStyle w:val="Default"/>
        <w:spacing w:after="80"/>
        <w:rPr>
          <w:color w:val="auto"/>
          <w:sz w:val="23"/>
          <w:szCs w:val="23"/>
        </w:rPr>
      </w:pPr>
      <w:r w:rsidRPr="007A5580">
        <w:rPr>
          <w:color w:val="auto"/>
          <w:sz w:val="23"/>
          <w:szCs w:val="23"/>
        </w:rPr>
        <w:t xml:space="preserve">Lonnie J. Williams, Jr., Stinson LLP </w:t>
      </w:r>
    </w:p>
    <w:p w14:paraId="04D6F03A" w14:textId="7A39E555" w:rsidR="005D607A" w:rsidRDefault="005D607A" w:rsidP="00811294">
      <w:pPr>
        <w:pStyle w:val="Default"/>
        <w:spacing w:after="80"/>
        <w:rPr>
          <w:color w:val="auto"/>
          <w:sz w:val="23"/>
          <w:szCs w:val="23"/>
        </w:rPr>
      </w:pPr>
      <w:r>
        <w:rPr>
          <w:color w:val="auto"/>
          <w:sz w:val="23"/>
          <w:szCs w:val="23"/>
        </w:rPr>
        <w:t>Benjamin Taylor, Taylor &amp; Gomez LLP</w:t>
      </w:r>
    </w:p>
    <w:p w14:paraId="44BAB0B6" w14:textId="77777777" w:rsidR="00612A24" w:rsidRDefault="00612A24" w:rsidP="00811294">
      <w:pPr>
        <w:spacing w:after="80" w:line="240" w:lineRule="auto"/>
        <w:rPr>
          <w:rFonts w:ascii="Times New Roman" w:hAnsi="Times New Roman" w:cs="Times New Roman"/>
          <w:sz w:val="23"/>
          <w:szCs w:val="23"/>
        </w:rPr>
      </w:pPr>
      <w:r w:rsidRPr="00436762">
        <w:rPr>
          <w:rFonts w:ascii="Times New Roman" w:hAnsi="Times New Roman" w:cs="Times New Roman"/>
          <w:sz w:val="23"/>
          <w:szCs w:val="23"/>
        </w:rPr>
        <w:t>Ronald D. Mercaldo, The Mercaldo Law Firm</w:t>
      </w:r>
    </w:p>
    <w:p w14:paraId="0536833F" w14:textId="3EA0D544" w:rsidR="00A20A17" w:rsidRPr="00436762" w:rsidRDefault="00A20A17" w:rsidP="00811294">
      <w:pPr>
        <w:spacing w:after="80" w:line="240" w:lineRule="auto"/>
        <w:rPr>
          <w:rFonts w:ascii="Times New Roman" w:hAnsi="Times New Roman" w:cs="Times New Roman"/>
          <w:sz w:val="23"/>
          <w:szCs w:val="23"/>
        </w:rPr>
      </w:pPr>
      <w:r>
        <w:rPr>
          <w:rFonts w:ascii="Times New Roman" w:hAnsi="Times New Roman" w:cs="Times New Roman"/>
          <w:sz w:val="23"/>
          <w:szCs w:val="23"/>
        </w:rPr>
        <w:t>Lynda C. Shely, The Shely Firm, PC</w:t>
      </w:r>
    </w:p>
    <w:p w14:paraId="78E5CFA2" w14:textId="1030BF51" w:rsidR="007A5580" w:rsidRDefault="007A5580" w:rsidP="00811294">
      <w:pPr>
        <w:pStyle w:val="Default"/>
        <w:spacing w:after="80"/>
        <w:rPr>
          <w:color w:val="auto"/>
          <w:sz w:val="23"/>
          <w:szCs w:val="23"/>
        </w:rPr>
      </w:pPr>
      <w:r w:rsidRPr="007A5580">
        <w:rPr>
          <w:color w:val="auto"/>
          <w:sz w:val="23"/>
          <w:szCs w:val="23"/>
        </w:rPr>
        <w:t>Mark S. Bosco, Tiffany &amp; Bosco, PA</w:t>
      </w:r>
    </w:p>
    <w:p w14:paraId="03F6EF6C" w14:textId="54F609ED" w:rsidR="00A20A17" w:rsidRDefault="00A20A17" w:rsidP="00811294">
      <w:pPr>
        <w:spacing w:after="80"/>
        <w:rPr>
          <w:rFonts w:ascii="Times New Roman" w:hAnsi="Times New Roman" w:cs="Times New Roman"/>
          <w:sz w:val="23"/>
          <w:szCs w:val="23"/>
        </w:rPr>
      </w:pPr>
      <w:r>
        <w:rPr>
          <w:rFonts w:ascii="Times New Roman" w:hAnsi="Times New Roman" w:cs="Times New Roman"/>
          <w:sz w:val="23"/>
          <w:szCs w:val="23"/>
        </w:rPr>
        <w:t>Stephen L. West, Udall Shumway</w:t>
      </w:r>
      <w:r w:rsidR="000D6E0C">
        <w:rPr>
          <w:rFonts w:ascii="Times New Roman" w:hAnsi="Times New Roman" w:cs="Times New Roman"/>
          <w:sz w:val="23"/>
          <w:szCs w:val="23"/>
        </w:rPr>
        <w:t xml:space="preserve"> PLC</w:t>
      </w:r>
    </w:p>
    <w:p w14:paraId="683DEAC7" w14:textId="77777777" w:rsidR="005D607A" w:rsidRDefault="007A5580" w:rsidP="00811294">
      <w:pPr>
        <w:spacing w:after="80"/>
        <w:rPr>
          <w:rFonts w:ascii="Times New Roman" w:hAnsi="Times New Roman" w:cs="Times New Roman"/>
          <w:sz w:val="23"/>
          <w:szCs w:val="23"/>
        </w:rPr>
      </w:pPr>
      <w:r w:rsidRPr="007A5580">
        <w:rPr>
          <w:rFonts w:ascii="Times New Roman" w:hAnsi="Times New Roman" w:cs="Times New Roman"/>
          <w:sz w:val="23"/>
          <w:szCs w:val="23"/>
        </w:rPr>
        <w:t>Troy A. Wallin, Wallin Hester PLC</w:t>
      </w:r>
    </w:p>
    <w:p w14:paraId="2B27B0CE" w14:textId="571FA624" w:rsidR="007A5580" w:rsidRPr="007A5580" w:rsidRDefault="007A5580" w:rsidP="00811294">
      <w:pPr>
        <w:spacing w:after="80"/>
        <w:rPr>
          <w:rFonts w:ascii="Times New Roman" w:hAnsi="Times New Roman" w:cs="Times New Roman"/>
          <w:sz w:val="23"/>
          <w:szCs w:val="23"/>
        </w:rPr>
      </w:pPr>
      <w:r w:rsidRPr="00436762">
        <w:rPr>
          <w:rFonts w:ascii="Times New Roman" w:hAnsi="Times New Roman" w:cs="Times New Roman"/>
          <w:sz w:val="23"/>
          <w:szCs w:val="23"/>
        </w:rPr>
        <w:t>James Whitehill, Whitehill Law Offices, PC</w:t>
      </w:r>
    </w:p>
    <w:sectPr w:rsidR="007A5580" w:rsidRPr="007A5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80"/>
    <w:rsid w:val="000A1335"/>
    <w:rsid w:val="000D6E0C"/>
    <w:rsid w:val="00112F7F"/>
    <w:rsid w:val="00187019"/>
    <w:rsid w:val="002214E9"/>
    <w:rsid w:val="003956BE"/>
    <w:rsid w:val="003E7EE3"/>
    <w:rsid w:val="003F46CA"/>
    <w:rsid w:val="00436762"/>
    <w:rsid w:val="004560AB"/>
    <w:rsid w:val="005D607A"/>
    <w:rsid w:val="00612A24"/>
    <w:rsid w:val="007A5580"/>
    <w:rsid w:val="00811294"/>
    <w:rsid w:val="008F7AC2"/>
    <w:rsid w:val="009060FC"/>
    <w:rsid w:val="00A20A17"/>
    <w:rsid w:val="00A63DD8"/>
    <w:rsid w:val="00AF434B"/>
    <w:rsid w:val="00B46319"/>
    <w:rsid w:val="00BB3225"/>
    <w:rsid w:val="00DB0B51"/>
    <w:rsid w:val="00E45A75"/>
    <w:rsid w:val="00F6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B4FF"/>
  <w15:chartTrackingRefBased/>
  <w15:docId w15:val="{13FC7F38-ACAD-4D3D-A6D7-2B0F3F6F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5580"/>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England</dc:creator>
  <cp:keywords/>
  <dc:description/>
  <cp:lastModifiedBy>Joel England</cp:lastModifiedBy>
  <cp:revision>5</cp:revision>
  <dcterms:created xsi:type="dcterms:W3CDTF">2024-04-29T23:49:00Z</dcterms:created>
  <dcterms:modified xsi:type="dcterms:W3CDTF">2024-04-30T20:40:00Z</dcterms:modified>
</cp:coreProperties>
</file>