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19381" w14:textId="6776144C" w:rsidR="00B45BFC" w:rsidRDefault="001E669E">
      <w:pPr>
        <w:rPr>
          <w:sz w:val="28"/>
          <w:szCs w:val="28"/>
          <w:vertAlign w:val="baseline"/>
        </w:rPr>
      </w:pPr>
      <w:r>
        <w:rPr>
          <w:sz w:val="28"/>
          <w:szCs w:val="28"/>
          <w:vertAlign w:val="baseline"/>
        </w:rPr>
        <w:t>ARIZONA ATTORNEYS FOR CRIMINAL JUSTICE</w:t>
      </w:r>
    </w:p>
    <w:p w14:paraId="0A0E5F80" w14:textId="48D02941" w:rsidR="00976E90" w:rsidRDefault="00976E90">
      <w:pPr>
        <w:rPr>
          <w:sz w:val="28"/>
          <w:szCs w:val="28"/>
          <w:vertAlign w:val="baseline"/>
        </w:rPr>
      </w:pPr>
      <w:r>
        <w:rPr>
          <w:sz w:val="28"/>
          <w:szCs w:val="28"/>
          <w:vertAlign w:val="baseline"/>
        </w:rPr>
        <w:t>Karen S. Smith</w:t>
      </w:r>
      <w:r w:rsidR="00B45BFC">
        <w:rPr>
          <w:sz w:val="28"/>
          <w:szCs w:val="28"/>
          <w:vertAlign w:val="baseline"/>
        </w:rPr>
        <w:t xml:space="preserve">, </w:t>
      </w:r>
      <w:r>
        <w:rPr>
          <w:sz w:val="28"/>
          <w:szCs w:val="28"/>
          <w:vertAlign w:val="baseline"/>
        </w:rPr>
        <w:t>AZ State Bar No. 033494</w:t>
      </w:r>
    </w:p>
    <w:p w14:paraId="0EF187A9" w14:textId="494D82E6" w:rsidR="00976E90" w:rsidRDefault="00976E90">
      <w:pPr>
        <w:rPr>
          <w:sz w:val="28"/>
          <w:szCs w:val="28"/>
          <w:vertAlign w:val="baseline"/>
        </w:rPr>
      </w:pPr>
      <w:r>
        <w:rPr>
          <w:sz w:val="28"/>
          <w:szCs w:val="28"/>
          <w:vertAlign w:val="baseline"/>
        </w:rPr>
        <w:t>4001 N. 3</w:t>
      </w:r>
      <w:r w:rsidRPr="00976E90">
        <w:rPr>
          <w:sz w:val="28"/>
          <w:szCs w:val="28"/>
        </w:rPr>
        <w:t>rd</w:t>
      </w:r>
      <w:r>
        <w:rPr>
          <w:sz w:val="28"/>
          <w:szCs w:val="28"/>
          <w:vertAlign w:val="baseline"/>
        </w:rPr>
        <w:t xml:space="preserve"> Street, Suite 401</w:t>
      </w:r>
    </w:p>
    <w:p w14:paraId="442D8A20" w14:textId="2A9A9D5F" w:rsidR="00976E90" w:rsidRDefault="00976E90">
      <w:pPr>
        <w:rPr>
          <w:sz w:val="28"/>
          <w:szCs w:val="28"/>
          <w:vertAlign w:val="baseline"/>
        </w:rPr>
      </w:pPr>
      <w:r>
        <w:rPr>
          <w:sz w:val="28"/>
          <w:szCs w:val="28"/>
          <w:vertAlign w:val="baseline"/>
        </w:rPr>
        <w:t>Phoenix, AZ 85012</w:t>
      </w:r>
    </w:p>
    <w:p w14:paraId="34A07B96" w14:textId="0FB5731D" w:rsidR="00976E90" w:rsidRDefault="00976E90">
      <w:pPr>
        <w:rPr>
          <w:sz w:val="28"/>
          <w:szCs w:val="28"/>
          <w:vertAlign w:val="baseline"/>
        </w:rPr>
      </w:pPr>
      <w:r>
        <w:rPr>
          <w:sz w:val="28"/>
          <w:szCs w:val="28"/>
          <w:vertAlign w:val="baseline"/>
        </w:rPr>
        <w:t>(602) 844-1217</w:t>
      </w:r>
    </w:p>
    <w:p w14:paraId="0EF7DC30" w14:textId="0FCAC5FA" w:rsidR="00976E90" w:rsidRDefault="00976E90">
      <w:pPr>
        <w:rPr>
          <w:sz w:val="28"/>
          <w:szCs w:val="28"/>
          <w:vertAlign w:val="baseline"/>
        </w:rPr>
      </w:pPr>
      <w:r>
        <w:rPr>
          <w:sz w:val="28"/>
          <w:szCs w:val="28"/>
          <w:vertAlign w:val="baseline"/>
        </w:rPr>
        <w:t>karen.smith@azjusticeproject.org</w:t>
      </w:r>
    </w:p>
    <w:p w14:paraId="02FC38A1" w14:textId="77777777" w:rsidR="006E5AA7" w:rsidRDefault="006E5AA7">
      <w:pPr>
        <w:keepNext/>
        <w:jc w:val="center"/>
        <w:rPr>
          <w:b/>
          <w:sz w:val="28"/>
          <w:szCs w:val="28"/>
          <w:vertAlign w:val="baseline"/>
        </w:rPr>
      </w:pPr>
    </w:p>
    <w:p w14:paraId="21152154" w14:textId="77777777" w:rsidR="006E5AA7" w:rsidRDefault="006E5AA7">
      <w:pPr>
        <w:keepNext/>
        <w:jc w:val="center"/>
        <w:rPr>
          <w:b/>
          <w:sz w:val="28"/>
          <w:szCs w:val="28"/>
          <w:vertAlign w:val="baseline"/>
        </w:rPr>
      </w:pPr>
    </w:p>
    <w:p w14:paraId="42AC46C5" w14:textId="77777777" w:rsidR="006E5AA7" w:rsidRDefault="009E605E">
      <w:pPr>
        <w:keepNext/>
        <w:jc w:val="center"/>
        <w:rPr>
          <w:b/>
          <w:sz w:val="28"/>
          <w:szCs w:val="28"/>
          <w:vertAlign w:val="baseline"/>
        </w:rPr>
      </w:pPr>
      <w:r>
        <w:rPr>
          <w:b/>
          <w:sz w:val="28"/>
          <w:szCs w:val="28"/>
          <w:vertAlign w:val="baseline"/>
        </w:rPr>
        <w:t>IN THE SUPREME COURT</w:t>
      </w:r>
    </w:p>
    <w:p w14:paraId="6623C756" w14:textId="77777777" w:rsidR="006E5AA7" w:rsidRDefault="009E605E">
      <w:pPr>
        <w:keepNext/>
        <w:jc w:val="center"/>
        <w:rPr>
          <w:b/>
          <w:sz w:val="28"/>
          <w:szCs w:val="28"/>
          <w:vertAlign w:val="baseline"/>
        </w:rPr>
      </w:pPr>
      <w:r>
        <w:rPr>
          <w:b/>
          <w:sz w:val="28"/>
          <w:szCs w:val="28"/>
          <w:vertAlign w:val="baseline"/>
        </w:rPr>
        <w:t>IN AND FOR THE STATE OF ARIZONA</w:t>
      </w:r>
    </w:p>
    <w:p w14:paraId="0B2F321E" w14:textId="77777777" w:rsidR="00976E90" w:rsidRDefault="00976E90">
      <w:pPr>
        <w:keepNext/>
        <w:jc w:val="center"/>
        <w:rPr>
          <w:b/>
          <w:sz w:val="28"/>
          <w:szCs w:val="28"/>
          <w:vertAlign w:val="baseline"/>
        </w:rPr>
      </w:pPr>
    </w:p>
    <w:p w14:paraId="05A30AEF" w14:textId="77777777" w:rsidR="006E5AA7" w:rsidRDefault="006E5AA7">
      <w:pPr>
        <w:jc w:val="center"/>
        <w:rPr>
          <w:b/>
          <w:sz w:val="28"/>
          <w:szCs w:val="28"/>
          <w:vertAlign w:val="baseline"/>
        </w:rPr>
      </w:pPr>
    </w:p>
    <w:tbl>
      <w:tblPr>
        <w:tblStyle w:val="a0"/>
        <w:tblW w:w="9326" w:type="dxa"/>
        <w:tblLayout w:type="fixed"/>
        <w:tblLook w:val="0000" w:firstRow="0" w:lastRow="0" w:firstColumn="0" w:lastColumn="0" w:noHBand="0" w:noVBand="0"/>
      </w:tblPr>
      <w:tblGrid>
        <w:gridCol w:w="4767"/>
        <w:gridCol w:w="25"/>
        <w:gridCol w:w="4534"/>
      </w:tblGrid>
      <w:tr w:rsidR="006E5AA7" w14:paraId="3B3A762E" w14:textId="77777777" w:rsidTr="00976E90">
        <w:trPr>
          <w:trHeight w:val="2394"/>
        </w:trPr>
        <w:tc>
          <w:tcPr>
            <w:tcW w:w="4767" w:type="dxa"/>
            <w:tcBorders>
              <w:bottom w:val="single" w:sz="4" w:space="0" w:color="000000"/>
            </w:tcBorders>
          </w:tcPr>
          <w:p w14:paraId="34FC7FE7" w14:textId="77777777" w:rsidR="00976E90" w:rsidRDefault="00976E90">
            <w:pPr>
              <w:spacing w:after="120"/>
              <w:ind w:right="87"/>
              <w:rPr>
                <w:sz w:val="28"/>
                <w:szCs w:val="28"/>
                <w:vertAlign w:val="baseline"/>
              </w:rPr>
            </w:pPr>
            <w:bookmarkStart w:id="0" w:name="bookmark=id.gjdgxs" w:colFirst="0" w:colLast="0"/>
            <w:bookmarkEnd w:id="0"/>
          </w:p>
          <w:p w14:paraId="5AE71A63" w14:textId="35B3276E" w:rsidR="006E5AA7" w:rsidRDefault="009E605E">
            <w:pPr>
              <w:spacing w:after="120"/>
              <w:ind w:right="87"/>
              <w:rPr>
                <w:sz w:val="28"/>
                <w:szCs w:val="28"/>
                <w:vertAlign w:val="baseline"/>
              </w:rPr>
            </w:pPr>
            <w:r>
              <w:rPr>
                <w:sz w:val="28"/>
                <w:szCs w:val="28"/>
                <w:vertAlign w:val="baseline"/>
              </w:rPr>
              <w:t>In the matter of:</w:t>
            </w:r>
          </w:p>
          <w:p w14:paraId="6EEC1E34" w14:textId="77777777" w:rsidR="006E5AA7" w:rsidRDefault="006E5AA7">
            <w:pPr>
              <w:spacing w:after="120"/>
              <w:ind w:right="87"/>
              <w:rPr>
                <w:sz w:val="28"/>
                <w:szCs w:val="28"/>
                <w:vertAlign w:val="baseline"/>
              </w:rPr>
            </w:pPr>
          </w:p>
          <w:p w14:paraId="0D10DC06" w14:textId="6B147F00" w:rsidR="00976E90" w:rsidRDefault="009E605E" w:rsidP="00567971">
            <w:pPr>
              <w:spacing w:after="120"/>
              <w:ind w:right="87"/>
              <w:rPr>
                <w:sz w:val="28"/>
                <w:szCs w:val="28"/>
                <w:vertAlign w:val="baseline"/>
              </w:rPr>
            </w:pPr>
            <w:r>
              <w:rPr>
                <w:sz w:val="28"/>
                <w:szCs w:val="28"/>
                <w:vertAlign w:val="baseline"/>
              </w:rPr>
              <w:t xml:space="preserve">Petition to </w:t>
            </w:r>
            <w:r w:rsidR="00567971">
              <w:rPr>
                <w:sz w:val="28"/>
                <w:szCs w:val="28"/>
                <w:vertAlign w:val="baseline"/>
              </w:rPr>
              <w:t xml:space="preserve">Amend Ariz. R. </w:t>
            </w:r>
            <w:r w:rsidR="00976E90">
              <w:rPr>
                <w:sz w:val="28"/>
                <w:szCs w:val="28"/>
                <w:vertAlign w:val="baseline"/>
              </w:rPr>
              <w:t>Evid. 804(b)(3) of the Arizona Rules of Evidence</w:t>
            </w:r>
          </w:p>
          <w:p w14:paraId="734FB3B6" w14:textId="77777777" w:rsidR="00976E90" w:rsidRDefault="00976E90" w:rsidP="00567971">
            <w:pPr>
              <w:spacing w:after="120"/>
              <w:ind w:right="87"/>
              <w:rPr>
                <w:sz w:val="28"/>
                <w:szCs w:val="28"/>
                <w:vertAlign w:val="baseline"/>
              </w:rPr>
            </w:pPr>
          </w:p>
        </w:tc>
        <w:tc>
          <w:tcPr>
            <w:tcW w:w="25" w:type="dxa"/>
            <w:tcBorders>
              <w:right w:val="single" w:sz="4" w:space="0" w:color="000000"/>
            </w:tcBorders>
          </w:tcPr>
          <w:p w14:paraId="53AE5303" w14:textId="77777777" w:rsidR="006E5AA7" w:rsidRDefault="009E605E">
            <w:pPr>
              <w:spacing w:line="254" w:lineRule="auto"/>
              <w:ind w:right="-40"/>
              <w:rPr>
                <w:sz w:val="28"/>
                <w:szCs w:val="28"/>
                <w:vertAlign w:val="baseline"/>
              </w:rPr>
            </w:pPr>
            <w:r>
              <w:rPr>
                <w:sz w:val="28"/>
                <w:szCs w:val="28"/>
                <w:vertAlign w:val="baseline"/>
              </w:rPr>
              <w:t xml:space="preserve">  </w:t>
            </w:r>
          </w:p>
        </w:tc>
        <w:tc>
          <w:tcPr>
            <w:tcW w:w="4534" w:type="dxa"/>
            <w:tcBorders>
              <w:left w:val="single" w:sz="4" w:space="0" w:color="000000"/>
            </w:tcBorders>
          </w:tcPr>
          <w:p w14:paraId="61B38AB5" w14:textId="77777777" w:rsidR="006E5AA7" w:rsidRDefault="009E605E">
            <w:pPr>
              <w:spacing w:line="254" w:lineRule="auto"/>
              <w:ind w:left="248" w:right="-40"/>
              <w:rPr>
                <w:sz w:val="28"/>
                <w:szCs w:val="28"/>
                <w:vertAlign w:val="baseline"/>
              </w:rPr>
            </w:pPr>
            <w:bookmarkStart w:id="1" w:name="bookmark=id.30j0zll" w:colFirst="0" w:colLast="0"/>
            <w:bookmarkEnd w:id="1"/>
            <w:r>
              <w:rPr>
                <w:sz w:val="28"/>
                <w:szCs w:val="28"/>
                <w:vertAlign w:val="baseline"/>
              </w:rPr>
              <w:t xml:space="preserve">Arizona Supreme Court </w:t>
            </w:r>
          </w:p>
          <w:p w14:paraId="3FDD1BD1" w14:textId="371E1BA9" w:rsidR="006E5AA7" w:rsidRDefault="00567971">
            <w:pPr>
              <w:spacing w:line="254" w:lineRule="auto"/>
              <w:ind w:left="248" w:right="-40"/>
              <w:rPr>
                <w:b/>
                <w:sz w:val="28"/>
                <w:szCs w:val="28"/>
                <w:vertAlign w:val="baseline"/>
              </w:rPr>
            </w:pPr>
            <w:r>
              <w:rPr>
                <w:sz w:val="28"/>
                <w:szCs w:val="28"/>
                <w:vertAlign w:val="baseline"/>
              </w:rPr>
              <w:t>No. R-24-00</w:t>
            </w:r>
            <w:r w:rsidR="00976E90">
              <w:rPr>
                <w:sz w:val="28"/>
                <w:szCs w:val="28"/>
                <w:vertAlign w:val="baseline"/>
              </w:rPr>
              <w:t>2</w:t>
            </w:r>
            <w:r>
              <w:rPr>
                <w:sz w:val="28"/>
                <w:szCs w:val="28"/>
                <w:vertAlign w:val="baseline"/>
              </w:rPr>
              <w:t>1</w:t>
            </w:r>
          </w:p>
          <w:p w14:paraId="20810781" w14:textId="77777777" w:rsidR="006E5AA7" w:rsidRDefault="006E5AA7">
            <w:pPr>
              <w:spacing w:line="254" w:lineRule="auto"/>
              <w:ind w:right="-40"/>
              <w:rPr>
                <w:b/>
                <w:sz w:val="28"/>
                <w:szCs w:val="28"/>
                <w:vertAlign w:val="baseline"/>
              </w:rPr>
            </w:pPr>
          </w:p>
          <w:p w14:paraId="584DBA3C" w14:textId="77777777" w:rsidR="00E1356A" w:rsidRDefault="00E1356A" w:rsidP="00976E90">
            <w:pPr>
              <w:ind w:left="248" w:right="500"/>
              <w:rPr>
                <w:b/>
                <w:sz w:val="28"/>
                <w:szCs w:val="28"/>
                <w:vertAlign w:val="baseline"/>
              </w:rPr>
            </w:pPr>
            <w:bookmarkStart w:id="2" w:name="bookmark=id.tyjcwt" w:colFirst="0" w:colLast="0"/>
            <w:bookmarkEnd w:id="2"/>
            <w:r>
              <w:rPr>
                <w:b/>
                <w:sz w:val="28"/>
                <w:szCs w:val="28"/>
                <w:vertAlign w:val="baseline"/>
              </w:rPr>
              <w:t xml:space="preserve">Comment of </w:t>
            </w:r>
            <w:r w:rsidR="00567971">
              <w:rPr>
                <w:b/>
                <w:sz w:val="28"/>
                <w:szCs w:val="28"/>
                <w:vertAlign w:val="baseline"/>
              </w:rPr>
              <w:t xml:space="preserve">Arizona Attorneys for Criminal Justice (AACJ) </w:t>
            </w:r>
          </w:p>
          <w:p w14:paraId="1109ACE5" w14:textId="4128E108" w:rsidR="006E5AA7" w:rsidRDefault="00976E90" w:rsidP="00976E90">
            <w:pPr>
              <w:ind w:left="248" w:right="500"/>
              <w:rPr>
                <w:b/>
                <w:sz w:val="28"/>
                <w:szCs w:val="28"/>
                <w:vertAlign w:val="baseline"/>
              </w:rPr>
            </w:pPr>
            <w:r>
              <w:rPr>
                <w:b/>
                <w:sz w:val="28"/>
                <w:szCs w:val="28"/>
                <w:vertAlign w:val="baseline"/>
              </w:rPr>
              <w:t>in Support of</w:t>
            </w:r>
            <w:r w:rsidR="00567971">
              <w:rPr>
                <w:b/>
                <w:sz w:val="28"/>
                <w:szCs w:val="28"/>
                <w:vertAlign w:val="baseline"/>
              </w:rPr>
              <w:t xml:space="preserve"> an Amendment to </w:t>
            </w:r>
            <w:r>
              <w:rPr>
                <w:b/>
                <w:sz w:val="28"/>
                <w:szCs w:val="28"/>
                <w:vertAlign w:val="baseline"/>
              </w:rPr>
              <w:t>Arizona Rule of Evidence 804(b)(3)</w:t>
            </w:r>
          </w:p>
        </w:tc>
      </w:tr>
    </w:tbl>
    <w:p w14:paraId="4CD483E6" w14:textId="77777777" w:rsidR="002F482A" w:rsidRDefault="002F482A" w:rsidP="00567971">
      <w:pPr>
        <w:spacing w:line="480" w:lineRule="auto"/>
        <w:ind w:firstLine="720"/>
        <w:jc w:val="both"/>
        <w:rPr>
          <w:sz w:val="28"/>
          <w:szCs w:val="28"/>
          <w:vertAlign w:val="baseline"/>
        </w:rPr>
      </w:pPr>
    </w:p>
    <w:p w14:paraId="0FD4E972" w14:textId="063BDA1C" w:rsidR="00567971" w:rsidRPr="002F482A" w:rsidRDefault="009E605E" w:rsidP="00567971">
      <w:pPr>
        <w:spacing w:line="480" w:lineRule="auto"/>
        <w:ind w:firstLine="720"/>
        <w:jc w:val="both"/>
        <w:rPr>
          <w:sz w:val="28"/>
          <w:szCs w:val="28"/>
          <w:vertAlign w:val="baseline"/>
        </w:rPr>
      </w:pPr>
      <w:r w:rsidRPr="002F482A">
        <w:rPr>
          <w:sz w:val="28"/>
          <w:szCs w:val="28"/>
          <w:vertAlign w:val="baseline"/>
        </w:rPr>
        <w:t xml:space="preserve">Pursuant to </w:t>
      </w:r>
      <w:bookmarkStart w:id="3" w:name="bookmark=id.3dy6vkm" w:colFirst="0" w:colLast="0"/>
      <w:bookmarkEnd w:id="3"/>
      <w:r w:rsidRPr="002F482A">
        <w:rPr>
          <w:sz w:val="28"/>
          <w:szCs w:val="28"/>
        </w:rPr>
        <w:fldChar w:fldCharType="begin"/>
      </w:r>
      <w:r w:rsidRPr="002F482A">
        <w:rPr>
          <w:sz w:val="28"/>
          <w:szCs w:val="28"/>
        </w:rPr>
        <w:instrText xml:space="preserve"> HYPERLINK "https://www.westlaw.com/Document/NFC04BF0066DC11DCA632B52023A193A9/View/FullText.html?transitionType=Default&amp;contextData=(sc.Default)&amp;VR=3.0&amp;RS=da3.0" \h </w:instrText>
      </w:r>
      <w:r w:rsidRPr="002F482A">
        <w:rPr>
          <w:sz w:val="28"/>
          <w:szCs w:val="28"/>
        </w:rPr>
      </w:r>
      <w:r w:rsidRPr="002F482A">
        <w:rPr>
          <w:sz w:val="28"/>
          <w:szCs w:val="28"/>
        </w:rPr>
        <w:fldChar w:fldCharType="separate"/>
      </w:r>
      <w:r w:rsidRPr="002F482A">
        <w:rPr>
          <w:sz w:val="28"/>
          <w:szCs w:val="28"/>
          <w:vertAlign w:val="baseline"/>
        </w:rPr>
        <w:t>Rule 28 of the Arizona Supreme Court Rules</w:t>
      </w:r>
      <w:r w:rsidRPr="002F482A">
        <w:rPr>
          <w:sz w:val="28"/>
          <w:szCs w:val="28"/>
          <w:vertAlign w:val="baseline"/>
        </w:rPr>
        <w:fldChar w:fldCharType="end"/>
      </w:r>
      <w:bookmarkStart w:id="4" w:name="bookmark=id.1t3h5sf" w:colFirst="0" w:colLast="0"/>
      <w:bookmarkEnd w:id="4"/>
      <w:r w:rsidRPr="002F482A">
        <w:rPr>
          <w:sz w:val="28"/>
          <w:szCs w:val="28"/>
          <w:vertAlign w:val="baseline"/>
        </w:rPr>
        <w:t xml:space="preserve">, </w:t>
      </w:r>
      <w:r w:rsidR="00567971" w:rsidRPr="002F482A">
        <w:rPr>
          <w:sz w:val="28"/>
          <w:szCs w:val="28"/>
          <w:vertAlign w:val="baseline"/>
        </w:rPr>
        <w:t xml:space="preserve">Arizona Attorneys for Criminal Justice (“AACJ”) </w:t>
      </w:r>
      <w:r w:rsidRPr="002F482A">
        <w:rPr>
          <w:sz w:val="28"/>
          <w:szCs w:val="28"/>
          <w:vertAlign w:val="baseline"/>
        </w:rPr>
        <w:t>respectfully submits this comment</w:t>
      </w:r>
      <w:r w:rsidR="00567971" w:rsidRPr="002F482A">
        <w:rPr>
          <w:sz w:val="28"/>
          <w:szCs w:val="28"/>
          <w:vertAlign w:val="baseline"/>
        </w:rPr>
        <w:t xml:space="preserve"> </w:t>
      </w:r>
      <w:r w:rsidR="00976E90" w:rsidRPr="00B45BFC">
        <w:rPr>
          <w:sz w:val="28"/>
          <w:szCs w:val="28"/>
          <w:vertAlign w:val="baseline"/>
        </w:rPr>
        <w:t xml:space="preserve">in support of </w:t>
      </w:r>
      <w:r w:rsidR="00567971" w:rsidRPr="00B45BFC">
        <w:rPr>
          <w:sz w:val="28"/>
          <w:szCs w:val="28"/>
          <w:vertAlign w:val="baseline"/>
        </w:rPr>
        <w:t>the</w:t>
      </w:r>
      <w:r w:rsidR="00567971" w:rsidRPr="002F482A">
        <w:rPr>
          <w:sz w:val="28"/>
          <w:szCs w:val="28"/>
          <w:vertAlign w:val="baseline"/>
        </w:rPr>
        <w:t xml:space="preserve"> proposed amendment to </w:t>
      </w:r>
      <w:r w:rsidR="00976E90">
        <w:rPr>
          <w:sz w:val="28"/>
          <w:szCs w:val="28"/>
          <w:vertAlign w:val="baseline"/>
        </w:rPr>
        <w:t>Rule 804(b)(3) of the Arizona Rules of Evidence</w:t>
      </w:r>
      <w:r w:rsidR="00567971" w:rsidRPr="002F482A">
        <w:rPr>
          <w:sz w:val="28"/>
          <w:szCs w:val="28"/>
          <w:vertAlign w:val="baseline"/>
        </w:rPr>
        <w:t xml:space="preserve">. </w:t>
      </w:r>
    </w:p>
    <w:p w14:paraId="760C7A8D" w14:textId="5A569B20" w:rsidR="003206D1" w:rsidRPr="002F482A" w:rsidRDefault="003206D1" w:rsidP="00567971">
      <w:pPr>
        <w:spacing w:line="480" w:lineRule="auto"/>
        <w:ind w:firstLine="720"/>
        <w:jc w:val="both"/>
        <w:rPr>
          <w:sz w:val="28"/>
          <w:szCs w:val="28"/>
          <w:vertAlign w:val="baseline"/>
        </w:rPr>
      </w:pPr>
      <w:r w:rsidRPr="002F482A">
        <w:rPr>
          <w:sz w:val="28"/>
          <w:szCs w:val="28"/>
          <w:vertAlign w:val="baseline"/>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w:t>
      </w:r>
      <w:r w:rsidRPr="002F482A">
        <w:rPr>
          <w:sz w:val="28"/>
          <w:szCs w:val="28"/>
          <w:vertAlign w:val="baseline"/>
        </w:rPr>
        <w:lastRenderedPageBreak/>
        <w:t xml:space="preserve">criminal law through education, </w:t>
      </w:r>
      <w:r w:rsidR="00B41898" w:rsidRPr="002F482A">
        <w:rPr>
          <w:sz w:val="28"/>
          <w:szCs w:val="28"/>
          <w:vertAlign w:val="baseline"/>
        </w:rPr>
        <w:t>training,</w:t>
      </w:r>
      <w:r w:rsidRPr="002F482A">
        <w:rPr>
          <w:sz w:val="28"/>
          <w:szCs w:val="28"/>
          <w:vertAlign w:val="baseline"/>
        </w:rPr>
        <w:t xml:space="preserve"> and mutual assistance, and fostering public awareness of citizens’ rights, the criminal justice system, and the role of the defense lawyer.</w:t>
      </w:r>
    </w:p>
    <w:p w14:paraId="57C65FA5" w14:textId="3678E21F" w:rsidR="003206D1" w:rsidRDefault="003206D1" w:rsidP="00567971">
      <w:pPr>
        <w:spacing w:line="480" w:lineRule="auto"/>
        <w:ind w:firstLine="720"/>
        <w:jc w:val="both"/>
        <w:rPr>
          <w:sz w:val="28"/>
          <w:szCs w:val="28"/>
          <w:vertAlign w:val="baseline"/>
        </w:rPr>
      </w:pPr>
      <w:r w:rsidRPr="002F482A">
        <w:rPr>
          <w:sz w:val="28"/>
          <w:szCs w:val="28"/>
          <w:vertAlign w:val="baseline"/>
        </w:rPr>
        <w:t xml:space="preserve">AACJ supports the proposal to amend </w:t>
      </w:r>
      <w:r w:rsidR="00976E90">
        <w:rPr>
          <w:sz w:val="28"/>
          <w:szCs w:val="28"/>
          <w:vertAlign w:val="baseline"/>
        </w:rPr>
        <w:t>Rule 804(b)(3)</w:t>
      </w:r>
      <w:r w:rsidRPr="002F482A">
        <w:rPr>
          <w:sz w:val="28"/>
          <w:szCs w:val="28"/>
          <w:vertAlign w:val="baseline"/>
        </w:rPr>
        <w:t xml:space="preserve"> because </w:t>
      </w:r>
      <w:r w:rsidR="00B21536" w:rsidRPr="002F482A">
        <w:rPr>
          <w:sz w:val="28"/>
          <w:szCs w:val="28"/>
          <w:vertAlign w:val="baseline"/>
        </w:rPr>
        <w:t>it will provide greater flexibility</w:t>
      </w:r>
      <w:r w:rsidR="00976E90">
        <w:rPr>
          <w:sz w:val="28"/>
          <w:szCs w:val="28"/>
          <w:vertAlign w:val="baseline"/>
        </w:rPr>
        <w:t xml:space="preserve"> to judges, allowing them to consider all relevant circumstances, when considering the trustworthiness—and therefore the admissibility—of a statement against interest. </w:t>
      </w:r>
      <w:r w:rsidR="00B21536" w:rsidRPr="002F482A">
        <w:rPr>
          <w:sz w:val="28"/>
          <w:szCs w:val="28"/>
          <w:vertAlign w:val="baseline"/>
        </w:rPr>
        <w:t xml:space="preserve"> </w:t>
      </w:r>
      <w:r w:rsidR="00E0037C">
        <w:rPr>
          <w:sz w:val="28"/>
          <w:szCs w:val="28"/>
          <w:vertAlign w:val="baseline"/>
        </w:rPr>
        <w:t>The Amendment would clarify that under the Arizona Rules, courts may consider both the inherent trustworthiness of the statement and independent evidence corroborating or refuting the accuracy of the statement.</w:t>
      </w:r>
    </w:p>
    <w:p w14:paraId="2B0F0BDC" w14:textId="60D44A30" w:rsidR="00E0037C" w:rsidRDefault="00E0037C" w:rsidP="00567971">
      <w:pPr>
        <w:spacing w:line="480" w:lineRule="auto"/>
        <w:ind w:firstLine="720"/>
        <w:jc w:val="both"/>
        <w:rPr>
          <w:sz w:val="28"/>
          <w:szCs w:val="28"/>
          <w:vertAlign w:val="baseline"/>
        </w:rPr>
      </w:pPr>
      <w:r>
        <w:rPr>
          <w:sz w:val="28"/>
          <w:szCs w:val="28"/>
          <w:vertAlign w:val="baseline"/>
        </w:rPr>
        <w:t>As explained in the Petition</w:t>
      </w:r>
      <w:r w:rsidR="00F737F1">
        <w:rPr>
          <w:sz w:val="28"/>
          <w:szCs w:val="28"/>
          <w:vertAlign w:val="baseline"/>
        </w:rPr>
        <w:t xml:space="preserve">, the proposed Rule change is consistent with longstanding Arizona Supreme Court law regarding admissibility of statements against interest. </w:t>
      </w:r>
      <w:r w:rsidR="00F737F1">
        <w:rPr>
          <w:i/>
          <w:iCs/>
          <w:sz w:val="28"/>
          <w:szCs w:val="28"/>
          <w:vertAlign w:val="baseline"/>
        </w:rPr>
        <w:t>See State v. LaGrand</w:t>
      </w:r>
      <w:r w:rsidR="00F737F1">
        <w:rPr>
          <w:sz w:val="28"/>
          <w:szCs w:val="28"/>
          <w:vertAlign w:val="baseline"/>
        </w:rPr>
        <w:t>, 152, Ariz. 21, 27</w:t>
      </w:r>
      <w:r w:rsidR="00F737F1">
        <w:rPr>
          <w:sz w:val="28"/>
          <w:szCs w:val="28"/>
          <w:vertAlign w:val="baseline"/>
        </w:rPr>
        <w:sym w:font="Symbol" w:char="F02D"/>
      </w:r>
      <w:r w:rsidR="00F737F1">
        <w:rPr>
          <w:sz w:val="28"/>
          <w:szCs w:val="28"/>
          <w:vertAlign w:val="baseline"/>
        </w:rPr>
        <w:t xml:space="preserve">28 (1987), </w:t>
      </w:r>
      <w:r w:rsidR="00F737F1">
        <w:rPr>
          <w:i/>
          <w:iCs/>
          <w:sz w:val="28"/>
          <w:szCs w:val="28"/>
          <w:vertAlign w:val="baseline"/>
        </w:rPr>
        <w:t>State v. Harrod</w:t>
      </w:r>
      <w:r w:rsidR="00F737F1">
        <w:rPr>
          <w:sz w:val="28"/>
          <w:szCs w:val="28"/>
          <w:vertAlign w:val="baseline"/>
        </w:rPr>
        <w:t xml:space="preserve">, 200 Ariz. 309, 313 ¶ 16 (2001). The Amendment also conforms with more recent case law on this issue. In </w:t>
      </w:r>
      <w:r w:rsidR="00F737F1">
        <w:rPr>
          <w:i/>
          <w:iCs/>
          <w:sz w:val="28"/>
          <w:szCs w:val="28"/>
          <w:vertAlign w:val="baseline"/>
        </w:rPr>
        <w:t>State v. Machado</w:t>
      </w:r>
      <w:r w:rsidR="00F737F1">
        <w:rPr>
          <w:sz w:val="28"/>
          <w:szCs w:val="28"/>
          <w:vertAlign w:val="baseline"/>
        </w:rPr>
        <w:t xml:space="preserve">, the Arizona Supreme Court further clarified that when determining the trustworthiness of a statement under Rule 804(b)(3), a court “must examine </w:t>
      </w:r>
      <w:r w:rsidR="00F737F1">
        <w:rPr>
          <w:i/>
          <w:iCs/>
          <w:sz w:val="28"/>
          <w:szCs w:val="28"/>
          <w:vertAlign w:val="baseline"/>
        </w:rPr>
        <w:t>any evidence</w:t>
      </w:r>
      <w:r w:rsidR="00F737F1">
        <w:rPr>
          <w:sz w:val="28"/>
          <w:szCs w:val="28"/>
          <w:vertAlign w:val="baseline"/>
        </w:rPr>
        <w:t xml:space="preserve"> that corroborates or contradicts the statement to find whether a reasonable person could conclude that the statement is true.” 226 Ariz. 281, 285 ¶ 21 (2011) (quoting </w:t>
      </w:r>
      <w:r w:rsidR="00F737F1">
        <w:rPr>
          <w:i/>
          <w:iCs/>
          <w:sz w:val="28"/>
          <w:szCs w:val="28"/>
          <w:vertAlign w:val="baseline"/>
        </w:rPr>
        <w:t>Harrod</w:t>
      </w:r>
      <w:r w:rsidR="00F737F1">
        <w:rPr>
          <w:sz w:val="28"/>
          <w:szCs w:val="28"/>
          <w:vertAlign w:val="baseline"/>
        </w:rPr>
        <w:t>, 200 Ariz. at ¶</w:t>
      </w:r>
      <w:r w:rsidR="008955C0">
        <w:rPr>
          <w:sz w:val="28"/>
          <w:szCs w:val="28"/>
          <w:vertAlign w:val="baseline"/>
        </w:rPr>
        <w:t xml:space="preserve"> </w:t>
      </w:r>
      <w:r w:rsidR="00F737F1">
        <w:rPr>
          <w:sz w:val="28"/>
          <w:szCs w:val="28"/>
          <w:vertAlign w:val="baseline"/>
        </w:rPr>
        <w:t xml:space="preserve">16). In </w:t>
      </w:r>
      <w:r w:rsidR="00F737F1">
        <w:rPr>
          <w:i/>
          <w:iCs/>
          <w:sz w:val="28"/>
          <w:szCs w:val="28"/>
          <w:vertAlign w:val="baseline"/>
        </w:rPr>
        <w:t>Machado</w:t>
      </w:r>
      <w:r w:rsidR="00F737F1">
        <w:rPr>
          <w:sz w:val="28"/>
          <w:szCs w:val="28"/>
          <w:vertAlign w:val="baseline"/>
        </w:rPr>
        <w:t xml:space="preserve">, the Court considered corroborating circumstances external to the statement itself, including that descriptions of vehicles near the scene matched </w:t>
      </w:r>
      <w:r w:rsidR="00F737F1">
        <w:rPr>
          <w:sz w:val="28"/>
          <w:szCs w:val="28"/>
          <w:vertAlign w:val="baseline"/>
        </w:rPr>
        <w:lastRenderedPageBreak/>
        <w:t xml:space="preserve">descriptions provided in the call at issue.  </w:t>
      </w:r>
      <w:r w:rsidR="00F737F1">
        <w:rPr>
          <w:i/>
          <w:iCs/>
          <w:sz w:val="28"/>
          <w:szCs w:val="28"/>
          <w:vertAlign w:val="baseline"/>
        </w:rPr>
        <w:t>Id.</w:t>
      </w:r>
      <w:r w:rsidR="00F737F1">
        <w:rPr>
          <w:sz w:val="28"/>
          <w:szCs w:val="28"/>
          <w:vertAlign w:val="baseline"/>
        </w:rPr>
        <w:t xml:space="preserve"> at ¶ 22. The Court further explained that “the primary goal of the corroboration requirement in Rule 804(b)(3) is to prevent criminal suspects from fabricating hearsay admissions to the crime by others,” and explained that because the defendant was not a suspect when the statement at issue was made, it was unlikely that he was involved in its fabrication.  </w:t>
      </w:r>
      <w:r w:rsidR="00F737F1">
        <w:rPr>
          <w:i/>
          <w:iCs/>
          <w:sz w:val="28"/>
          <w:szCs w:val="28"/>
          <w:vertAlign w:val="baseline"/>
        </w:rPr>
        <w:t xml:space="preserve">Id. </w:t>
      </w:r>
      <w:r w:rsidR="00F737F1">
        <w:rPr>
          <w:sz w:val="28"/>
          <w:szCs w:val="28"/>
          <w:vertAlign w:val="baseline"/>
        </w:rPr>
        <w:t xml:space="preserve">Such analysis also involves considering “the totality of the circumstances” rather than the inherent trustworthiness of the statement itself, thus supporting the proposed Rule change. </w:t>
      </w:r>
    </w:p>
    <w:p w14:paraId="653E76DC" w14:textId="5E66D7FD" w:rsidR="00F737F1" w:rsidRDefault="00F737F1" w:rsidP="00567971">
      <w:pPr>
        <w:spacing w:line="480" w:lineRule="auto"/>
        <w:ind w:firstLine="720"/>
        <w:jc w:val="both"/>
        <w:rPr>
          <w:sz w:val="28"/>
          <w:szCs w:val="28"/>
          <w:vertAlign w:val="baseline"/>
        </w:rPr>
      </w:pPr>
      <w:r>
        <w:rPr>
          <w:sz w:val="28"/>
          <w:szCs w:val="28"/>
          <w:vertAlign w:val="baseline"/>
        </w:rPr>
        <w:t xml:space="preserve">Moreover, the proposed </w:t>
      </w:r>
      <w:r w:rsidR="00E1356A">
        <w:rPr>
          <w:sz w:val="28"/>
          <w:szCs w:val="28"/>
          <w:vertAlign w:val="baseline"/>
        </w:rPr>
        <w:t>change</w:t>
      </w:r>
      <w:r>
        <w:rPr>
          <w:sz w:val="28"/>
          <w:szCs w:val="28"/>
          <w:vertAlign w:val="baseline"/>
        </w:rPr>
        <w:t xml:space="preserve"> to Arizona Rule of Evidence 804 is designed to align it with a </w:t>
      </w:r>
      <w:r w:rsidR="008955C0">
        <w:rPr>
          <w:sz w:val="28"/>
          <w:szCs w:val="28"/>
          <w:vertAlign w:val="baseline"/>
        </w:rPr>
        <w:t xml:space="preserve">pending </w:t>
      </w:r>
      <w:r>
        <w:rPr>
          <w:sz w:val="28"/>
          <w:szCs w:val="28"/>
          <w:vertAlign w:val="baseline"/>
        </w:rPr>
        <w:t xml:space="preserve">similar change to the Federal Rules of Evidence. AACJ believes that conformity between the Arizona Rules of Evidence and the Federal Rules should be adopted when not inconsistent with </w:t>
      </w:r>
      <w:r w:rsidR="00B41898">
        <w:rPr>
          <w:sz w:val="28"/>
          <w:szCs w:val="28"/>
          <w:vertAlign w:val="baseline"/>
        </w:rPr>
        <w:t>A</w:t>
      </w:r>
      <w:r>
        <w:rPr>
          <w:sz w:val="28"/>
          <w:szCs w:val="28"/>
          <w:vertAlign w:val="baseline"/>
        </w:rPr>
        <w:t xml:space="preserve">rizona law.  </w:t>
      </w:r>
    </w:p>
    <w:p w14:paraId="534BBFA4" w14:textId="143ECF19" w:rsidR="00F737F1" w:rsidRPr="00F737F1" w:rsidRDefault="00F737F1" w:rsidP="00567971">
      <w:pPr>
        <w:spacing w:line="480" w:lineRule="auto"/>
        <w:ind w:firstLine="720"/>
        <w:jc w:val="both"/>
        <w:rPr>
          <w:sz w:val="28"/>
          <w:szCs w:val="28"/>
          <w:vertAlign w:val="baseline"/>
        </w:rPr>
      </w:pPr>
      <w:r>
        <w:rPr>
          <w:sz w:val="28"/>
          <w:szCs w:val="28"/>
          <w:vertAlign w:val="baseline"/>
        </w:rPr>
        <w:t>Accordingly, AACJ supports the proposed Amendment to Rule 804.</w:t>
      </w:r>
    </w:p>
    <w:p w14:paraId="37A788C4" w14:textId="77777777" w:rsidR="006E5AA7" w:rsidRDefault="009E605E">
      <w:pPr>
        <w:ind w:right="58"/>
        <w:jc w:val="center"/>
        <w:rPr>
          <w:sz w:val="28"/>
          <w:szCs w:val="28"/>
          <w:vertAlign w:val="baseline"/>
        </w:rPr>
      </w:pPr>
      <w:r>
        <w:rPr>
          <w:sz w:val="28"/>
          <w:szCs w:val="28"/>
          <w:vertAlign w:val="baseline"/>
        </w:rPr>
        <w:t>Respectfully submitted this 1</w:t>
      </w:r>
      <w:r>
        <w:rPr>
          <w:sz w:val="28"/>
          <w:szCs w:val="28"/>
        </w:rPr>
        <w:t>st</w:t>
      </w:r>
      <w:r w:rsidR="003206D1">
        <w:rPr>
          <w:sz w:val="28"/>
          <w:szCs w:val="28"/>
          <w:vertAlign w:val="baseline"/>
        </w:rPr>
        <w:t xml:space="preserve"> day of May, 2024</w:t>
      </w:r>
    </w:p>
    <w:p w14:paraId="3136986D" w14:textId="77777777" w:rsidR="006E5AA7" w:rsidRDefault="006E5AA7">
      <w:pPr>
        <w:ind w:right="58"/>
        <w:jc w:val="center"/>
        <w:rPr>
          <w:sz w:val="28"/>
          <w:szCs w:val="28"/>
          <w:vertAlign w:val="baseline"/>
        </w:rPr>
      </w:pPr>
    </w:p>
    <w:p w14:paraId="07FAC7FA" w14:textId="77777777" w:rsidR="00F737F1" w:rsidRDefault="009E605E" w:rsidP="00F737F1">
      <w:pPr>
        <w:widowControl w:val="0"/>
        <w:tabs>
          <w:tab w:val="left" w:pos="0"/>
          <w:tab w:val="left" w:pos="720"/>
        </w:tabs>
        <w:rPr>
          <w:iCs/>
          <w:sz w:val="28"/>
          <w:szCs w:val="28"/>
          <w:u w:val="single"/>
          <w:vertAlign w:val="baseline"/>
        </w:rPr>
      </w:pPr>
      <w:r>
        <w:rPr>
          <w:sz w:val="28"/>
          <w:szCs w:val="28"/>
          <w:vertAlign w:val="baseline"/>
        </w:rPr>
        <w:tab/>
        <w:t xml:space="preserve"> </w:t>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By: /s/</w:t>
      </w:r>
      <w:r>
        <w:rPr>
          <w:sz w:val="28"/>
          <w:szCs w:val="28"/>
          <w:u w:val="single"/>
          <w:vertAlign w:val="baseline"/>
        </w:rPr>
        <w:t xml:space="preserve"> </w:t>
      </w:r>
      <w:r w:rsidR="00F737F1">
        <w:rPr>
          <w:i/>
          <w:sz w:val="28"/>
          <w:szCs w:val="28"/>
          <w:u w:val="single"/>
          <w:vertAlign w:val="baseline"/>
        </w:rPr>
        <w:t>Karen S. Smith</w:t>
      </w:r>
    </w:p>
    <w:p w14:paraId="705A5118" w14:textId="36DA6EDB" w:rsidR="00F737F1" w:rsidRDefault="00F737F1" w:rsidP="00F737F1">
      <w:pPr>
        <w:widowControl w:val="0"/>
        <w:tabs>
          <w:tab w:val="left" w:pos="0"/>
          <w:tab w:val="left" w:pos="720"/>
        </w:tabs>
        <w:rPr>
          <w:iCs/>
          <w:sz w:val="28"/>
          <w:szCs w:val="28"/>
          <w:vertAlign w:val="baseline"/>
        </w:rPr>
      </w:pPr>
      <w:r>
        <w:rPr>
          <w:iCs/>
          <w:sz w:val="28"/>
          <w:szCs w:val="28"/>
          <w:vertAlign w:val="baseline"/>
        </w:rPr>
        <w:tab/>
      </w:r>
      <w:r>
        <w:rPr>
          <w:iCs/>
          <w:sz w:val="28"/>
          <w:szCs w:val="28"/>
          <w:vertAlign w:val="baseline"/>
        </w:rPr>
        <w:tab/>
      </w:r>
      <w:r>
        <w:rPr>
          <w:iCs/>
          <w:sz w:val="28"/>
          <w:szCs w:val="28"/>
          <w:vertAlign w:val="baseline"/>
        </w:rPr>
        <w:tab/>
      </w:r>
      <w:r>
        <w:rPr>
          <w:iCs/>
          <w:sz w:val="28"/>
          <w:szCs w:val="28"/>
          <w:vertAlign w:val="baseline"/>
        </w:rPr>
        <w:tab/>
      </w:r>
      <w:r>
        <w:rPr>
          <w:iCs/>
          <w:sz w:val="28"/>
          <w:szCs w:val="28"/>
          <w:vertAlign w:val="baseline"/>
        </w:rPr>
        <w:tab/>
      </w:r>
      <w:r>
        <w:rPr>
          <w:iCs/>
          <w:sz w:val="28"/>
          <w:szCs w:val="28"/>
          <w:vertAlign w:val="baseline"/>
        </w:rPr>
        <w:tab/>
        <w:t>Karen S. Smith</w:t>
      </w:r>
    </w:p>
    <w:p w14:paraId="3ED7F17F" w14:textId="74DB8BBE" w:rsidR="006E5AA7" w:rsidRDefault="00F737F1" w:rsidP="00F737F1">
      <w:pPr>
        <w:widowControl w:val="0"/>
        <w:tabs>
          <w:tab w:val="left" w:pos="0"/>
          <w:tab w:val="left" w:pos="720"/>
        </w:tabs>
        <w:rPr>
          <w:sz w:val="28"/>
          <w:szCs w:val="28"/>
          <w:vertAlign w:val="baseline"/>
        </w:rPr>
      </w:pPr>
      <w:r>
        <w:rPr>
          <w:iCs/>
          <w:sz w:val="28"/>
          <w:szCs w:val="28"/>
          <w:vertAlign w:val="baseline"/>
        </w:rPr>
        <w:tab/>
      </w:r>
      <w:r>
        <w:rPr>
          <w:iCs/>
          <w:sz w:val="28"/>
          <w:szCs w:val="28"/>
          <w:vertAlign w:val="baseline"/>
        </w:rPr>
        <w:tab/>
      </w:r>
      <w:r>
        <w:rPr>
          <w:iCs/>
          <w:sz w:val="28"/>
          <w:szCs w:val="28"/>
          <w:vertAlign w:val="baseline"/>
        </w:rPr>
        <w:tab/>
      </w:r>
      <w:r>
        <w:rPr>
          <w:iCs/>
          <w:sz w:val="28"/>
          <w:szCs w:val="28"/>
          <w:vertAlign w:val="baseline"/>
        </w:rPr>
        <w:tab/>
      </w:r>
      <w:r>
        <w:rPr>
          <w:iCs/>
          <w:sz w:val="28"/>
          <w:szCs w:val="28"/>
          <w:vertAlign w:val="baseline"/>
        </w:rPr>
        <w:tab/>
      </w:r>
      <w:r>
        <w:rPr>
          <w:iCs/>
          <w:sz w:val="28"/>
          <w:szCs w:val="28"/>
          <w:vertAlign w:val="baseline"/>
        </w:rPr>
        <w:tab/>
        <w:t>Arizona Attorneys for Criminal Justice</w:t>
      </w:r>
      <w:r w:rsidR="009E605E">
        <w:rPr>
          <w:sz w:val="28"/>
          <w:szCs w:val="28"/>
          <w:vertAlign w:val="baseline"/>
        </w:rPr>
        <w:tab/>
      </w:r>
      <w:r w:rsidR="009E605E">
        <w:rPr>
          <w:sz w:val="28"/>
          <w:szCs w:val="28"/>
          <w:vertAlign w:val="baseline"/>
        </w:rPr>
        <w:tab/>
      </w:r>
      <w:r w:rsidR="009E605E">
        <w:rPr>
          <w:sz w:val="28"/>
          <w:szCs w:val="28"/>
          <w:vertAlign w:val="baseline"/>
        </w:rPr>
        <w:tab/>
      </w:r>
      <w:r w:rsidR="009E605E">
        <w:rPr>
          <w:sz w:val="28"/>
          <w:szCs w:val="28"/>
          <w:vertAlign w:val="baseline"/>
        </w:rPr>
        <w:tab/>
      </w:r>
      <w:r w:rsidR="009E605E">
        <w:rPr>
          <w:sz w:val="28"/>
          <w:szCs w:val="28"/>
          <w:vertAlign w:val="baseline"/>
        </w:rPr>
        <w:tab/>
      </w:r>
    </w:p>
    <w:p w14:paraId="7D58763E" w14:textId="77777777" w:rsidR="006E5AA7" w:rsidRDefault="006E5AA7">
      <w:pPr>
        <w:rPr>
          <w:sz w:val="28"/>
          <w:szCs w:val="28"/>
          <w:vertAlign w:val="baseline"/>
        </w:rPr>
      </w:pPr>
    </w:p>
    <w:sectPr w:rsidR="006E5AA7">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181D" w14:textId="77777777" w:rsidR="00003059" w:rsidRDefault="00003059">
      <w:r>
        <w:separator/>
      </w:r>
    </w:p>
  </w:endnote>
  <w:endnote w:type="continuationSeparator" w:id="0">
    <w:p w14:paraId="05E9FC8E" w14:textId="77777777" w:rsidR="00003059" w:rsidRDefault="0000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B975" w14:textId="77777777" w:rsidR="006E5AA7" w:rsidRDefault="009E605E">
    <w:pPr>
      <w:pBdr>
        <w:top w:val="nil"/>
        <w:left w:val="nil"/>
        <w:bottom w:val="nil"/>
        <w:right w:val="nil"/>
        <w:between w:val="nil"/>
      </w:pBdr>
      <w:tabs>
        <w:tab w:val="center" w:pos="4680"/>
        <w:tab w:val="right" w:pos="9360"/>
      </w:tabs>
      <w:jc w:val="center"/>
      <w:rPr>
        <w:color w:val="000000"/>
        <w:sz w:val="28"/>
        <w:szCs w:val="28"/>
        <w:vertAlign w:val="baseline"/>
      </w:rPr>
    </w:pPr>
    <w:r>
      <w:rPr>
        <w:color w:val="000000"/>
        <w:sz w:val="28"/>
        <w:szCs w:val="28"/>
        <w:vertAlign w:val="baseline"/>
      </w:rPr>
      <w:fldChar w:fldCharType="begin"/>
    </w:r>
    <w:r>
      <w:rPr>
        <w:color w:val="000000"/>
        <w:sz w:val="28"/>
        <w:szCs w:val="28"/>
        <w:vertAlign w:val="baseline"/>
      </w:rPr>
      <w:instrText>PAGE</w:instrText>
    </w:r>
    <w:r>
      <w:rPr>
        <w:color w:val="000000"/>
        <w:sz w:val="28"/>
        <w:szCs w:val="28"/>
        <w:vertAlign w:val="baseline"/>
      </w:rPr>
      <w:fldChar w:fldCharType="separate"/>
    </w:r>
    <w:r w:rsidR="00EB038C">
      <w:rPr>
        <w:noProof/>
        <w:color w:val="000000"/>
        <w:sz w:val="28"/>
        <w:szCs w:val="28"/>
        <w:vertAlign w:val="baseline"/>
      </w:rPr>
      <w:t>4</w:t>
    </w:r>
    <w:r>
      <w:rPr>
        <w:color w:val="000000"/>
        <w:sz w:val="28"/>
        <w:szCs w:val="28"/>
        <w:vertAlign w:val="baseline"/>
      </w:rPr>
      <w:fldChar w:fldCharType="end"/>
    </w:r>
  </w:p>
  <w:p w14:paraId="4F9A7F5E" w14:textId="77777777" w:rsidR="006E5AA7" w:rsidRDefault="006E5AA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C9781" w14:textId="77777777" w:rsidR="00003059" w:rsidRDefault="00003059">
      <w:r>
        <w:separator/>
      </w:r>
    </w:p>
  </w:footnote>
  <w:footnote w:type="continuationSeparator" w:id="0">
    <w:p w14:paraId="23FAC441" w14:textId="77777777" w:rsidR="00003059" w:rsidRDefault="00003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6B2096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EB2B2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83A52A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3DAD96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4DFE8D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C60DD4"/>
    <w:multiLevelType w:val="multilevel"/>
    <w:tmpl w:val="4F1A32DE"/>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4423B2B"/>
    <w:multiLevelType w:val="hybridMultilevel"/>
    <w:tmpl w:val="C916FDC6"/>
    <w:lvl w:ilvl="0" w:tplc="7CF2E834">
      <w:start w:val="1"/>
      <w:numFmt w:val="upperRoman"/>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C04A3"/>
    <w:multiLevelType w:val="multilevel"/>
    <w:tmpl w:val="250EDC0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85D4EDD"/>
    <w:multiLevelType w:val="multilevel"/>
    <w:tmpl w:val="5490AB0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0704358">
    <w:abstractNumId w:val="5"/>
  </w:num>
  <w:num w:numId="2" w16cid:durableId="1052315418">
    <w:abstractNumId w:val="8"/>
  </w:num>
  <w:num w:numId="3" w16cid:durableId="1964651357">
    <w:abstractNumId w:val="7"/>
  </w:num>
  <w:num w:numId="4" w16cid:durableId="110898841">
    <w:abstractNumId w:val="4"/>
  </w:num>
  <w:num w:numId="5" w16cid:durableId="464465612">
    <w:abstractNumId w:val="3"/>
  </w:num>
  <w:num w:numId="6" w16cid:durableId="1417704911">
    <w:abstractNumId w:val="2"/>
  </w:num>
  <w:num w:numId="7" w16cid:durableId="1428697680">
    <w:abstractNumId w:val="1"/>
  </w:num>
  <w:num w:numId="8" w16cid:durableId="1642999570">
    <w:abstractNumId w:val="0"/>
  </w:num>
  <w:num w:numId="9" w16cid:durableId="1762599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A7"/>
    <w:rsid w:val="00003059"/>
    <w:rsid w:val="0013166C"/>
    <w:rsid w:val="001E669E"/>
    <w:rsid w:val="002B6B90"/>
    <w:rsid w:val="002F482A"/>
    <w:rsid w:val="00317F9C"/>
    <w:rsid w:val="003206D1"/>
    <w:rsid w:val="00392373"/>
    <w:rsid w:val="004310A4"/>
    <w:rsid w:val="00567971"/>
    <w:rsid w:val="006E5AA7"/>
    <w:rsid w:val="007710B6"/>
    <w:rsid w:val="00803A5A"/>
    <w:rsid w:val="00894BC7"/>
    <w:rsid w:val="008955C0"/>
    <w:rsid w:val="00913130"/>
    <w:rsid w:val="00976E90"/>
    <w:rsid w:val="009E605E"/>
    <w:rsid w:val="00A46F46"/>
    <w:rsid w:val="00AE43B7"/>
    <w:rsid w:val="00B21536"/>
    <w:rsid w:val="00B41898"/>
    <w:rsid w:val="00B45BFC"/>
    <w:rsid w:val="00DC29AA"/>
    <w:rsid w:val="00DD1476"/>
    <w:rsid w:val="00E0037C"/>
    <w:rsid w:val="00E1356A"/>
    <w:rsid w:val="00EA0A1D"/>
    <w:rsid w:val="00EB038C"/>
    <w:rsid w:val="00F7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EF55"/>
  <w15:docId w15:val="{FDE75F21-6189-426E-AC0B-65039976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32"/>
        <w:szCs w:val="32"/>
        <w:vertAlign w:val="superscript"/>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7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unhideWhenUsed/>
    <w:rsid w:val="0016027E"/>
    <w:pPr>
      <w:spacing w:before="100" w:beforeAutospacing="1" w:after="100" w:afterAutospacing="1"/>
    </w:pPr>
    <w:rPr>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567971"/>
    <w:rPr>
      <w:color w:val="3333FF"/>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character" w:customStyle="1" w:styleId="apple-tab-span">
    <w:name w:val="apple-tab-span"/>
    <w:basedOn w:val="DefaultParagraphFont"/>
    <w:rsid w:val="00805F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83202"/>
    <w:rPr>
      <w:sz w:val="16"/>
      <w:szCs w:val="16"/>
    </w:rPr>
  </w:style>
  <w:style w:type="paragraph" w:styleId="CommentText">
    <w:name w:val="annotation text"/>
    <w:basedOn w:val="Normal"/>
    <w:link w:val="CommentTextChar"/>
    <w:uiPriority w:val="99"/>
    <w:semiHidden/>
    <w:unhideWhenUsed/>
    <w:rsid w:val="00F83202"/>
  </w:style>
  <w:style w:type="character" w:customStyle="1" w:styleId="CommentTextChar">
    <w:name w:val="Comment Text Char"/>
    <w:basedOn w:val="DefaultParagraphFont"/>
    <w:link w:val="CommentText"/>
    <w:uiPriority w:val="99"/>
    <w:semiHidden/>
    <w:rsid w:val="00F83202"/>
  </w:style>
  <w:style w:type="paragraph" w:styleId="CommentSubject">
    <w:name w:val="annotation subject"/>
    <w:basedOn w:val="CommentText"/>
    <w:next w:val="CommentText"/>
    <w:link w:val="CommentSubjectChar"/>
    <w:uiPriority w:val="99"/>
    <w:semiHidden/>
    <w:unhideWhenUsed/>
    <w:rsid w:val="00F83202"/>
    <w:rPr>
      <w:b/>
      <w:bCs/>
    </w:rPr>
  </w:style>
  <w:style w:type="character" w:customStyle="1" w:styleId="CommentSubjectChar">
    <w:name w:val="Comment Subject Char"/>
    <w:basedOn w:val="CommentTextChar"/>
    <w:link w:val="CommentSubject"/>
    <w:uiPriority w:val="99"/>
    <w:semiHidden/>
    <w:rsid w:val="00F83202"/>
    <w:rPr>
      <w:b/>
      <w:bCs/>
    </w:rPr>
  </w:style>
  <w:style w:type="paragraph" w:styleId="Revision">
    <w:name w:val="Revision"/>
    <w:hidden/>
    <w:uiPriority w:val="99"/>
    <w:semiHidden/>
    <w:rsid w:val="00F83202"/>
  </w:style>
  <w:style w:type="paragraph" w:styleId="BalloonText">
    <w:name w:val="Balloon Text"/>
    <w:basedOn w:val="Normal"/>
    <w:link w:val="BalloonTextChar"/>
    <w:uiPriority w:val="99"/>
    <w:semiHidden/>
    <w:unhideWhenUsed/>
    <w:rsid w:val="00F83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02"/>
    <w:rPr>
      <w:rFonts w:ascii="Segoe UI" w:hAnsi="Segoe UI" w:cs="Segoe UI"/>
      <w:sz w:val="18"/>
      <w:szCs w:val="18"/>
    </w:rPr>
  </w:style>
  <w:style w:type="table" w:customStyle="1" w:styleId="a0">
    <w:basedOn w:val="TableNormal"/>
    <w:tblPr>
      <w:tblStyleRowBandSize w:val="1"/>
      <w:tblStyleColBandSize w:val="1"/>
      <w:tblCellMar>
        <w:left w:w="0" w:type="dxa"/>
        <w:right w:w="0" w:type="dxa"/>
      </w:tblCellMar>
    </w:tblPr>
  </w:style>
  <w:style w:type="character" w:styleId="FollowedHyperlink">
    <w:name w:val="FollowedHyperlink"/>
    <w:basedOn w:val="DefaultParagraphFont"/>
    <w:uiPriority w:val="99"/>
    <w:unhideWhenUsed/>
    <w:rsid w:val="00567971"/>
    <w:rPr>
      <w:color w:val="3333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80109">
      <w:bodyDiv w:val="1"/>
      <w:marLeft w:val="0"/>
      <w:marRight w:val="0"/>
      <w:marTop w:val="0"/>
      <w:marBottom w:val="0"/>
      <w:divBdr>
        <w:top w:val="none" w:sz="0" w:space="0" w:color="auto"/>
        <w:left w:val="none" w:sz="0" w:space="0" w:color="auto"/>
        <w:bottom w:val="none" w:sz="0" w:space="0" w:color="auto"/>
        <w:right w:val="none" w:sz="0" w:space="0" w:color="auto"/>
      </w:divBdr>
      <w:divsChild>
        <w:div w:id="1612856355">
          <w:marLeft w:val="0"/>
          <w:marRight w:val="0"/>
          <w:marTop w:val="0"/>
          <w:marBottom w:val="0"/>
          <w:divBdr>
            <w:top w:val="none" w:sz="0" w:space="0" w:color="3D3D3D"/>
            <w:left w:val="none" w:sz="0" w:space="0" w:color="3D3D3D"/>
            <w:bottom w:val="none" w:sz="0" w:space="0" w:color="3D3D3D"/>
            <w:right w:val="none" w:sz="0" w:space="0" w:color="3D3D3D"/>
          </w:divBdr>
          <w:divsChild>
            <w:div w:id="16787322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6198593">
      <w:bodyDiv w:val="1"/>
      <w:marLeft w:val="0"/>
      <w:marRight w:val="0"/>
      <w:marTop w:val="0"/>
      <w:marBottom w:val="0"/>
      <w:divBdr>
        <w:top w:val="none" w:sz="0" w:space="0" w:color="auto"/>
        <w:left w:val="none" w:sz="0" w:space="0" w:color="auto"/>
        <w:bottom w:val="none" w:sz="0" w:space="0" w:color="auto"/>
        <w:right w:val="none" w:sz="0" w:space="0" w:color="auto"/>
      </w:divBdr>
      <w:divsChild>
        <w:div w:id="1983805717">
          <w:marLeft w:val="0"/>
          <w:marRight w:val="0"/>
          <w:marTop w:val="0"/>
          <w:marBottom w:val="0"/>
          <w:divBdr>
            <w:top w:val="none" w:sz="0" w:space="0" w:color="3D3D3D"/>
            <w:left w:val="none" w:sz="0" w:space="0" w:color="3D3D3D"/>
            <w:bottom w:val="none" w:sz="0" w:space="0" w:color="3D3D3D"/>
            <w:right w:val="none" w:sz="0" w:space="0" w:color="3D3D3D"/>
          </w:divBdr>
          <w:divsChild>
            <w:div w:id="5876179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VakJxyTPP140Mlu49devm3DBg==">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</go:docsCustomData>
</go:gDocsCustomXmlDataStorage>
</file>

<file path=customXml/itemProps1.xml><?xml version="1.0" encoding="utf-8"?>
<ds:datastoreItem xmlns:ds="http://schemas.openxmlformats.org/officeDocument/2006/customXml" ds:itemID="{6E1B9917-B543-48A1-B64F-F79E21CE5A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620</Words>
  <Characters>3395</Characters>
  <Application>Microsoft Office Word</Application>
  <DocSecurity>4</DocSecurity>
  <Lines>82</Lines>
  <Paragraphs>29</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Heade (OPD)</dc:creator>
  <cp:lastModifiedBy>Karen Smith</cp:lastModifiedBy>
  <cp:revision>2</cp:revision>
  <dcterms:created xsi:type="dcterms:W3CDTF">2024-05-01T17:03:00Z</dcterms:created>
  <dcterms:modified xsi:type="dcterms:W3CDTF">2024-05-01T17:03:00Z</dcterms:modified>
</cp:coreProperties>
</file>