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E2076" w14:textId="77777777" w:rsidR="008656A4" w:rsidRDefault="008656A4" w:rsidP="00D23559">
      <w:pPr>
        <w:widowControl w:val="0"/>
        <w:spacing w:line="240" w:lineRule="exact"/>
        <w:rPr>
          <w:sz w:val="20"/>
          <w:szCs w:val="20"/>
        </w:rPr>
      </w:pPr>
    </w:p>
    <w:p w14:paraId="5C2B31BC" w14:textId="77777777" w:rsidR="00BF5BA8" w:rsidRPr="00E7610A" w:rsidRDefault="00BF5BA8" w:rsidP="00BF5BA8">
      <w:pPr>
        <w:widowControl w:val="0"/>
        <w:spacing w:line="240" w:lineRule="exact"/>
        <w:rPr>
          <w:sz w:val="20"/>
          <w:szCs w:val="20"/>
        </w:rPr>
      </w:pPr>
      <w:r w:rsidRPr="00E7610A">
        <w:rPr>
          <w:sz w:val="20"/>
          <w:szCs w:val="20"/>
        </w:rPr>
        <w:t>Scott M. Clark, Esq. (Ariz. Bar No. 6759)</w:t>
      </w:r>
    </w:p>
    <w:p w14:paraId="001FDF34" w14:textId="77777777" w:rsidR="00BF5BA8" w:rsidRDefault="00BF5BA8" w:rsidP="00BF5BA8">
      <w:pPr>
        <w:widowControl w:val="0"/>
        <w:spacing w:line="240" w:lineRule="exact"/>
        <w:rPr>
          <w:sz w:val="20"/>
          <w:szCs w:val="20"/>
        </w:rPr>
      </w:pPr>
      <w:r w:rsidRPr="00E7610A">
        <w:rPr>
          <w:sz w:val="20"/>
          <w:szCs w:val="20"/>
        </w:rPr>
        <w:t>Christopher R. Walker, Esq. (Ariz. Bar No. 28977)</w:t>
      </w:r>
      <w:r>
        <w:rPr>
          <w:sz w:val="20"/>
          <w:szCs w:val="20"/>
        </w:rPr>
        <w:br/>
        <w:t xml:space="preserve">Colin L. Clark, Esq. (Ariz. Bar No. </w:t>
      </w:r>
      <w:r w:rsidRPr="002A61E4">
        <w:rPr>
          <w:sz w:val="20"/>
          <w:szCs w:val="20"/>
        </w:rPr>
        <w:t>33457</w:t>
      </w:r>
      <w:r>
        <w:rPr>
          <w:sz w:val="20"/>
          <w:szCs w:val="20"/>
        </w:rPr>
        <w:t>)</w:t>
      </w:r>
    </w:p>
    <w:p w14:paraId="61C28290" w14:textId="77777777" w:rsidR="00BF5BA8" w:rsidRDefault="00BF5BA8" w:rsidP="00BF5BA8">
      <w:pPr>
        <w:widowControl w:val="0"/>
        <w:spacing w:line="240" w:lineRule="exact"/>
        <w:rPr>
          <w:sz w:val="20"/>
          <w:szCs w:val="20"/>
        </w:rPr>
      </w:pPr>
      <w:r>
        <w:rPr>
          <w:sz w:val="20"/>
          <w:szCs w:val="20"/>
        </w:rPr>
        <w:t>Brett Meyer (Ariz. Bar No. 34726)</w:t>
      </w:r>
    </w:p>
    <w:p w14:paraId="7E17C2C0" w14:textId="77777777" w:rsidR="00BF5BA8" w:rsidRDefault="00BF5BA8" w:rsidP="00BF5BA8">
      <w:pPr>
        <w:widowControl w:val="0"/>
        <w:spacing w:line="240" w:lineRule="exact"/>
        <w:rPr>
          <w:sz w:val="20"/>
          <w:szCs w:val="20"/>
        </w:rPr>
      </w:pPr>
      <w:r>
        <w:rPr>
          <w:sz w:val="20"/>
          <w:szCs w:val="20"/>
        </w:rPr>
        <w:t>Christopher M. Rogers (Ariz. Bar No. 36484)</w:t>
      </w:r>
    </w:p>
    <w:p w14:paraId="73721CEC" w14:textId="32E5ED0D" w:rsidR="00BF5BA8" w:rsidRDefault="00770BA2" w:rsidP="00BF5BA8">
      <w:pPr>
        <w:widowControl w:val="0"/>
        <w:spacing w:line="240" w:lineRule="exact"/>
        <w:rPr>
          <w:sz w:val="20"/>
          <w:szCs w:val="20"/>
        </w:rPr>
      </w:pPr>
      <w:r>
        <w:rPr>
          <w:sz w:val="20"/>
          <w:szCs w:val="20"/>
        </w:rPr>
        <w:t>V</w:t>
      </w:r>
      <w:r w:rsidR="00BF5BA8">
        <w:rPr>
          <w:sz w:val="20"/>
          <w:szCs w:val="20"/>
        </w:rPr>
        <w:t>ictoria D’Amato, (Ariz. Bar No. 37150)</w:t>
      </w:r>
    </w:p>
    <w:p w14:paraId="7BCC7F4B" w14:textId="77777777" w:rsidR="00BF5BA8" w:rsidRDefault="00BF5BA8" w:rsidP="00BF5BA8">
      <w:pPr>
        <w:widowControl w:val="0"/>
        <w:spacing w:line="240" w:lineRule="exact"/>
        <w:rPr>
          <w:sz w:val="20"/>
          <w:szCs w:val="20"/>
        </w:rPr>
      </w:pPr>
      <w:r>
        <w:rPr>
          <w:sz w:val="20"/>
          <w:szCs w:val="20"/>
        </w:rPr>
        <w:t>Gregory K. Cecilia (Ariz. Bar No. 27954</w:t>
      </w:r>
    </w:p>
    <w:p w14:paraId="6F3C604C" w14:textId="77777777" w:rsidR="00BF5BA8" w:rsidRDefault="00BF5BA8" w:rsidP="00BF5BA8">
      <w:pPr>
        <w:widowControl w:val="0"/>
        <w:spacing w:line="240" w:lineRule="exact"/>
        <w:rPr>
          <w:sz w:val="20"/>
          <w:szCs w:val="20"/>
        </w:rPr>
      </w:pPr>
      <w:r>
        <w:rPr>
          <w:sz w:val="20"/>
          <w:szCs w:val="20"/>
        </w:rPr>
        <w:t>Jared W. Harris (Ariz. Bar No. 35927)</w:t>
      </w:r>
    </w:p>
    <w:p w14:paraId="2A6D57F2" w14:textId="078E6EE6" w:rsidR="00770BA2" w:rsidRDefault="00770BA2" w:rsidP="00BF5BA8">
      <w:pPr>
        <w:widowControl w:val="0"/>
        <w:spacing w:line="240" w:lineRule="exact"/>
        <w:rPr>
          <w:sz w:val="20"/>
          <w:szCs w:val="20"/>
        </w:rPr>
      </w:pPr>
      <w:r>
        <w:rPr>
          <w:sz w:val="20"/>
          <w:szCs w:val="20"/>
        </w:rPr>
        <w:t>Justin H. Lines (Ariz. Bar No. 29221)</w:t>
      </w:r>
    </w:p>
    <w:p w14:paraId="7A472DC8" w14:textId="77777777" w:rsidR="00BF5BA8" w:rsidRPr="00E7610A" w:rsidRDefault="00BF5BA8" w:rsidP="00BF5BA8">
      <w:pPr>
        <w:widowControl w:val="0"/>
        <w:spacing w:line="240" w:lineRule="exact"/>
        <w:rPr>
          <w:b/>
          <w:sz w:val="20"/>
          <w:szCs w:val="20"/>
        </w:rPr>
      </w:pPr>
      <w:r>
        <w:rPr>
          <w:b/>
          <w:sz w:val="20"/>
          <w:szCs w:val="20"/>
        </w:rPr>
        <w:t>CLARK &amp; WALKER</w:t>
      </w:r>
      <w:r w:rsidRPr="00E7610A">
        <w:rPr>
          <w:b/>
          <w:sz w:val="20"/>
          <w:szCs w:val="20"/>
        </w:rPr>
        <w:t>, P.C.</w:t>
      </w:r>
    </w:p>
    <w:p w14:paraId="17B43A55" w14:textId="77777777" w:rsidR="00BF5BA8" w:rsidRPr="00E7610A" w:rsidRDefault="00BF5BA8" w:rsidP="00BF5BA8">
      <w:pPr>
        <w:widowControl w:val="0"/>
        <w:spacing w:line="240" w:lineRule="exact"/>
        <w:rPr>
          <w:sz w:val="20"/>
          <w:szCs w:val="20"/>
        </w:rPr>
      </w:pPr>
      <w:r>
        <w:rPr>
          <w:sz w:val="20"/>
          <w:szCs w:val="20"/>
        </w:rPr>
        <w:t>4222 E. Thomas Rd., Ste. 230</w:t>
      </w:r>
    </w:p>
    <w:p w14:paraId="782E9F46" w14:textId="610ACFB5" w:rsidR="00BF5BA8" w:rsidRPr="00E7610A" w:rsidRDefault="00BF5BA8" w:rsidP="00BF5BA8">
      <w:pPr>
        <w:widowControl w:val="0"/>
        <w:spacing w:line="240" w:lineRule="exact"/>
        <w:rPr>
          <w:sz w:val="20"/>
          <w:szCs w:val="20"/>
        </w:rPr>
      </w:pPr>
      <w:r>
        <w:rPr>
          <w:sz w:val="20"/>
          <w:szCs w:val="20"/>
        </w:rPr>
        <w:t>Phoenix, Arizona 85018</w:t>
      </w:r>
    </w:p>
    <w:p w14:paraId="2FA13CD0" w14:textId="77777777" w:rsidR="00BF5BA8" w:rsidRDefault="00BF5BA8" w:rsidP="00BF5BA8">
      <w:pPr>
        <w:widowControl w:val="0"/>
        <w:spacing w:line="240" w:lineRule="exact"/>
        <w:rPr>
          <w:sz w:val="20"/>
          <w:szCs w:val="20"/>
        </w:rPr>
      </w:pPr>
      <w:r w:rsidRPr="00E7610A">
        <w:rPr>
          <w:sz w:val="20"/>
          <w:szCs w:val="20"/>
        </w:rPr>
        <w:t>(602) 957-7877 [Tel</w:t>
      </w:r>
      <w:r>
        <w:rPr>
          <w:sz w:val="20"/>
          <w:szCs w:val="20"/>
        </w:rPr>
        <w:t>]</w:t>
      </w:r>
    </w:p>
    <w:p w14:paraId="57A6BF1E" w14:textId="77777777" w:rsidR="00BF5BA8" w:rsidRPr="00E7610A" w:rsidRDefault="00BF5BA8" w:rsidP="00BF5BA8">
      <w:pPr>
        <w:widowControl w:val="0"/>
        <w:spacing w:line="240" w:lineRule="exact"/>
        <w:rPr>
          <w:sz w:val="20"/>
          <w:szCs w:val="20"/>
        </w:rPr>
      </w:pPr>
      <w:r w:rsidRPr="00E7610A">
        <w:rPr>
          <w:sz w:val="20"/>
          <w:szCs w:val="20"/>
        </w:rPr>
        <w:t>(602) 957-7876 [Fax]</w:t>
      </w:r>
    </w:p>
    <w:p w14:paraId="32FECDA5" w14:textId="77777777" w:rsidR="00BF5BA8" w:rsidRDefault="00BF5BA8" w:rsidP="00BF5BA8">
      <w:pPr>
        <w:widowControl w:val="0"/>
        <w:spacing w:line="240" w:lineRule="exact"/>
        <w:rPr>
          <w:rStyle w:val="Hyperlink"/>
          <w:sz w:val="20"/>
          <w:szCs w:val="20"/>
        </w:rPr>
      </w:pPr>
      <w:r w:rsidRPr="005C56F2">
        <w:rPr>
          <w:sz w:val="20"/>
          <w:szCs w:val="20"/>
        </w:rPr>
        <w:t>www.</w:t>
      </w:r>
      <w:r>
        <w:rPr>
          <w:sz w:val="20"/>
          <w:szCs w:val="20"/>
        </w:rPr>
        <w:t>clarkwalker.com</w:t>
      </w:r>
    </w:p>
    <w:p w14:paraId="7424146C" w14:textId="77777777" w:rsidR="00BF5BA8" w:rsidRPr="00E7610A" w:rsidRDefault="00BF5BA8" w:rsidP="00BF5BA8">
      <w:pPr>
        <w:widowControl w:val="0"/>
        <w:spacing w:line="240" w:lineRule="exact"/>
        <w:rPr>
          <w:sz w:val="20"/>
          <w:szCs w:val="20"/>
        </w:rPr>
      </w:pPr>
      <w:r>
        <w:rPr>
          <w:rStyle w:val="Hyperlink"/>
          <w:sz w:val="20"/>
          <w:szCs w:val="20"/>
        </w:rPr>
        <w:t>court@clarkwalker.com</w:t>
      </w:r>
    </w:p>
    <w:p w14:paraId="27305924" w14:textId="41A64B40" w:rsidR="00BF5BA8" w:rsidRDefault="008E1439" w:rsidP="00BF5BA8">
      <w:pPr>
        <w:widowControl w:val="0"/>
        <w:spacing w:line="240" w:lineRule="exact"/>
        <w:rPr>
          <w:i/>
          <w:sz w:val="20"/>
          <w:szCs w:val="20"/>
        </w:rPr>
      </w:pPr>
      <w:r>
        <w:rPr>
          <w:i/>
          <w:sz w:val="20"/>
          <w:szCs w:val="20"/>
        </w:rPr>
        <w:t>Commenting Party</w:t>
      </w:r>
    </w:p>
    <w:p w14:paraId="47C86848" w14:textId="72D83DE4" w:rsidR="000D4698" w:rsidRPr="008E1439" w:rsidRDefault="0015686F" w:rsidP="00D23559">
      <w:pPr>
        <w:widowControl w:val="0"/>
        <w:spacing w:line="480" w:lineRule="exact"/>
        <w:jc w:val="center"/>
        <w:rPr>
          <w:b/>
          <w:caps/>
          <w:sz w:val="26"/>
          <w:szCs w:val="26"/>
        </w:rPr>
      </w:pPr>
      <w:r w:rsidRPr="008E1439">
        <w:rPr>
          <w:b/>
          <w:caps/>
          <w:sz w:val="26"/>
          <w:szCs w:val="26"/>
        </w:rPr>
        <w:t>IN THE SUPREME COURT</w:t>
      </w:r>
    </w:p>
    <w:p w14:paraId="4CA3486A" w14:textId="32BF271E" w:rsidR="0015686F" w:rsidRPr="008E1439" w:rsidRDefault="0015686F" w:rsidP="00D23559">
      <w:pPr>
        <w:widowControl w:val="0"/>
        <w:spacing w:line="480" w:lineRule="exact"/>
        <w:jc w:val="center"/>
        <w:rPr>
          <w:b/>
          <w:caps/>
          <w:sz w:val="26"/>
          <w:szCs w:val="26"/>
        </w:rPr>
      </w:pPr>
      <w:r w:rsidRPr="008E1439">
        <w:rPr>
          <w:b/>
          <w:caps/>
          <w:sz w:val="26"/>
          <w:szCs w:val="26"/>
        </w:rPr>
        <w:t>STATE OF ARIZONA</w:t>
      </w:r>
    </w:p>
    <w:p w14:paraId="5172F90E" w14:textId="77777777" w:rsidR="006338E9" w:rsidRPr="008E1439" w:rsidRDefault="006338E9" w:rsidP="006338E9">
      <w:pPr>
        <w:widowControl w:val="0"/>
        <w:spacing w:line="240" w:lineRule="exact"/>
        <w:jc w:val="center"/>
        <w:rPr>
          <w:cap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96"/>
      </w:tblGrid>
      <w:tr w:rsidR="000D4698" w:rsidRPr="008E1439" w14:paraId="200DAECB" w14:textId="77777777" w:rsidTr="00890B4D">
        <w:tc>
          <w:tcPr>
            <w:tcW w:w="4896" w:type="dxa"/>
            <w:tcBorders>
              <w:bottom w:val="single" w:sz="8" w:space="0" w:color="auto"/>
              <w:right w:val="single" w:sz="8" w:space="0" w:color="auto"/>
            </w:tcBorders>
          </w:tcPr>
          <w:p w14:paraId="0633F218" w14:textId="77777777" w:rsidR="0015686F" w:rsidRPr="008E1439" w:rsidRDefault="0015686F" w:rsidP="0015686F">
            <w:pPr>
              <w:pStyle w:val="TableParagraph"/>
              <w:spacing w:before="0"/>
              <w:rPr>
                <w:rFonts w:ascii="Garamond" w:hAnsi="Garamond"/>
                <w:sz w:val="26"/>
                <w:szCs w:val="26"/>
              </w:rPr>
            </w:pPr>
            <w:r w:rsidRPr="008E1439">
              <w:rPr>
                <w:rFonts w:ascii="Garamond" w:hAnsi="Garamond"/>
                <w:sz w:val="26"/>
                <w:szCs w:val="26"/>
              </w:rPr>
              <w:t>In</w:t>
            </w:r>
            <w:r w:rsidRPr="008E1439">
              <w:rPr>
                <w:rFonts w:ascii="Garamond" w:hAnsi="Garamond"/>
                <w:spacing w:val="-5"/>
                <w:sz w:val="26"/>
                <w:szCs w:val="26"/>
              </w:rPr>
              <w:t xml:space="preserve"> </w:t>
            </w:r>
            <w:r w:rsidRPr="008E1439">
              <w:rPr>
                <w:rFonts w:ascii="Garamond" w:hAnsi="Garamond"/>
                <w:sz w:val="26"/>
                <w:szCs w:val="26"/>
              </w:rPr>
              <w:t>the</w:t>
            </w:r>
            <w:r w:rsidRPr="008E1439">
              <w:rPr>
                <w:rFonts w:ascii="Garamond" w:hAnsi="Garamond"/>
                <w:spacing w:val="-5"/>
                <w:sz w:val="26"/>
                <w:szCs w:val="26"/>
              </w:rPr>
              <w:t xml:space="preserve"> </w:t>
            </w:r>
            <w:r w:rsidRPr="008E1439">
              <w:rPr>
                <w:rFonts w:ascii="Garamond" w:hAnsi="Garamond"/>
                <w:sz w:val="26"/>
                <w:szCs w:val="26"/>
              </w:rPr>
              <w:t>Matter</w:t>
            </w:r>
            <w:r w:rsidRPr="008E1439">
              <w:rPr>
                <w:rFonts w:ascii="Garamond" w:hAnsi="Garamond"/>
                <w:spacing w:val="-5"/>
                <w:sz w:val="26"/>
                <w:szCs w:val="26"/>
              </w:rPr>
              <w:t xml:space="preserve"> of:</w:t>
            </w:r>
          </w:p>
          <w:p w14:paraId="11DB4555" w14:textId="77777777" w:rsidR="0015686F" w:rsidRPr="008E1439" w:rsidRDefault="0015686F" w:rsidP="0015686F">
            <w:pPr>
              <w:pStyle w:val="TableParagraph"/>
              <w:spacing w:before="59"/>
              <w:rPr>
                <w:rFonts w:ascii="Garamond" w:hAnsi="Garamond"/>
                <w:sz w:val="26"/>
                <w:szCs w:val="26"/>
              </w:rPr>
            </w:pPr>
          </w:p>
          <w:p w14:paraId="247DBBBD" w14:textId="77777777" w:rsidR="0015686F" w:rsidRPr="008E1439" w:rsidRDefault="0015686F" w:rsidP="0015686F">
            <w:pPr>
              <w:pStyle w:val="TableParagraph"/>
              <w:spacing w:before="59"/>
              <w:rPr>
                <w:rFonts w:ascii="Garamond" w:hAnsi="Garamond"/>
                <w:sz w:val="26"/>
                <w:szCs w:val="26"/>
              </w:rPr>
            </w:pPr>
          </w:p>
          <w:p w14:paraId="69AA4992" w14:textId="249D9255" w:rsidR="000C2B0B" w:rsidRPr="008E1439" w:rsidRDefault="0015686F" w:rsidP="0015686F">
            <w:pPr>
              <w:widowControl w:val="0"/>
              <w:spacing w:line="240" w:lineRule="exact"/>
              <w:rPr>
                <w:sz w:val="26"/>
                <w:szCs w:val="26"/>
              </w:rPr>
            </w:pPr>
            <w:r w:rsidRPr="008E1439">
              <w:rPr>
                <w:sz w:val="26"/>
                <w:szCs w:val="26"/>
              </w:rPr>
              <w:t>PETITION TO AMEND RULE 5(d), ARIZONA</w:t>
            </w:r>
            <w:r w:rsidRPr="008E1439">
              <w:rPr>
                <w:spacing w:val="-13"/>
                <w:sz w:val="26"/>
                <w:szCs w:val="26"/>
              </w:rPr>
              <w:t xml:space="preserve"> </w:t>
            </w:r>
            <w:r w:rsidRPr="008E1439">
              <w:rPr>
                <w:sz w:val="26"/>
                <w:szCs w:val="26"/>
              </w:rPr>
              <w:t>RULES</w:t>
            </w:r>
            <w:r w:rsidRPr="008E1439">
              <w:rPr>
                <w:spacing w:val="-16"/>
                <w:sz w:val="26"/>
                <w:szCs w:val="26"/>
              </w:rPr>
              <w:t xml:space="preserve"> </w:t>
            </w:r>
            <w:r w:rsidRPr="008E1439">
              <w:rPr>
                <w:sz w:val="26"/>
                <w:szCs w:val="26"/>
              </w:rPr>
              <w:t>OF</w:t>
            </w:r>
            <w:r w:rsidRPr="008E1439">
              <w:rPr>
                <w:spacing w:val="-14"/>
                <w:sz w:val="26"/>
                <w:szCs w:val="26"/>
              </w:rPr>
              <w:t xml:space="preserve"> </w:t>
            </w:r>
            <w:r w:rsidRPr="008E1439">
              <w:rPr>
                <w:sz w:val="26"/>
                <w:szCs w:val="26"/>
              </w:rPr>
              <w:t xml:space="preserve">PROCEDURE FOR EVICTION ACTIONS </w:t>
            </w:r>
          </w:p>
        </w:tc>
        <w:tc>
          <w:tcPr>
            <w:tcW w:w="4896" w:type="dxa"/>
            <w:tcBorders>
              <w:left w:val="single" w:sz="8" w:space="0" w:color="auto"/>
            </w:tcBorders>
          </w:tcPr>
          <w:p w14:paraId="2B5F8577" w14:textId="120D8F75" w:rsidR="000C2B0B" w:rsidRPr="008E1439" w:rsidRDefault="0015686F" w:rsidP="00D23559">
            <w:pPr>
              <w:widowControl w:val="0"/>
              <w:spacing w:line="240" w:lineRule="exact"/>
              <w:rPr>
                <w:sz w:val="26"/>
                <w:szCs w:val="26"/>
              </w:rPr>
            </w:pPr>
            <w:r w:rsidRPr="008E1439">
              <w:rPr>
                <w:sz w:val="26"/>
                <w:szCs w:val="26"/>
              </w:rPr>
              <w:t>Supreme Court No. R-24-0024</w:t>
            </w:r>
          </w:p>
          <w:p w14:paraId="544D2C27" w14:textId="77777777" w:rsidR="0015686F" w:rsidRPr="008E1439" w:rsidRDefault="0015686F" w:rsidP="00D23559">
            <w:pPr>
              <w:widowControl w:val="0"/>
              <w:spacing w:line="240" w:lineRule="exact"/>
              <w:rPr>
                <w:sz w:val="26"/>
                <w:szCs w:val="26"/>
              </w:rPr>
            </w:pPr>
          </w:p>
          <w:p w14:paraId="380C153B" w14:textId="02010839" w:rsidR="0015686F" w:rsidRPr="008E1439" w:rsidRDefault="0015686F" w:rsidP="00D23559">
            <w:pPr>
              <w:widowControl w:val="0"/>
              <w:spacing w:line="240" w:lineRule="exact"/>
              <w:rPr>
                <w:b/>
                <w:bCs/>
                <w:sz w:val="26"/>
                <w:szCs w:val="26"/>
              </w:rPr>
            </w:pPr>
            <w:r w:rsidRPr="008E1439">
              <w:rPr>
                <w:b/>
                <w:bCs/>
                <w:sz w:val="26"/>
                <w:szCs w:val="26"/>
              </w:rPr>
              <w:t>Comment to Petition to Amend Rule 5(d), Arizona Rules of Procedure for Eviction Actions</w:t>
            </w:r>
          </w:p>
          <w:p w14:paraId="6039AF79" w14:textId="7AA7D2A7" w:rsidR="000C2B0B" w:rsidRPr="008E1439" w:rsidRDefault="000C2B0B" w:rsidP="00D23559">
            <w:pPr>
              <w:widowControl w:val="0"/>
              <w:spacing w:line="240" w:lineRule="exact"/>
              <w:rPr>
                <w:sz w:val="26"/>
                <w:szCs w:val="26"/>
              </w:rPr>
            </w:pPr>
          </w:p>
        </w:tc>
      </w:tr>
    </w:tbl>
    <w:p w14:paraId="47F7628F" w14:textId="77777777" w:rsidR="000D4698" w:rsidRDefault="000D4698" w:rsidP="00D23559">
      <w:pPr>
        <w:widowControl w:val="0"/>
        <w:spacing w:line="240" w:lineRule="exact"/>
      </w:pPr>
    </w:p>
    <w:p w14:paraId="0029E22B" w14:textId="53383DE2" w:rsidR="0015686F" w:rsidRDefault="0015686F" w:rsidP="0015686F">
      <w:pPr>
        <w:widowControl w:val="0"/>
        <w:spacing w:line="500" w:lineRule="exact"/>
        <w:ind w:firstLine="720"/>
        <w:jc w:val="both"/>
        <w:rPr>
          <w:rFonts w:eastAsia="MS Mincho"/>
          <w:sz w:val="26"/>
          <w:szCs w:val="26"/>
        </w:rPr>
      </w:pPr>
      <w:r w:rsidRPr="0015686F">
        <w:rPr>
          <w:rFonts w:eastAsia="MS Mincho"/>
          <w:sz w:val="26"/>
          <w:szCs w:val="26"/>
        </w:rPr>
        <w:t xml:space="preserve">Commenting Party, </w:t>
      </w:r>
      <w:r>
        <w:rPr>
          <w:rFonts w:eastAsia="MS Mincho"/>
          <w:sz w:val="26"/>
          <w:szCs w:val="26"/>
        </w:rPr>
        <w:t>Clark &amp; Walker, P.C.</w:t>
      </w:r>
      <w:r w:rsidRPr="0015686F">
        <w:rPr>
          <w:rFonts w:eastAsia="MS Mincho"/>
          <w:sz w:val="26"/>
          <w:szCs w:val="26"/>
        </w:rPr>
        <w:t xml:space="preserve"> (</w:t>
      </w:r>
      <w:r w:rsidR="008E1439">
        <w:rPr>
          <w:rFonts w:eastAsia="MS Mincho"/>
          <w:sz w:val="26"/>
          <w:szCs w:val="26"/>
        </w:rPr>
        <w:t xml:space="preserve">hereinafter </w:t>
      </w:r>
      <w:r w:rsidRPr="0015686F">
        <w:rPr>
          <w:rFonts w:eastAsia="MS Mincho"/>
          <w:sz w:val="26"/>
          <w:szCs w:val="26"/>
        </w:rPr>
        <w:t>“</w:t>
      </w:r>
      <w:r>
        <w:rPr>
          <w:rFonts w:eastAsia="MS Mincho"/>
          <w:sz w:val="26"/>
          <w:szCs w:val="26"/>
        </w:rPr>
        <w:t>CW</w:t>
      </w:r>
      <w:r w:rsidRPr="0015686F">
        <w:rPr>
          <w:rFonts w:eastAsia="MS Mincho"/>
          <w:sz w:val="26"/>
          <w:szCs w:val="26"/>
        </w:rPr>
        <w:t xml:space="preserve">”), hereby </w:t>
      </w:r>
      <w:r>
        <w:rPr>
          <w:rFonts w:eastAsia="MS Mincho"/>
          <w:sz w:val="26"/>
          <w:szCs w:val="26"/>
        </w:rPr>
        <w:t>submits its comment in opposition to</w:t>
      </w:r>
      <w:r w:rsidRPr="0015686F">
        <w:rPr>
          <w:rFonts w:eastAsia="MS Mincho"/>
          <w:sz w:val="26"/>
          <w:szCs w:val="26"/>
        </w:rPr>
        <w:t xml:space="preserve"> the Petition to amend Rule 5(d) (</w:t>
      </w:r>
      <w:r w:rsidR="008E1439">
        <w:rPr>
          <w:rFonts w:eastAsia="MS Mincho"/>
          <w:sz w:val="26"/>
          <w:szCs w:val="26"/>
        </w:rPr>
        <w:t xml:space="preserve">hereinafter </w:t>
      </w:r>
      <w:r w:rsidRPr="0015686F">
        <w:rPr>
          <w:rFonts w:eastAsia="MS Mincho"/>
          <w:sz w:val="26"/>
          <w:szCs w:val="26"/>
        </w:rPr>
        <w:t>“Petition”) of the Arizona Rules of Procedure for Eviction Actions (</w:t>
      </w:r>
      <w:r w:rsidR="008E1439">
        <w:rPr>
          <w:rFonts w:eastAsia="MS Mincho"/>
          <w:sz w:val="26"/>
          <w:szCs w:val="26"/>
        </w:rPr>
        <w:t xml:space="preserve">hereinafter </w:t>
      </w:r>
      <w:r w:rsidRPr="0015686F">
        <w:rPr>
          <w:rFonts w:eastAsia="MS Mincho"/>
          <w:sz w:val="26"/>
          <w:szCs w:val="26"/>
        </w:rPr>
        <w:t>“RPEA”), filed by Community Legal Services (</w:t>
      </w:r>
      <w:r w:rsidR="008E1439">
        <w:rPr>
          <w:rFonts w:eastAsia="MS Mincho"/>
          <w:sz w:val="26"/>
          <w:szCs w:val="26"/>
        </w:rPr>
        <w:t xml:space="preserve">hereinafter </w:t>
      </w:r>
      <w:r w:rsidRPr="0015686F">
        <w:rPr>
          <w:rFonts w:eastAsia="MS Mincho"/>
          <w:sz w:val="26"/>
          <w:szCs w:val="26"/>
        </w:rPr>
        <w:t>“CLS”), DNA People’s Legal Services (</w:t>
      </w:r>
      <w:r w:rsidR="008E1439">
        <w:rPr>
          <w:rFonts w:eastAsia="MS Mincho"/>
          <w:sz w:val="26"/>
          <w:szCs w:val="26"/>
        </w:rPr>
        <w:t xml:space="preserve">hereinafter </w:t>
      </w:r>
      <w:r w:rsidRPr="0015686F">
        <w:rPr>
          <w:rFonts w:eastAsia="MS Mincho"/>
          <w:sz w:val="26"/>
          <w:szCs w:val="26"/>
        </w:rPr>
        <w:t>“DNA”), Southern Arizona Legal Aid (</w:t>
      </w:r>
      <w:r w:rsidR="008E1439">
        <w:rPr>
          <w:rFonts w:eastAsia="MS Mincho"/>
          <w:sz w:val="26"/>
          <w:szCs w:val="26"/>
        </w:rPr>
        <w:t xml:space="preserve">hereinafter </w:t>
      </w:r>
      <w:r w:rsidRPr="0015686F">
        <w:rPr>
          <w:rFonts w:eastAsia="MS Mincho"/>
          <w:sz w:val="26"/>
          <w:szCs w:val="26"/>
        </w:rPr>
        <w:t>“SALA”)</w:t>
      </w:r>
      <w:r w:rsidR="0048795F">
        <w:rPr>
          <w:rFonts w:eastAsia="MS Mincho"/>
          <w:sz w:val="26"/>
          <w:szCs w:val="26"/>
        </w:rPr>
        <w:t xml:space="preserve">, </w:t>
      </w:r>
      <w:r w:rsidRPr="0015686F">
        <w:rPr>
          <w:rFonts w:eastAsia="MS Mincho"/>
          <w:sz w:val="26"/>
          <w:szCs w:val="26"/>
        </w:rPr>
        <w:t>and the William E Morris Institute for Justice (</w:t>
      </w:r>
      <w:r w:rsidR="008E1439">
        <w:rPr>
          <w:rFonts w:eastAsia="MS Mincho"/>
          <w:sz w:val="26"/>
          <w:szCs w:val="26"/>
        </w:rPr>
        <w:t xml:space="preserve"> hereinafter </w:t>
      </w:r>
      <w:r w:rsidRPr="0015686F">
        <w:rPr>
          <w:rFonts w:eastAsia="MS Mincho"/>
          <w:sz w:val="26"/>
          <w:szCs w:val="26"/>
        </w:rPr>
        <w:t>“MIJ”), on or about January 10, 2024</w:t>
      </w:r>
      <w:r>
        <w:rPr>
          <w:rFonts w:eastAsia="MS Mincho"/>
          <w:sz w:val="26"/>
          <w:szCs w:val="26"/>
        </w:rPr>
        <w:t xml:space="preserve"> by and for the reasons set forth </w:t>
      </w:r>
      <w:r>
        <w:rPr>
          <w:rFonts w:eastAsia="MS Mincho"/>
          <w:i/>
          <w:iCs/>
          <w:sz w:val="26"/>
          <w:szCs w:val="26"/>
        </w:rPr>
        <w:t>infra</w:t>
      </w:r>
      <w:r w:rsidRPr="0015686F">
        <w:rPr>
          <w:rFonts w:eastAsia="MS Mincho"/>
          <w:sz w:val="26"/>
          <w:szCs w:val="26"/>
        </w:rPr>
        <w:t>.</w:t>
      </w:r>
      <w:r w:rsidR="0048795F">
        <w:rPr>
          <w:rFonts w:eastAsia="MS Mincho"/>
          <w:sz w:val="26"/>
          <w:szCs w:val="26"/>
        </w:rPr>
        <w:t xml:space="preserve">  For the purposes of this comment, CLS, DNA, SALA, and MIJ will be collectively referred to as “Petitioners.”</w:t>
      </w:r>
    </w:p>
    <w:p w14:paraId="0AD0A539" w14:textId="77777777" w:rsidR="008E1439" w:rsidRDefault="0015686F" w:rsidP="00842A9C">
      <w:pPr>
        <w:pStyle w:val="ListParagraph"/>
        <w:widowControl w:val="0"/>
        <w:numPr>
          <w:ilvl w:val="0"/>
          <w:numId w:val="3"/>
        </w:numPr>
        <w:spacing w:line="500" w:lineRule="exact"/>
        <w:jc w:val="both"/>
        <w:rPr>
          <w:b/>
          <w:bCs/>
          <w:sz w:val="26"/>
          <w:szCs w:val="26"/>
          <w:u w:val="single"/>
        </w:rPr>
      </w:pPr>
      <w:r w:rsidRPr="008E1439">
        <w:rPr>
          <w:b/>
          <w:bCs/>
          <w:sz w:val="26"/>
          <w:szCs w:val="26"/>
          <w:u w:val="single"/>
        </w:rPr>
        <w:t>STATEMENT OF INTEREST.</w:t>
      </w:r>
    </w:p>
    <w:p w14:paraId="3D5C9BD5" w14:textId="4D9AF915" w:rsidR="008E1439" w:rsidRPr="008E1439" w:rsidRDefault="008E1439" w:rsidP="008E1439">
      <w:pPr>
        <w:widowControl w:val="0"/>
        <w:spacing w:line="500" w:lineRule="exact"/>
        <w:ind w:firstLine="720"/>
        <w:jc w:val="both"/>
        <w:rPr>
          <w:sz w:val="26"/>
          <w:szCs w:val="26"/>
        </w:rPr>
      </w:pPr>
      <w:r>
        <w:rPr>
          <w:sz w:val="26"/>
          <w:szCs w:val="26"/>
        </w:rPr>
        <w:t>CW is a law firm practicing in Arizona representing owners and operators of single and multifamily residential rental properties throughout the state of Arizona.  CW focuses its practice on the representation of landlords</w:t>
      </w:r>
      <w:r w:rsidR="00AF1830">
        <w:rPr>
          <w:sz w:val="26"/>
          <w:szCs w:val="26"/>
        </w:rPr>
        <w:t xml:space="preserve"> in most legal matters pertaining to the operation of its client’s </w:t>
      </w:r>
      <w:r w:rsidR="00AF1830">
        <w:rPr>
          <w:sz w:val="26"/>
          <w:szCs w:val="26"/>
        </w:rPr>
        <w:lastRenderedPageBreak/>
        <w:t xml:space="preserve">properties.  CW attorneys </w:t>
      </w:r>
      <w:r>
        <w:rPr>
          <w:sz w:val="26"/>
          <w:szCs w:val="26"/>
        </w:rPr>
        <w:t xml:space="preserve">make daily appearances throughout the state of Arizona on </w:t>
      </w:r>
      <w:r w:rsidR="00AF1830">
        <w:rPr>
          <w:sz w:val="26"/>
          <w:szCs w:val="26"/>
        </w:rPr>
        <w:t>evictions matters, including non-payment of rent matters which</w:t>
      </w:r>
      <w:r>
        <w:rPr>
          <w:sz w:val="26"/>
          <w:szCs w:val="26"/>
        </w:rPr>
        <w:t xml:space="preserve"> would be substantially and negatively impacted by this erroneous interpretation of 15 U.S.C.A. § 9058(c).</w:t>
      </w:r>
      <w:r w:rsidR="00BF45E2">
        <w:rPr>
          <w:sz w:val="26"/>
          <w:szCs w:val="26"/>
        </w:rPr>
        <w:t xml:space="preserve">  On behalf of itself, CW hereby comments on the Petition and respectfully urges this Court to affirm its prior guidance on this issue and, by so doing, reject the Petition entirely.</w:t>
      </w:r>
    </w:p>
    <w:p w14:paraId="4E035CBD" w14:textId="015F3ABA" w:rsidR="0015686F" w:rsidRPr="008E1439" w:rsidRDefault="0015686F" w:rsidP="00842A9C">
      <w:pPr>
        <w:pStyle w:val="ListParagraph"/>
        <w:widowControl w:val="0"/>
        <w:numPr>
          <w:ilvl w:val="0"/>
          <w:numId w:val="3"/>
        </w:numPr>
        <w:spacing w:line="500" w:lineRule="exact"/>
        <w:jc w:val="both"/>
        <w:rPr>
          <w:b/>
          <w:bCs/>
          <w:sz w:val="26"/>
          <w:szCs w:val="26"/>
          <w:u w:val="single"/>
        </w:rPr>
      </w:pPr>
      <w:r w:rsidRPr="008E1439">
        <w:rPr>
          <w:b/>
          <w:bCs/>
          <w:sz w:val="26"/>
          <w:szCs w:val="26"/>
          <w:u w:val="single"/>
        </w:rPr>
        <w:t>PETITION R-24-0024.</w:t>
      </w:r>
    </w:p>
    <w:p w14:paraId="7DA1E7D8" w14:textId="01BE5C43" w:rsidR="008E1439" w:rsidRPr="008E1439" w:rsidRDefault="008E1439" w:rsidP="008E1439">
      <w:pPr>
        <w:spacing w:line="500" w:lineRule="exact"/>
        <w:ind w:firstLine="720"/>
        <w:jc w:val="both"/>
        <w:rPr>
          <w:sz w:val="26"/>
          <w:szCs w:val="26"/>
        </w:rPr>
      </w:pPr>
      <w:r>
        <w:rPr>
          <w:sz w:val="26"/>
          <w:szCs w:val="26"/>
        </w:rPr>
        <w:t xml:space="preserve">Petition </w:t>
      </w:r>
      <w:r w:rsidRPr="008E1439">
        <w:rPr>
          <w:sz w:val="26"/>
          <w:szCs w:val="26"/>
        </w:rPr>
        <w:t xml:space="preserve">seeks to amend RPEA Rule 5(d) to include language stating: </w:t>
      </w:r>
    </w:p>
    <w:p w14:paraId="474834C4" w14:textId="77777777" w:rsidR="008E1439" w:rsidRPr="008E1439" w:rsidRDefault="008E1439" w:rsidP="008E1439">
      <w:pPr>
        <w:pStyle w:val="BodyText"/>
        <w:spacing w:line="500" w:lineRule="exact"/>
        <w:ind w:left="720" w:right="720" w:firstLine="0"/>
        <w:jc w:val="both"/>
        <w:rPr>
          <w:rFonts w:ascii="Garamond" w:hAnsi="Garamond"/>
          <w:b/>
          <w:bCs/>
          <w:szCs w:val="26"/>
        </w:rPr>
      </w:pPr>
      <w:r w:rsidRPr="008E1439">
        <w:rPr>
          <w:rFonts w:ascii="Garamond" w:hAnsi="Garamond"/>
          <w:b/>
          <w:bCs/>
          <w:szCs w:val="26"/>
        </w:rPr>
        <w:t>d. Additional Requirements for Complaint.</w:t>
      </w:r>
    </w:p>
    <w:p w14:paraId="5090F96D" w14:textId="77777777" w:rsidR="008E1439" w:rsidRPr="008E1439" w:rsidRDefault="008E1439" w:rsidP="008E1439">
      <w:pPr>
        <w:pStyle w:val="BodyText"/>
        <w:spacing w:line="500" w:lineRule="exact"/>
        <w:ind w:left="720" w:right="720" w:firstLine="0"/>
        <w:jc w:val="both"/>
        <w:rPr>
          <w:rFonts w:ascii="Garamond" w:hAnsi="Garamond"/>
          <w:szCs w:val="26"/>
        </w:rPr>
      </w:pPr>
      <w:r w:rsidRPr="008E1439">
        <w:rPr>
          <w:rFonts w:ascii="Garamond" w:hAnsi="Garamond"/>
          <w:szCs w:val="26"/>
        </w:rPr>
        <w:t>(…)</w:t>
      </w:r>
    </w:p>
    <w:p w14:paraId="5A31F02B" w14:textId="77777777" w:rsidR="008E1439" w:rsidRPr="008E1439" w:rsidRDefault="008E1439" w:rsidP="008E1439">
      <w:pPr>
        <w:pStyle w:val="BodyText"/>
        <w:spacing w:line="500" w:lineRule="exact"/>
        <w:ind w:left="720" w:right="720" w:firstLine="0"/>
        <w:jc w:val="both"/>
        <w:rPr>
          <w:rFonts w:ascii="Garamond" w:hAnsi="Garamond"/>
          <w:b/>
          <w:bCs/>
          <w:i/>
          <w:iCs/>
          <w:szCs w:val="26"/>
        </w:rPr>
      </w:pPr>
      <w:r w:rsidRPr="008E1439">
        <w:rPr>
          <w:rFonts w:ascii="Garamond" w:hAnsi="Garamond"/>
          <w:b/>
          <w:bCs/>
          <w:i/>
          <w:iCs/>
          <w:szCs w:val="26"/>
        </w:rPr>
        <w:t>(5) If the action involves a residential property, the complaint must contain or be accompanied by a declaration verifying that the plaintiff has provided the defendant with a notice to vacate at least 30 days prior to requiring the defendant to vacate the dwelling unit with the filing of the complaint, as mandated by the Coronavirus Aid, Relief, and Economic Security (“CARES”) Act, or that the dwelling from which the plaintiff seeks to evict the defendant is not located on or in a “covered property,” as defined in the CARES Act.</w:t>
      </w:r>
    </w:p>
    <w:p w14:paraId="107C8EF4" w14:textId="77777777" w:rsidR="008E1439" w:rsidRPr="008E1439" w:rsidRDefault="008E1439" w:rsidP="008E1439">
      <w:pPr>
        <w:pStyle w:val="BodyText"/>
        <w:spacing w:line="500" w:lineRule="exact"/>
        <w:ind w:left="720" w:right="720" w:firstLine="0"/>
        <w:jc w:val="both"/>
        <w:rPr>
          <w:rFonts w:ascii="Garamond" w:hAnsi="Garamond"/>
          <w:b/>
          <w:bCs/>
          <w:i/>
          <w:iCs/>
          <w:szCs w:val="26"/>
        </w:rPr>
      </w:pPr>
      <w:r w:rsidRPr="008E1439">
        <w:rPr>
          <w:rFonts w:ascii="Garamond" w:hAnsi="Garamond"/>
          <w:b/>
          <w:bCs/>
          <w:i/>
          <w:iCs/>
          <w:szCs w:val="26"/>
        </w:rPr>
        <w:t>(a) The declaration must include a complete statement of facts to verify compliance with the CARES Act or the inapplicability of the CARES Act to the dwelling unit at issue in the eviction action.</w:t>
      </w:r>
    </w:p>
    <w:p w14:paraId="2437C801" w14:textId="77777777" w:rsidR="008E1439" w:rsidRPr="008E1439" w:rsidRDefault="008E1439" w:rsidP="008E1439">
      <w:pPr>
        <w:pStyle w:val="BodyText"/>
        <w:spacing w:line="500" w:lineRule="exact"/>
        <w:ind w:left="720" w:right="720" w:firstLine="0"/>
        <w:jc w:val="both"/>
        <w:rPr>
          <w:rFonts w:ascii="Garamond" w:hAnsi="Garamond"/>
          <w:b/>
          <w:bCs/>
          <w:i/>
          <w:iCs/>
          <w:szCs w:val="26"/>
        </w:rPr>
      </w:pPr>
      <w:r w:rsidRPr="008E1439">
        <w:rPr>
          <w:rFonts w:ascii="Garamond" w:hAnsi="Garamond"/>
          <w:b/>
          <w:bCs/>
          <w:i/>
          <w:iCs/>
          <w:szCs w:val="26"/>
        </w:rPr>
        <w:t>(b) The court shall dismiss a case filed without the declaration required by this provision.</w:t>
      </w:r>
    </w:p>
    <w:p w14:paraId="61E73A99" w14:textId="77777777" w:rsidR="00BF45E2" w:rsidRDefault="008E1439" w:rsidP="008E1439">
      <w:pPr>
        <w:spacing w:line="500" w:lineRule="exact"/>
        <w:jc w:val="both"/>
        <w:rPr>
          <w:sz w:val="26"/>
          <w:szCs w:val="26"/>
        </w:rPr>
      </w:pPr>
      <w:r w:rsidRPr="008E1439">
        <w:rPr>
          <w:rStyle w:val="FootnoteReference"/>
          <w:sz w:val="26"/>
          <w:szCs w:val="26"/>
        </w:rPr>
        <w:footnoteReference w:id="1"/>
      </w:r>
      <w:r w:rsidRPr="008E1439">
        <w:rPr>
          <w:sz w:val="26"/>
          <w:szCs w:val="26"/>
        </w:rPr>
        <w:t xml:space="preserve"> </w:t>
      </w:r>
    </w:p>
    <w:p w14:paraId="3061C5AC" w14:textId="43502CE8" w:rsidR="008E1439" w:rsidRDefault="00BF45E2" w:rsidP="006A7CB9">
      <w:pPr>
        <w:spacing w:line="500" w:lineRule="exact"/>
        <w:ind w:firstLine="720"/>
        <w:jc w:val="both"/>
        <w:rPr>
          <w:sz w:val="26"/>
          <w:szCs w:val="26"/>
        </w:rPr>
      </w:pPr>
      <w:r>
        <w:rPr>
          <w:sz w:val="26"/>
          <w:szCs w:val="26"/>
        </w:rPr>
        <w:t>Petitioners allege that, to give effect to 15 U.S.C.A. § 9058(c) “</w:t>
      </w:r>
      <w:r w:rsidRPr="00BF45E2">
        <w:rPr>
          <w:sz w:val="26"/>
          <w:szCs w:val="26"/>
        </w:rPr>
        <w:t>a tenant has to know they live in a rental home subject to the CARES Act.</w:t>
      </w:r>
      <w:r>
        <w:rPr>
          <w:sz w:val="26"/>
          <w:szCs w:val="26"/>
        </w:rPr>
        <w:t>”</w:t>
      </w:r>
      <w:r>
        <w:rPr>
          <w:rStyle w:val="FootnoteReference"/>
          <w:sz w:val="26"/>
          <w:szCs w:val="26"/>
        </w:rPr>
        <w:footnoteReference w:id="2"/>
      </w:r>
      <w:r>
        <w:rPr>
          <w:sz w:val="26"/>
          <w:szCs w:val="26"/>
        </w:rPr>
        <w:t xml:space="preserve">  Petitioners argue that, because a tenant needs </w:t>
      </w:r>
      <w:r>
        <w:rPr>
          <w:sz w:val="26"/>
          <w:szCs w:val="26"/>
        </w:rPr>
        <w:lastRenderedPageBreak/>
        <w:t>to know the type of funding a landlord has, to give effect to 15 U.S.C.A. § 9058(c) “</w:t>
      </w:r>
      <w:r w:rsidRPr="00BF45E2">
        <w:rPr>
          <w:sz w:val="26"/>
          <w:szCs w:val="26"/>
        </w:rPr>
        <w:t>requires modification to the general pre-filing notice requirements of Arizona law in certain cases, as the CARES Act imposes a longer notice period than previously required for covered properties.</w:t>
      </w:r>
      <w:r>
        <w:rPr>
          <w:sz w:val="26"/>
          <w:szCs w:val="26"/>
        </w:rPr>
        <w:t>”</w:t>
      </w:r>
      <w:r>
        <w:rPr>
          <w:rStyle w:val="FootnoteReference"/>
          <w:sz w:val="26"/>
          <w:szCs w:val="26"/>
        </w:rPr>
        <w:footnoteReference w:id="3"/>
      </w:r>
      <w:r>
        <w:rPr>
          <w:sz w:val="26"/>
          <w:szCs w:val="26"/>
        </w:rPr>
        <w:t xml:space="preserve">  Petitioners argue that Rule 5(d), RPEA is the foundation by which these concerns can be best addressed and resolved in favor of the alleged uniformed tenant:</w:t>
      </w:r>
    </w:p>
    <w:p w14:paraId="3B4D1FD4" w14:textId="77777777" w:rsidR="006A7CB9" w:rsidRPr="008E1439" w:rsidRDefault="006A7CB9" w:rsidP="006A7CB9">
      <w:pPr>
        <w:spacing w:line="500" w:lineRule="exact"/>
        <w:ind w:firstLine="720"/>
        <w:jc w:val="both"/>
        <w:rPr>
          <w:sz w:val="26"/>
          <w:szCs w:val="26"/>
        </w:rPr>
      </w:pPr>
    </w:p>
    <w:p w14:paraId="31E91DB2" w14:textId="77777777" w:rsidR="008E1439" w:rsidRDefault="008E1439" w:rsidP="006A7CB9">
      <w:pPr>
        <w:ind w:left="720" w:right="720"/>
        <w:jc w:val="both"/>
        <w:rPr>
          <w:sz w:val="26"/>
          <w:szCs w:val="26"/>
        </w:rPr>
      </w:pPr>
      <w:r w:rsidRPr="008E1439">
        <w:rPr>
          <w:sz w:val="26"/>
          <w:szCs w:val="26"/>
        </w:rPr>
        <w:t>RPEA 5(d) represents one of Arizona’s most important due process protections for eviction defendants.  The rule requires eviction plaintiffs to be transparent in their disclosure of case-relevant information to eviction defendants.  However, the current version of RPEA 5(d) is incomplete without a provision requiring the eviction plaintiff to disclose whether the property is a “covered property.”  Such a required disclosure will help ensure eviction plaintiffs’ compliance with the CARES Act 30-day notice provision, along with the other important compliance measures the rule presently includes.</w:t>
      </w:r>
    </w:p>
    <w:p w14:paraId="3A783E08" w14:textId="1C39B4E6" w:rsidR="006A7CB9" w:rsidRDefault="00BF45E2" w:rsidP="006A7CB9">
      <w:pPr>
        <w:spacing w:line="500" w:lineRule="exact"/>
        <w:jc w:val="both"/>
        <w:rPr>
          <w:sz w:val="26"/>
          <w:szCs w:val="26"/>
        </w:rPr>
      </w:pPr>
      <w:r>
        <w:rPr>
          <w:rStyle w:val="FootnoteReference"/>
          <w:sz w:val="26"/>
          <w:szCs w:val="26"/>
        </w:rPr>
        <w:footnoteReference w:id="4"/>
      </w:r>
      <w:r w:rsidR="006A7CB9">
        <w:rPr>
          <w:sz w:val="26"/>
          <w:szCs w:val="26"/>
        </w:rPr>
        <w:t xml:space="preserve"> Petition suggests that implementing the Petition will “</w:t>
      </w:r>
      <w:r w:rsidR="006A7CB9" w:rsidRPr="006A7CB9">
        <w:rPr>
          <w:sz w:val="26"/>
          <w:szCs w:val="26"/>
        </w:rPr>
        <w:t>help ensure eviction plaintiffs’ compliance with the CARES Act 30-day notice provision, along with the other important compliance measures the rule presently includes</w:t>
      </w:r>
      <w:r w:rsidR="006A7CB9">
        <w:rPr>
          <w:sz w:val="26"/>
          <w:szCs w:val="26"/>
        </w:rPr>
        <w:t>.”</w:t>
      </w:r>
      <w:r w:rsidR="006A7CB9">
        <w:rPr>
          <w:rStyle w:val="FootnoteReference"/>
          <w:sz w:val="26"/>
          <w:szCs w:val="26"/>
        </w:rPr>
        <w:footnoteReference w:id="5"/>
      </w:r>
    </w:p>
    <w:p w14:paraId="2DA372A3" w14:textId="644D3D19" w:rsidR="008E1439" w:rsidRPr="008E1439" w:rsidRDefault="006A7CB9" w:rsidP="006A7CB9">
      <w:pPr>
        <w:spacing w:line="500" w:lineRule="exact"/>
        <w:jc w:val="both"/>
        <w:rPr>
          <w:b/>
          <w:bCs/>
          <w:sz w:val="26"/>
          <w:szCs w:val="26"/>
          <w:u w:val="single"/>
        </w:rPr>
      </w:pPr>
      <w:r>
        <w:rPr>
          <w:sz w:val="26"/>
          <w:szCs w:val="26"/>
        </w:rPr>
        <w:tab/>
        <w:t>It is worth noting that the authors of the Petition seem rather confused as to the beneficiaries of 15 U.S.C.A. § 9058(c), arguing that the notice provision required by 15 U.S.C.A. § 9058(c) “</w:t>
      </w:r>
      <w:r w:rsidRPr="006A7CB9">
        <w:rPr>
          <w:sz w:val="26"/>
          <w:szCs w:val="26"/>
        </w:rPr>
        <w:t>uniquely protects the rights of low-income and other vulnerable eviction defendants who rent homes in federally assisted properties owned by businesses and individuals receiving various federal benefits through mortgage financing and housing program participation</w:t>
      </w:r>
      <w:r>
        <w:rPr>
          <w:sz w:val="26"/>
          <w:szCs w:val="26"/>
        </w:rPr>
        <w:t>.”</w:t>
      </w:r>
      <w:r>
        <w:rPr>
          <w:rStyle w:val="FootnoteReference"/>
          <w:sz w:val="26"/>
          <w:szCs w:val="26"/>
        </w:rPr>
        <w:footnoteReference w:id="6"/>
      </w:r>
      <w:r>
        <w:rPr>
          <w:sz w:val="26"/>
          <w:szCs w:val="26"/>
        </w:rPr>
        <w:t xml:space="preserve">  While the commenting party surely would agree that persons who are renting from properties under a Section 8 Housing Voucher or reside at a Section 8 Project Based community, a Low Income Housing Tax Credit Community, or any other Section 504 governed community are likely lower income, to misconstrue the term “Covered Property” to include only low income communities is a grave overgeneralization as several high rent communities in Arizona and throughout the United States </w:t>
      </w:r>
      <w:r>
        <w:rPr>
          <w:sz w:val="26"/>
          <w:szCs w:val="26"/>
        </w:rPr>
        <w:lastRenderedPageBreak/>
        <w:t xml:space="preserve">found themselves subject to 15 U.S.C.A. § 9058(c) without regard to their tenants being low income.  This fact is important to note because, by pushing this agenda, Petitioners seek to protect not only the single mother of three </w:t>
      </w:r>
      <w:r w:rsidR="00CF1503">
        <w:rPr>
          <w:sz w:val="26"/>
          <w:szCs w:val="26"/>
        </w:rPr>
        <w:t xml:space="preserve">with </w:t>
      </w:r>
      <w:r>
        <w:rPr>
          <w:sz w:val="26"/>
          <w:szCs w:val="26"/>
        </w:rPr>
        <w:t xml:space="preserve">a Section 8 voucher but also the </w:t>
      </w:r>
      <w:r w:rsidR="00EA52EB">
        <w:rPr>
          <w:sz w:val="26"/>
          <w:szCs w:val="26"/>
        </w:rPr>
        <w:t>high-net-worth</w:t>
      </w:r>
      <w:r>
        <w:rPr>
          <w:sz w:val="26"/>
          <w:szCs w:val="26"/>
        </w:rPr>
        <w:t xml:space="preserve"> attorney living at a high rise in downtown Phoenix that happens to have a loan through Fannie Mae, Freddie Mac, or the Federal Home Loan </w:t>
      </w:r>
      <w:r w:rsidR="00EA52EB">
        <w:rPr>
          <w:sz w:val="26"/>
          <w:szCs w:val="26"/>
        </w:rPr>
        <w:t>Mortgage Corporation.</w:t>
      </w:r>
      <w:r w:rsidR="00CF1503">
        <w:rPr>
          <w:sz w:val="26"/>
          <w:szCs w:val="26"/>
        </w:rPr>
        <w:t xml:space="preserve">  To argue that this rule change protects </w:t>
      </w:r>
      <w:proofErr w:type="gramStart"/>
      <w:r w:rsidR="00CF1503">
        <w:rPr>
          <w:sz w:val="26"/>
          <w:szCs w:val="26"/>
        </w:rPr>
        <w:t>low income</w:t>
      </w:r>
      <w:proofErr w:type="gramEnd"/>
      <w:r w:rsidR="00CF1503">
        <w:rPr>
          <w:sz w:val="26"/>
          <w:szCs w:val="26"/>
        </w:rPr>
        <w:t xml:space="preserve"> tenants, therefore, is a rather skewed viewpoint and defies logic and realities surrounding what communities are considered covered by the CARES Act.</w:t>
      </w:r>
      <w:r w:rsidR="00EA52EB">
        <w:rPr>
          <w:sz w:val="26"/>
          <w:szCs w:val="26"/>
        </w:rPr>
        <w:t xml:space="preserve">  </w:t>
      </w:r>
    </w:p>
    <w:p w14:paraId="00FA58AC" w14:textId="77777777" w:rsidR="00EA52EB" w:rsidRDefault="0015686F" w:rsidP="00FC0C13">
      <w:pPr>
        <w:pStyle w:val="ListParagraph"/>
        <w:widowControl w:val="0"/>
        <w:numPr>
          <w:ilvl w:val="0"/>
          <w:numId w:val="3"/>
        </w:numPr>
        <w:spacing w:line="500" w:lineRule="exact"/>
        <w:jc w:val="both"/>
        <w:rPr>
          <w:b/>
          <w:bCs/>
          <w:sz w:val="26"/>
          <w:szCs w:val="26"/>
          <w:u w:val="single"/>
        </w:rPr>
      </w:pPr>
      <w:r w:rsidRPr="00EA52EB">
        <w:rPr>
          <w:b/>
          <w:bCs/>
          <w:sz w:val="26"/>
          <w:szCs w:val="26"/>
          <w:u w:val="single"/>
        </w:rPr>
        <w:t>PETITIONERS SEEK AN IMPERMISSIBLE SUBSTANTIVE RULE CHANGE.</w:t>
      </w:r>
    </w:p>
    <w:p w14:paraId="6FD0A335" w14:textId="6FC76CEC" w:rsidR="00EA52EB" w:rsidRDefault="00EA52EB" w:rsidP="00EA52EB">
      <w:pPr>
        <w:widowControl w:val="0"/>
        <w:spacing w:line="500" w:lineRule="exact"/>
        <w:ind w:firstLine="720"/>
        <w:jc w:val="both"/>
        <w:rPr>
          <w:sz w:val="26"/>
          <w:szCs w:val="26"/>
        </w:rPr>
      </w:pPr>
      <w:r>
        <w:rPr>
          <w:sz w:val="26"/>
          <w:szCs w:val="26"/>
        </w:rPr>
        <w:t>At the outset, there are legal complications with the Petition that cannot be ignored as this proposed rule change is really a request by the Petitioners to codify, by rule, a decision made by a Superior Court Judge in Pima County, Arizona, a decision which Commenting Party asserts was incorrect</w:t>
      </w:r>
      <w:r w:rsidR="00AF1830">
        <w:rPr>
          <w:sz w:val="26"/>
          <w:szCs w:val="26"/>
        </w:rPr>
        <w:t xml:space="preserve">  Ultimately, the underlying purpose of the Petition is to</w:t>
      </w:r>
      <w:r>
        <w:rPr>
          <w:sz w:val="26"/>
          <w:szCs w:val="26"/>
        </w:rPr>
        <w:t xml:space="preserve"> pursue a substantive change in Arizona law </w:t>
      </w:r>
      <w:r w:rsidR="00AF1830">
        <w:rPr>
          <w:sz w:val="26"/>
          <w:szCs w:val="26"/>
        </w:rPr>
        <w:t>through the proposed rule change.</w:t>
      </w:r>
      <w:r>
        <w:rPr>
          <w:sz w:val="26"/>
          <w:szCs w:val="26"/>
        </w:rPr>
        <w:t xml:space="preserve">  </w:t>
      </w:r>
    </w:p>
    <w:p w14:paraId="08659788" w14:textId="3C113BA9" w:rsidR="00EA52EB" w:rsidRDefault="00EA52EB" w:rsidP="00EA52EB">
      <w:pPr>
        <w:widowControl w:val="0"/>
        <w:spacing w:line="500" w:lineRule="exact"/>
        <w:ind w:firstLine="720"/>
        <w:jc w:val="both"/>
        <w:rPr>
          <w:sz w:val="26"/>
          <w:szCs w:val="26"/>
        </w:rPr>
      </w:pPr>
      <w:r>
        <w:rPr>
          <w:sz w:val="26"/>
          <w:szCs w:val="26"/>
        </w:rPr>
        <w:t xml:space="preserve">At the heart of this substantive vs. procedural argument is the separation of powers inherent in our government.  </w:t>
      </w:r>
      <w:r w:rsidRPr="00EA52EB">
        <w:rPr>
          <w:sz w:val="26"/>
          <w:szCs w:val="26"/>
        </w:rPr>
        <w:t xml:space="preserve">Article III of the Arizona State Constitution </w:t>
      </w:r>
      <w:r>
        <w:rPr>
          <w:sz w:val="26"/>
          <w:szCs w:val="26"/>
        </w:rPr>
        <w:t xml:space="preserve">clearly </w:t>
      </w:r>
      <w:r w:rsidRPr="00EA52EB">
        <w:rPr>
          <w:sz w:val="26"/>
          <w:szCs w:val="26"/>
        </w:rPr>
        <w:t>states</w:t>
      </w:r>
      <w:r w:rsidR="00AF1830">
        <w:rPr>
          <w:sz w:val="26"/>
          <w:szCs w:val="26"/>
        </w:rPr>
        <w:t>:</w:t>
      </w:r>
    </w:p>
    <w:p w14:paraId="52860F6D" w14:textId="77777777" w:rsidR="00EA52EB" w:rsidRPr="00EA52EB" w:rsidRDefault="00EA52EB" w:rsidP="00EA52EB">
      <w:pPr>
        <w:widowControl w:val="0"/>
        <w:spacing w:line="500" w:lineRule="exact"/>
        <w:ind w:firstLine="720"/>
        <w:jc w:val="both"/>
        <w:rPr>
          <w:sz w:val="26"/>
          <w:szCs w:val="26"/>
        </w:rPr>
      </w:pPr>
    </w:p>
    <w:p w14:paraId="3C72F1D5" w14:textId="77777777" w:rsidR="00EA52EB" w:rsidRPr="00EA52EB" w:rsidRDefault="00EA52EB" w:rsidP="00EA52EB">
      <w:pPr>
        <w:widowControl w:val="0"/>
        <w:ind w:left="720" w:right="720"/>
        <w:jc w:val="both"/>
        <w:rPr>
          <w:sz w:val="26"/>
          <w:szCs w:val="26"/>
        </w:rPr>
      </w:pPr>
      <w:r w:rsidRPr="00EA52EB">
        <w:rPr>
          <w:sz w:val="26"/>
          <w:szCs w:val="26"/>
        </w:rPr>
        <w:t xml:space="preserve">The powers of the government of the state of Arizona shall be divided into three separate departments, the legislative, the executive, and the judicial; and, except as provided in this constitution, such departments shall be separate and distinct, and no one of such departments shall exercise the powers properly belonging to either of the others. </w:t>
      </w:r>
    </w:p>
    <w:p w14:paraId="43DCEC04" w14:textId="6B476CD2" w:rsidR="00EA52EB" w:rsidRDefault="00EA52EB" w:rsidP="00EA52EB">
      <w:pPr>
        <w:widowControl w:val="0"/>
        <w:spacing w:line="500" w:lineRule="exact"/>
        <w:jc w:val="both"/>
        <w:rPr>
          <w:sz w:val="26"/>
          <w:szCs w:val="26"/>
        </w:rPr>
      </w:pPr>
      <w:r>
        <w:rPr>
          <w:sz w:val="26"/>
          <w:szCs w:val="26"/>
        </w:rPr>
        <w:tab/>
        <w:t>The Supreme Court is empowered to adopt rule changes that affect the procedure by which actions are brought and prosecuted in Arizona courts.</w:t>
      </w:r>
      <w:r>
        <w:rPr>
          <w:rStyle w:val="FootnoteReference"/>
          <w:sz w:val="26"/>
          <w:szCs w:val="26"/>
        </w:rPr>
        <w:footnoteReference w:id="7"/>
      </w:r>
      <w:r>
        <w:rPr>
          <w:sz w:val="26"/>
          <w:szCs w:val="26"/>
        </w:rPr>
        <w:t xml:space="preserve">  However, the Arizona Supreme Court is not permitted to encroach into other governmental roles the Arizona Constitution clearly </w:t>
      </w:r>
      <w:r w:rsidR="00FC7688">
        <w:rPr>
          <w:sz w:val="26"/>
          <w:szCs w:val="26"/>
        </w:rPr>
        <w:t xml:space="preserve">granted to another branch of government.  </w:t>
      </w:r>
    </w:p>
    <w:p w14:paraId="1D519E3F" w14:textId="65103B62" w:rsidR="00FC7688" w:rsidRDefault="00FC7688" w:rsidP="00EA52EB">
      <w:pPr>
        <w:widowControl w:val="0"/>
        <w:spacing w:line="500" w:lineRule="exact"/>
        <w:jc w:val="both"/>
        <w:rPr>
          <w:sz w:val="26"/>
          <w:szCs w:val="26"/>
        </w:rPr>
      </w:pPr>
      <w:r>
        <w:rPr>
          <w:sz w:val="26"/>
          <w:szCs w:val="26"/>
        </w:rPr>
        <w:tab/>
        <w:t xml:space="preserve">Here, the Arizona Legislature </w:t>
      </w:r>
      <w:r w:rsidR="00AF1830">
        <w:rPr>
          <w:sz w:val="26"/>
          <w:szCs w:val="26"/>
        </w:rPr>
        <w:t>is tasked with the creation of substantive laws</w:t>
      </w:r>
      <w:r>
        <w:rPr>
          <w:sz w:val="26"/>
          <w:szCs w:val="26"/>
        </w:rPr>
        <w:t xml:space="preserve">.  While the </w:t>
      </w:r>
      <w:r>
        <w:rPr>
          <w:sz w:val="26"/>
          <w:szCs w:val="26"/>
        </w:rPr>
        <w:lastRenderedPageBreak/>
        <w:t xml:space="preserve">Courts enforce the laws passed by the Legislature, it is the Legislature that creates substantive law.  </w:t>
      </w:r>
      <w:r w:rsidRPr="00FC7688">
        <w:rPr>
          <w:sz w:val="26"/>
          <w:szCs w:val="26"/>
        </w:rPr>
        <w:t>Substantive law creates and defines rights, while procedural law prescribes the method by which substantive law is enforced or implemented. </w:t>
      </w:r>
      <w:r w:rsidR="00A86DB0">
        <w:rPr>
          <w:rStyle w:val="FootnoteReference"/>
          <w:sz w:val="26"/>
          <w:szCs w:val="26"/>
        </w:rPr>
        <w:footnoteReference w:id="8"/>
      </w:r>
    </w:p>
    <w:p w14:paraId="28C477FB" w14:textId="03A9E468" w:rsidR="00FC7688" w:rsidRDefault="00FC7688" w:rsidP="00FC7688">
      <w:pPr>
        <w:widowControl w:val="0"/>
        <w:spacing w:line="500" w:lineRule="exact"/>
        <w:ind w:firstLine="720"/>
        <w:jc w:val="both"/>
        <w:rPr>
          <w:sz w:val="26"/>
          <w:szCs w:val="26"/>
        </w:rPr>
      </w:pPr>
      <w:r>
        <w:rPr>
          <w:sz w:val="26"/>
          <w:szCs w:val="26"/>
        </w:rPr>
        <w:t xml:space="preserve">In March of 2020, </w:t>
      </w:r>
      <w:r w:rsidRPr="00FC7688">
        <w:rPr>
          <w:sz w:val="26"/>
          <w:szCs w:val="26"/>
        </w:rPr>
        <w:t xml:space="preserve">Congress passed The Coronavirus Aid, Relief, and Economic Security Act, 15 U.S.C.A. §§ 9001–3141 (2020) (“CARES Act”), </w:t>
      </w:r>
      <w:r>
        <w:rPr>
          <w:sz w:val="26"/>
          <w:szCs w:val="26"/>
        </w:rPr>
        <w:t xml:space="preserve">which was signed into </w:t>
      </w:r>
      <w:r w:rsidRPr="00FC7688">
        <w:rPr>
          <w:sz w:val="26"/>
          <w:szCs w:val="26"/>
        </w:rPr>
        <w:t xml:space="preserve">law </w:t>
      </w:r>
      <w:r>
        <w:rPr>
          <w:sz w:val="26"/>
          <w:szCs w:val="26"/>
        </w:rPr>
        <w:t xml:space="preserve">by President Trump </w:t>
      </w:r>
      <w:r w:rsidRPr="00FC7688">
        <w:rPr>
          <w:sz w:val="26"/>
          <w:szCs w:val="26"/>
        </w:rPr>
        <w:t xml:space="preserve">on March 27, 2020. </w:t>
      </w:r>
      <w:r>
        <w:rPr>
          <w:sz w:val="26"/>
          <w:szCs w:val="26"/>
        </w:rPr>
        <w:t xml:space="preserve"> </w:t>
      </w:r>
      <w:r w:rsidRPr="00FC7688">
        <w:rPr>
          <w:sz w:val="26"/>
          <w:szCs w:val="26"/>
        </w:rPr>
        <w:t xml:space="preserve">15 U.S.C.A. § 9058(c) (2020) </w:t>
      </w:r>
      <w:proofErr w:type="gramStart"/>
      <w:r w:rsidRPr="00FC7688">
        <w:rPr>
          <w:sz w:val="26"/>
          <w:szCs w:val="26"/>
        </w:rPr>
        <w:t>provides</w:t>
      </w:r>
      <w:proofErr w:type="gramEnd"/>
      <w:r w:rsidRPr="00FC7688">
        <w:rPr>
          <w:sz w:val="26"/>
          <w:szCs w:val="26"/>
        </w:rPr>
        <w:t xml:space="preserve"> </w:t>
      </w:r>
    </w:p>
    <w:p w14:paraId="11B748F0" w14:textId="77777777" w:rsidR="00FC7688" w:rsidRPr="00FC7688" w:rsidRDefault="00FC7688" w:rsidP="00FC7688">
      <w:pPr>
        <w:widowControl w:val="0"/>
        <w:ind w:firstLine="720"/>
        <w:jc w:val="both"/>
        <w:rPr>
          <w:sz w:val="26"/>
          <w:szCs w:val="26"/>
        </w:rPr>
      </w:pPr>
    </w:p>
    <w:p w14:paraId="143B9567" w14:textId="77777777" w:rsidR="00FC7688" w:rsidRPr="00FC7688" w:rsidRDefault="00FC7688" w:rsidP="00FC7688">
      <w:pPr>
        <w:widowControl w:val="0"/>
        <w:ind w:left="720" w:right="720"/>
        <w:jc w:val="both"/>
        <w:rPr>
          <w:sz w:val="26"/>
          <w:szCs w:val="26"/>
        </w:rPr>
      </w:pPr>
      <w:r w:rsidRPr="00FC7688">
        <w:rPr>
          <w:sz w:val="26"/>
          <w:szCs w:val="26"/>
        </w:rPr>
        <w:t>The lessor of a covered dwelling unit</w:t>
      </w:r>
      <w:proofErr w:type="gramStart"/>
      <w:r w:rsidRPr="00FC7688">
        <w:rPr>
          <w:sz w:val="26"/>
          <w:szCs w:val="26"/>
        </w:rPr>
        <w:t>…(</w:t>
      </w:r>
      <w:proofErr w:type="gramEnd"/>
      <w:r w:rsidRPr="00FC7688">
        <w:rPr>
          <w:sz w:val="26"/>
          <w:szCs w:val="26"/>
        </w:rPr>
        <w:t>1) may not require the tenant to vacate the covered dwelling unit before the date that is 30 days after the date on which the lessor provides the tenant with a notice to vacate; and (2) may not issue a notice to vacate under paragraph (1) until after the expiration of the period described in subsection (b).</w:t>
      </w:r>
    </w:p>
    <w:p w14:paraId="03131815" w14:textId="77777777" w:rsidR="00F51C2C" w:rsidRDefault="00FC7688" w:rsidP="00FC7688">
      <w:pPr>
        <w:widowControl w:val="0"/>
        <w:spacing w:line="500" w:lineRule="exact"/>
        <w:jc w:val="both"/>
        <w:rPr>
          <w:sz w:val="26"/>
          <w:szCs w:val="26"/>
        </w:rPr>
      </w:pPr>
      <w:r w:rsidRPr="00FC7688">
        <w:rPr>
          <w:sz w:val="26"/>
          <w:szCs w:val="26"/>
        </w:rPr>
        <w:tab/>
        <w:t>Petitioners</w:t>
      </w:r>
      <w:r>
        <w:rPr>
          <w:sz w:val="26"/>
          <w:szCs w:val="26"/>
        </w:rPr>
        <w:t xml:space="preserve"> have interpreted and seek to have this Court</w:t>
      </w:r>
      <w:r w:rsidRPr="00FC7688">
        <w:rPr>
          <w:sz w:val="26"/>
          <w:szCs w:val="26"/>
        </w:rPr>
        <w:t xml:space="preserve"> interpret the language within 15 U.S.C.A. § 9058(c) (2020) to mean “the CARES Act requires [a] pre-eviction notice of 30 days.”</w:t>
      </w:r>
      <w:r>
        <w:rPr>
          <w:rStyle w:val="FootnoteReference"/>
          <w:sz w:val="26"/>
          <w:szCs w:val="26"/>
        </w:rPr>
        <w:footnoteReference w:id="9"/>
      </w:r>
      <w:r w:rsidRPr="00FC7688">
        <w:rPr>
          <w:sz w:val="26"/>
          <w:szCs w:val="26"/>
        </w:rPr>
        <w:t xml:space="preserve"> </w:t>
      </w:r>
      <w:r>
        <w:rPr>
          <w:sz w:val="26"/>
          <w:szCs w:val="26"/>
        </w:rPr>
        <w:t>Petitioners have</w:t>
      </w:r>
      <w:r w:rsidRPr="00FC7688">
        <w:rPr>
          <w:sz w:val="26"/>
          <w:szCs w:val="26"/>
        </w:rPr>
        <w:t xml:space="preserve"> request</w:t>
      </w:r>
      <w:r>
        <w:rPr>
          <w:sz w:val="26"/>
          <w:szCs w:val="26"/>
        </w:rPr>
        <w:t>ed</w:t>
      </w:r>
      <w:r w:rsidRPr="00FC7688">
        <w:rPr>
          <w:sz w:val="26"/>
          <w:szCs w:val="26"/>
        </w:rPr>
        <w:t xml:space="preserve"> this Court amend RPEA Rule 5(d) to require landlords to provide a 30 day notice to vacate</w:t>
      </w:r>
      <w:r>
        <w:rPr>
          <w:sz w:val="26"/>
          <w:szCs w:val="26"/>
        </w:rPr>
        <w:t xml:space="preserve"> and wait for said notice to expire</w:t>
      </w:r>
      <w:r w:rsidRPr="00FC7688">
        <w:rPr>
          <w:sz w:val="26"/>
          <w:szCs w:val="26"/>
        </w:rPr>
        <w:t xml:space="preserve"> before filing an eviction action and include within the complaint a declaration verifying compliance or inapplicability with the CARES Act, among other items.</w:t>
      </w:r>
      <w:r w:rsidRPr="00FC7688">
        <w:rPr>
          <w:sz w:val="26"/>
          <w:szCs w:val="26"/>
          <w:vertAlign w:val="superscript"/>
        </w:rPr>
        <w:footnoteReference w:id="10"/>
      </w:r>
      <w:r w:rsidRPr="00FC7688">
        <w:rPr>
          <w:sz w:val="26"/>
          <w:szCs w:val="26"/>
        </w:rPr>
        <w:t xml:space="preserve"> </w:t>
      </w:r>
      <w:r w:rsidR="00F51C2C">
        <w:rPr>
          <w:sz w:val="26"/>
          <w:szCs w:val="26"/>
        </w:rPr>
        <w:t xml:space="preserve">  There are a few problems with this request.</w:t>
      </w:r>
    </w:p>
    <w:p w14:paraId="0D72F44D" w14:textId="5B6A2A0A" w:rsidR="00E93243" w:rsidRDefault="00F51C2C" w:rsidP="00FC7688">
      <w:pPr>
        <w:widowControl w:val="0"/>
        <w:spacing w:line="500" w:lineRule="exact"/>
        <w:jc w:val="both"/>
        <w:rPr>
          <w:sz w:val="26"/>
          <w:szCs w:val="26"/>
        </w:rPr>
      </w:pPr>
      <w:r>
        <w:rPr>
          <w:sz w:val="26"/>
          <w:szCs w:val="26"/>
        </w:rPr>
        <w:tab/>
        <w:t xml:space="preserve">First, this Court is not permitted </w:t>
      </w:r>
      <w:proofErr w:type="gramStart"/>
      <w:r>
        <w:rPr>
          <w:sz w:val="26"/>
          <w:szCs w:val="26"/>
        </w:rPr>
        <w:t>to</w:t>
      </w:r>
      <w:proofErr w:type="gramEnd"/>
      <w:r>
        <w:rPr>
          <w:sz w:val="26"/>
          <w:szCs w:val="26"/>
        </w:rPr>
        <w:t xml:space="preserve"> </w:t>
      </w:r>
    </w:p>
    <w:p w14:paraId="12B3AB69" w14:textId="77777777" w:rsidR="00E93243" w:rsidRDefault="00E93243" w:rsidP="00FC7688">
      <w:pPr>
        <w:widowControl w:val="0"/>
        <w:spacing w:line="500" w:lineRule="exact"/>
        <w:jc w:val="both"/>
        <w:rPr>
          <w:sz w:val="26"/>
          <w:szCs w:val="26"/>
        </w:rPr>
      </w:pPr>
    </w:p>
    <w:p w14:paraId="03CA61C1" w14:textId="68204CE1" w:rsidR="00E93243" w:rsidRPr="0081751F" w:rsidRDefault="00E93243" w:rsidP="00E93243">
      <w:pPr>
        <w:widowControl w:val="0"/>
        <w:ind w:left="720" w:right="720"/>
        <w:jc w:val="both"/>
        <w:rPr>
          <w:sz w:val="26"/>
          <w:szCs w:val="26"/>
        </w:rPr>
      </w:pPr>
      <w:r>
        <w:rPr>
          <w:sz w:val="26"/>
          <w:szCs w:val="26"/>
        </w:rPr>
        <w:t>[</w:t>
      </w:r>
      <w:r w:rsidR="00F51C2C" w:rsidRPr="00F51C2C">
        <w:rPr>
          <w:sz w:val="26"/>
          <w:szCs w:val="26"/>
        </w:rPr>
        <w:t>a</w:t>
      </w:r>
      <w:r>
        <w:rPr>
          <w:sz w:val="26"/>
          <w:szCs w:val="26"/>
        </w:rPr>
        <w:t>]</w:t>
      </w:r>
      <w:proofErr w:type="spellStart"/>
      <w:r w:rsidR="00F51C2C" w:rsidRPr="00F51C2C">
        <w:rPr>
          <w:sz w:val="26"/>
          <w:szCs w:val="26"/>
        </w:rPr>
        <w:t>dopt</w:t>
      </w:r>
      <w:proofErr w:type="spellEnd"/>
      <w:r w:rsidR="00F51C2C" w:rsidRPr="00F51C2C">
        <w:rPr>
          <w:sz w:val="26"/>
          <w:szCs w:val="26"/>
        </w:rPr>
        <w:t xml:space="preserve"> or enforce a rule or policy that requires a mandatory or technical form for providing notice or for pleadings in an action for forcible entry or forcible or special detainer.</w:t>
      </w:r>
      <w:r>
        <w:rPr>
          <w:sz w:val="26"/>
          <w:szCs w:val="26"/>
        </w:rPr>
        <w:t xml:space="preserve">  </w:t>
      </w:r>
      <w:r w:rsidRPr="00E93243">
        <w:rPr>
          <w:sz w:val="26"/>
          <w:szCs w:val="26"/>
        </w:rPr>
        <w:t xml:space="preserve">The form of any notice or pleading that meets statutory requirements for content and formatting of a notice or pleading is sufficient to provide notice and to </w:t>
      </w:r>
      <w:r w:rsidRPr="0081751F">
        <w:rPr>
          <w:sz w:val="26"/>
          <w:szCs w:val="26"/>
        </w:rPr>
        <w:t>pursue an action for forcible entry or forcible or special detainer.</w:t>
      </w:r>
    </w:p>
    <w:p w14:paraId="4CDF5341" w14:textId="3AC3087A" w:rsidR="00FC7688" w:rsidRPr="0081751F" w:rsidRDefault="00F51C2C" w:rsidP="00FC7688">
      <w:pPr>
        <w:widowControl w:val="0"/>
        <w:spacing w:line="500" w:lineRule="exact"/>
        <w:jc w:val="both"/>
        <w:rPr>
          <w:sz w:val="26"/>
          <w:szCs w:val="26"/>
        </w:rPr>
      </w:pPr>
      <w:r w:rsidRPr="0081751F">
        <w:rPr>
          <w:i/>
          <w:iCs/>
          <w:sz w:val="26"/>
          <w:szCs w:val="26"/>
        </w:rPr>
        <w:t xml:space="preserve">See </w:t>
      </w:r>
      <w:r w:rsidRPr="0081751F">
        <w:rPr>
          <w:sz w:val="26"/>
          <w:szCs w:val="26"/>
        </w:rPr>
        <w:t xml:space="preserve">A.R.S. § 12-1175(D).  </w:t>
      </w:r>
      <w:r w:rsidR="00E93243" w:rsidRPr="0081751F">
        <w:rPr>
          <w:sz w:val="26"/>
          <w:szCs w:val="26"/>
        </w:rPr>
        <w:t>As the Petition itself seeks to have landlords add more information to the curable notice of breach of contract for non-payment of rent as required by A.R.S. § 33-</w:t>
      </w:r>
      <w:r w:rsidR="00E93243" w:rsidRPr="0081751F">
        <w:rPr>
          <w:sz w:val="26"/>
          <w:szCs w:val="26"/>
        </w:rPr>
        <w:lastRenderedPageBreak/>
        <w:t xml:space="preserve">1368(B), the Petition </w:t>
      </w:r>
      <w:r w:rsidR="00E93243" w:rsidRPr="0081751F">
        <w:rPr>
          <w:b/>
          <w:bCs/>
          <w:sz w:val="26"/>
          <w:szCs w:val="26"/>
          <w:u w:val="single"/>
        </w:rPr>
        <w:t>must</w:t>
      </w:r>
      <w:r w:rsidR="00E93243" w:rsidRPr="0081751F">
        <w:rPr>
          <w:sz w:val="26"/>
          <w:szCs w:val="26"/>
        </w:rPr>
        <w:t xml:space="preserve"> fail.</w:t>
      </w:r>
      <w:r w:rsidR="00AF1830">
        <w:rPr>
          <w:rStyle w:val="FootnoteReference"/>
          <w:sz w:val="26"/>
          <w:szCs w:val="26"/>
        </w:rPr>
        <w:footnoteReference w:id="11"/>
      </w:r>
    </w:p>
    <w:p w14:paraId="555FE8D9" w14:textId="093E777C" w:rsidR="00E93243" w:rsidRPr="00FC7688" w:rsidRDefault="00E93243" w:rsidP="00FC7688">
      <w:pPr>
        <w:widowControl w:val="0"/>
        <w:spacing w:line="500" w:lineRule="exact"/>
        <w:jc w:val="both"/>
        <w:rPr>
          <w:sz w:val="26"/>
          <w:szCs w:val="26"/>
        </w:rPr>
      </w:pPr>
      <w:r w:rsidRPr="0081751F">
        <w:rPr>
          <w:sz w:val="26"/>
          <w:szCs w:val="26"/>
        </w:rPr>
        <w:tab/>
        <w:t>Second, Petitioner argue, at great length, about alleged disparities between Landlords and Tenants, the lack of legal representation of Tenants, and the pace by which evictions proceed in Arizona.  Petitioners have grave concerns about the eviction process in Arizona and have, historically, pushed for measures to increase the amount of time it takes to evict a tenant in Arizona for non-payment of rent.  The Petition is yet another vehicle by which they try to push this legislative agenda.  The Petition points out that “out of 1,097 cases observed, 94% of landlords were represented by an attorney in court, while only 2 tenants were represented by an attorney.”</w:t>
      </w:r>
      <w:r w:rsidRPr="0081751F">
        <w:rPr>
          <w:rStyle w:val="FootnoteReference"/>
          <w:sz w:val="26"/>
          <w:szCs w:val="26"/>
        </w:rPr>
        <w:footnoteReference w:id="12"/>
      </w:r>
      <w:r w:rsidRPr="0081751F">
        <w:rPr>
          <w:sz w:val="26"/>
          <w:szCs w:val="26"/>
        </w:rPr>
        <w:t xml:space="preserve">  Whether that is true or not, what relevance does such a fact have on a procedural rule change?  The plain answer, it doesn’t.  Instead, it is one of several attempts by the Petitioners to argue for a change in the eviction </w:t>
      </w:r>
      <w:proofErr w:type="gramStart"/>
      <w:r w:rsidRPr="0081751F">
        <w:rPr>
          <w:sz w:val="26"/>
          <w:szCs w:val="26"/>
        </w:rPr>
        <w:t>process as a whole, not</w:t>
      </w:r>
      <w:proofErr w:type="gramEnd"/>
      <w:r w:rsidRPr="0081751F">
        <w:rPr>
          <w:sz w:val="26"/>
          <w:szCs w:val="26"/>
        </w:rPr>
        <w:t xml:space="preserve"> just the process by which the Court enforces the law.  As Petitioners have not been successful in their legislative agenda, they have attempted to argue to this Court that it should adopt this rule to slow down evictions.  Again, this is substantive over procedural, a hurdle Petitions cannot overcome. </w:t>
      </w:r>
    </w:p>
    <w:p w14:paraId="59D8BCCB" w14:textId="2F8E5862" w:rsidR="0081751F" w:rsidRDefault="0081751F" w:rsidP="00EA52EB">
      <w:pPr>
        <w:widowControl w:val="0"/>
        <w:spacing w:line="500" w:lineRule="exact"/>
        <w:jc w:val="both"/>
        <w:rPr>
          <w:sz w:val="26"/>
          <w:szCs w:val="26"/>
        </w:rPr>
      </w:pPr>
      <w:r>
        <w:rPr>
          <w:sz w:val="26"/>
          <w:szCs w:val="26"/>
        </w:rPr>
        <w:tab/>
        <w:t>Third, Petitioners argue that this Court should find persuasive courts in other jurisdictions that found the notice requirement in 15 U.S.C.A. § 9058(c) to require a 30-day notice to vacate in non-payment of rent evictions.</w:t>
      </w:r>
      <w:r w:rsidR="00A86DB0">
        <w:rPr>
          <w:rStyle w:val="FootnoteReference"/>
          <w:sz w:val="26"/>
          <w:szCs w:val="26"/>
        </w:rPr>
        <w:footnoteReference w:id="13"/>
      </w:r>
      <w:r>
        <w:rPr>
          <w:sz w:val="26"/>
          <w:szCs w:val="26"/>
        </w:rPr>
        <w:t xml:space="preserve">  This argument is flawed.  For one, as Justice of the Peace Gerald Williams correctly points out in his response, the cases cited do not seem to have considered the issue that Arizona faces.  It appears none of those jurisdictions had an administrative order from their Supreme Court which permitted the enforcement of 15 U.S.C.A. § 9058(c) to affect the issuance date of the writ, not the content of the notice itself.  </w:t>
      </w:r>
    </w:p>
    <w:p w14:paraId="490DC961" w14:textId="07A40867" w:rsidR="00FC7688" w:rsidRDefault="00AF1830" w:rsidP="0081751F">
      <w:pPr>
        <w:widowControl w:val="0"/>
        <w:spacing w:line="500" w:lineRule="exact"/>
        <w:ind w:firstLine="720"/>
        <w:jc w:val="both"/>
        <w:rPr>
          <w:sz w:val="26"/>
          <w:szCs w:val="26"/>
        </w:rPr>
      </w:pPr>
      <w:r>
        <w:rPr>
          <w:sz w:val="26"/>
          <w:szCs w:val="26"/>
        </w:rPr>
        <w:lastRenderedPageBreak/>
        <w:t>Second</w:t>
      </w:r>
      <w:r w:rsidR="0081751F">
        <w:rPr>
          <w:sz w:val="26"/>
          <w:szCs w:val="26"/>
        </w:rPr>
        <w:t xml:space="preserve">, this Court </w:t>
      </w:r>
      <w:r>
        <w:rPr>
          <w:sz w:val="26"/>
          <w:szCs w:val="26"/>
        </w:rPr>
        <w:t xml:space="preserve">previously </w:t>
      </w:r>
      <w:r w:rsidR="0081751F">
        <w:rPr>
          <w:sz w:val="26"/>
          <w:szCs w:val="26"/>
        </w:rPr>
        <w:t>issued an administrative order that permitted the modification of the writ to comply with U.S.C.A. § 9058(c) in Administrative Order 2022-14</w:t>
      </w:r>
      <w:r>
        <w:rPr>
          <w:sz w:val="26"/>
          <w:szCs w:val="26"/>
        </w:rPr>
        <w:t>, a practice Petitioners seek to abolish</w:t>
      </w:r>
      <w:r w:rsidR="0081751F">
        <w:rPr>
          <w:sz w:val="26"/>
          <w:szCs w:val="26"/>
        </w:rPr>
        <w:t xml:space="preserve">.  By so doing, this Court gave effect to the plain language of U.S.C.A. § 9058(c) which required </w:t>
      </w:r>
      <w:r w:rsidR="0081751F">
        <w:rPr>
          <w:b/>
          <w:bCs/>
          <w:i/>
          <w:iCs/>
          <w:sz w:val="26"/>
          <w:szCs w:val="26"/>
          <w:u w:val="single"/>
        </w:rPr>
        <w:t>notice to vacate</w:t>
      </w:r>
      <w:r w:rsidR="0081751F">
        <w:rPr>
          <w:i/>
          <w:iCs/>
          <w:sz w:val="26"/>
          <w:szCs w:val="26"/>
        </w:rPr>
        <w:t xml:space="preserve"> </w:t>
      </w:r>
      <w:r w:rsidR="0081751F">
        <w:rPr>
          <w:sz w:val="26"/>
          <w:szCs w:val="26"/>
        </w:rPr>
        <w:t xml:space="preserve">not </w:t>
      </w:r>
      <w:r w:rsidR="0081751F">
        <w:rPr>
          <w:b/>
          <w:bCs/>
          <w:i/>
          <w:iCs/>
          <w:sz w:val="26"/>
          <w:szCs w:val="26"/>
          <w:u w:val="single"/>
        </w:rPr>
        <w:t>notice to vacate and cure</w:t>
      </w:r>
      <w:r w:rsidR="0081751F">
        <w:rPr>
          <w:i/>
          <w:iCs/>
          <w:sz w:val="26"/>
          <w:szCs w:val="26"/>
        </w:rPr>
        <w:t>.</w:t>
      </w:r>
      <w:r w:rsidR="0081751F">
        <w:rPr>
          <w:sz w:val="26"/>
          <w:szCs w:val="26"/>
        </w:rPr>
        <w:t xml:space="preserve">  What is implicit in the Petition is </w:t>
      </w:r>
      <w:r>
        <w:rPr>
          <w:sz w:val="26"/>
          <w:szCs w:val="26"/>
        </w:rPr>
        <w:t xml:space="preserve">contention that </w:t>
      </w:r>
      <w:r w:rsidR="0081751F">
        <w:rPr>
          <w:sz w:val="26"/>
          <w:szCs w:val="26"/>
        </w:rPr>
        <w:t>this Court was wrong in its interpretation of 15 U.S.C.A. § 9058(c) and that this Court sanctioned thousands of improper evictions.  Such a position is absurd and should be summarily rejected by this Court.</w:t>
      </w:r>
    </w:p>
    <w:p w14:paraId="3A37A9BC" w14:textId="0D189319" w:rsidR="0081751F" w:rsidRPr="0081751F" w:rsidRDefault="0081751F" w:rsidP="0081751F">
      <w:pPr>
        <w:widowControl w:val="0"/>
        <w:spacing w:line="500" w:lineRule="exact"/>
        <w:ind w:firstLine="720"/>
        <w:jc w:val="both"/>
        <w:rPr>
          <w:sz w:val="26"/>
          <w:szCs w:val="26"/>
        </w:rPr>
      </w:pPr>
      <w:r>
        <w:rPr>
          <w:sz w:val="26"/>
          <w:szCs w:val="26"/>
        </w:rPr>
        <w:t>Based on the above, it is evident that the Petition</w:t>
      </w:r>
      <w:r w:rsidRPr="0081751F">
        <w:rPr>
          <w:sz w:val="26"/>
          <w:szCs w:val="26"/>
        </w:rPr>
        <w:t xml:space="preserve"> </w:t>
      </w:r>
      <w:r w:rsidR="0075129A">
        <w:rPr>
          <w:sz w:val="26"/>
          <w:szCs w:val="26"/>
        </w:rPr>
        <w:t>seeks a substantive change in Arizona law, not a change in the procedure by which the Court enforced said law.  Pursuant to Arizona law t</w:t>
      </w:r>
      <w:r w:rsidRPr="0081751F">
        <w:rPr>
          <w:sz w:val="26"/>
          <w:szCs w:val="26"/>
        </w:rPr>
        <w:t xml:space="preserve">his Court is an inappropriate forum to effectuate that change and this Court is unable to approve the Petitioner’s modification request to RPEA Rule 5(d). </w:t>
      </w:r>
    </w:p>
    <w:p w14:paraId="2345FFD7" w14:textId="1F288059" w:rsidR="008E1439" w:rsidRPr="00EA52EB" w:rsidRDefault="0015686F" w:rsidP="00FC0C13">
      <w:pPr>
        <w:pStyle w:val="ListParagraph"/>
        <w:widowControl w:val="0"/>
        <w:numPr>
          <w:ilvl w:val="0"/>
          <w:numId w:val="3"/>
        </w:numPr>
        <w:spacing w:line="500" w:lineRule="exact"/>
        <w:jc w:val="both"/>
        <w:rPr>
          <w:b/>
          <w:bCs/>
          <w:sz w:val="26"/>
          <w:szCs w:val="26"/>
          <w:u w:val="single"/>
        </w:rPr>
      </w:pPr>
      <w:r w:rsidRPr="00EA52EB">
        <w:rPr>
          <w:b/>
          <w:bCs/>
          <w:sz w:val="26"/>
          <w:szCs w:val="26"/>
          <w:u w:val="single"/>
        </w:rPr>
        <w:t>PETITIONERS HAVE SOUGHT TO EXPAND THE PLAIN MEANING OF THE CARES ACT.</w:t>
      </w:r>
    </w:p>
    <w:p w14:paraId="2960FBC6" w14:textId="747FDDAB" w:rsidR="0081751F" w:rsidRDefault="0081751F" w:rsidP="0075129A">
      <w:pPr>
        <w:widowControl w:val="0"/>
        <w:spacing w:line="500" w:lineRule="exact"/>
        <w:ind w:firstLine="720"/>
        <w:jc w:val="both"/>
        <w:rPr>
          <w:sz w:val="26"/>
          <w:szCs w:val="26"/>
        </w:rPr>
      </w:pPr>
      <w:r>
        <w:rPr>
          <w:sz w:val="26"/>
          <w:szCs w:val="26"/>
        </w:rPr>
        <w:t xml:space="preserve">15 U.S.C.A. § 9058(c) discusses a notice to vacate, not a notice to cure.  </w:t>
      </w:r>
      <w:r w:rsidR="0075129A">
        <w:rPr>
          <w:sz w:val="26"/>
          <w:szCs w:val="26"/>
        </w:rPr>
        <w:t>15 U.S.C.A. § 9058(c) provides the following:</w:t>
      </w:r>
    </w:p>
    <w:p w14:paraId="501FF29E" w14:textId="77777777" w:rsidR="0075129A" w:rsidRPr="0075129A" w:rsidRDefault="0075129A" w:rsidP="0075129A">
      <w:pPr>
        <w:widowControl w:val="0"/>
        <w:spacing w:line="500" w:lineRule="exact"/>
        <w:ind w:firstLine="720"/>
        <w:jc w:val="both"/>
        <w:rPr>
          <w:sz w:val="26"/>
          <w:szCs w:val="26"/>
        </w:rPr>
      </w:pPr>
      <w:r w:rsidRPr="0075129A">
        <w:rPr>
          <w:sz w:val="26"/>
          <w:szCs w:val="26"/>
        </w:rPr>
        <w:t>The lessor of a covered dwelling unit--</w:t>
      </w:r>
    </w:p>
    <w:p w14:paraId="74AB7D86" w14:textId="77777777" w:rsidR="0075129A" w:rsidRPr="0075129A" w:rsidRDefault="0075129A" w:rsidP="0075129A">
      <w:pPr>
        <w:widowControl w:val="0"/>
        <w:ind w:left="720" w:right="720" w:firstLine="720"/>
        <w:jc w:val="both"/>
        <w:rPr>
          <w:sz w:val="26"/>
          <w:szCs w:val="26"/>
        </w:rPr>
      </w:pPr>
      <w:r w:rsidRPr="0075129A">
        <w:rPr>
          <w:b/>
          <w:bCs/>
          <w:sz w:val="26"/>
          <w:szCs w:val="26"/>
        </w:rPr>
        <w:t>(1)</w:t>
      </w:r>
      <w:r w:rsidRPr="0075129A">
        <w:rPr>
          <w:sz w:val="26"/>
          <w:szCs w:val="26"/>
        </w:rPr>
        <w:t> may not require the tenant to vacate the covered dwelling unit before the date that is 30 days after the date on which the lessor provides the tenant with a notice to vacate; and</w:t>
      </w:r>
    </w:p>
    <w:p w14:paraId="71FB6D9F" w14:textId="77777777" w:rsidR="0075129A" w:rsidRPr="0075129A" w:rsidRDefault="0075129A" w:rsidP="0075129A">
      <w:pPr>
        <w:widowControl w:val="0"/>
        <w:ind w:left="720" w:right="720" w:firstLine="720"/>
        <w:jc w:val="both"/>
        <w:rPr>
          <w:sz w:val="26"/>
          <w:szCs w:val="26"/>
        </w:rPr>
      </w:pPr>
      <w:r w:rsidRPr="0075129A">
        <w:rPr>
          <w:b/>
          <w:bCs/>
          <w:sz w:val="26"/>
          <w:szCs w:val="26"/>
        </w:rPr>
        <w:t>(2)</w:t>
      </w:r>
      <w:r w:rsidRPr="0075129A">
        <w:rPr>
          <w:sz w:val="26"/>
          <w:szCs w:val="26"/>
        </w:rPr>
        <w:t> may not issue a notice to vacate under paragraph (1) until after the expiration of the period described in subsection (b).</w:t>
      </w:r>
    </w:p>
    <w:p w14:paraId="625D173D" w14:textId="20F21F52" w:rsidR="0075129A" w:rsidRDefault="0075129A" w:rsidP="0075129A">
      <w:pPr>
        <w:widowControl w:val="0"/>
        <w:spacing w:before="240" w:line="500" w:lineRule="exact"/>
        <w:jc w:val="both"/>
        <w:rPr>
          <w:sz w:val="26"/>
          <w:szCs w:val="26"/>
        </w:rPr>
      </w:pPr>
      <w:r>
        <w:rPr>
          <w:sz w:val="26"/>
          <w:szCs w:val="26"/>
        </w:rPr>
        <w:t xml:space="preserve">The Petition seems to confuse vacate and cure and, as a result, has sought to expand the clear language in the statute at issue.  </w:t>
      </w:r>
    </w:p>
    <w:p w14:paraId="22327791" w14:textId="2373F96D" w:rsidR="0075129A" w:rsidRDefault="0075129A" w:rsidP="0075129A">
      <w:pPr>
        <w:widowControl w:val="0"/>
        <w:spacing w:line="500" w:lineRule="exact"/>
        <w:jc w:val="both"/>
        <w:rPr>
          <w:sz w:val="26"/>
          <w:szCs w:val="26"/>
        </w:rPr>
      </w:pPr>
      <w:r>
        <w:rPr>
          <w:sz w:val="26"/>
          <w:szCs w:val="26"/>
        </w:rPr>
        <w:tab/>
        <w:t>Arizona law affords a tenant five days to cure a breach of the lease for non-payment of rent.</w:t>
      </w:r>
      <w:r>
        <w:rPr>
          <w:rStyle w:val="FootnoteReference"/>
          <w:sz w:val="26"/>
          <w:szCs w:val="26"/>
        </w:rPr>
        <w:footnoteReference w:id="14"/>
      </w:r>
      <w:r>
        <w:rPr>
          <w:sz w:val="26"/>
          <w:szCs w:val="26"/>
        </w:rPr>
        <w:t xml:space="preserve">  Tenants in default of their rent must cure this breach within five days of their receipt of the notice of default else Landlord may proceed with the commencement of a special detainer </w:t>
      </w:r>
      <w:r>
        <w:rPr>
          <w:sz w:val="26"/>
          <w:szCs w:val="26"/>
        </w:rPr>
        <w:lastRenderedPageBreak/>
        <w:t>action.</w:t>
      </w:r>
      <w:r>
        <w:rPr>
          <w:rStyle w:val="FootnoteReference"/>
          <w:sz w:val="26"/>
          <w:szCs w:val="26"/>
        </w:rPr>
        <w:footnoteReference w:id="15"/>
      </w:r>
      <w:r>
        <w:rPr>
          <w:sz w:val="26"/>
          <w:szCs w:val="26"/>
        </w:rPr>
        <w:t xml:space="preserve">  At the time of the commencement of a special detainer action, a Tenant retains the right to cure the breach by remitting, in full, all amounts owed at that time under the lease including outstanding rent, utilities, and late fees as well as payment of any of Landlords incurred court costs and attorney’s fees.</w:t>
      </w:r>
      <w:r>
        <w:rPr>
          <w:rStyle w:val="FootnoteReference"/>
          <w:sz w:val="26"/>
          <w:szCs w:val="26"/>
        </w:rPr>
        <w:footnoteReference w:id="16"/>
      </w:r>
      <w:r>
        <w:rPr>
          <w:sz w:val="26"/>
          <w:szCs w:val="26"/>
        </w:rPr>
        <w:t xml:space="preserve">  Arizona is a cure jurisdiction, as such, delaying the date by which a notice for non-payment of rent can be filed with the Court prolongs the cure period beyond that which the Legislature intended and creates fundamental constitutional concerns, namely equal protection and fair and just application of the law.</w:t>
      </w:r>
      <w:r w:rsidR="00AF1830">
        <w:rPr>
          <w:sz w:val="26"/>
          <w:szCs w:val="26"/>
        </w:rPr>
        <w:t xml:space="preserve">  Tenants at non-CARES Act covered properties would find themselves with the statutory cure period to pay rent to avoid the commencement of an eviction action while those who found themselves in a CARES Act covered property would be subject to a cure period six (6) times the length of the </w:t>
      </w:r>
      <w:r w:rsidR="00184322">
        <w:rPr>
          <w:sz w:val="26"/>
          <w:szCs w:val="26"/>
        </w:rPr>
        <w:t xml:space="preserve">non-CARES Act covered tenant.  Such a disparate treatment should not be sanctioned by the Court and approved through this rule change. </w:t>
      </w:r>
    </w:p>
    <w:p w14:paraId="6AD589EE" w14:textId="6E41C538" w:rsidR="0075129A" w:rsidRDefault="0075129A" w:rsidP="0075129A">
      <w:pPr>
        <w:widowControl w:val="0"/>
        <w:spacing w:line="500" w:lineRule="exact"/>
        <w:jc w:val="both"/>
        <w:rPr>
          <w:sz w:val="26"/>
          <w:szCs w:val="26"/>
        </w:rPr>
      </w:pPr>
      <w:r>
        <w:rPr>
          <w:sz w:val="26"/>
          <w:szCs w:val="26"/>
        </w:rPr>
        <w:tab/>
      </w:r>
      <w:r w:rsidR="00A86DB0">
        <w:rPr>
          <w:sz w:val="26"/>
          <w:szCs w:val="26"/>
        </w:rPr>
        <w:t xml:space="preserve">Cannons of statutory interpretation require that statutes be given their plain meaning.  </w:t>
      </w:r>
      <w:r>
        <w:rPr>
          <w:sz w:val="26"/>
          <w:szCs w:val="26"/>
        </w:rPr>
        <w:t xml:space="preserve">  </w:t>
      </w:r>
      <w:r w:rsidR="00184322">
        <w:rPr>
          <w:sz w:val="26"/>
          <w:szCs w:val="26"/>
        </w:rPr>
        <w:t>Arizona courts</w:t>
      </w:r>
      <w:r w:rsidR="00A86DB0" w:rsidRPr="00A86DB0">
        <w:rPr>
          <w:sz w:val="26"/>
          <w:szCs w:val="26"/>
        </w:rPr>
        <w:t xml:space="preserve"> begin by reading the statute's words “neither narrowly nor liberally, but rather according to the plain meaning of the words in their broader statutory context.” </w:t>
      </w:r>
      <w:r w:rsidR="00A86DB0">
        <w:rPr>
          <w:rStyle w:val="FootnoteReference"/>
          <w:sz w:val="26"/>
          <w:szCs w:val="26"/>
        </w:rPr>
        <w:footnoteReference w:id="17"/>
      </w:r>
      <w:r w:rsidR="00A86DB0" w:rsidRPr="00A86DB0">
        <w:rPr>
          <w:sz w:val="26"/>
          <w:szCs w:val="26"/>
        </w:rPr>
        <w:t xml:space="preserve"> “In construing a specific provision, we look to the statute as a whole and we may also consider statutes that are </w:t>
      </w:r>
      <w:r w:rsidR="00A86DB0" w:rsidRPr="00A86DB0">
        <w:rPr>
          <w:i/>
          <w:iCs/>
          <w:sz w:val="26"/>
          <w:szCs w:val="26"/>
        </w:rPr>
        <w:t xml:space="preserve">in </w:t>
      </w:r>
      <w:proofErr w:type="spellStart"/>
      <w:r w:rsidR="00A86DB0" w:rsidRPr="00A86DB0">
        <w:rPr>
          <w:i/>
          <w:iCs/>
          <w:sz w:val="26"/>
          <w:szCs w:val="26"/>
        </w:rPr>
        <w:t>pari</w:t>
      </w:r>
      <w:proofErr w:type="spellEnd"/>
      <w:r w:rsidR="00A86DB0" w:rsidRPr="00A86DB0">
        <w:rPr>
          <w:i/>
          <w:iCs/>
          <w:sz w:val="26"/>
          <w:szCs w:val="26"/>
        </w:rPr>
        <w:t xml:space="preserve"> </w:t>
      </w:r>
      <w:proofErr w:type="spellStart"/>
      <w:r w:rsidR="00A86DB0" w:rsidRPr="00A86DB0">
        <w:rPr>
          <w:i/>
          <w:iCs/>
          <w:sz w:val="26"/>
          <w:szCs w:val="26"/>
        </w:rPr>
        <w:t>materia</w:t>
      </w:r>
      <w:proofErr w:type="spellEnd"/>
      <w:r w:rsidR="00A86DB0" w:rsidRPr="00A86DB0">
        <w:rPr>
          <w:sz w:val="26"/>
          <w:szCs w:val="26"/>
        </w:rPr>
        <w:t>—of the same subject or general purpose—for guidance and to give effect to all of the provisions involved.” </w:t>
      </w:r>
      <w:r w:rsidR="00A86DB0">
        <w:rPr>
          <w:rStyle w:val="FootnoteReference"/>
          <w:sz w:val="26"/>
          <w:szCs w:val="26"/>
        </w:rPr>
        <w:footnoteReference w:id="18"/>
      </w:r>
      <w:r w:rsidR="00A86DB0">
        <w:rPr>
          <w:sz w:val="26"/>
          <w:szCs w:val="26"/>
        </w:rPr>
        <w:t xml:space="preserve"> </w:t>
      </w:r>
      <w:r w:rsidR="00A86DB0" w:rsidRPr="00A86DB0">
        <w:rPr>
          <w:sz w:val="26"/>
          <w:szCs w:val="26"/>
        </w:rPr>
        <w:t xml:space="preserve"> Where possible, </w:t>
      </w:r>
      <w:r w:rsidR="00A86DB0">
        <w:rPr>
          <w:sz w:val="26"/>
          <w:szCs w:val="26"/>
        </w:rPr>
        <w:t>Arizona courts</w:t>
      </w:r>
      <w:r w:rsidR="00A86DB0" w:rsidRPr="00A86DB0">
        <w:rPr>
          <w:sz w:val="26"/>
          <w:szCs w:val="26"/>
        </w:rPr>
        <w:t xml:space="preserve"> give meaning “to every word and provision so that no word or provision is rendered superfluous.”</w:t>
      </w:r>
      <w:r w:rsidR="00A86DB0">
        <w:rPr>
          <w:rStyle w:val="FootnoteReference"/>
          <w:sz w:val="26"/>
          <w:szCs w:val="26"/>
        </w:rPr>
        <w:footnoteReference w:id="19"/>
      </w:r>
    </w:p>
    <w:p w14:paraId="50F27D7A" w14:textId="45D63FFD" w:rsidR="00A86DB0" w:rsidRDefault="00A86DB0" w:rsidP="0075129A">
      <w:pPr>
        <w:widowControl w:val="0"/>
        <w:spacing w:line="500" w:lineRule="exact"/>
        <w:jc w:val="both"/>
        <w:rPr>
          <w:sz w:val="26"/>
          <w:szCs w:val="26"/>
        </w:rPr>
      </w:pPr>
      <w:r>
        <w:rPr>
          <w:sz w:val="26"/>
          <w:szCs w:val="26"/>
        </w:rPr>
        <w:tab/>
        <w:t xml:space="preserve">In this matter, 15 U.S.C.A. § 9058(c) requires notice to </w:t>
      </w:r>
      <w:r w:rsidRPr="00184322">
        <w:rPr>
          <w:b/>
          <w:bCs/>
          <w:sz w:val="26"/>
          <w:szCs w:val="26"/>
          <w:u w:val="single"/>
        </w:rPr>
        <w:t>vacate</w:t>
      </w:r>
      <w:r>
        <w:rPr>
          <w:sz w:val="26"/>
          <w:szCs w:val="26"/>
        </w:rPr>
        <w:t xml:space="preserve">.  While there was a drafting error in the bill which has left this </w:t>
      </w:r>
      <w:r>
        <w:rPr>
          <w:i/>
          <w:iCs/>
          <w:sz w:val="26"/>
          <w:szCs w:val="26"/>
        </w:rPr>
        <w:t>temporary</w:t>
      </w:r>
      <w:r>
        <w:rPr>
          <w:sz w:val="26"/>
          <w:szCs w:val="26"/>
        </w:rPr>
        <w:t xml:space="preserve"> measure in effect well after the end of the COVID-19 Pandemic, we are left with the language as is until current legislation in the House of Representatives is fully passed and signed into law.  As such, we must look at the actual language used in the statute.</w:t>
      </w:r>
    </w:p>
    <w:p w14:paraId="07CE2ADB" w14:textId="4CF9B21B" w:rsidR="00A86DB0" w:rsidRDefault="00A86DB0" w:rsidP="0075129A">
      <w:pPr>
        <w:widowControl w:val="0"/>
        <w:spacing w:line="500" w:lineRule="exact"/>
        <w:jc w:val="both"/>
        <w:rPr>
          <w:sz w:val="26"/>
          <w:szCs w:val="26"/>
        </w:rPr>
      </w:pPr>
      <w:r>
        <w:rPr>
          <w:sz w:val="26"/>
          <w:szCs w:val="26"/>
        </w:rPr>
        <w:lastRenderedPageBreak/>
        <w:tab/>
        <w:t xml:space="preserve">15 U.S.C.A. § 9058(c) provides that a thirty (30) day notice to vacate must be provided.  Presumably, Congress knows the difference between </w:t>
      </w:r>
      <w:r>
        <w:rPr>
          <w:i/>
          <w:iCs/>
          <w:sz w:val="26"/>
          <w:szCs w:val="26"/>
        </w:rPr>
        <w:t>cure</w:t>
      </w:r>
      <w:r>
        <w:rPr>
          <w:sz w:val="26"/>
          <w:szCs w:val="26"/>
        </w:rPr>
        <w:t xml:space="preserve"> and </w:t>
      </w:r>
      <w:r>
        <w:rPr>
          <w:i/>
          <w:iCs/>
          <w:sz w:val="26"/>
          <w:szCs w:val="26"/>
        </w:rPr>
        <w:t>vacate</w:t>
      </w:r>
      <w:r>
        <w:rPr>
          <w:sz w:val="26"/>
          <w:szCs w:val="26"/>
        </w:rPr>
        <w:t xml:space="preserve">.  The exclusion of the word </w:t>
      </w:r>
      <w:r>
        <w:rPr>
          <w:i/>
          <w:iCs/>
          <w:sz w:val="26"/>
          <w:szCs w:val="26"/>
        </w:rPr>
        <w:t>cure</w:t>
      </w:r>
      <w:r>
        <w:rPr>
          <w:sz w:val="26"/>
          <w:szCs w:val="26"/>
        </w:rPr>
        <w:t xml:space="preserve"> leaves us with only the word </w:t>
      </w:r>
      <w:r>
        <w:rPr>
          <w:i/>
          <w:iCs/>
          <w:sz w:val="26"/>
          <w:szCs w:val="26"/>
        </w:rPr>
        <w:t>vacate</w:t>
      </w:r>
      <w:r>
        <w:rPr>
          <w:sz w:val="26"/>
          <w:szCs w:val="26"/>
        </w:rPr>
        <w:t xml:space="preserve"> to review.  </w:t>
      </w:r>
      <w:r w:rsidR="0048795F">
        <w:rPr>
          <w:sz w:val="26"/>
          <w:szCs w:val="26"/>
        </w:rPr>
        <w:t xml:space="preserve">According to Merriam-Webster, the word </w:t>
      </w:r>
      <w:r w:rsidR="0048795F">
        <w:rPr>
          <w:i/>
          <w:iCs/>
          <w:sz w:val="26"/>
          <w:szCs w:val="26"/>
        </w:rPr>
        <w:t>vacate</w:t>
      </w:r>
      <w:r w:rsidR="0048795F">
        <w:rPr>
          <w:sz w:val="26"/>
          <w:szCs w:val="26"/>
        </w:rPr>
        <w:t xml:space="preserve"> is a transitive verb which means either a) to deprive of an incumbent or occupant or b) to give up the incumbency or occupancy of.</w:t>
      </w:r>
      <w:r w:rsidR="0048795F">
        <w:rPr>
          <w:rStyle w:val="FootnoteReference"/>
          <w:sz w:val="26"/>
          <w:szCs w:val="26"/>
        </w:rPr>
        <w:footnoteReference w:id="20"/>
      </w:r>
      <w:r w:rsidR="00184322">
        <w:rPr>
          <w:sz w:val="26"/>
          <w:szCs w:val="26"/>
        </w:rPr>
        <w:t xml:space="preserve">  According to the current practice, Tenants at CARES Act covered properties are given thirty (30) days from the date the non-payment of rent notice is issued before they can be locked out through the writ of restitution, a practice that is in harmony with 15 U.S.C.A. § 9058(c).  What Petitioners have argued for is not in harmony with 15 U.S.C.A. § 9058(c) and would result in a substantive change in Arizona law.</w:t>
      </w:r>
    </w:p>
    <w:p w14:paraId="39A8047D" w14:textId="34F82F5C" w:rsidR="00BE4D46" w:rsidRPr="0048795F" w:rsidRDefault="0048795F" w:rsidP="0075129A">
      <w:pPr>
        <w:widowControl w:val="0"/>
        <w:spacing w:line="500" w:lineRule="exact"/>
        <w:jc w:val="both"/>
        <w:rPr>
          <w:sz w:val="26"/>
          <w:szCs w:val="26"/>
        </w:rPr>
      </w:pPr>
      <w:r>
        <w:rPr>
          <w:sz w:val="26"/>
          <w:szCs w:val="26"/>
        </w:rPr>
        <w:tab/>
        <w:t xml:space="preserve">By operation of Arizona law, the Petition seeks to expand the cure period by requiring Landlords to issue the thirty-day notice of </w:t>
      </w:r>
      <w:r w:rsidR="00BE4D46">
        <w:rPr>
          <w:sz w:val="26"/>
          <w:szCs w:val="26"/>
        </w:rPr>
        <w:t>non-payment</w:t>
      </w:r>
      <w:r>
        <w:rPr>
          <w:sz w:val="26"/>
          <w:szCs w:val="26"/>
        </w:rPr>
        <w:t xml:space="preserve"> and demand to vacate and waiting for same to expire.  The Petition, on its face, has read into 15 U.S.C.A. § 9058(c) a cure right beyond what Arizona law requires.  Petitioners have not</w:t>
      </w:r>
      <w:r w:rsidR="00BE4D46">
        <w:rPr>
          <w:sz w:val="26"/>
          <w:szCs w:val="26"/>
        </w:rPr>
        <w:t xml:space="preserve">, nor can they, </w:t>
      </w:r>
      <w:r>
        <w:rPr>
          <w:sz w:val="26"/>
          <w:szCs w:val="26"/>
        </w:rPr>
        <w:t>explained how the prior guidance from this Court under Administrative Order 2022-14</w:t>
      </w:r>
      <w:r w:rsidR="00BE4D46">
        <w:rPr>
          <w:sz w:val="26"/>
          <w:szCs w:val="26"/>
        </w:rPr>
        <w:t xml:space="preserve"> does not give 15 U.S.C.A. § 9058(c) its full force and weight.  Petitioners have made clear that their desire is to slow down the eviction process, the Petition is just one of several vehicles by which Petitioners hope to accomplish this political endeavor.  This Court should not be persuaded by this and should, consistent with the cannons of statutory interpretation in Arizona, give 15 U.S.C.A. § 9058(c) its full weight and effect by denying the Petition and allowing the trial courts in Arizona, </w:t>
      </w:r>
      <w:proofErr w:type="gramStart"/>
      <w:r w:rsidR="00BE4D46">
        <w:rPr>
          <w:sz w:val="26"/>
          <w:szCs w:val="26"/>
        </w:rPr>
        <w:t>with the exception of</w:t>
      </w:r>
      <w:proofErr w:type="gramEnd"/>
      <w:r w:rsidR="00BE4D46">
        <w:rPr>
          <w:sz w:val="26"/>
          <w:szCs w:val="26"/>
        </w:rPr>
        <w:t xml:space="preserve"> Pima County, to govern themselves as they have chosen proper based on prior guidance from this Court in Administrative Order 2022-14.</w:t>
      </w:r>
    </w:p>
    <w:p w14:paraId="1CD591F8" w14:textId="7387D797" w:rsidR="008E1439" w:rsidRDefault="008E1439" w:rsidP="0015686F">
      <w:pPr>
        <w:pStyle w:val="ListParagraph"/>
        <w:widowControl w:val="0"/>
        <w:numPr>
          <w:ilvl w:val="0"/>
          <w:numId w:val="3"/>
        </w:numPr>
        <w:spacing w:line="500" w:lineRule="exact"/>
        <w:jc w:val="both"/>
        <w:rPr>
          <w:b/>
          <w:bCs/>
          <w:sz w:val="26"/>
          <w:szCs w:val="26"/>
          <w:u w:val="single"/>
        </w:rPr>
      </w:pPr>
      <w:r>
        <w:rPr>
          <w:b/>
          <w:bCs/>
          <w:sz w:val="26"/>
          <w:szCs w:val="26"/>
          <w:u w:val="single"/>
        </w:rPr>
        <w:t>PETITION IGNORES WHOM THE AGGRIEVED PARTY IS IN AN EVICTION ACTION.</w:t>
      </w:r>
    </w:p>
    <w:p w14:paraId="2577FC80" w14:textId="305D1C4B" w:rsidR="00BE4D46" w:rsidRDefault="00BE4D46" w:rsidP="00BE4D46">
      <w:pPr>
        <w:widowControl w:val="0"/>
        <w:spacing w:line="500" w:lineRule="exact"/>
        <w:ind w:firstLine="720"/>
        <w:jc w:val="both"/>
        <w:rPr>
          <w:sz w:val="26"/>
          <w:szCs w:val="26"/>
        </w:rPr>
      </w:pPr>
      <w:r>
        <w:rPr>
          <w:sz w:val="26"/>
          <w:szCs w:val="26"/>
        </w:rPr>
        <w:t xml:space="preserve">Although not popular actions, there is a common misconception that Tenants are the aggrieved parties in an eviction action.  Members of our legislature both on the state level and </w:t>
      </w:r>
      <w:r>
        <w:rPr>
          <w:sz w:val="26"/>
          <w:szCs w:val="26"/>
        </w:rPr>
        <w:lastRenderedPageBreak/>
        <w:t>federal level as well as several media outlets and, most especially, the Petitioners, feel as though Tenants are the victim in an eviction, not the aggrieved landlord who isn’t being paid.</w:t>
      </w:r>
    </w:p>
    <w:p w14:paraId="205D9C0A" w14:textId="276A545D" w:rsidR="00BE4D46" w:rsidRDefault="00BE4D46" w:rsidP="00BE4D46">
      <w:pPr>
        <w:widowControl w:val="0"/>
        <w:spacing w:line="500" w:lineRule="exact"/>
        <w:ind w:firstLine="720"/>
        <w:jc w:val="both"/>
        <w:rPr>
          <w:sz w:val="26"/>
          <w:szCs w:val="26"/>
        </w:rPr>
      </w:pPr>
      <w:r>
        <w:rPr>
          <w:sz w:val="26"/>
          <w:szCs w:val="26"/>
        </w:rPr>
        <w:t>For far too long, Landlords have been cast as the super-rich fat cats looking to oust financially vulnerable adults from their homes.  These narratives ignore the realities of the situation.  Most Landlords are not institutional high-value owners.  Instead, nearly 60% of all landlords in this country are small mom and pop landlords.</w:t>
      </w:r>
      <w:r>
        <w:rPr>
          <w:rStyle w:val="FootnoteReference"/>
          <w:sz w:val="26"/>
          <w:szCs w:val="26"/>
        </w:rPr>
        <w:footnoteReference w:id="21"/>
      </w:r>
      <w:r>
        <w:rPr>
          <w:sz w:val="26"/>
          <w:szCs w:val="26"/>
        </w:rPr>
        <w:t xml:space="preserve">  As the economy tightens, it tightens on us all.  Far too many stories were published during the COVID-19 pandemic of the catastrophic consequences owners of properties faced with tenants seeking the illegal protections offered by the Centers for Disease Control through their unconstitutional attempt to expand the moratorium, seemingly indefinitely.</w:t>
      </w:r>
      <w:r w:rsidR="002774F3">
        <w:rPr>
          <w:rStyle w:val="FootnoteReference"/>
          <w:sz w:val="26"/>
          <w:szCs w:val="26"/>
        </w:rPr>
        <w:footnoteReference w:id="22"/>
      </w:r>
    </w:p>
    <w:p w14:paraId="4D9C05FC" w14:textId="2D92C82E" w:rsidR="002774F3" w:rsidRPr="00BE4D46" w:rsidRDefault="002774F3" w:rsidP="00BE4D46">
      <w:pPr>
        <w:widowControl w:val="0"/>
        <w:spacing w:line="500" w:lineRule="exact"/>
        <w:ind w:firstLine="720"/>
        <w:jc w:val="both"/>
        <w:rPr>
          <w:sz w:val="26"/>
          <w:szCs w:val="26"/>
        </w:rPr>
      </w:pPr>
      <w:r>
        <w:rPr>
          <w:sz w:val="26"/>
          <w:szCs w:val="26"/>
        </w:rPr>
        <w:t xml:space="preserve">Commenting Party is not unsympathetic to the economic realities of today and the effects inflation and the economic slowdown has had on all Arizonans.  However, </w:t>
      </w:r>
      <w:proofErr w:type="gramStart"/>
      <w:r>
        <w:rPr>
          <w:sz w:val="26"/>
          <w:szCs w:val="26"/>
        </w:rPr>
        <w:t>Commenting</w:t>
      </w:r>
      <w:proofErr w:type="gramEnd"/>
      <w:r>
        <w:rPr>
          <w:sz w:val="26"/>
          <w:szCs w:val="26"/>
        </w:rPr>
        <w:t xml:space="preserve"> Party believes in the rule of law.  Contracts provide the </w:t>
      </w:r>
      <w:proofErr w:type="gramStart"/>
      <w:r>
        <w:rPr>
          <w:sz w:val="26"/>
          <w:szCs w:val="26"/>
        </w:rPr>
        <w:t>basic fundamental</w:t>
      </w:r>
      <w:proofErr w:type="gramEnd"/>
      <w:r>
        <w:rPr>
          <w:sz w:val="26"/>
          <w:szCs w:val="26"/>
        </w:rPr>
        <w:t xml:space="preserve"> agreement between the contracting parties as to their respective duties.  When those duties are breached, the non-breaching party should have recourse in a court of law and should not face obstacles because of political narratives concerning its adversary.  The financial difficulties of one party </w:t>
      </w:r>
      <w:proofErr w:type="gramStart"/>
      <w:r>
        <w:rPr>
          <w:sz w:val="26"/>
          <w:szCs w:val="26"/>
        </w:rPr>
        <w:t>does</w:t>
      </w:r>
      <w:proofErr w:type="gramEnd"/>
      <w:r>
        <w:rPr>
          <w:sz w:val="26"/>
          <w:szCs w:val="26"/>
        </w:rPr>
        <w:t xml:space="preserve"> not excuse that party’s performance under the contract.  However, reviewing the Petition, it is the Tenant who is the victim, not the Landlord who has been deprived of rent, rent that pays for items such as the mortgage, taxes, utilities, </w:t>
      </w:r>
      <w:proofErr w:type="gramStart"/>
      <w:r>
        <w:rPr>
          <w:sz w:val="26"/>
          <w:szCs w:val="26"/>
        </w:rPr>
        <w:t>upkeep</w:t>
      </w:r>
      <w:proofErr w:type="gramEnd"/>
      <w:r>
        <w:rPr>
          <w:sz w:val="26"/>
          <w:szCs w:val="26"/>
        </w:rPr>
        <w:t xml:space="preserve"> and maintenance, etc.  Petitioners seem to live in a world where these obligations get paid regardless of the number of tenants that don’t pay their rent and seem to believe that Arizona landlords can simply delay the filing process</w:t>
      </w:r>
      <w:r w:rsidR="00B023B1">
        <w:rPr>
          <w:sz w:val="26"/>
          <w:szCs w:val="26"/>
        </w:rPr>
        <w:t xml:space="preserve"> and </w:t>
      </w:r>
      <w:r>
        <w:rPr>
          <w:sz w:val="26"/>
          <w:szCs w:val="26"/>
        </w:rPr>
        <w:t>add additional months of rental loss onto their books to accomplish a political agenda</w:t>
      </w:r>
      <w:r w:rsidR="00B023B1">
        <w:rPr>
          <w:sz w:val="26"/>
          <w:szCs w:val="26"/>
        </w:rPr>
        <w:t xml:space="preserve">, an agenda that </w:t>
      </w:r>
      <w:r>
        <w:rPr>
          <w:sz w:val="26"/>
          <w:szCs w:val="26"/>
        </w:rPr>
        <w:t xml:space="preserve">Petitioners cannot get passed through the legislature.  This is not how the law works and, as attorneys, we expect that the law be fair and impartial.  As such, whatever hardships Tenants may face, the Court </w:t>
      </w:r>
      <w:r>
        <w:rPr>
          <w:sz w:val="26"/>
          <w:szCs w:val="26"/>
        </w:rPr>
        <w:lastRenderedPageBreak/>
        <w:t xml:space="preserve">must view the case through its specific facts and not seek to compensate by expanding the time to cure or otherwise delaying proceedings to benefit one party to the detriment of the other. </w:t>
      </w:r>
    </w:p>
    <w:p w14:paraId="229B117B" w14:textId="5D381521" w:rsidR="008E1439" w:rsidRDefault="008E1439" w:rsidP="0015686F">
      <w:pPr>
        <w:pStyle w:val="ListParagraph"/>
        <w:widowControl w:val="0"/>
        <w:numPr>
          <w:ilvl w:val="0"/>
          <w:numId w:val="3"/>
        </w:numPr>
        <w:spacing w:line="500" w:lineRule="exact"/>
        <w:jc w:val="both"/>
        <w:rPr>
          <w:b/>
          <w:bCs/>
          <w:sz w:val="26"/>
          <w:szCs w:val="26"/>
          <w:u w:val="single"/>
        </w:rPr>
      </w:pPr>
      <w:r>
        <w:rPr>
          <w:b/>
          <w:bCs/>
          <w:sz w:val="26"/>
          <w:szCs w:val="26"/>
          <w:u w:val="single"/>
        </w:rPr>
        <w:t>CONCLUSION.</w:t>
      </w:r>
    </w:p>
    <w:p w14:paraId="584066D3" w14:textId="5659209E" w:rsidR="002774F3" w:rsidRPr="002774F3" w:rsidRDefault="002774F3" w:rsidP="002774F3">
      <w:pPr>
        <w:widowControl w:val="0"/>
        <w:spacing w:line="500" w:lineRule="exact"/>
        <w:ind w:firstLine="720"/>
        <w:jc w:val="both"/>
        <w:rPr>
          <w:sz w:val="26"/>
          <w:szCs w:val="26"/>
        </w:rPr>
      </w:pPr>
      <w:r w:rsidRPr="002774F3">
        <w:rPr>
          <w:sz w:val="26"/>
          <w:szCs w:val="26"/>
        </w:rPr>
        <w:t xml:space="preserve">Petition and the proposed rule change should be denied because Petition is a substantive </w:t>
      </w:r>
      <w:r>
        <w:rPr>
          <w:sz w:val="26"/>
          <w:szCs w:val="26"/>
        </w:rPr>
        <w:t>rule change disguised as a procedural change.</w:t>
      </w:r>
      <w:r w:rsidRPr="002774F3">
        <w:rPr>
          <w:sz w:val="26"/>
          <w:szCs w:val="26"/>
        </w:rPr>
        <w:t xml:space="preserve"> </w:t>
      </w:r>
      <w:r>
        <w:rPr>
          <w:sz w:val="26"/>
          <w:szCs w:val="26"/>
        </w:rPr>
        <w:t xml:space="preserve"> </w:t>
      </w:r>
      <w:r w:rsidRPr="002774F3">
        <w:rPr>
          <w:sz w:val="26"/>
          <w:szCs w:val="26"/>
        </w:rPr>
        <w:t xml:space="preserve">Further, Petitioners </w:t>
      </w:r>
      <w:r>
        <w:rPr>
          <w:sz w:val="26"/>
          <w:szCs w:val="26"/>
        </w:rPr>
        <w:t xml:space="preserve">seek to have this Court enforce notice </w:t>
      </w:r>
      <w:r w:rsidR="00CF1503">
        <w:rPr>
          <w:sz w:val="26"/>
          <w:szCs w:val="26"/>
        </w:rPr>
        <w:t xml:space="preserve">and pleading requirements that go beyond the limitations in Arizona statute, </w:t>
      </w:r>
      <w:r>
        <w:rPr>
          <w:sz w:val="26"/>
          <w:szCs w:val="26"/>
        </w:rPr>
        <w:t xml:space="preserve">requirements that this Court is estopped from </w:t>
      </w:r>
      <w:r w:rsidR="00CF1503">
        <w:rPr>
          <w:sz w:val="26"/>
          <w:szCs w:val="26"/>
        </w:rPr>
        <w:t xml:space="preserve">creating and </w:t>
      </w:r>
      <w:r>
        <w:rPr>
          <w:sz w:val="26"/>
          <w:szCs w:val="26"/>
        </w:rPr>
        <w:t>enforcing.  Lastly, the Petition seeks to fundamentally alter 15 U.S.C.A. § 9058(C) to fit its desired result and has provided no evidence that the current court practice in play of extending the writ of restitution date, as approved by this Court in the aftermath of the CARES Act, does not achieve the legislative intent of 15 U.S.C.A. § 9058(c).</w:t>
      </w:r>
      <w:r w:rsidRPr="002774F3">
        <w:rPr>
          <w:sz w:val="26"/>
          <w:szCs w:val="26"/>
        </w:rPr>
        <w:t xml:space="preserve">  </w:t>
      </w:r>
    </w:p>
    <w:p w14:paraId="506E2C2A" w14:textId="73807501" w:rsidR="000C2B0B" w:rsidRPr="00CF1503" w:rsidRDefault="00F62294" w:rsidP="00D23559">
      <w:pPr>
        <w:widowControl w:val="0"/>
        <w:spacing w:line="480" w:lineRule="exact"/>
        <w:ind w:firstLine="720"/>
        <w:jc w:val="both"/>
        <w:rPr>
          <w:sz w:val="26"/>
          <w:szCs w:val="26"/>
        </w:rPr>
      </w:pPr>
      <w:r w:rsidRPr="00CF1503">
        <w:rPr>
          <w:sz w:val="26"/>
          <w:szCs w:val="26"/>
        </w:rPr>
        <w:t>RESPECTFULLY SUBMITTED THIS DATE</w:t>
      </w:r>
      <w:r w:rsidR="000C2B0B" w:rsidRPr="00CF1503">
        <w:rPr>
          <w:sz w:val="26"/>
          <w:szCs w:val="26"/>
        </w:rPr>
        <w:t xml:space="preserve">, the </w:t>
      </w:r>
      <w:r w:rsidR="0068784E">
        <w:rPr>
          <w:sz w:val="26"/>
          <w:szCs w:val="26"/>
        </w:rPr>
        <w:t>1</w:t>
      </w:r>
      <w:r w:rsidR="0068784E" w:rsidRPr="0068784E">
        <w:rPr>
          <w:sz w:val="26"/>
          <w:szCs w:val="26"/>
          <w:vertAlign w:val="superscript"/>
        </w:rPr>
        <w:t>st</w:t>
      </w:r>
      <w:r w:rsidR="0068784E">
        <w:rPr>
          <w:sz w:val="26"/>
          <w:szCs w:val="26"/>
        </w:rPr>
        <w:t xml:space="preserve"> of May</w:t>
      </w:r>
      <w:r w:rsidR="000C2B0B" w:rsidRPr="00CF1503">
        <w:rPr>
          <w:sz w:val="26"/>
          <w:szCs w:val="26"/>
        </w:rPr>
        <w:t xml:space="preserve"> 20</w:t>
      </w:r>
      <w:r w:rsidR="00CF1503" w:rsidRPr="00CF1503">
        <w:rPr>
          <w:sz w:val="26"/>
          <w:szCs w:val="26"/>
        </w:rPr>
        <w:t>24,</w:t>
      </w:r>
    </w:p>
    <w:p w14:paraId="2DA131E2" w14:textId="69B65319" w:rsidR="000C2B0B" w:rsidRPr="00CF1503" w:rsidRDefault="00B2401F" w:rsidP="002A61E4">
      <w:pPr>
        <w:keepNext/>
        <w:widowControl w:val="0"/>
        <w:spacing w:before="240" w:line="240" w:lineRule="exact"/>
        <w:ind w:left="5256" w:hanging="360"/>
        <w:rPr>
          <w:b/>
          <w:caps/>
          <w:sz w:val="26"/>
          <w:szCs w:val="26"/>
        </w:rPr>
      </w:pPr>
      <w:r w:rsidRPr="00CF1503">
        <w:rPr>
          <w:b/>
          <w:caps/>
          <w:sz w:val="26"/>
          <w:szCs w:val="26"/>
        </w:rPr>
        <w:t>cLARK &amp; wALKER, p.c.</w:t>
      </w:r>
    </w:p>
    <w:p w14:paraId="1C0370CA" w14:textId="5B63E7D0" w:rsidR="000C2B0B" w:rsidRPr="00CF1503" w:rsidRDefault="000C2B0B" w:rsidP="002A61E4">
      <w:pPr>
        <w:keepLines/>
        <w:widowControl w:val="0"/>
        <w:tabs>
          <w:tab w:val="left" w:pos="5256"/>
          <w:tab w:val="right" w:pos="9792"/>
        </w:tabs>
        <w:spacing w:before="720" w:line="240" w:lineRule="exact"/>
        <w:ind w:left="5256" w:hanging="360"/>
        <w:rPr>
          <w:i/>
          <w:sz w:val="26"/>
          <w:szCs w:val="26"/>
        </w:rPr>
      </w:pPr>
      <w:proofErr w:type="gramStart"/>
      <w:r w:rsidRPr="00CF1503">
        <w:rPr>
          <w:sz w:val="26"/>
          <w:szCs w:val="26"/>
        </w:rPr>
        <w:t xml:space="preserve">By </w:t>
      </w:r>
      <w:r w:rsidRPr="00CF1503">
        <w:rPr>
          <w:sz w:val="26"/>
          <w:szCs w:val="26"/>
          <w:u w:val="single"/>
        </w:rPr>
        <w:t> </w:t>
      </w:r>
      <w:r w:rsidR="00CF1503" w:rsidRPr="00CF1503">
        <w:rPr>
          <w:sz w:val="26"/>
          <w:szCs w:val="26"/>
          <w:u w:val="single"/>
        </w:rPr>
        <w:t>/</w:t>
      </w:r>
      <w:proofErr w:type="gramEnd"/>
      <w:r w:rsidR="00CF1503" w:rsidRPr="00CF1503">
        <w:rPr>
          <w:sz w:val="26"/>
          <w:szCs w:val="26"/>
          <w:u w:val="single"/>
        </w:rPr>
        <w:t>s/ Christopher R. Walker, (AZBN 028977)</w:t>
      </w:r>
      <w:r w:rsidRPr="00CF1503">
        <w:rPr>
          <w:sz w:val="26"/>
          <w:szCs w:val="26"/>
        </w:rPr>
        <w:br/>
      </w:r>
      <w:r w:rsidR="005B23E0" w:rsidRPr="00CF1503">
        <w:rPr>
          <w:sz w:val="26"/>
          <w:szCs w:val="26"/>
        </w:rPr>
        <w:t>Christopher R. Walker, Esq.</w:t>
      </w:r>
      <w:r w:rsidRPr="00CF1503">
        <w:rPr>
          <w:sz w:val="26"/>
          <w:szCs w:val="26"/>
        </w:rPr>
        <w:br/>
      </w:r>
    </w:p>
    <w:sectPr w:rsidR="000C2B0B" w:rsidRPr="00CF1503" w:rsidSect="00890B4D">
      <w:headerReference w:type="default" r:id="rId8"/>
      <w:footerReference w:type="default" r:id="rId9"/>
      <w:pgSz w:w="12240" w:h="15840"/>
      <w:pgMar w:top="1440" w:right="864" w:bottom="864"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0BD73" w14:textId="77777777" w:rsidR="00D644ED" w:rsidRDefault="00D644ED" w:rsidP="00D644ED">
      <w:r>
        <w:separator/>
      </w:r>
    </w:p>
  </w:endnote>
  <w:endnote w:type="continuationSeparator" w:id="0">
    <w:p w14:paraId="30A241A7" w14:textId="77777777" w:rsidR="00D644ED" w:rsidRDefault="00D644ED" w:rsidP="00D6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B2F4" w14:textId="77777777" w:rsidR="00D644ED" w:rsidRPr="00E7610A" w:rsidRDefault="00890B4D" w:rsidP="00890B4D">
    <w:pPr>
      <w:pStyle w:val="Footer"/>
      <w:tabs>
        <w:tab w:val="clear" w:pos="4680"/>
        <w:tab w:val="clear" w:pos="9360"/>
        <w:tab w:val="right" w:pos="9792"/>
      </w:tabs>
      <w:spacing w:before="50"/>
      <w:rPr>
        <w:sz w:val="20"/>
        <w:szCs w:val="20"/>
      </w:rPr>
    </w:pPr>
    <w:r>
      <w:rPr>
        <w:bCs/>
        <w:sz w:val="20"/>
        <w:szCs w:val="20"/>
      </w:rPr>
      <w:tab/>
    </w:r>
    <w:r w:rsidR="00D644ED" w:rsidRPr="00E7610A">
      <w:rPr>
        <w:sz w:val="20"/>
        <w:szCs w:val="20"/>
      </w:rPr>
      <w:t xml:space="preserve">Page </w:t>
    </w:r>
    <w:r w:rsidR="00D644ED" w:rsidRPr="00E7610A">
      <w:rPr>
        <w:bCs/>
        <w:sz w:val="20"/>
        <w:szCs w:val="20"/>
      </w:rPr>
      <w:fldChar w:fldCharType="begin"/>
    </w:r>
    <w:r w:rsidR="00D644ED" w:rsidRPr="00E7610A">
      <w:rPr>
        <w:bCs/>
        <w:sz w:val="20"/>
        <w:szCs w:val="20"/>
      </w:rPr>
      <w:instrText xml:space="preserve"> PAGE  \* Arabic  \* MERGEFORMAT </w:instrText>
    </w:r>
    <w:r w:rsidR="00D644ED" w:rsidRPr="00E7610A">
      <w:rPr>
        <w:bCs/>
        <w:sz w:val="20"/>
        <w:szCs w:val="20"/>
      </w:rPr>
      <w:fldChar w:fldCharType="separate"/>
    </w:r>
    <w:r w:rsidR="008656A4">
      <w:rPr>
        <w:bCs/>
        <w:noProof/>
        <w:sz w:val="20"/>
        <w:szCs w:val="20"/>
      </w:rPr>
      <w:t>1</w:t>
    </w:r>
    <w:r w:rsidR="00D644ED" w:rsidRPr="00E7610A">
      <w:rPr>
        <w:bCs/>
        <w:sz w:val="20"/>
        <w:szCs w:val="20"/>
      </w:rPr>
      <w:fldChar w:fldCharType="end"/>
    </w:r>
    <w:r w:rsidR="00D644ED" w:rsidRPr="00E7610A">
      <w:rPr>
        <w:sz w:val="20"/>
        <w:szCs w:val="20"/>
      </w:rPr>
      <w:t xml:space="preserve"> of </w:t>
    </w:r>
    <w:r w:rsidR="00D644ED" w:rsidRPr="00E7610A">
      <w:rPr>
        <w:bCs/>
        <w:sz w:val="20"/>
        <w:szCs w:val="20"/>
      </w:rPr>
      <w:fldChar w:fldCharType="begin"/>
    </w:r>
    <w:r w:rsidR="00D644ED" w:rsidRPr="00E7610A">
      <w:rPr>
        <w:bCs/>
        <w:sz w:val="20"/>
        <w:szCs w:val="20"/>
      </w:rPr>
      <w:instrText xml:space="preserve"> NUMPAGES  \* Arabic  \* MERGEFORMAT </w:instrText>
    </w:r>
    <w:r w:rsidR="00D644ED" w:rsidRPr="00E7610A">
      <w:rPr>
        <w:bCs/>
        <w:sz w:val="20"/>
        <w:szCs w:val="20"/>
      </w:rPr>
      <w:fldChar w:fldCharType="separate"/>
    </w:r>
    <w:r w:rsidR="008656A4">
      <w:rPr>
        <w:bCs/>
        <w:noProof/>
        <w:sz w:val="20"/>
        <w:szCs w:val="20"/>
      </w:rPr>
      <w:t>1</w:t>
    </w:r>
    <w:r w:rsidR="00D644ED" w:rsidRPr="00E7610A">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B9628" w14:textId="77777777" w:rsidR="00D644ED" w:rsidRDefault="00D644ED" w:rsidP="00D644ED">
      <w:r>
        <w:separator/>
      </w:r>
    </w:p>
  </w:footnote>
  <w:footnote w:type="continuationSeparator" w:id="0">
    <w:p w14:paraId="71941010" w14:textId="77777777" w:rsidR="00D644ED" w:rsidRDefault="00D644ED" w:rsidP="00D644ED">
      <w:r>
        <w:continuationSeparator/>
      </w:r>
    </w:p>
  </w:footnote>
  <w:footnote w:id="1">
    <w:p w14:paraId="5724F0B5" w14:textId="1EAC0359" w:rsidR="008E1439" w:rsidRPr="00BF45E2" w:rsidRDefault="008E1439" w:rsidP="008E1439">
      <w:pPr>
        <w:pStyle w:val="FootnoteText"/>
        <w:rPr>
          <w:rFonts w:ascii="Garamond" w:hAnsi="Garamond"/>
        </w:rPr>
      </w:pPr>
      <w:r w:rsidRPr="00BF45E2">
        <w:rPr>
          <w:rStyle w:val="FootnoteReference"/>
          <w:rFonts w:ascii="Garamond" w:hAnsi="Garamond"/>
        </w:rPr>
        <w:footnoteRef/>
      </w:r>
      <w:r w:rsidRPr="00BF45E2">
        <w:rPr>
          <w:rFonts w:ascii="Garamond" w:hAnsi="Garamond"/>
        </w:rPr>
        <w:t xml:space="preserve"> Pet., at 8</w:t>
      </w:r>
      <w:r w:rsidR="00BF45E2" w:rsidRPr="00BF45E2">
        <w:rPr>
          <w:rFonts w:ascii="Garamond" w:hAnsi="Garamond"/>
          <w:szCs w:val="26"/>
        </w:rPr>
        <w:t>:21-</w:t>
      </w:r>
      <w:r w:rsidRPr="00BF45E2">
        <w:rPr>
          <w:rFonts w:ascii="Garamond" w:hAnsi="Garamond"/>
        </w:rPr>
        <w:t>9</w:t>
      </w:r>
      <w:r w:rsidR="00BF45E2" w:rsidRPr="00BF45E2">
        <w:rPr>
          <w:rFonts w:ascii="Garamond" w:hAnsi="Garamond"/>
        </w:rPr>
        <w:t>:5</w:t>
      </w:r>
      <w:r w:rsidRPr="00BF45E2">
        <w:rPr>
          <w:rFonts w:ascii="Garamond" w:hAnsi="Garamond"/>
        </w:rPr>
        <w:t>.</w:t>
      </w:r>
    </w:p>
  </w:footnote>
  <w:footnote w:id="2">
    <w:p w14:paraId="490561F4" w14:textId="2890E53C" w:rsidR="00BF45E2" w:rsidRDefault="00BF45E2">
      <w:pPr>
        <w:pStyle w:val="FootnoteText"/>
      </w:pPr>
      <w:r w:rsidRPr="00BF45E2">
        <w:rPr>
          <w:rStyle w:val="FootnoteReference"/>
          <w:rFonts w:ascii="Garamond" w:hAnsi="Garamond"/>
        </w:rPr>
        <w:footnoteRef/>
      </w:r>
      <w:r w:rsidRPr="00BF45E2">
        <w:rPr>
          <w:rFonts w:ascii="Garamond" w:hAnsi="Garamond"/>
        </w:rPr>
        <w:t xml:space="preserve"> Pet., at 12:18-19.</w:t>
      </w:r>
    </w:p>
  </w:footnote>
  <w:footnote w:id="3">
    <w:p w14:paraId="1A93048C" w14:textId="0A52D08C" w:rsidR="00BF45E2" w:rsidRPr="00CF1503" w:rsidRDefault="00BF45E2">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Pet., 12:13-18.</w:t>
      </w:r>
    </w:p>
  </w:footnote>
  <w:footnote w:id="4">
    <w:p w14:paraId="7C06742D" w14:textId="3B02AD56" w:rsidR="00BF45E2" w:rsidRPr="00CF1503" w:rsidRDefault="00BF45E2">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Pet., </w:t>
      </w:r>
      <w:r w:rsidR="006A7CB9" w:rsidRPr="00CF1503">
        <w:rPr>
          <w:rFonts w:ascii="Garamond" w:hAnsi="Garamond"/>
        </w:rPr>
        <w:t>14:1-11.</w:t>
      </w:r>
    </w:p>
  </w:footnote>
  <w:footnote w:id="5">
    <w:p w14:paraId="6CDD9EC3" w14:textId="0598C5C0" w:rsidR="006A7CB9" w:rsidRPr="00CF1503" w:rsidRDefault="006A7CB9">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Pet., 14:8-11.</w:t>
      </w:r>
    </w:p>
  </w:footnote>
  <w:footnote w:id="6">
    <w:p w14:paraId="77AAB0C0" w14:textId="313546EF" w:rsidR="006A7CB9" w:rsidRDefault="006A7CB9">
      <w:pPr>
        <w:pStyle w:val="FootnoteText"/>
      </w:pPr>
      <w:r w:rsidRPr="00CF1503">
        <w:rPr>
          <w:rStyle w:val="FootnoteReference"/>
          <w:rFonts w:ascii="Garamond" w:hAnsi="Garamond"/>
        </w:rPr>
        <w:footnoteRef/>
      </w:r>
      <w:r w:rsidRPr="00CF1503">
        <w:rPr>
          <w:rFonts w:ascii="Garamond" w:hAnsi="Garamond"/>
        </w:rPr>
        <w:t xml:space="preserve"> Pet., 14:12-16.</w:t>
      </w:r>
    </w:p>
  </w:footnote>
  <w:footnote w:id="7">
    <w:p w14:paraId="13F5AE70" w14:textId="5F89C89F" w:rsidR="00EA52EB" w:rsidRPr="00CF1503" w:rsidRDefault="00EA52EB" w:rsidP="00EA52EB">
      <w:pPr>
        <w:pStyle w:val="FootnoteText"/>
        <w:jc w:val="both"/>
        <w:rPr>
          <w:rFonts w:ascii="Garamond" w:hAnsi="Garamond"/>
        </w:rPr>
      </w:pPr>
      <w:r w:rsidRPr="00CF1503">
        <w:rPr>
          <w:rStyle w:val="FootnoteReference"/>
          <w:rFonts w:ascii="Garamond" w:hAnsi="Garamond"/>
        </w:rPr>
        <w:footnoteRef/>
      </w:r>
      <w:r w:rsidRPr="00CF1503">
        <w:rPr>
          <w:rFonts w:ascii="Garamond" w:hAnsi="Garamond"/>
        </w:rPr>
        <w:t xml:space="preserve"> </w:t>
      </w:r>
      <w:r w:rsidRPr="00CF1503">
        <w:rPr>
          <w:rFonts w:ascii="Garamond" w:hAnsi="Garamond"/>
          <w:szCs w:val="26"/>
        </w:rPr>
        <w:t>Article IV, Section 5 of the Arizona State Constitution provides “[t]he supreme court shall have…[p]</w:t>
      </w:r>
      <w:proofErr w:type="spellStart"/>
      <w:r w:rsidRPr="00CF1503">
        <w:rPr>
          <w:rFonts w:ascii="Garamond" w:hAnsi="Garamond"/>
          <w:szCs w:val="26"/>
        </w:rPr>
        <w:t>ower</w:t>
      </w:r>
      <w:proofErr w:type="spellEnd"/>
      <w:r w:rsidRPr="00CF1503">
        <w:rPr>
          <w:rFonts w:ascii="Garamond" w:hAnsi="Garamond"/>
          <w:szCs w:val="26"/>
        </w:rPr>
        <w:t xml:space="preserve"> to make rules relative to all procedural matters in any court.”</w:t>
      </w:r>
    </w:p>
  </w:footnote>
  <w:footnote w:id="8">
    <w:p w14:paraId="2259F670" w14:textId="4F9255E5" w:rsidR="00A86DB0" w:rsidRPr="00CF1503" w:rsidRDefault="00A86DB0">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w:t>
      </w:r>
      <w:r w:rsidRPr="00CF1503">
        <w:rPr>
          <w:rFonts w:ascii="Garamond" w:hAnsi="Garamond"/>
          <w:i/>
          <w:iCs/>
          <w:szCs w:val="26"/>
        </w:rPr>
        <w:t>Daou v. Harris,</w:t>
      </w:r>
      <w:r w:rsidRPr="00CF1503">
        <w:rPr>
          <w:rFonts w:ascii="Garamond" w:hAnsi="Garamond"/>
          <w:szCs w:val="26"/>
        </w:rPr>
        <w:t> 139 Ariz. 353, 358, 678 P.2d 934, 939 (1984)</w:t>
      </w:r>
    </w:p>
  </w:footnote>
  <w:footnote w:id="9">
    <w:p w14:paraId="13C11188" w14:textId="128FD374" w:rsidR="00FC7688" w:rsidRPr="00CF1503" w:rsidRDefault="00FC7688">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Pet., at 11:23-25.</w:t>
      </w:r>
    </w:p>
  </w:footnote>
  <w:footnote w:id="10">
    <w:p w14:paraId="757EB842" w14:textId="77777777" w:rsidR="00FC7688" w:rsidRPr="00CF1503" w:rsidRDefault="00FC7688" w:rsidP="00FC7688">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Pet., at 8–9.</w:t>
      </w:r>
    </w:p>
  </w:footnote>
  <w:footnote w:id="11">
    <w:p w14:paraId="6728FD0B" w14:textId="6D541914" w:rsidR="00AF1830" w:rsidRDefault="00AF1830" w:rsidP="00AF1830">
      <w:pPr>
        <w:pStyle w:val="FootnoteText"/>
        <w:jc w:val="both"/>
      </w:pPr>
      <w:r w:rsidRPr="00CF1503">
        <w:rPr>
          <w:rStyle w:val="FootnoteReference"/>
          <w:rFonts w:ascii="Garamond" w:hAnsi="Garamond"/>
        </w:rPr>
        <w:footnoteRef/>
      </w:r>
      <w:r w:rsidRPr="00CF1503">
        <w:rPr>
          <w:rFonts w:ascii="Garamond" w:hAnsi="Garamond"/>
        </w:rPr>
        <w:t xml:space="preserve"> The notice itself must be, by the very construct of this rule, a 30-day cure period which offends A.R.S. § 33-1368(B) and would need to be labeled as a CARES Act Notice to achieve the “transparency” Petitioners argue is needed.</w:t>
      </w:r>
    </w:p>
  </w:footnote>
  <w:footnote w:id="12">
    <w:p w14:paraId="6376F9EB" w14:textId="76229693" w:rsidR="00E93243" w:rsidRPr="00CF1503" w:rsidRDefault="00E93243">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Pet., 14:2-5.</w:t>
      </w:r>
    </w:p>
  </w:footnote>
  <w:footnote w:id="13">
    <w:p w14:paraId="02E17F1F" w14:textId="0537C76A" w:rsidR="00A86DB0" w:rsidRDefault="00A86DB0">
      <w:pPr>
        <w:pStyle w:val="FootnoteText"/>
      </w:pPr>
      <w:r w:rsidRPr="00CF1503">
        <w:rPr>
          <w:rStyle w:val="FootnoteReference"/>
          <w:rFonts w:ascii="Garamond" w:hAnsi="Garamond"/>
        </w:rPr>
        <w:footnoteRef/>
      </w:r>
      <w:r w:rsidRPr="00CF1503">
        <w:rPr>
          <w:rFonts w:ascii="Garamond" w:hAnsi="Garamond"/>
        </w:rPr>
        <w:t xml:space="preserve"> If this Court were to find the outcomes in other jurisdictions persuasive, Commenting Party suggests this Court consider what the New Jersey Supreme Court did when it decreed the notice requirements under 15 U.S.C.A. § 9058(c) moot. (</w:t>
      </w:r>
      <w:hyperlink r:id="rId1" w:history="1">
        <w:r w:rsidRPr="00CF1503">
          <w:rPr>
            <w:rStyle w:val="Hyperlink"/>
            <w:rFonts w:ascii="Garamond" w:hAnsi="Garamond"/>
          </w:rPr>
          <w:t>https://www.njcourts.gov/sites/default/files/notices/2023/08/n230825a.pdf</w:t>
        </w:r>
      </w:hyperlink>
      <w:r w:rsidRPr="00CF1503">
        <w:rPr>
          <w:rFonts w:ascii="Garamond" w:hAnsi="Garamond"/>
        </w:rPr>
        <w:t>) accessed on April 22, 2024.</w:t>
      </w:r>
    </w:p>
  </w:footnote>
  <w:footnote w:id="14">
    <w:p w14:paraId="6141640D" w14:textId="6D424488" w:rsidR="0075129A" w:rsidRPr="00CF1503" w:rsidRDefault="0075129A">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w:t>
      </w:r>
      <w:r w:rsidRPr="00CF1503">
        <w:rPr>
          <w:rFonts w:ascii="Garamond" w:hAnsi="Garamond"/>
          <w:i/>
          <w:iCs/>
        </w:rPr>
        <w:t xml:space="preserve">See </w:t>
      </w:r>
      <w:r w:rsidRPr="00CF1503">
        <w:rPr>
          <w:rFonts w:ascii="Garamond" w:hAnsi="Garamond"/>
        </w:rPr>
        <w:t>A.R.S. § 33-1368(B).</w:t>
      </w:r>
    </w:p>
  </w:footnote>
  <w:footnote w:id="15">
    <w:p w14:paraId="687401C2" w14:textId="543E9CAD" w:rsidR="0075129A" w:rsidRPr="00CF1503" w:rsidRDefault="0075129A">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Id.</w:t>
      </w:r>
    </w:p>
  </w:footnote>
  <w:footnote w:id="16">
    <w:p w14:paraId="544516AA" w14:textId="74181718" w:rsidR="0075129A" w:rsidRDefault="0075129A">
      <w:pPr>
        <w:pStyle w:val="FootnoteText"/>
      </w:pPr>
      <w:r w:rsidRPr="00CF1503">
        <w:rPr>
          <w:rStyle w:val="FootnoteReference"/>
          <w:rFonts w:ascii="Garamond" w:hAnsi="Garamond"/>
        </w:rPr>
        <w:footnoteRef/>
      </w:r>
      <w:r w:rsidRPr="00CF1503">
        <w:rPr>
          <w:rFonts w:ascii="Garamond" w:hAnsi="Garamond"/>
        </w:rPr>
        <w:t xml:space="preserve"> Id.</w:t>
      </w:r>
    </w:p>
  </w:footnote>
  <w:footnote w:id="17">
    <w:p w14:paraId="67C59142" w14:textId="2866CBEF" w:rsidR="00A86DB0" w:rsidRPr="00CF1503" w:rsidRDefault="00A86DB0">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w:t>
      </w:r>
      <w:r w:rsidRPr="00CF1503">
        <w:rPr>
          <w:rFonts w:ascii="Garamond" w:hAnsi="Garamond"/>
          <w:i/>
          <w:iCs/>
          <w:szCs w:val="26"/>
        </w:rPr>
        <w:t xml:space="preserve">S. Ariz. Home Builders </w:t>
      </w:r>
      <w:proofErr w:type="spellStart"/>
      <w:r w:rsidRPr="00CF1503">
        <w:rPr>
          <w:rFonts w:ascii="Garamond" w:hAnsi="Garamond"/>
          <w:i/>
          <w:iCs/>
          <w:szCs w:val="26"/>
        </w:rPr>
        <w:t>Ass'n</w:t>
      </w:r>
      <w:proofErr w:type="spellEnd"/>
      <w:r w:rsidRPr="00CF1503">
        <w:rPr>
          <w:rFonts w:ascii="Garamond" w:hAnsi="Garamond"/>
          <w:i/>
          <w:iCs/>
          <w:szCs w:val="26"/>
        </w:rPr>
        <w:t xml:space="preserve"> v. Town of Marana</w:t>
      </w:r>
      <w:r w:rsidRPr="00CF1503">
        <w:rPr>
          <w:rFonts w:ascii="Garamond" w:hAnsi="Garamond"/>
          <w:szCs w:val="26"/>
        </w:rPr>
        <w:t>, 254 Ariz. 281, 286 ¶ 31 (2023).</w:t>
      </w:r>
    </w:p>
  </w:footnote>
  <w:footnote w:id="18">
    <w:p w14:paraId="35123487" w14:textId="4151EDBB" w:rsidR="00A86DB0" w:rsidRPr="00CF1503" w:rsidRDefault="00A86DB0">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w:t>
      </w:r>
      <w:r w:rsidRPr="00CF1503">
        <w:rPr>
          <w:rFonts w:ascii="Garamond" w:hAnsi="Garamond"/>
          <w:i/>
          <w:iCs/>
          <w:szCs w:val="26"/>
        </w:rPr>
        <w:t>Stambaugh v. Killian</w:t>
      </w:r>
      <w:r w:rsidRPr="00CF1503">
        <w:rPr>
          <w:rFonts w:ascii="Garamond" w:hAnsi="Garamond"/>
          <w:szCs w:val="26"/>
        </w:rPr>
        <w:t>, 242 Ariz. 508, 509 ¶ 7 (2017)</w:t>
      </w:r>
    </w:p>
  </w:footnote>
  <w:footnote w:id="19">
    <w:p w14:paraId="2329F5E8" w14:textId="21DF9BD0" w:rsidR="00A86DB0" w:rsidRPr="00CF1503" w:rsidRDefault="00A86DB0">
      <w:pPr>
        <w:pStyle w:val="FootnoteText"/>
        <w:rPr>
          <w:rFonts w:ascii="Garamond" w:hAnsi="Garamond"/>
        </w:rPr>
      </w:pPr>
      <w:r w:rsidRPr="00CF1503">
        <w:rPr>
          <w:rStyle w:val="FootnoteReference"/>
          <w:rFonts w:ascii="Garamond" w:hAnsi="Garamond"/>
        </w:rPr>
        <w:footnoteRef/>
      </w:r>
      <w:r w:rsidRPr="00CF1503">
        <w:rPr>
          <w:rFonts w:ascii="Garamond" w:hAnsi="Garamond"/>
        </w:rPr>
        <w:t xml:space="preserve"> </w:t>
      </w:r>
      <w:r w:rsidRPr="00CF1503">
        <w:rPr>
          <w:rFonts w:ascii="Garamond" w:hAnsi="Garamond"/>
          <w:i/>
          <w:iCs/>
          <w:szCs w:val="26"/>
        </w:rPr>
        <w:t>Nicaise v. Sundaram</w:t>
      </w:r>
      <w:r w:rsidRPr="00CF1503">
        <w:rPr>
          <w:rFonts w:ascii="Garamond" w:hAnsi="Garamond"/>
          <w:szCs w:val="26"/>
        </w:rPr>
        <w:t>, 245 Ariz. 566, 568 ¶ 11 (2019).</w:t>
      </w:r>
    </w:p>
  </w:footnote>
  <w:footnote w:id="20">
    <w:p w14:paraId="446EC7EA" w14:textId="4378F705" w:rsidR="0048795F" w:rsidRPr="0048795F" w:rsidRDefault="0048795F">
      <w:pPr>
        <w:pStyle w:val="FootnoteText"/>
        <w:rPr>
          <w:i/>
          <w:iCs/>
        </w:rPr>
      </w:pPr>
      <w:r w:rsidRPr="00CF1503">
        <w:rPr>
          <w:rStyle w:val="FootnoteReference"/>
          <w:rFonts w:ascii="Garamond" w:hAnsi="Garamond"/>
        </w:rPr>
        <w:footnoteRef/>
      </w:r>
      <w:r w:rsidRPr="00CF1503">
        <w:rPr>
          <w:rFonts w:ascii="Garamond" w:hAnsi="Garamond"/>
        </w:rPr>
        <w:t xml:space="preserve"> https://www.merriam-webster.com/dictionary/vacate (</w:t>
      </w:r>
      <w:r w:rsidRPr="00CF1503">
        <w:rPr>
          <w:rFonts w:ascii="Garamond" w:hAnsi="Garamond"/>
          <w:i/>
          <w:iCs/>
        </w:rPr>
        <w:t>accessed on April 22, 2024)</w:t>
      </w:r>
    </w:p>
  </w:footnote>
  <w:footnote w:id="21">
    <w:p w14:paraId="20D28BED" w14:textId="6412906C" w:rsidR="00BE4D46" w:rsidRPr="00BE4D46" w:rsidRDefault="00BE4D46">
      <w:pPr>
        <w:pStyle w:val="FootnoteText"/>
        <w:rPr>
          <w:rFonts w:ascii="Garamond" w:hAnsi="Garamond"/>
        </w:rPr>
      </w:pPr>
      <w:r w:rsidRPr="00BE4D46">
        <w:rPr>
          <w:rStyle w:val="FootnoteReference"/>
          <w:rFonts w:ascii="Garamond" w:hAnsi="Garamond"/>
        </w:rPr>
        <w:footnoteRef/>
      </w:r>
      <w:r w:rsidRPr="00BE4D46">
        <w:rPr>
          <w:rFonts w:ascii="Garamond" w:hAnsi="Garamond"/>
        </w:rPr>
        <w:t xml:space="preserve"> </w:t>
      </w:r>
      <w:hyperlink r:id="rId2" w:history="1">
        <w:r w:rsidR="00CF1503" w:rsidRPr="00DF2D33">
          <w:rPr>
            <w:rStyle w:val="Hyperlink"/>
            <w:rFonts w:ascii="Garamond" w:hAnsi="Garamond"/>
          </w:rPr>
          <w:t>https://www.forbes.com/sites/forbesrealestatecouncil/2020/05/12/dont-forget-the-mom-and-pops-how-crises-can-negatively-affect-small-investors/?sh=73eb54444dae</w:t>
        </w:r>
      </w:hyperlink>
      <w:r w:rsidR="00CF1503">
        <w:rPr>
          <w:rFonts w:ascii="Garamond" w:hAnsi="Garamond"/>
        </w:rPr>
        <w:t xml:space="preserve"> </w:t>
      </w:r>
      <w:r w:rsidRPr="00BE4D46">
        <w:rPr>
          <w:rFonts w:ascii="Garamond" w:hAnsi="Garamond"/>
        </w:rPr>
        <w:t>(accessed on April 22, 2024)</w:t>
      </w:r>
    </w:p>
  </w:footnote>
  <w:footnote w:id="22">
    <w:p w14:paraId="35333AAB" w14:textId="208C32CD" w:rsidR="002774F3" w:rsidRDefault="002774F3">
      <w:pPr>
        <w:pStyle w:val="FootnoteText"/>
      </w:pPr>
      <w:r>
        <w:rPr>
          <w:rStyle w:val="FootnoteReference"/>
        </w:rPr>
        <w:footnoteRef/>
      </w:r>
      <w:r>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27E1" w14:textId="77777777" w:rsidR="00D644ED" w:rsidRDefault="000D4698">
    <w:pPr>
      <w:pStyle w:val="Header"/>
    </w:pPr>
    <w:r>
      <w:rPr>
        <w:noProof/>
      </w:rPr>
      <mc:AlternateContent>
        <mc:Choice Requires="wps">
          <w:drawing>
            <wp:anchor distT="45720" distB="45720" distL="0" distR="0" simplePos="0" relativeHeight="251663360" behindDoc="0" locked="0" layoutInCell="1" allowOverlap="1" wp14:anchorId="0F93947A" wp14:editId="2BB3B2E9">
              <wp:simplePos x="0" y="0"/>
              <wp:positionH relativeFrom="page">
                <wp:posOffset>548640</wp:posOffset>
              </wp:positionH>
              <wp:positionV relativeFrom="page">
                <wp:posOffset>914400</wp:posOffset>
              </wp:positionV>
              <wp:extent cx="320040" cy="82753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8275320"/>
                      </a:xfrm>
                      <a:prstGeom prst="rect">
                        <a:avLst/>
                      </a:prstGeom>
                      <a:noFill/>
                      <a:ln w="9525">
                        <a:noFill/>
                        <a:miter lim="800000"/>
                        <a:headEnd/>
                        <a:tailEnd/>
                      </a:ln>
                    </wps:spPr>
                    <wps:txbx>
                      <w:txbxContent>
                        <w:p w14:paraId="0B56AE5F" w14:textId="77777777" w:rsidR="000D4698" w:rsidRPr="00E7610A" w:rsidRDefault="000D4698" w:rsidP="000C2B0B">
                          <w:pPr>
                            <w:spacing w:before="160" w:line="240" w:lineRule="exact"/>
                            <w:jc w:val="right"/>
                            <w:rPr>
                              <w:sz w:val="16"/>
                              <w:szCs w:val="16"/>
                            </w:rPr>
                          </w:pPr>
                          <w:r w:rsidRPr="00E7610A">
                            <w:rPr>
                              <w:sz w:val="16"/>
                              <w:szCs w:val="16"/>
                            </w:rPr>
                            <w:t>1</w:t>
                          </w:r>
                        </w:p>
                        <w:p w14:paraId="176C1E7F" w14:textId="77777777" w:rsidR="000D4698" w:rsidRPr="00E7610A" w:rsidRDefault="000D4698" w:rsidP="000C2B0B">
                          <w:pPr>
                            <w:spacing w:line="480" w:lineRule="exact"/>
                            <w:jc w:val="right"/>
                            <w:rPr>
                              <w:sz w:val="16"/>
                              <w:szCs w:val="16"/>
                            </w:rPr>
                          </w:pPr>
                          <w:r w:rsidRPr="00E7610A">
                            <w:rPr>
                              <w:sz w:val="16"/>
                              <w:szCs w:val="16"/>
                            </w:rPr>
                            <w:t>2</w:t>
                          </w:r>
                        </w:p>
                        <w:p w14:paraId="29DAB984" w14:textId="77777777" w:rsidR="000D4698" w:rsidRPr="00E7610A" w:rsidRDefault="000D4698" w:rsidP="000C2B0B">
                          <w:pPr>
                            <w:spacing w:line="480" w:lineRule="exact"/>
                            <w:jc w:val="right"/>
                            <w:rPr>
                              <w:sz w:val="16"/>
                              <w:szCs w:val="16"/>
                            </w:rPr>
                          </w:pPr>
                          <w:r w:rsidRPr="00E7610A">
                            <w:rPr>
                              <w:sz w:val="16"/>
                              <w:szCs w:val="16"/>
                            </w:rPr>
                            <w:t>3</w:t>
                          </w:r>
                        </w:p>
                        <w:p w14:paraId="470BCC74" w14:textId="77777777" w:rsidR="000D4698" w:rsidRPr="00E7610A" w:rsidRDefault="000D4698" w:rsidP="000C2B0B">
                          <w:pPr>
                            <w:spacing w:line="480" w:lineRule="exact"/>
                            <w:jc w:val="right"/>
                            <w:rPr>
                              <w:sz w:val="16"/>
                              <w:szCs w:val="16"/>
                            </w:rPr>
                          </w:pPr>
                          <w:r w:rsidRPr="00E7610A">
                            <w:rPr>
                              <w:sz w:val="16"/>
                              <w:szCs w:val="16"/>
                            </w:rPr>
                            <w:t>4</w:t>
                          </w:r>
                        </w:p>
                        <w:p w14:paraId="2AAF4D44" w14:textId="77777777" w:rsidR="000D4698" w:rsidRPr="00E7610A" w:rsidRDefault="000D4698" w:rsidP="000C2B0B">
                          <w:pPr>
                            <w:spacing w:line="480" w:lineRule="exact"/>
                            <w:jc w:val="right"/>
                            <w:rPr>
                              <w:sz w:val="16"/>
                              <w:szCs w:val="16"/>
                            </w:rPr>
                          </w:pPr>
                          <w:r w:rsidRPr="00E7610A">
                            <w:rPr>
                              <w:sz w:val="16"/>
                              <w:szCs w:val="16"/>
                            </w:rPr>
                            <w:t>5</w:t>
                          </w:r>
                        </w:p>
                        <w:p w14:paraId="2233FC5A" w14:textId="77777777" w:rsidR="000D4698" w:rsidRPr="00E7610A" w:rsidRDefault="000D4698" w:rsidP="000C2B0B">
                          <w:pPr>
                            <w:spacing w:line="480" w:lineRule="exact"/>
                            <w:jc w:val="right"/>
                            <w:rPr>
                              <w:sz w:val="16"/>
                              <w:szCs w:val="16"/>
                            </w:rPr>
                          </w:pPr>
                          <w:r w:rsidRPr="00E7610A">
                            <w:rPr>
                              <w:sz w:val="16"/>
                              <w:szCs w:val="16"/>
                            </w:rPr>
                            <w:t>6</w:t>
                          </w:r>
                        </w:p>
                        <w:p w14:paraId="3F64C995" w14:textId="77777777" w:rsidR="000D4698" w:rsidRPr="00E7610A" w:rsidRDefault="000D4698" w:rsidP="000C2B0B">
                          <w:pPr>
                            <w:spacing w:line="480" w:lineRule="exact"/>
                            <w:jc w:val="right"/>
                            <w:rPr>
                              <w:sz w:val="16"/>
                              <w:szCs w:val="16"/>
                            </w:rPr>
                          </w:pPr>
                          <w:r w:rsidRPr="00E7610A">
                            <w:rPr>
                              <w:sz w:val="16"/>
                              <w:szCs w:val="16"/>
                            </w:rPr>
                            <w:t>7</w:t>
                          </w:r>
                        </w:p>
                        <w:p w14:paraId="18963E82" w14:textId="77777777" w:rsidR="000D4698" w:rsidRPr="00E7610A" w:rsidRDefault="000D4698" w:rsidP="000C2B0B">
                          <w:pPr>
                            <w:spacing w:line="480" w:lineRule="exact"/>
                            <w:jc w:val="right"/>
                            <w:rPr>
                              <w:sz w:val="16"/>
                              <w:szCs w:val="16"/>
                            </w:rPr>
                          </w:pPr>
                          <w:r w:rsidRPr="00E7610A">
                            <w:rPr>
                              <w:sz w:val="16"/>
                              <w:szCs w:val="16"/>
                            </w:rPr>
                            <w:t>8</w:t>
                          </w:r>
                        </w:p>
                        <w:p w14:paraId="56E8D1D9" w14:textId="77777777" w:rsidR="000D4698" w:rsidRPr="00E7610A" w:rsidRDefault="000D4698" w:rsidP="000C2B0B">
                          <w:pPr>
                            <w:spacing w:line="480" w:lineRule="exact"/>
                            <w:jc w:val="right"/>
                            <w:rPr>
                              <w:sz w:val="16"/>
                              <w:szCs w:val="16"/>
                            </w:rPr>
                          </w:pPr>
                          <w:r w:rsidRPr="00E7610A">
                            <w:rPr>
                              <w:sz w:val="16"/>
                              <w:szCs w:val="16"/>
                            </w:rPr>
                            <w:t>9</w:t>
                          </w:r>
                        </w:p>
                        <w:p w14:paraId="3CC75CC1" w14:textId="77777777" w:rsidR="000D4698" w:rsidRPr="00E7610A" w:rsidRDefault="000D4698" w:rsidP="000C2B0B">
                          <w:pPr>
                            <w:spacing w:line="480" w:lineRule="exact"/>
                            <w:jc w:val="right"/>
                            <w:rPr>
                              <w:sz w:val="16"/>
                              <w:szCs w:val="16"/>
                            </w:rPr>
                          </w:pPr>
                          <w:r w:rsidRPr="00E7610A">
                            <w:rPr>
                              <w:sz w:val="16"/>
                              <w:szCs w:val="16"/>
                            </w:rPr>
                            <w:t>10</w:t>
                          </w:r>
                        </w:p>
                        <w:p w14:paraId="473E39AB" w14:textId="77777777" w:rsidR="000D4698" w:rsidRPr="00E7610A" w:rsidRDefault="000D4698" w:rsidP="000C2B0B">
                          <w:pPr>
                            <w:spacing w:line="480" w:lineRule="exact"/>
                            <w:jc w:val="right"/>
                            <w:rPr>
                              <w:sz w:val="16"/>
                              <w:szCs w:val="16"/>
                            </w:rPr>
                          </w:pPr>
                          <w:r w:rsidRPr="00E7610A">
                            <w:rPr>
                              <w:sz w:val="16"/>
                              <w:szCs w:val="16"/>
                            </w:rPr>
                            <w:t>11</w:t>
                          </w:r>
                        </w:p>
                        <w:p w14:paraId="393741FE" w14:textId="77777777" w:rsidR="000D4698" w:rsidRPr="00E7610A" w:rsidRDefault="000D4698" w:rsidP="000C2B0B">
                          <w:pPr>
                            <w:spacing w:line="480" w:lineRule="exact"/>
                            <w:jc w:val="right"/>
                            <w:rPr>
                              <w:sz w:val="16"/>
                              <w:szCs w:val="16"/>
                            </w:rPr>
                          </w:pPr>
                          <w:r w:rsidRPr="00E7610A">
                            <w:rPr>
                              <w:sz w:val="16"/>
                              <w:szCs w:val="16"/>
                            </w:rPr>
                            <w:t>12</w:t>
                          </w:r>
                        </w:p>
                        <w:p w14:paraId="17EB8431" w14:textId="77777777" w:rsidR="000D4698" w:rsidRPr="00E7610A" w:rsidRDefault="000D4698" w:rsidP="000C2B0B">
                          <w:pPr>
                            <w:spacing w:line="480" w:lineRule="exact"/>
                            <w:jc w:val="right"/>
                            <w:rPr>
                              <w:sz w:val="16"/>
                              <w:szCs w:val="16"/>
                            </w:rPr>
                          </w:pPr>
                          <w:r w:rsidRPr="00E7610A">
                            <w:rPr>
                              <w:sz w:val="16"/>
                              <w:szCs w:val="16"/>
                            </w:rPr>
                            <w:t>13</w:t>
                          </w:r>
                        </w:p>
                        <w:p w14:paraId="413B1A40" w14:textId="77777777" w:rsidR="000D4698" w:rsidRPr="00E7610A" w:rsidRDefault="000D4698" w:rsidP="000C2B0B">
                          <w:pPr>
                            <w:spacing w:line="480" w:lineRule="exact"/>
                            <w:jc w:val="right"/>
                            <w:rPr>
                              <w:sz w:val="16"/>
                              <w:szCs w:val="16"/>
                            </w:rPr>
                          </w:pPr>
                          <w:r w:rsidRPr="00E7610A">
                            <w:rPr>
                              <w:sz w:val="16"/>
                              <w:szCs w:val="16"/>
                            </w:rPr>
                            <w:t>14</w:t>
                          </w:r>
                        </w:p>
                        <w:p w14:paraId="136AE9E9" w14:textId="77777777" w:rsidR="000D4698" w:rsidRPr="00E7610A" w:rsidRDefault="000D4698" w:rsidP="000C2B0B">
                          <w:pPr>
                            <w:spacing w:line="480" w:lineRule="exact"/>
                            <w:jc w:val="right"/>
                            <w:rPr>
                              <w:sz w:val="16"/>
                              <w:szCs w:val="16"/>
                            </w:rPr>
                          </w:pPr>
                          <w:r w:rsidRPr="00E7610A">
                            <w:rPr>
                              <w:sz w:val="16"/>
                              <w:szCs w:val="16"/>
                            </w:rPr>
                            <w:t>15</w:t>
                          </w:r>
                        </w:p>
                        <w:p w14:paraId="079C4F43" w14:textId="77777777" w:rsidR="000D4698" w:rsidRPr="00E7610A" w:rsidRDefault="000D4698" w:rsidP="000C2B0B">
                          <w:pPr>
                            <w:spacing w:line="480" w:lineRule="exact"/>
                            <w:jc w:val="right"/>
                            <w:rPr>
                              <w:sz w:val="16"/>
                              <w:szCs w:val="16"/>
                            </w:rPr>
                          </w:pPr>
                          <w:r w:rsidRPr="00E7610A">
                            <w:rPr>
                              <w:sz w:val="16"/>
                              <w:szCs w:val="16"/>
                            </w:rPr>
                            <w:t>16</w:t>
                          </w:r>
                        </w:p>
                        <w:p w14:paraId="129978FC" w14:textId="77777777" w:rsidR="000D4698" w:rsidRPr="00E7610A" w:rsidRDefault="000D4698" w:rsidP="000C2B0B">
                          <w:pPr>
                            <w:spacing w:line="480" w:lineRule="exact"/>
                            <w:jc w:val="right"/>
                            <w:rPr>
                              <w:sz w:val="16"/>
                              <w:szCs w:val="16"/>
                            </w:rPr>
                          </w:pPr>
                          <w:r w:rsidRPr="00E7610A">
                            <w:rPr>
                              <w:sz w:val="16"/>
                              <w:szCs w:val="16"/>
                            </w:rPr>
                            <w:t>17</w:t>
                          </w:r>
                        </w:p>
                        <w:p w14:paraId="24C32581" w14:textId="77777777" w:rsidR="000D4698" w:rsidRPr="00E7610A" w:rsidRDefault="000D4698" w:rsidP="000C2B0B">
                          <w:pPr>
                            <w:spacing w:line="480" w:lineRule="exact"/>
                            <w:jc w:val="right"/>
                            <w:rPr>
                              <w:sz w:val="16"/>
                              <w:szCs w:val="16"/>
                            </w:rPr>
                          </w:pPr>
                          <w:r w:rsidRPr="00E7610A">
                            <w:rPr>
                              <w:sz w:val="16"/>
                              <w:szCs w:val="16"/>
                            </w:rPr>
                            <w:t>18</w:t>
                          </w:r>
                        </w:p>
                        <w:p w14:paraId="6D82840D" w14:textId="77777777" w:rsidR="000D4698" w:rsidRPr="00E7610A" w:rsidRDefault="000D4698" w:rsidP="000C2B0B">
                          <w:pPr>
                            <w:spacing w:line="480" w:lineRule="exact"/>
                            <w:jc w:val="right"/>
                            <w:rPr>
                              <w:sz w:val="16"/>
                              <w:szCs w:val="16"/>
                            </w:rPr>
                          </w:pPr>
                          <w:r w:rsidRPr="00E7610A">
                            <w:rPr>
                              <w:sz w:val="16"/>
                              <w:szCs w:val="16"/>
                            </w:rPr>
                            <w:t>19</w:t>
                          </w:r>
                        </w:p>
                        <w:p w14:paraId="4310DDC9" w14:textId="77777777" w:rsidR="000D4698" w:rsidRPr="00E7610A" w:rsidRDefault="000D4698" w:rsidP="000C2B0B">
                          <w:pPr>
                            <w:spacing w:line="480" w:lineRule="exact"/>
                            <w:jc w:val="right"/>
                            <w:rPr>
                              <w:sz w:val="16"/>
                              <w:szCs w:val="16"/>
                            </w:rPr>
                          </w:pPr>
                          <w:r w:rsidRPr="00E7610A">
                            <w:rPr>
                              <w:sz w:val="16"/>
                              <w:szCs w:val="16"/>
                            </w:rPr>
                            <w:t>20</w:t>
                          </w:r>
                        </w:p>
                        <w:p w14:paraId="7919339E" w14:textId="77777777" w:rsidR="000D4698" w:rsidRPr="00E7610A" w:rsidRDefault="000D4698" w:rsidP="000C2B0B">
                          <w:pPr>
                            <w:spacing w:line="480" w:lineRule="exact"/>
                            <w:jc w:val="right"/>
                            <w:rPr>
                              <w:sz w:val="16"/>
                              <w:szCs w:val="16"/>
                            </w:rPr>
                          </w:pPr>
                          <w:r w:rsidRPr="00E7610A">
                            <w:rPr>
                              <w:sz w:val="16"/>
                              <w:szCs w:val="16"/>
                            </w:rPr>
                            <w:t>21</w:t>
                          </w:r>
                        </w:p>
                        <w:p w14:paraId="56DE3F2A" w14:textId="77777777" w:rsidR="000D4698" w:rsidRPr="00E7610A" w:rsidRDefault="000D4698" w:rsidP="000C2B0B">
                          <w:pPr>
                            <w:spacing w:line="480" w:lineRule="exact"/>
                            <w:jc w:val="right"/>
                            <w:rPr>
                              <w:sz w:val="16"/>
                              <w:szCs w:val="16"/>
                            </w:rPr>
                          </w:pPr>
                          <w:r w:rsidRPr="00E7610A">
                            <w:rPr>
                              <w:sz w:val="16"/>
                              <w:szCs w:val="16"/>
                            </w:rPr>
                            <w:t>22</w:t>
                          </w:r>
                        </w:p>
                        <w:p w14:paraId="272A1762" w14:textId="77777777" w:rsidR="000D4698" w:rsidRPr="00E7610A" w:rsidRDefault="000D4698" w:rsidP="000C2B0B">
                          <w:pPr>
                            <w:spacing w:line="480" w:lineRule="exact"/>
                            <w:jc w:val="right"/>
                            <w:rPr>
                              <w:sz w:val="16"/>
                              <w:szCs w:val="16"/>
                            </w:rPr>
                          </w:pPr>
                          <w:r w:rsidRPr="00E7610A">
                            <w:rPr>
                              <w:sz w:val="16"/>
                              <w:szCs w:val="16"/>
                            </w:rPr>
                            <w:t>23</w:t>
                          </w:r>
                        </w:p>
                        <w:p w14:paraId="14CFDE60" w14:textId="77777777" w:rsidR="000D4698" w:rsidRPr="00E7610A" w:rsidRDefault="000D4698" w:rsidP="000C2B0B">
                          <w:pPr>
                            <w:spacing w:line="480" w:lineRule="exact"/>
                            <w:jc w:val="right"/>
                            <w:rPr>
                              <w:sz w:val="16"/>
                              <w:szCs w:val="16"/>
                            </w:rPr>
                          </w:pPr>
                          <w:r w:rsidRPr="00E7610A">
                            <w:rPr>
                              <w:sz w:val="16"/>
                              <w:szCs w:val="16"/>
                            </w:rPr>
                            <w:t>24</w:t>
                          </w:r>
                        </w:p>
                        <w:p w14:paraId="0592BF34" w14:textId="77777777" w:rsidR="000D4698" w:rsidRPr="00E7610A" w:rsidRDefault="000D4698" w:rsidP="000C2B0B">
                          <w:pPr>
                            <w:spacing w:line="480" w:lineRule="exact"/>
                            <w:jc w:val="right"/>
                            <w:rPr>
                              <w:sz w:val="16"/>
                              <w:szCs w:val="16"/>
                            </w:rPr>
                          </w:pPr>
                          <w:r w:rsidRPr="00E7610A">
                            <w:rPr>
                              <w:sz w:val="16"/>
                              <w:szCs w:val="16"/>
                            </w:rPr>
                            <w:t>25</w:t>
                          </w:r>
                        </w:p>
                        <w:p w14:paraId="69BDD573" w14:textId="77777777" w:rsidR="000D4698" w:rsidRPr="00E7610A" w:rsidRDefault="000D4698" w:rsidP="000C2B0B">
                          <w:pPr>
                            <w:spacing w:line="480" w:lineRule="exact"/>
                            <w:jc w:val="right"/>
                            <w:rPr>
                              <w:sz w:val="16"/>
                              <w:szCs w:val="16"/>
                            </w:rPr>
                          </w:pPr>
                          <w:r w:rsidRPr="00E7610A">
                            <w:rPr>
                              <w:sz w:val="16"/>
                              <w:szCs w:val="16"/>
                            </w:rPr>
                            <w:t>26</w:t>
                          </w:r>
                        </w:p>
                        <w:p w14:paraId="32B29962" w14:textId="77777777" w:rsidR="000D4698" w:rsidRPr="00E7610A" w:rsidRDefault="000D4698" w:rsidP="000C2B0B">
                          <w:pPr>
                            <w:spacing w:line="480" w:lineRule="exact"/>
                            <w:jc w:val="right"/>
                            <w:rPr>
                              <w:sz w:val="16"/>
                              <w:szCs w:val="16"/>
                            </w:rPr>
                          </w:pPr>
                          <w:r w:rsidRPr="00E7610A">
                            <w:rPr>
                              <w:sz w:val="16"/>
                              <w:szCs w:val="16"/>
                            </w:rPr>
                            <w:t>27</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F93947A" id="_x0000_t202" coordsize="21600,21600" o:spt="202" path="m,l,21600r21600,l21600,xe">
              <v:stroke joinstyle="miter"/>
              <v:path gradientshapeok="t" o:connecttype="rect"/>
            </v:shapetype>
            <v:shape id="Text Box 2" o:spid="_x0000_s1026" type="#_x0000_t202" style="position:absolute;margin-left:43.2pt;margin-top:1in;width:25.2pt;height:651.6pt;z-index:251663360;visibility:visible;mso-wrap-style:square;mso-width-percent:0;mso-height-percent:0;mso-wrap-distance-left:0;mso-wrap-distance-top:3.6pt;mso-wrap-distance-right:0;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" filled="f" stroked="f">
              <v:textbox style="mso-fit-shape-to-text:t" inset="0,,0">
                <w:txbxContent>
                  <w:p w14:paraId="0B56AE5F" w14:textId="77777777" w:rsidR="000D4698" w:rsidRPr="00E7610A" w:rsidRDefault="000D4698" w:rsidP="000C2B0B">
                    <w:pPr>
                      <w:spacing w:before="160" w:line="240" w:lineRule="exact"/>
                      <w:jc w:val="right"/>
                      <w:rPr>
                        <w:sz w:val="16"/>
                        <w:szCs w:val="16"/>
                      </w:rPr>
                    </w:pPr>
                    <w:r w:rsidRPr="00E7610A">
                      <w:rPr>
                        <w:sz w:val="16"/>
                        <w:szCs w:val="16"/>
                      </w:rPr>
                      <w:t>1</w:t>
                    </w:r>
                  </w:p>
                  <w:p w14:paraId="176C1E7F" w14:textId="77777777" w:rsidR="000D4698" w:rsidRPr="00E7610A" w:rsidRDefault="000D4698" w:rsidP="000C2B0B">
                    <w:pPr>
                      <w:spacing w:line="480" w:lineRule="exact"/>
                      <w:jc w:val="right"/>
                      <w:rPr>
                        <w:sz w:val="16"/>
                        <w:szCs w:val="16"/>
                      </w:rPr>
                    </w:pPr>
                    <w:r w:rsidRPr="00E7610A">
                      <w:rPr>
                        <w:sz w:val="16"/>
                        <w:szCs w:val="16"/>
                      </w:rPr>
                      <w:t>2</w:t>
                    </w:r>
                  </w:p>
                  <w:p w14:paraId="29DAB984" w14:textId="77777777" w:rsidR="000D4698" w:rsidRPr="00E7610A" w:rsidRDefault="000D4698" w:rsidP="000C2B0B">
                    <w:pPr>
                      <w:spacing w:line="480" w:lineRule="exact"/>
                      <w:jc w:val="right"/>
                      <w:rPr>
                        <w:sz w:val="16"/>
                        <w:szCs w:val="16"/>
                      </w:rPr>
                    </w:pPr>
                    <w:r w:rsidRPr="00E7610A">
                      <w:rPr>
                        <w:sz w:val="16"/>
                        <w:szCs w:val="16"/>
                      </w:rPr>
                      <w:t>3</w:t>
                    </w:r>
                  </w:p>
                  <w:p w14:paraId="470BCC74" w14:textId="77777777" w:rsidR="000D4698" w:rsidRPr="00E7610A" w:rsidRDefault="000D4698" w:rsidP="000C2B0B">
                    <w:pPr>
                      <w:spacing w:line="480" w:lineRule="exact"/>
                      <w:jc w:val="right"/>
                      <w:rPr>
                        <w:sz w:val="16"/>
                        <w:szCs w:val="16"/>
                      </w:rPr>
                    </w:pPr>
                    <w:r w:rsidRPr="00E7610A">
                      <w:rPr>
                        <w:sz w:val="16"/>
                        <w:szCs w:val="16"/>
                      </w:rPr>
                      <w:t>4</w:t>
                    </w:r>
                  </w:p>
                  <w:p w14:paraId="2AAF4D44" w14:textId="77777777" w:rsidR="000D4698" w:rsidRPr="00E7610A" w:rsidRDefault="000D4698" w:rsidP="000C2B0B">
                    <w:pPr>
                      <w:spacing w:line="480" w:lineRule="exact"/>
                      <w:jc w:val="right"/>
                      <w:rPr>
                        <w:sz w:val="16"/>
                        <w:szCs w:val="16"/>
                      </w:rPr>
                    </w:pPr>
                    <w:r w:rsidRPr="00E7610A">
                      <w:rPr>
                        <w:sz w:val="16"/>
                        <w:szCs w:val="16"/>
                      </w:rPr>
                      <w:t>5</w:t>
                    </w:r>
                  </w:p>
                  <w:p w14:paraId="2233FC5A" w14:textId="77777777" w:rsidR="000D4698" w:rsidRPr="00E7610A" w:rsidRDefault="000D4698" w:rsidP="000C2B0B">
                    <w:pPr>
                      <w:spacing w:line="480" w:lineRule="exact"/>
                      <w:jc w:val="right"/>
                      <w:rPr>
                        <w:sz w:val="16"/>
                        <w:szCs w:val="16"/>
                      </w:rPr>
                    </w:pPr>
                    <w:r w:rsidRPr="00E7610A">
                      <w:rPr>
                        <w:sz w:val="16"/>
                        <w:szCs w:val="16"/>
                      </w:rPr>
                      <w:t>6</w:t>
                    </w:r>
                  </w:p>
                  <w:p w14:paraId="3F64C995" w14:textId="77777777" w:rsidR="000D4698" w:rsidRPr="00E7610A" w:rsidRDefault="000D4698" w:rsidP="000C2B0B">
                    <w:pPr>
                      <w:spacing w:line="480" w:lineRule="exact"/>
                      <w:jc w:val="right"/>
                      <w:rPr>
                        <w:sz w:val="16"/>
                        <w:szCs w:val="16"/>
                      </w:rPr>
                    </w:pPr>
                    <w:r w:rsidRPr="00E7610A">
                      <w:rPr>
                        <w:sz w:val="16"/>
                        <w:szCs w:val="16"/>
                      </w:rPr>
                      <w:t>7</w:t>
                    </w:r>
                  </w:p>
                  <w:p w14:paraId="18963E82" w14:textId="77777777" w:rsidR="000D4698" w:rsidRPr="00E7610A" w:rsidRDefault="000D4698" w:rsidP="000C2B0B">
                    <w:pPr>
                      <w:spacing w:line="480" w:lineRule="exact"/>
                      <w:jc w:val="right"/>
                      <w:rPr>
                        <w:sz w:val="16"/>
                        <w:szCs w:val="16"/>
                      </w:rPr>
                    </w:pPr>
                    <w:r w:rsidRPr="00E7610A">
                      <w:rPr>
                        <w:sz w:val="16"/>
                        <w:szCs w:val="16"/>
                      </w:rPr>
                      <w:t>8</w:t>
                    </w:r>
                  </w:p>
                  <w:p w14:paraId="56E8D1D9" w14:textId="77777777" w:rsidR="000D4698" w:rsidRPr="00E7610A" w:rsidRDefault="000D4698" w:rsidP="000C2B0B">
                    <w:pPr>
                      <w:spacing w:line="480" w:lineRule="exact"/>
                      <w:jc w:val="right"/>
                      <w:rPr>
                        <w:sz w:val="16"/>
                        <w:szCs w:val="16"/>
                      </w:rPr>
                    </w:pPr>
                    <w:r w:rsidRPr="00E7610A">
                      <w:rPr>
                        <w:sz w:val="16"/>
                        <w:szCs w:val="16"/>
                      </w:rPr>
                      <w:t>9</w:t>
                    </w:r>
                  </w:p>
                  <w:p w14:paraId="3CC75CC1" w14:textId="77777777" w:rsidR="000D4698" w:rsidRPr="00E7610A" w:rsidRDefault="000D4698" w:rsidP="000C2B0B">
                    <w:pPr>
                      <w:spacing w:line="480" w:lineRule="exact"/>
                      <w:jc w:val="right"/>
                      <w:rPr>
                        <w:sz w:val="16"/>
                        <w:szCs w:val="16"/>
                      </w:rPr>
                    </w:pPr>
                    <w:r w:rsidRPr="00E7610A">
                      <w:rPr>
                        <w:sz w:val="16"/>
                        <w:szCs w:val="16"/>
                      </w:rPr>
                      <w:t>10</w:t>
                    </w:r>
                  </w:p>
                  <w:p w14:paraId="473E39AB" w14:textId="77777777" w:rsidR="000D4698" w:rsidRPr="00E7610A" w:rsidRDefault="000D4698" w:rsidP="000C2B0B">
                    <w:pPr>
                      <w:spacing w:line="480" w:lineRule="exact"/>
                      <w:jc w:val="right"/>
                      <w:rPr>
                        <w:sz w:val="16"/>
                        <w:szCs w:val="16"/>
                      </w:rPr>
                    </w:pPr>
                    <w:r w:rsidRPr="00E7610A">
                      <w:rPr>
                        <w:sz w:val="16"/>
                        <w:szCs w:val="16"/>
                      </w:rPr>
                      <w:t>11</w:t>
                    </w:r>
                  </w:p>
                  <w:p w14:paraId="393741FE" w14:textId="77777777" w:rsidR="000D4698" w:rsidRPr="00E7610A" w:rsidRDefault="000D4698" w:rsidP="000C2B0B">
                    <w:pPr>
                      <w:spacing w:line="480" w:lineRule="exact"/>
                      <w:jc w:val="right"/>
                      <w:rPr>
                        <w:sz w:val="16"/>
                        <w:szCs w:val="16"/>
                      </w:rPr>
                    </w:pPr>
                    <w:r w:rsidRPr="00E7610A">
                      <w:rPr>
                        <w:sz w:val="16"/>
                        <w:szCs w:val="16"/>
                      </w:rPr>
                      <w:t>12</w:t>
                    </w:r>
                  </w:p>
                  <w:p w14:paraId="17EB8431" w14:textId="77777777" w:rsidR="000D4698" w:rsidRPr="00E7610A" w:rsidRDefault="000D4698" w:rsidP="000C2B0B">
                    <w:pPr>
                      <w:spacing w:line="480" w:lineRule="exact"/>
                      <w:jc w:val="right"/>
                      <w:rPr>
                        <w:sz w:val="16"/>
                        <w:szCs w:val="16"/>
                      </w:rPr>
                    </w:pPr>
                    <w:r w:rsidRPr="00E7610A">
                      <w:rPr>
                        <w:sz w:val="16"/>
                        <w:szCs w:val="16"/>
                      </w:rPr>
                      <w:t>13</w:t>
                    </w:r>
                  </w:p>
                  <w:p w14:paraId="413B1A40" w14:textId="77777777" w:rsidR="000D4698" w:rsidRPr="00E7610A" w:rsidRDefault="000D4698" w:rsidP="000C2B0B">
                    <w:pPr>
                      <w:spacing w:line="480" w:lineRule="exact"/>
                      <w:jc w:val="right"/>
                      <w:rPr>
                        <w:sz w:val="16"/>
                        <w:szCs w:val="16"/>
                      </w:rPr>
                    </w:pPr>
                    <w:r w:rsidRPr="00E7610A">
                      <w:rPr>
                        <w:sz w:val="16"/>
                        <w:szCs w:val="16"/>
                      </w:rPr>
                      <w:t>14</w:t>
                    </w:r>
                  </w:p>
                  <w:p w14:paraId="136AE9E9" w14:textId="77777777" w:rsidR="000D4698" w:rsidRPr="00E7610A" w:rsidRDefault="000D4698" w:rsidP="000C2B0B">
                    <w:pPr>
                      <w:spacing w:line="480" w:lineRule="exact"/>
                      <w:jc w:val="right"/>
                      <w:rPr>
                        <w:sz w:val="16"/>
                        <w:szCs w:val="16"/>
                      </w:rPr>
                    </w:pPr>
                    <w:r w:rsidRPr="00E7610A">
                      <w:rPr>
                        <w:sz w:val="16"/>
                        <w:szCs w:val="16"/>
                      </w:rPr>
                      <w:t>15</w:t>
                    </w:r>
                  </w:p>
                  <w:p w14:paraId="079C4F43" w14:textId="77777777" w:rsidR="000D4698" w:rsidRPr="00E7610A" w:rsidRDefault="000D4698" w:rsidP="000C2B0B">
                    <w:pPr>
                      <w:spacing w:line="480" w:lineRule="exact"/>
                      <w:jc w:val="right"/>
                      <w:rPr>
                        <w:sz w:val="16"/>
                        <w:szCs w:val="16"/>
                      </w:rPr>
                    </w:pPr>
                    <w:r w:rsidRPr="00E7610A">
                      <w:rPr>
                        <w:sz w:val="16"/>
                        <w:szCs w:val="16"/>
                      </w:rPr>
                      <w:t>16</w:t>
                    </w:r>
                  </w:p>
                  <w:p w14:paraId="129978FC" w14:textId="77777777" w:rsidR="000D4698" w:rsidRPr="00E7610A" w:rsidRDefault="000D4698" w:rsidP="000C2B0B">
                    <w:pPr>
                      <w:spacing w:line="480" w:lineRule="exact"/>
                      <w:jc w:val="right"/>
                      <w:rPr>
                        <w:sz w:val="16"/>
                        <w:szCs w:val="16"/>
                      </w:rPr>
                    </w:pPr>
                    <w:r w:rsidRPr="00E7610A">
                      <w:rPr>
                        <w:sz w:val="16"/>
                        <w:szCs w:val="16"/>
                      </w:rPr>
                      <w:t>17</w:t>
                    </w:r>
                  </w:p>
                  <w:p w14:paraId="24C32581" w14:textId="77777777" w:rsidR="000D4698" w:rsidRPr="00E7610A" w:rsidRDefault="000D4698" w:rsidP="000C2B0B">
                    <w:pPr>
                      <w:spacing w:line="480" w:lineRule="exact"/>
                      <w:jc w:val="right"/>
                      <w:rPr>
                        <w:sz w:val="16"/>
                        <w:szCs w:val="16"/>
                      </w:rPr>
                    </w:pPr>
                    <w:r w:rsidRPr="00E7610A">
                      <w:rPr>
                        <w:sz w:val="16"/>
                        <w:szCs w:val="16"/>
                      </w:rPr>
                      <w:t>18</w:t>
                    </w:r>
                  </w:p>
                  <w:p w14:paraId="6D82840D" w14:textId="77777777" w:rsidR="000D4698" w:rsidRPr="00E7610A" w:rsidRDefault="000D4698" w:rsidP="000C2B0B">
                    <w:pPr>
                      <w:spacing w:line="480" w:lineRule="exact"/>
                      <w:jc w:val="right"/>
                      <w:rPr>
                        <w:sz w:val="16"/>
                        <w:szCs w:val="16"/>
                      </w:rPr>
                    </w:pPr>
                    <w:r w:rsidRPr="00E7610A">
                      <w:rPr>
                        <w:sz w:val="16"/>
                        <w:szCs w:val="16"/>
                      </w:rPr>
                      <w:t>19</w:t>
                    </w:r>
                  </w:p>
                  <w:p w14:paraId="4310DDC9" w14:textId="77777777" w:rsidR="000D4698" w:rsidRPr="00E7610A" w:rsidRDefault="000D4698" w:rsidP="000C2B0B">
                    <w:pPr>
                      <w:spacing w:line="480" w:lineRule="exact"/>
                      <w:jc w:val="right"/>
                      <w:rPr>
                        <w:sz w:val="16"/>
                        <w:szCs w:val="16"/>
                      </w:rPr>
                    </w:pPr>
                    <w:r w:rsidRPr="00E7610A">
                      <w:rPr>
                        <w:sz w:val="16"/>
                        <w:szCs w:val="16"/>
                      </w:rPr>
                      <w:t>20</w:t>
                    </w:r>
                  </w:p>
                  <w:p w14:paraId="7919339E" w14:textId="77777777" w:rsidR="000D4698" w:rsidRPr="00E7610A" w:rsidRDefault="000D4698" w:rsidP="000C2B0B">
                    <w:pPr>
                      <w:spacing w:line="480" w:lineRule="exact"/>
                      <w:jc w:val="right"/>
                      <w:rPr>
                        <w:sz w:val="16"/>
                        <w:szCs w:val="16"/>
                      </w:rPr>
                    </w:pPr>
                    <w:r w:rsidRPr="00E7610A">
                      <w:rPr>
                        <w:sz w:val="16"/>
                        <w:szCs w:val="16"/>
                      </w:rPr>
                      <w:t>21</w:t>
                    </w:r>
                  </w:p>
                  <w:p w14:paraId="56DE3F2A" w14:textId="77777777" w:rsidR="000D4698" w:rsidRPr="00E7610A" w:rsidRDefault="000D4698" w:rsidP="000C2B0B">
                    <w:pPr>
                      <w:spacing w:line="480" w:lineRule="exact"/>
                      <w:jc w:val="right"/>
                      <w:rPr>
                        <w:sz w:val="16"/>
                        <w:szCs w:val="16"/>
                      </w:rPr>
                    </w:pPr>
                    <w:r w:rsidRPr="00E7610A">
                      <w:rPr>
                        <w:sz w:val="16"/>
                        <w:szCs w:val="16"/>
                      </w:rPr>
                      <w:t>22</w:t>
                    </w:r>
                  </w:p>
                  <w:p w14:paraId="272A1762" w14:textId="77777777" w:rsidR="000D4698" w:rsidRPr="00E7610A" w:rsidRDefault="000D4698" w:rsidP="000C2B0B">
                    <w:pPr>
                      <w:spacing w:line="480" w:lineRule="exact"/>
                      <w:jc w:val="right"/>
                      <w:rPr>
                        <w:sz w:val="16"/>
                        <w:szCs w:val="16"/>
                      </w:rPr>
                    </w:pPr>
                    <w:r w:rsidRPr="00E7610A">
                      <w:rPr>
                        <w:sz w:val="16"/>
                        <w:szCs w:val="16"/>
                      </w:rPr>
                      <w:t>23</w:t>
                    </w:r>
                  </w:p>
                  <w:p w14:paraId="14CFDE60" w14:textId="77777777" w:rsidR="000D4698" w:rsidRPr="00E7610A" w:rsidRDefault="000D4698" w:rsidP="000C2B0B">
                    <w:pPr>
                      <w:spacing w:line="480" w:lineRule="exact"/>
                      <w:jc w:val="right"/>
                      <w:rPr>
                        <w:sz w:val="16"/>
                        <w:szCs w:val="16"/>
                      </w:rPr>
                    </w:pPr>
                    <w:r w:rsidRPr="00E7610A">
                      <w:rPr>
                        <w:sz w:val="16"/>
                        <w:szCs w:val="16"/>
                      </w:rPr>
                      <w:t>24</w:t>
                    </w:r>
                  </w:p>
                  <w:p w14:paraId="0592BF34" w14:textId="77777777" w:rsidR="000D4698" w:rsidRPr="00E7610A" w:rsidRDefault="000D4698" w:rsidP="000C2B0B">
                    <w:pPr>
                      <w:spacing w:line="480" w:lineRule="exact"/>
                      <w:jc w:val="right"/>
                      <w:rPr>
                        <w:sz w:val="16"/>
                        <w:szCs w:val="16"/>
                      </w:rPr>
                    </w:pPr>
                    <w:r w:rsidRPr="00E7610A">
                      <w:rPr>
                        <w:sz w:val="16"/>
                        <w:szCs w:val="16"/>
                      </w:rPr>
                      <w:t>25</w:t>
                    </w:r>
                  </w:p>
                  <w:p w14:paraId="69BDD573" w14:textId="77777777" w:rsidR="000D4698" w:rsidRPr="00E7610A" w:rsidRDefault="000D4698" w:rsidP="000C2B0B">
                    <w:pPr>
                      <w:spacing w:line="480" w:lineRule="exact"/>
                      <w:jc w:val="right"/>
                      <w:rPr>
                        <w:sz w:val="16"/>
                        <w:szCs w:val="16"/>
                      </w:rPr>
                    </w:pPr>
                    <w:r w:rsidRPr="00E7610A">
                      <w:rPr>
                        <w:sz w:val="16"/>
                        <w:szCs w:val="16"/>
                      </w:rPr>
                      <w:t>26</w:t>
                    </w:r>
                  </w:p>
                  <w:p w14:paraId="32B29962" w14:textId="77777777" w:rsidR="000D4698" w:rsidRPr="00E7610A" w:rsidRDefault="000D4698" w:rsidP="000C2B0B">
                    <w:pPr>
                      <w:spacing w:line="480" w:lineRule="exact"/>
                      <w:jc w:val="right"/>
                      <w:rPr>
                        <w:sz w:val="16"/>
                        <w:szCs w:val="16"/>
                      </w:rPr>
                    </w:pPr>
                    <w:r w:rsidRPr="00E7610A">
                      <w:rPr>
                        <w:sz w:val="16"/>
                        <w:szCs w:val="16"/>
                      </w:rPr>
                      <w:t>27</w:t>
                    </w:r>
                  </w:p>
                </w:txbxContent>
              </v:textbox>
              <w10:wrap type="square" anchorx="page" anchory="page"/>
            </v:shape>
          </w:pict>
        </mc:Fallback>
      </mc:AlternateContent>
    </w:r>
    <w:r w:rsidR="00D644ED">
      <w:rPr>
        <w:noProof/>
      </w:rPr>
      <mc:AlternateContent>
        <mc:Choice Requires="wps">
          <w:drawing>
            <wp:anchor distT="0" distB="0" distL="114300" distR="114300" simplePos="0" relativeHeight="251661312" behindDoc="0" locked="0" layoutInCell="1" allowOverlap="1" wp14:anchorId="27E35D07" wp14:editId="58749ADA">
              <wp:simplePos x="0" y="0"/>
              <wp:positionH relativeFrom="page">
                <wp:posOffset>960120</wp:posOffset>
              </wp:positionH>
              <wp:positionV relativeFrom="page">
                <wp:posOffset>0</wp:posOffset>
              </wp:positionV>
              <wp:extent cx="0" cy="100584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10058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8CD921" id="Straight Connector 4" o:spid="_x0000_s1026" style="position:absolute;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5.6pt,0" to="75.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" strokecolor="black [3200]" strokeweight=".5pt">
              <v:stroke joinstyle="miter"/>
              <w10:wrap anchorx="page" anchory="page"/>
            </v:line>
          </w:pict>
        </mc:Fallback>
      </mc:AlternateContent>
    </w:r>
    <w:r w:rsidR="00D644ED">
      <w:rPr>
        <w:noProof/>
      </w:rPr>
      <mc:AlternateContent>
        <mc:Choice Requires="wps">
          <w:drawing>
            <wp:anchor distT="0" distB="0" distL="114300" distR="114300" simplePos="0" relativeHeight="251660288" behindDoc="0" locked="0" layoutInCell="1" allowOverlap="1" wp14:anchorId="0C6577B6" wp14:editId="2BAE44C7">
              <wp:simplePos x="0" y="0"/>
              <wp:positionH relativeFrom="page">
                <wp:posOffset>914400</wp:posOffset>
              </wp:positionH>
              <wp:positionV relativeFrom="page">
                <wp:posOffset>0</wp:posOffset>
              </wp:positionV>
              <wp:extent cx="0" cy="100584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10058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809B64" id="Straight Connector 2"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in,0" to="1in,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" strokecolor="black [3200]" strokeweight=".5pt">
              <v:stroke joinstyle="miter"/>
              <w10:wrap anchorx="page" anchory="page"/>
            </v:line>
          </w:pict>
        </mc:Fallback>
      </mc:AlternateContent>
    </w:r>
    <w:r w:rsidR="00D644ED">
      <w:rPr>
        <w:noProof/>
      </w:rPr>
      <mc:AlternateContent>
        <mc:Choice Requires="wps">
          <w:drawing>
            <wp:anchor distT="0" distB="0" distL="114300" distR="114300" simplePos="0" relativeHeight="251659264" behindDoc="0" locked="0" layoutInCell="1" allowOverlap="1" wp14:anchorId="579160F5" wp14:editId="7F416899">
              <wp:simplePos x="0" y="0"/>
              <wp:positionH relativeFrom="page">
                <wp:posOffset>7315200</wp:posOffset>
              </wp:positionH>
              <wp:positionV relativeFrom="page">
                <wp:posOffset>0</wp:posOffset>
              </wp:positionV>
              <wp:extent cx="0" cy="105156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1051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104533" id="Straight Connector 1" o:spid="_x0000_s1026" style="position:absolute;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8in,0" to="8in,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" strokecolor="black [3200]"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11ACF"/>
    <w:multiLevelType w:val="hybridMultilevel"/>
    <w:tmpl w:val="D4707478"/>
    <w:lvl w:ilvl="0" w:tplc="56DC901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F0B18"/>
    <w:multiLevelType w:val="hybridMultilevel"/>
    <w:tmpl w:val="9A88F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27D03"/>
    <w:multiLevelType w:val="hybridMultilevel"/>
    <w:tmpl w:val="3DB6F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89148994">
    <w:abstractNumId w:val="1"/>
  </w:num>
  <w:num w:numId="2" w16cid:durableId="523056201">
    <w:abstractNumId w:val="2"/>
  </w:num>
  <w:num w:numId="3" w16cid:durableId="201622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4ED"/>
    <w:rsid w:val="000C2B0B"/>
    <w:rsid w:val="000D4698"/>
    <w:rsid w:val="0015686F"/>
    <w:rsid w:val="00184322"/>
    <w:rsid w:val="00203BAB"/>
    <w:rsid w:val="002774F3"/>
    <w:rsid w:val="00294A7F"/>
    <w:rsid w:val="002A61E4"/>
    <w:rsid w:val="0030002E"/>
    <w:rsid w:val="0033557A"/>
    <w:rsid w:val="003C3165"/>
    <w:rsid w:val="0048795F"/>
    <w:rsid w:val="004A45B3"/>
    <w:rsid w:val="004B607C"/>
    <w:rsid w:val="004E436D"/>
    <w:rsid w:val="005B23E0"/>
    <w:rsid w:val="005E6F40"/>
    <w:rsid w:val="005F0C41"/>
    <w:rsid w:val="006338E9"/>
    <w:rsid w:val="0068784E"/>
    <w:rsid w:val="006A7CB9"/>
    <w:rsid w:val="0075129A"/>
    <w:rsid w:val="00770BA2"/>
    <w:rsid w:val="0081751F"/>
    <w:rsid w:val="00853841"/>
    <w:rsid w:val="00860F13"/>
    <w:rsid w:val="008656A4"/>
    <w:rsid w:val="00890B4D"/>
    <w:rsid w:val="008E1439"/>
    <w:rsid w:val="009A578F"/>
    <w:rsid w:val="009E2405"/>
    <w:rsid w:val="00A86DB0"/>
    <w:rsid w:val="00AF1830"/>
    <w:rsid w:val="00B023B1"/>
    <w:rsid w:val="00B2401F"/>
    <w:rsid w:val="00BE4D46"/>
    <w:rsid w:val="00BF45E2"/>
    <w:rsid w:val="00BF5BA8"/>
    <w:rsid w:val="00BF5D99"/>
    <w:rsid w:val="00C13878"/>
    <w:rsid w:val="00CD6737"/>
    <w:rsid w:val="00CD743D"/>
    <w:rsid w:val="00CF1503"/>
    <w:rsid w:val="00D23559"/>
    <w:rsid w:val="00D644ED"/>
    <w:rsid w:val="00D72F83"/>
    <w:rsid w:val="00D9250A"/>
    <w:rsid w:val="00DD52FF"/>
    <w:rsid w:val="00E30EF7"/>
    <w:rsid w:val="00E71FBB"/>
    <w:rsid w:val="00E7610A"/>
    <w:rsid w:val="00E93243"/>
    <w:rsid w:val="00EA3246"/>
    <w:rsid w:val="00EA52EB"/>
    <w:rsid w:val="00EC51C3"/>
    <w:rsid w:val="00ED4704"/>
    <w:rsid w:val="00EE4B12"/>
    <w:rsid w:val="00F51C2C"/>
    <w:rsid w:val="00F62294"/>
    <w:rsid w:val="00FC7688"/>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80712E7"/>
  <w15:chartTrackingRefBased/>
  <w15:docId w15:val="{4BE987C8-3BE7-45AD-A1A5-9613DBAF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4ED"/>
    <w:pPr>
      <w:tabs>
        <w:tab w:val="center" w:pos="4680"/>
        <w:tab w:val="right" w:pos="9360"/>
      </w:tabs>
    </w:pPr>
  </w:style>
  <w:style w:type="character" w:customStyle="1" w:styleId="HeaderChar">
    <w:name w:val="Header Char"/>
    <w:basedOn w:val="DefaultParagraphFont"/>
    <w:link w:val="Header"/>
    <w:uiPriority w:val="99"/>
    <w:rsid w:val="00D644ED"/>
  </w:style>
  <w:style w:type="paragraph" w:styleId="Footer">
    <w:name w:val="footer"/>
    <w:basedOn w:val="Normal"/>
    <w:link w:val="FooterChar"/>
    <w:uiPriority w:val="99"/>
    <w:unhideWhenUsed/>
    <w:rsid w:val="00D644ED"/>
    <w:pPr>
      <w:tabs>
        <w:tab w:val="center" w:pos="4680"/>
        <w:tab w:val="right" w:pos="9360"/>
      </w:tabs>
    </w:pPr>
  </w:style>
  <w:style w:type="character" w:customStyle="1" w:styleId="FooterChar">
    <w:name w:val="Footer Char"/>
    <w:basedOn w:val="DefaultParagraphFont"/>
    <w:link w:val="Footer"/>
    <w:uiPriority w:val="99"/>
    <w:rsid w:val="00D644ED"/>
  </w:style>
  <w:style w:type="character" w:styleId="Hyperlink">
    <w:name w:val="Hyperlink"/>
    <w:basedOn w:val="DefaultParagraphFont"/>
    <w:uiPriority w:val="99"/>
    <w:unhideWhenUsed/>
    <w:rsid w:val="00D644ED"/>
    <w:rPr>
      <w:color w:val="0563C1" w:themeColor="hyperlink"/>
      <w:u w:val="single"/>
    </w:rPr>
  </w:style>
  <w:style w:type="table" w:styleId="TableGrid">
    <w:name w:val="Table Grid"/>
    <w:basedOn w:val="TableNormal"/>
    <w:uiPriority w:val="39"/>
    <w:rsid w:val="000D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B0B"/>
    <w:pPr>
      <w:ind w:left="720"/>
      <w:contextualSpacing/>
    </w:pPr>
  </w:style>
  <w:style w:type="paragraph" w:styleId="BalloonText">
    <w:name w:val="Balloon Text"/>
    <w:basedOn w:val="Normal"/>
    <w:link w:val="BalloonTextChar"/>
    <w:uiPriority w:val="99"/>
    <w:semiHidden/>
    <w:unhideWhenUsed/>
    <w:rsid w:val="002A6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1E4"/>
    <w:rPr>
      <w:rFonts w:ascii="Segoe UI" w:hAnsi="Segoe UI" w:cs="Segoe UI"/>
      <w:sz w:val="18"/>
      <w:szCs w:val="18"/>
    </w:rPr>
  </w:style>
  <w:style w:type="character" w:styleId="UnresolvedMention">
    <w:name w:val="Unresolved Mention"/>
    <w:basedOn w:val="DefaultParagraphFont"/>
    <w:uiPriority w:val="99"/>
    <w:semiHidden/>
    <w:unhideWhenUsed/>
    <w:rsid w:val="00B2401F"/>
    <w:rPr>
      <w:color w:val="605E5C"/>
      <w:shd w:val="clear" w:color="auto" w:fill="E1DFDD"/>
    </w:rPr>
  </w:style>
  <w:style w:type="paragraph" w:styleId="NoSpacing">
    <w:name w:val="No Spacing"/>
    <w:uiPriority w:val="1"/>
    <w:qFormat/>
    <w:rsid w:val="00EE4B12"/>
  </w:style>
  <w:style w:type="paragraph" w:customStyle="1" w:styleId="TableParagraph">
    <w:name w:val="Table Paragraph"/>
    <w:basedOn w:val="Normal"/>
    <w:uiPriority w:val="1"/>
    <w:qFormat/>
    <w:rsid w:val="0015686F"/>
    <w:pPr>
      <w:widowControl w:val="0"/>
      <w:autoSpaceDE w:val="0"/>
      <w:autoSpaceDN w:val="0"/>
      <w:spacing w:before="242"/>
    </w:pPr>
    <w:rPr>
      <w:rFonts w:ascii="Times New Roman" w:eastAsia="Times New Roman" w:hAnsi="Times New Roman" w:cs="Times New Roman"/>
      <w:sz w:val="22"/>
      <w:szCs w:val="22"/>
    </w:rPr>
  </w:style>
  <w:style w:type="paragraph" w:styleId="FootnoteText">
    <w:name w:val="footnote text"/>
    <w:basedOn w:val="Normal"/>
    <w:link w:val="FootnoteTextChar"/>
    <w:semiHidden/>
    <w:unhideWhenUsed/>
    <w:rsid w:val="008E1439"/>
    <w:pPr>
      <w:keepLines/>
      <w:widowControl w:val="0"/>
      <w:spacing w:line="240" w:lineRule="exact"/>
    </w:pPr>
    <w:rPr>
      <w:rFonts w:ascii="Times New Roman" w:eastAsia="Times New Roman" w:hAnsi="Times New Roman" w:cs="Times New Roman"/>
      <w:sz w:val="26"/>
      <w:szCs w:val="20"/>
    </w:rPr>
  </w:style>
  <w:style w:type="character" w:customStyle="1" w:styleId="FootnoteTextChar">
    <w:name w:val="Footnote Text Char"/>
    <w:basedOn w:val="DefaultParagraphFont"/>
    <w:link w:val="FootnoteText"/>
    <w:semiHidden/>
    <w:rsid w:val="008E1439"/>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8E1439"/>
    <w:pPr>
      <w:widowControl w:val="0"/>
      <w:spacing w:line="480" w:lineRule="exact"/>
      <w:ind w:firstLine="720"/>
    </w:pPr>
    <w:rPr>
      <w:rFonts w:ascii="Times New Roman" w:eastAsia="Times New Roman" w:hAnsi="Times New Roman" w:cs="Times New Roman"/>
      <w:sz w:val="26"/>
      <w:szCs w:val="20"/>
    </w:rPr>
  </w:style>
  <w:style w:type="character" w:customStyle="1" w:styleId="BodyTextChar">
    <w:name w:val="Body Text Char"/>
    <w:basedOn w:val="DefaultParagraphFont"/>
    <w:link w:val="BodyText"/>
    <w:semiHidden/>
    <w:rsid w:val="008E1439"/>
    <w:rPr>
      <w:rFonts w:ascii="Times New Roman" w:eastAsia="Times New Roman" w:hAnsi="Times New Roman" w:cs="Times New Roman"/>
      <w:sz w:val="26"/>
      <w:szCs w:val="20"/>
    </w:rPr>
  </w:style>
  <w:style w:type="character" w:styleId="FootnoteReference">
    <w:name w:val="footnote reference"/>
    <w:semiHidden/>
    <w:unhideWhenUsed/>
    <w:rsid w:val="008E1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526958">
      <w:bodyDiv w:val="1"/>
      <w:marLeft w:val="0"/>
      <w:marRight w:val="0"/>
      <w:marTop w:val="0"/>
      <w:marBottom w:val="0"/>
      <w:divBdr>
        <w:top w:val="none" w:sz="0" w:space="0" w:color="auto"/>
        <w:left w:val="none" w:sz="0" w:space="0" w:color="auto"/>
        <w:bottom w:val="none" w:sz="0" w:space="0" w:color="auto"/>
        <w:right w:val="none" w:sz="0" w:space="0" w:color="auto"/>
      </w:divBdr>
    </w:div>
    <w:div w:id="1480152777">
      <w:bodyDiv w:val="1"/>
      <w:marLeft w:val="0"/>
      <w:marRight w:val="0"/>
      <w:marTop w:val="0"/>
      <w:marBottom w:val="0"/>
      <w:divBdr>
        <w:top w:val="none" w:sz="0" w:space="0" w:color="auto"/>
        <w:left w:val="none" w:sz="0" w:space="0" w:color="auto"/>
        <w:bottom w:val="none" w:sz="0" w:space="0" w:color="auto"/>
        <w:right w:val="none" w:sz="0" w:space="0" w:color="auto"/>
      </w:divBdr>
      <w:divsChild>
        <w:div w:id="999698534">
          <w:marLeft w:val="0"/>
          <w:marRight w:val="0"/>
          <w:marTop w:val="0"/>
          <w:marBottom w:val="0"/>
          <w:divBdr>
            <w:top w:val="none" w:sz="0" w:space="0" w:color="auto"/>
            <w:left w:val="none" w:sz="0" w:space="0" w:color="auto"/>
            <w:bottom w:val="none" w:sz="0" w:space="0" w:color="auto"/>
            <w:right w:val="none" w:sz="0" w:space="0" w:color="auto"/>
          </w:divBdr>
          <w:divsChild>
            <w:div w:id="194513061">
              <w:marLeft w:val="0"/>
              <w:marRight w:val="0"/>
              <w:marTop w:val="0"/>
              <w:marBottom w:val="0"/>
              <w:divBdr>
                <w:top w:val="none" w:sz="0" w:space="0" w:color="auto"/>
                <w:left w:val="none" w:sz="0" w:space="0" w:color="auto"/>
                <w:bottom w:val="none" w:sz="0" w:space="0" w:color="auto"/>
                <w:right w:val="none" w:sz="0" w:space="0" w:color="auto"/>
              </w:divBdr>
            </w:div>
          </w:divsChild>
        </w:div>
        <w:div w:id="318002309">
          <w:marLeft w:val="0"/>
          <w:marRight w:val="0"/>
          <w:marTop w:val="0"/>
          <w:marBottom w:val="0"/>
          <w:divBdr>
            <w:top w:val="none" w:sz="0" w:space="0" w:color="auto"/>
            <w:left w:val="none" w:sz="0" w:space="0" w:color="auto"/>
            <w:bottom w:val="none" w:sz="0" w:space="0" w:color="auto"/>
            <w:right w:val="none" w:sz="0" w:space="0" w:color="auto"/>
          </w:divBdr>
          <w:divsChild>
            <w:div w:id="1936787157">
              <w:marLeft w:val="0"/>
              <w:marRight w:val="0"/>
              <w:marTop w:val="0"/>
              <w:marBottom w:val="0"/>
              <w:divBdr>
                <w:top w:val="none" w:sz="0" w:space="0" w:color="auto"/>
                <w:left w:val="none" w:sz="0" w:space="0" w:color="auto"/>
                <w:bottom w:val="none" w:sz="0" w:space="0" w:color="auto"/>
                <w:right w:val="none" w:sz="0" w:space="0" w:color="auto"/>
              </w:divBdr>
              <w:divsChild>
                <w:div w:id="14902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7602">
          <w:marLeft w:val="0"/>
          <w:marRight w:val="0"/>
          <w:marTop w:val="0"/>
          <w:marBottom w:val="0"/>
          <w:divBdr>
            <w:top w:val="none" w:sz="0" w:space="0" w:color="auto"/>
            <w:left w:val="none" w:sz="0" w:space="0" w:color="auto"/>
            <w:bottom w:val="none" w:sz="0" w:space="0" w:color="auto"/>
            <w:right w:val="none" w:sz="0" w:space="0" w:color="auto"/>
          </w:divBdr>
          <w:divsChild>
            <w:div w:id="463423044">
              <w:marLeft w:val="0"/>
              <w:marRight w:val="0"/>
              <w:marTop w:val="0"/>
              <w:marBottom w:val="0"/>
              <w:divBdr>
                <w:top w:val="none" w:sz="0" w:space="0" w:color="auto"/>
                <w:left w:val="none" w:sz="0" w:space="0" w:color="auto"/>
                <w:bottom w:val="none" w:sz="0" w:space="0" w:color="auto"/>
                <w:right w:val="none" w:sz="0" w:space="0" w:color="auto"/>
              </w:divBdr>
              <w:divsChild>
                <w:div w:id="388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43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orbes.com/sites/forbesrealestatecouncil/2020/05/12/dont-forget-the-mom-and-pops-how-crises-can-negatively-affect-small-investors/?sh=73eb54444dae" TargetMode="External"/><Relationship Id="rId1" Type="http://schemas.openxmlformats.org/officeDocument/2006/relationships/hyperlink" Target="https://www.njcourts.gov/sites/default/files/notices/2023/08/n230825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D42BB-F00D-45C2-B176-D11FEAD0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11</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Walker</dc:creator>
  <cp:keywords/>
  <dc:description/>
  <cp:lastModifiedBy>Christopher Walker</cp:lastModifiedBy>
  <cp:revision>11</cp:revision>
  <cp:lastPrinted>2024-04-30T20:45:00Z</cp:lastPrinted>
  <dcterms:created xsi:type="dcterms:W3CDTF">2024-04-22T17:43:00Z</dcterms:created>
  <dcterms:modified xsi:type="dcterms:W3CDTF">2024-05-01T15:31:00Z</dcterms:modified>
</cp:coreProperties>
</file>