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1AF9"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Keally L. Cieslik, AZ Bar No. 038984</w:t>
      </w:r>
    </w:p>
    <w:p w14:paraId="00000002" w14:textId="77777777" w:rsidR="00DE1AF9"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Unemployed Workers United, a project of Working Families Power </w:t>
      </w:r>
    </w:p>
    <w:p w14:paraId="00000003" w14:textId="77777777" w:rsidR="00DE1AF9"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N Howard Street, Suite #400</w:t>
      </w:r>
    </w:p>
    <w:p w14:paraId="00000004" w14:textId="77777777" w:rsidR="00DE1AF9"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Spokane, WA 99201-0508</w:t>
      </w:r>
    </w:p>
    <w:p w14:paraId="00000005" w14:textId="77777777" w:rsidR="00DE1AF9"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 250-0518</w:t>
      </w:r>
    </w:p>
    <w:p w14:paraId="00000006" w14:textId="77777777" w:rsidR="00DE1AF9" w:rsidRDefault="00000000">
      <w:pPr>
        <w:shd w:val="clear" w:color="auto" w:fill="FFFFFF"/>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keally.c@uwunited.org</w:t>
        </w:r>
      </w:hyperlink>
      <w:r>
        <w:rPr>
          <w:rFonts w:ascii="Times New Roman" w:eastAsia="Times New Roman" w:hAnsi="Times New Roman" w:cs="Times New Roman"/>
          <w:sz w:val="24"/>
          <w:szCs w:val="24"/>
        </w:rPr>
        <w:t xml:space="preserve"> </w:t>
      </w:r>
    </w:p>
    <w:p w14:paraId="00000007" w14:textId="77777777" w:rsidR="00DE1AF9" w:rsidRDefault="00DE1AF9">
      <w:pPr>
        <w:shd w:val="clear" w:color="auto" w:fill="FFFFFF"/>
        <w:spacing w:line="240" w:lineRule="auto"/>
        <w:rPr>
          <w:rFonts w:ascii="Times New Roman" w:eastAsia="Times New Roman" w:hAnsi="Times New Roman" w:cs="Times New Roman"/>
          <w:sz w:val="24"/>
          <w:szCs w:val="24"/>
        </w:rPr>
      </w:pPr>
    </w:p>
    <w:p w14:paraId="00000008" w14:textId="77777777" w:rsidR="00DE1AF9" w:rsidRDefault="0000000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SUPREME COURT OF THE STATE OF ARIZONA</w:t>
      </w:r>
    </w:p>
    <w:p w14:paraId="00000009" w14:textId="77777777" w:rsidR="00DE1AF9" w:rsidRDefault="00DE1AF9" w:rsidP="00D83F0E">
      <w:pPr>
        <w:shd w:val="clear" w:color="auto" w:fill="FFFFFF"/>
        <w:spacing w:line="240" w:lineRule="auto"/>
        <w:rPr>
          <w:rFonts w:ascii="Times New Roman" w:eastAsia="Times New Roman" w:hAnsi="Times New Roman" w:cs="Times New Roman"/>
          <w:b/>
          <w:sz w:val="24"/>
          <w:szCs w:val="24"/>
        </w:rPr>
      </w:pPr>
    </w:p>
    <w:p w14:paraId="0000000A" w14:textId="588C3C00"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the Matter of:</w:t>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Supreme Court</w:t>
      </w:r>
    </w:p>
    <w:p w14:paraId="0000000B" w14:textId="4AD75C1B"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No. R-24-0022</w:t>
      </w:r>
    </w:p>
    <w:p w14:paraId="0000000C" w14:textId="16E6B9B3"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PETITION TO AMEND</w:t>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00D" w14:textId="7A721D28"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RULE 11(b)(1)</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Comment to Petition to Amend</w:t>
      </w:r>
    </w:p>
    <w:p w14:paraId="0000000E" w14:textId="06D58424"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of the RULES OF PROCEDURE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Rule 11(b)(1), of the RULES OF</w:t>
      </w:r>
    </w:p>
    <w:p w14:paraId="0000000F" w14:textId="483B0F40"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EVICTION ACTIONS</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PROCEDURE FOR EVICTION </w:t>
      </w:r>
    </w:p>
    <w:p w14:paraId="00000010" w14:textId="1CC4F09B" w:rsidR="00DE1AF9" w:rsidRDefault="00000000" w:rsidP="00D83F0E">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83F0E">
        <w:rPr>
          <w:rFonts w:ascii="Times New Roman" w:eastAsia="Times New Roman" w:hAnsi="Times New Roman" w:cs="Times New Roman"/>
          <w:sz w:val="24"/>
          <w:szCs w:val="24"/>
        </w:rPr>
        <w:tab/>
      </w:r>
      <w:r>
        <w:rPr>
          <w:rFonts w:ascii="Times New Roman" w:eastAsia="Times New Roman" w:hAnsi="Times New Roman" w:cs="Times New Roman"/>
          <w:sz w:val="24"/>
          <w:szCs w:val="24"/>
        </w:rPr>
        <w:t>ACTIONS</w:t>
      </w:r>
    </w:p>
    <w:p w14:paraId="00000011" w14:textId="77777777" w:rsidR="00DE1AF9" w:rsidRDefault="00DE1AF9">
      <w:pPr>
        <w:shd w:val="clear" w:color="auto" w:fill="FFFFFF"/>
        <w:spacing w:line="240" w:lineRule="auto"/>
        <w:rPr>
          <w:rFonts w:ascii="Times New Roman" w:eastAsia="Times New Roman" w:hAnsi="Times New Roman" w:cs="Times New Roman"/>
          <w:b/>
          <w:color w:val="000000"/>
          <w:sz w:val="24"/>
          <w:szCs w:val="24"/>
        </w:rPr>
      </w:pPr>
    </w:p>
    <w:p w14:paraId="00000012" w14:textId="77777777" w:rsidR="00DE1AF9"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rPr>
        <w:tab/>
      </w:r>
      <w:r>
        <w:rPr>
          <w:rFonts w:ascii="Times New Roman" w:eastAsia="Times New Roman" w:hAnsi="Times New Roman" w:cs="Times New Roman"/>
          <w:sz w:val="24"/>
          <w:szCs w:val="24"/>
        </w:rPr>
        <w:t xml:space="preserve">Commenting Party, Unemployed Workers United (“UWU”) hereby respectfully submits this Comment in support of the Petition to amend Rule 11(b)(1) (“Petition”) of the Arizona Rules of Procedure for Eviction Actions (“RPEA”), filed by Community Legal Services (“CLS”), DNA People’s Legal Services (“DNA”), Southern Arizona Legal Aid (“SALA”) and the William E. Morris Institute for Justice (“MIJ”) on January 10, 2024. </w:t>
      </w:r>
    </w:p>
    <w:p w14:paraId="00000013" w14:textId="77777777" w:rsidR="00DE1AF9" w:rsidRDefault="00000000">
      <w:pP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The Petition </w:t>
      </w:r>
      <w:r>
        <w:rPr>
          <w:rFonts w:ascii="Times New Roman" w:eastAsia="Times New Roman" w:hAnsi="Times New Roman" w:cs="Times New Roman"/>
          <w:color w:val="222222"/>
          <w:sz w:val="24"/>
          <w:szCs w:val="24"/>
        </w:rPr>
        <w:t xml:space="preserve">would allow a grace period for parties struggling to access eviction hearings by requiring Justices to re-call any case where a party does not appear once they have finished the hour’s hearing calendar. This minor procedural safeguard aims to ensure that more parties who attend the hearings </w:t>
      </w:r>
      <w:proofErr w:type="gramStart"/>
      <w:r>
        <w:rPr>
          <w:rFonts w:ascii="Times New Roman" w:eastAsia="Times New Roman" w:hAnsi="Times New Roman" w:cs="Times New Roman"/>
          <w:color w:val="222222"/>
          <w:sz w:val="24"/>
          <w:szCs w:val="24"/>
        </w:rPr>
        <w:t>actually have</w:t>
      </w:r>
      <w:proofErr w:type="gramEnd"/>
      <w:r>
        <w:rPr>
          <w:rFonts w:ascii="Times New Roman" w:eastAsia="Times New Roman" w:hAnsi="Times New Roman" w:cs="Times New Roman"/>
          <w:color w:val="222222"/>
          <w:sz w:val="24"/>
          <w:szCs w:val="24"/>
        </w:rPr>
        <w:t xml:space="preserve"> the opportunity to be heard, and therefore, reduces the default judgment rate. The proposed rule addresses one component contributing to the challenge of ensuring that eviction proceedings are fair, just, and accessible. It also recognizes the endemic asymmetries in a system where one party is overwhelmingly represented by specialized attorneys with intimate knowledge of court procedure, while the other is often navigating the court system alone and for the first time. </w:t>
      </w:r>
    </w:p>
    <w:p w14:paraId="00000014" w14:textId="77777777" w:rsidR="00DE1AF9" w:rsidRDefault="00000000">
      <w:pPr>
        <w:shd w:val="clear" w:color="auto" w:fill="FFFFFF"/>
        <w:spacing w:line="480" w:lineRule="auto"/>
        <w:ind w:firstLine="720"/>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lastRenderedPageBreak/>
        <w:t>Given the enormous costs of evictions on affected households—and on the state of Arizona—the potential benefits of such a pilot program far outweigh any minimal procedural burdens. Opponents of the rule express vehement disapproval, largely based on faulty and selective statistics and a range of excuses. Their arguments ultimately boil down to the fact that landlords’ attorneys and Justice Courts will have to spend a few more minutes at each hearing to ensure all present parties can be heard. It is disappointing that these opponents prioritize a minor inconvenience over the due process rights of litigants navigating the difficult and often life-changing prospect of an eviction.</w:t>
      </w:r>
    </w:p>
    <w:p w14:paraId="00000015" w14:textId="77777777" w:rsidR="00DE1AF9"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OF INTEREST </w:t>
      </w:r>
    </w:p>
    <w:p w14:paraId="00000016" w14:textId="77777777" w:rsidR="00DE1AF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This comment is made on behalf of Unemployed Workers United (“UWU”), a project of Working Families Power. </w:t>
      </w:r>
      <w:r>
        <w:rPr>
          <w:rFonts w:ascii="Times New Roman" w:eastAsia="Times New Roman" w:hAnsi="Times New Roman" w:cs="Times New Roman"/>
          <w:sz w:val="24"/>
          <w:szCs w:val="24"/>
        </w:rPr>
        <w:t xml:space="preserve">UWU advocates for the rights of poor and working-class people, with a focus on the wellbeing of immigrants and people of color. UWU’s work in Arizona has included bringing litigation to challenge former Arizona Governor Doug Ducey’s premature termination of federal pandemic unemployment compensation and advocating for (and securing the adoption of) laws banning rental discrimination based on housing vouchers or other sources of income. The process of listening to and working with Arizonans throughout these campaigns led UWU to an even deeper understanding of the challenges and difficulties facing poor and working-class renters in Arizona. </w:t>
      </w:r>
    </w:p>
    <w:p w14:paraId="00000017" w14:textId="77777777" w:rsidR="00DE1AF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several years, our members have </w:t>
      </w:r>
      <w:r>
        <w:rPr>
          <w:rFonts w:ascii="Times New Roman" w:eastAsia="Times New Roman" w:hAnsi="Times New Roman" w:cs="Times New Roman"/>
          <w:color w:val="222222"/>
          <w:sz w:val="24"/>
          <w:szCs w:val="24"/>
        </w:rPr>
        <w:t xml:space="preserve">identified </w:t>
      </w:r>
      <w:r>
        <w:rPr>
          <w:rFonts w:ascii="Times New Roman" w:eastAsia="Times New Roman" w:hAnsi="Times New Roman" w:cs="Times New Roman"/>
          <w:sz w:val="24"/>
          <w:szCs w:val="24"/>
        </w:rPr>
        <w:t>rising housing costs</w:t>
      </w:r>
      <w:r>
        <w:rPr>
          <w:rFonts w:ascii="Times New Roman" w:eastAsia="Times New Roman" w:hAnsi="Times New Roman" w:cs="Times New Roman"/>
          <w:color w:val="222222"/>
          <w:sz w:val="24"/>
          <w:szCs w:val="24"/>
        </w:rPr>
        <w:t xml:space="preserve"> as the most significant threat to their families’ stability and security. </w:t>
      </w:r>
      <w:r>
        <w:rPr>
          <w:rFonts w:ascii="Times New Roman" w:eastAsia="Times New Roman" w:hAnsi="Times New Roman" w:cs="Times New Roman"/>
          <w:sz w:val="24"/>
          <w:szCs w:val="24"/>
        </w:rPr>
        <w:t xml:space="preserve">In response, UWU began offering recurring virtual know-your-rights training for tenants, accompanied one of our members through the eviction process, and undertook a series of court-watch sessions—observing eviction hearings in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Maricopa County Justice Courts, both in person and virtually.</w:t>
      </w:r>
    </w:p>
    <w:p w14:paraId="00000018" w14:textId="77777777" w:rsidR="00DE1AF9" w:rsidRDefault="00000000">
      <w:pPr>
        <w:keepNext/>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ARIZONA’S EVICTION CRISIS</w:t>
      </w:r>
    </w:p>
    <w:p w14:paraId="00000019" w14:textId="77777777" w:rsidR="00DE1AF9"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UWU members’ experiences reflect a larger housing crisis across Arizona and, in particular, in Maricopa County.</w:t>
      </w:r>
      <w:r>
        <w:rPr>
          <w:rFonts w:ascii="Times New Roman" w:eastAsia="Times New Roman" w:hAnsi="Times New Roman" w:cs="Times New Roman"/>
          <w:color w:val="222222"/>
          <w:sz w:val="24"/>
          <w:szCs w:val="24"/>
          <w:vertAlign w:val="superscript"/>
        </w:rPr>
        <w:footnoteReference w:id="1"/>
      </w:r>
      <w:r>
        <w:rPr>
          <w:rFonts w:ascii="Times New Roman" w:eastAsia="Times New Roman" w:hAnsi="Times New Roman" w:cs="Times New Roman"/>
          <w:color w:val="222222"/>
          <w:sz w:val="24"/>
          <w:szCs w:val="24"/>
        </w:rPr>
        <w:t xml:space="preserve"> From 2019 to 2023, apartment rent went up 38% in the Phoenix area.</w:t>
      </w:r>
      <w:r>
        <w:rPr>
          <w:rFonts w:ascii="Times New Roman" w:eastAsia="Times New Roman" w:hAnsi="Times New Roman" w:cs="Times New Roman"/>
          <w:color w:val="222222"/>
          <w:sz w:val="24"/>
          <w:szCs w:val="24"/>
          <w:vertAlign w:val="superscript"/>
        </w:rPr>
        <w:footnoteReference w:id="2"/>
      </w:r>
      <w:r>
        <w:rPr>
          <w:rFonts w:ascii="Times New Roman" w:eastAsia="Times New Roman" w:hAnsi="Times New Roman" w:cs="Times New Roman"/>
          <w:color w:val="222222"/>
          <w:sz w:val="24"/>
          <w:szCs w:val="24"/>
        </w:rPr>
        <w:t xml:space="preserve"> The number of evictions filed in Maricopa County in the past year was 33% higher than the pre-COVID annual average.</w:t>
      </w:r>
      <w:r>
        <w:rPr>
          <w:rFonts w:ascii="Times New Roman" w:eastAsia="Times New Roman" w:hAnsi="Times New Roman" w:cs="Times New Roman"/>
          <w:color w:val="222222"/>
          <w:sz w:val="24"/>
          <w:szCs w:val="24"/>
          <w:vertAlign w:val="superscript"/>
        </w:rPr>
        <w:footnoteReference w:id="3"/>
      </w:r>
      <w:r>
        <w:rPr>
          <w:rFonts w:ascii="Times New Roman" w:eastAsia="Times New Roman" w:hAnsi="Times New Roman" w:cs="Times New Roman"/>
          <w:color w:val="222222"/>
          <w:sz w:val="24"/>
          <w:szCs w:val="24"/>
        </w:rPr>
        <w:t xml:space="preserve"> These numbers cannot be explained away by population growth—Maricopa’s 5.2% eviction rate in 2023 is the highest in the last decade.</w:t>
      </w:r>
      <w:r>
        <w:rPr>
          <w:rFonts w:ascii="Times New Roman" w:eastAsia="Times New Roman" w:hAnsi="Times New Roman" w:cs="Times New Roman"/>
          <w:color w:val="222222"/>
          <w:sz w:val="24"/>
          <w:szCs w:val="24"/>
          <w:vertAlign w:val="superscript"/>
        </w:rPr>
        <w:footnoteReference w:id="4"/>
      </w:r>
      <w:r>
        <w:rPr>
          <w:rFonts w:ascii="Times New Roman" w:eastAsia="Times New Roman" w:hAnsi="Times New Roman" w:cs="Times New Roman"/>
          <w:color w:val="222222"/>
          <w:sz w:val="24"/>
          <w:szCs w:val="24"/>
        </w:rPr>
        <w:t xml:space="preserve"> These rates continue to increase in 2024. While communities across the country are grappling with widespread housing insecurity, Arizona stands out. The state has one of the highest housing loss rates in the country, and Maricopa County leads the nation in evictions with rates nearly twice the national average.</w:t>
      </w:r>
      <w:r>
        <w:rPr>
          <w:rFonts w:ascii="Times New Roman" w:eastAsia="Times New Roman" w:hAnsi="Times New Roman" w:cs="Times New Roman"/>
          <w:color w:val="222222"/>
          <w:sz w:val="24"/>
          <w:szCs w:val="24"/>
          <w:vertAlign w:val="superscript"/>
        </w:rPr>
        <w:footnoteReference w:id="5"/>
      </w:r>
    </w:p>
    <w:p w14:paraId="0000001A" w14:textId="77777777" w:rsidR="00DE1AF9" w:rsidRDefault="00000000">
      <w:pP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Evictions have negative health impacts and create significant compounding costs ultimately borne by the public. This includes costs related to, amongst other programs, shelter, education, health care, mental health services, and youth social services.</w:t>
      </w:r>
      <w:r>
        <w:rPr>
          <w:rFonts w:ascii="Times New Roman" w:eastAsia="Times New Roman" w:hAnsi="Times New Roman" w:cs="Times New Roman"/>
          <w:color w:val="222222"/>
          <w:sz w:val="24"/>
          <w:szCs w:val="24"/>
          <w:vertAlign w:val="superscript"/>
        </w:rPr>
        <w:footnoteReference w:id="6"/>
      </w:r>
      <w:r>
        <w:rPr>
          <w:rFonts w:ascii="Times New Roman" w:eastAsia="Times New Roman" w:hAnsi="Times New Roman" w:cs="Times New Roman"/>
          <w:color w:val="222222"/>
          <w:sz w:val="24"/>
          <w:szCs w:val="24"/>
          <w:vertAlign w:val="superscript"/>
        </w:rPr>
        <w:t xml:space="preserve"> </w:t>
      </w:r>
      <w:r>
        <w:rPr>
          <w:rFonts w:ascii="Times New Roman" w:eastAsia="Times New Roman" w:hAnsi="Times New Roman" w:cs="Times New Roman"/>
          <w:color w:val="222222"/>
          <w:sz w:val="24"/>
          <w:szCs w:val="24"/>
        </w:rPr>
        <w:t>A University of Arizona Cost of Eviction Calculator estimates that evictions cost the state over $900,000 a year, or over $9,000 per household evicted.</w:t>
      </w:r>
      <w:r>
        <w:rPr>
          <w:rFonts w:ascii="Times New Roman" w:eastAsia="Times New Roman" w:hAnsi="Times New Roman" w:cs="Times New Roman"/>
          <w:color w:val="222222"/>
          <w:sz w:val="24"/>
          <w:szCs w:val="24"/>
          <w:vertAlign w:val="superscript"/>
        </w:rPr>
        <w:footnoteReference w:id="7"/>
      </w:r>
    </w:p>
    <w:p w14:paraId="0000001B" w14:textId="77777777" w:rsidR="00DE1AF9" w:rsidRDefault="00000000">
      <w:pPr>
        <w:keepNext/>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lastRenderedPageBreak/>
        <w:t>UWU SUPPORTS THE PROPOSED RULE AMENDMENT</w:t>
      </w:r>
    </w:p>
    <w:p w14:paraId="0000001C" w14:textId="77777777"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UWU strongly supports the </w:t>
      </w:r>
      <w:r>
        <w:rPr>
          <w:rFonts w:ascii="Times New Roman" w:eastAsia="Times New Roman" w:hAnsi="Times New Roman" w:cs="Times New Roman"/>
          <w:sz w:val="24"/>
          <w:szCs w:val="24"/>
        </w:rPr>
        <w:t>Petition</w:t>
      </w:r>
      <w:r>
        <w:rPr>
          <w:rFonts w:ascii="Times New Roman" w:eastAsia="Times New Roman" w:hAnsi="Times New Roman" w:cs="Times New Roman"/>
          <w:color w:val="000000"/>
          <w:sz w:val="24"/>
          <w:szCs w:val="24"/>
        </w:rPr>
        <w:t xml:space="preserve"> to amend Rule 11(b) of the RPEA to implement a one-year pilot program requiring </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 xml:space="preserve">ustice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ourts to </w:t>
      </w:r>
      <w:r>
        <w:rPr>
          <w:rFonts w:ascii="Times New Roman" w:eastAsia="Times New Roman" w:hAnsi="Times New Roman" w:cs="Times New Roman"/>
          <w:sz w:val="24"/>
          <w:szCs w:val="24"/>
        </w:rPr>
        <w:t>re-call</w:t>
      </w:r>
      <w:r>
        <w:rPr>
          <w:rFonts w:ascii="Times New Roman" w:eastAsia="Times New Roman" w:hAnsi="Times New Roman" w:cs="Times New Roman"/>
          <w:color w:val="000000"/>
          <w:sz w:val="24"/>
          <w:szCs w:val="24"/>
        </w:rPr>
        <w:t xml:space="preserve"> eviction actions if either the landlord or the tenant does not answer the initial case call on the calendar.</w:t>
      </w:r>
    </w:p>
    <w:p w14:paraId="0000001D" w14:textId="77777777" w:rsidR="00DE1AF9"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 with a Remote Court Option, Default Judgments Remain a Significant Issue</w:t>
      </w:r>
    </w:p>
    <w:p w14:paraId="0000001E" w14:textId="77777777" w:rsidR="00DE1AF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RPEA should ensure that as many parties as possible are able to attend court proceedings. The proposed amended rule addresses one barrier to access—challenges navigating the court either in person or remotely. There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 plethora of reasons why a landlord or tenant may miss a Justice calling their case, even though they are trying to appear or even are present.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Eviction proceedings are rapidly moving proceedings, with most parties appearing remotely, either virtually over either Microsoft Teams, or by telephonic participation. The technology can be faulty and confusing to connect to and navigate. We have observed at least one Justice Court that did not provide a virtual video participation option, but rather only a telephonic option. This makes it even more difficult for the remote parties to understand what is happening and follow the proceedings. Legal observers have witnessed more than one case where parties had trouble muting or unmuting. In addition, parties often experience connection issues. This is not isolated to tenants. In fact, justices may speak far from the microphone and be hard to hear or understand. At other times, justices may mispronounce names so that a party attending the proceeding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unaware they have been called at all. When a case is called and a default judgment is signed within a couple of minutes (or less), there is very little grace for simple mistakes.</w:t>
      </w:r>
    </w:p>
    <w:p w14:paraId="0000001F" w14:textId="71F4F9E9" w:rsidR="00DE1AF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Opponents of the Petition—including the Maricopa County Justice Bench (the “Maricopa Justices”) and the Manufactured Housing Communities of Arizona (“MHCA”) spend significant </w:t>
      </w:r>
      <w:r>
        <w:rPr>
          <w:rFonts w:ascii="Times New Roman" w:eastAsia="Times New Roman" w:hAnsi="Times New Roman" w:cs="Times New Roman"/>
          <w:sz w:val="24"/>
          <w:szCs w:val="24"/>
        </w:rPr>
        <w:lastRenderedPageBreak/>
        <w:t>space defending a remote proceeding option.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UWU agrees that the remote option is a good policy that has facilitated increased access to eviction proceedings. But there is still a long way to go. In 2022 in Maricopa County, 28,698 evictions were </w:t>
      </w:r>
      <w:r w:rsidR="00D83F0E">
        <w:rPr>
          <w:rFonts w:ascii="Times New Roman" w:eastAsia="Times New Roman" w:hAnsi="Times New Roman" w:cs="Times New Roman"/>
          <w:sz w:val="24"/>
          <w:szCs w:val="24"/>
        </w:rPr>
        <w:t>granted,</w:t>
      </w:r>
      <w:r>
        <w:rPr>
          <w:rFonts w:ascii="Times New Roman" w:eastAsia="Times New Roman" w:hAnsi="Times New Roman" w:cs="Times New Roman"/>
          <w:sz w:val="24"/>
          <w:szCs w:val="24"/>
        </w:rPr>
        <w:t xml:space="preserve"> and 13,640 default judgments were signed.</w:t>
      </w:r>
      <w:r>
        <w:rPr>
          <w:rFonts w:ascii="Times New Roman" w:eastAsia="Times New Roman" w:hAnsi="Times New Roman" w:cs="Times New Roman"/>
          <w:color w:val="222222"/>
          <w:sz w:val="24"/>
          <w:szCs w:val="24"/>
          <w:vertAlign w:val="superscript"/>
        </w:rPr>
        <w:footnoteReference w:id="9"/>
      </w:r>
      <w:r>
        <w:rPr>
          <w:rFonts w:ascii="Times New Roman" w:eastAsia="Times New Roman" w:hAnsi="Times New Roman" w:cs="Times New Roman"/>
          <w:sz w:val="24"/>
          <w:szCs w:val="24"/>
        </w:rPr>
        <w:t xml:space="preserve"> That means that in about 1 in 3 cases where an eviction judgment was signed, a tenant did not appear. Regardless of whether this is less than previously, the number remains far higher than it should be. </w:t>
      </w:r>
    </w:p>
    <w:p w14:paraId="00000020" w14:textId="77777777" w:rsidR="00DE1AF9"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Proposed Rule Change Strengthens Due Process Protections and Ameliorates Existing Disparities in Treatment</w:t>
      </w:r>
    </w:p>
    <w:p w14:paraId="00000021" w14:textId="77777777" w:rsidR="00DE1AF9"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Piloting a proposed strategy to address continuing high default judgment rates will contribute to basic principles of fairness that require judicial personnel to ensure all parties, including pro se litigants, have access to the courts. </w:t>
      </w:r>
    </w:p>
    <w:p w14:paraId="00000022" w14:textId="77777777" w:rsidR="00DE1AF9"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constitutional right to due process necessitates procedural safeguards for pro se litigants. </w:t>
      </w:r>
      <w:r>
        <w:rPr>
          <w:rFonts w:ascii="Times New Roman" w:eastAsia="Times New Roman" w:hAnsi="Times New Roman" w:cs="Times New Roman"/>
          <w:i/>
          <w:sz w:val="24"/>
          <w:szCs w:val="24"/>
        </w:rPr>
        <w:t>Turner v. Rogers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564 U.S. 431 (2011). </w:t>
      </w:r>
      <w:r>
        <w:rPr>
          <w:rFonts w:ascii="Times New Roman" w:eastAsia="Times New Roman" w:hAnsi="Times New Roman" w:cs="Times New Roman"/>
          <w:color w:val="222222"/>
          <w:sz w:val="24"/>
          <w:szCs w:val="24"/>
        </w:rPr>
        <w:t xml:space="preserve">State rules recognize that procedures must protect the rights of litigants to access the court, even if these procedural burdens add time. For example, Rule 11(b) of the RPEA directs judges to summarize allegations, inquire whether defendants have defenses, and “determine whether there is a basis for a legal defense to the complaint either by reviewing a written answer . . . or by questioning the defendant in open court.” Likewise, Rule 2.6, Note 1 of the Code of Judicial Conduct directs judges to ensure the right to be heard: “The right to be heard is an essential component of a fair and impartial system of justice. Substantive rights of litigants can be protected only if procedures protecting the right to be heard are observed.” </w:t>
      </w:r>
    </w:p>
    <w:p w14:paraId="00000023" w14:textId="77777777" w:rsidR="00DE1AF9"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lastRenderedPageBreak/>
        <w:t xml:space="preserve">Despite these obligations, Justice Courts often make far more accommodations for </w:t>
      </w:r>
      <w:r>
        <w:rPr>
          <w:rFonts w:ascii="Times New Roman" w:eastAsia="Times New Roman" w:hAnsi="Times New Roman" w:cs="Times New Roman"/>
          <w:color w:val="222222"/>
          <w:sz w:val="24"/>
          <w:szCs w:val="24"/>
        </w:rPr>
        <w:t>landlords’ attorneys than for tenants in the name of “professional courtesy.” For example, Justice Courts may be willing to continue or skip and return to cases if attorneys are not prepared or still tracking down a file.</w:t>
      </w:r>
      <w:r>
        <w:rPr>
          <w:rFonts w:ascii="Times New Roman" w:eastAsia="Times New Roman" w:hAnsi="Times New Roman" w:cs="Times New Roman"/>
          <w:color w:val="222222"/>
          <w:sz w:val="24"/>
          <w:szCs w:val="24"/>
          <w:vertAlign w:val="superscript"/>
        </w:rPr>
        <w:footnoteReference w:id="10"/>
      </w:r>
      <w:r>
        <w:rPr>
          <w:rFonts w:ascii="Times New Roman" w:eastAsia="Times New Roman" w:hAnsi="Times New Roman" w:cs="Times New Roman"/>
          <w:color w:val="222222"/>
          <w:sz w:val="24"/>
          <w:szCs w:val="24"/>
        </w:rPr>
        <w:t xml:space="preserve"> It is only fair that pro se parties are given the same opportunities.</w:t>
      </w:r>
    </w:p>
    <w:p w14:paraId="00000024" w14:textId="77777777" w:rsidR="00DE1AF9"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re-call process—which, despite the Maricopa Justices’ contention,</w:t>
      </w:r>
      <w:r>
        <w:rPr>
          <w:rFonts w:ascii="Times New Roman" w:eastAsia="Times New Roman" w:hAnsi="Times New Roman" w:cs="Times New Roman"/>
          <w:color w:val="222222"/>
          <w:sz w:val="24"/>
          <w:szCs w:val="24"/>
          <w:vertAlign w:val="superscript"/>
        </w:rPr>
        <w:footnoteReference w:id="11"/>
      </w:r>
      <w:r>
        <w:rPr>
          <w:rFonts w:ascii="Times New Roman" w:eastAsia="Times New Roman" w:hAnsi="Times New Roman" w:cs="Times New Roman"/>
          <w:color w:val="222222"/>
          <w:sz w:val="24"/>
          <w:szCs w:val="24"/>
        </w:rPr>
        <w:t xml:space="preserve"> applies neutrally to both plaintiffs and defendants who fail to appear at the initial call—contributes to the courts’ due process obligations and will address existing disparities in treatment.</w:t>
      </w:r>
    </w:p>
    <w:p w14:paraId="00000025" w14:textId="77777777" w:rsidR="00DE1AF9" w:rsidRDefault="00000000">
      <w:pPr>
        <w:numPr>
          <w:ilvl w:val="0"/>
          <w:numId w:val="2"/>
        </w:numPr>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The Potential Benefits of the Proposed Rule Change Outweigh the Costs</w:t>
      </w:r>
    </w:p>
    <w:p w14:paraId="00000026" w14:textId="77777777" w:rsidR="00DE1AF9" w:rsidRDefault="00000000">
      <w:pPr>
        <w:pBdr>
          <w:top w:val="nil"/>
          <w:left w:val="nil"/>
          <w:bottom w:val="nil"/>
          <w:right w:val="nil"/>
          <w:between w:val="nil"/>
        </w:pBd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Ultimately, the potential benefits of the Petition far outweigh the costs. Courts should take their time and have significant procedural protections in place before signing an order removing someone from their home. This policy would ensure that more cases are determined on the merits, rather than turning on a party’s ability to navigate technology. It would allow pro se parties better access to court procedure and reduce erroneous rulings. </w:t>
      </w:r>
    </w:p>
    <w:p w14:paraId="00000027" w14:textId="77777777" w:rsidR="00DE1AF9" w:rsidRDefault="00000000">
      <w:pPr>
        <w:numPr>
          <w:ilvl w:val="1"/>
          <w:numId w:val="2"/>
        </w:numPr>
        <w:pBdr>
          <w:top w:val="nil"/>
          <w:left w:val="nil"/>
          <w:bottom w:val="nil"/>
          <w:right w:val="nil"/>
          <w:between w:val="nil"/>
        </w:pBdr>
        <w:shd w:val="clear" w:color="auto" w:fill="FFFFFF"/>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The Proposed Rule Would Not Significantly Impact the Hearing Calendar</w:t>
      </w:r>
    </w:p>
    <w:p w14:paraId="00000028" w14:textId="257E0F9A"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Despite MHCA and the Maricopa Justices’ contention, the costs of this procedure are minimal. Both parties seem to willfully misread the proposal to require a Justice to re-call names and sign default judgments at the top of the hour </w:t>
      </w:r>
      <w:proofErr w:type="gramStart"/>
      <w:r>
        <w:rPr>
          <w:rFonts w:ascii="Times New Roman" w:eastAsia="Times New Roman" w:hAnsi="Times New Roman" w:cs="Times New Roman"/>
          <w:color w:val="222222"/>
          <w:sz w:val="24"/>
          <w:szCs w:val="24"/>
        </w:rPr>
        <w:t>subsequent to</w:t>
      </w:r>
      <w:proofErr w:type="gramEnd"/>
      <w:r>
        <w:rPr>
          <w:rFonts w:ascii="Times New Roman" w:eastAsia="Times New Roman" w:hAnsi="Times New Roman" w:cs="Times New Roman"/>
          <w:color w:val="222222"/>
          <w:sz w:val="24"/>
          <w:szCs w:val="24"/>
        </w:rPr>
        <w:t xml:space="preserve"> that to which they were scheduled. But the proposed rule states: “Each case shall be scheduled to be heard on a specific </w:t>
      </w:r>
      <w:r>
        <w:rPr>
          <w:rFonts w:ascii="Times New Roman" w:eastAsia="Times New Roman" w:hAnsi="Times New Roman" w:cs="Times New Roman"/>
          <w:color w:val="222222"/>
          <w:sz w:val="24"/>
          <w:szCs w:val="24"/>
        </w:rPr>
        <w:lastRenderedPageBreak/>
        <w:t>date and during a specific one-hour time period</w:t>
      </w:r>
      <w:r w:rsidR="00D83F0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The court shall promptly recall such cases either after the specific one-hour time period has passed or at the end of the calendar, whichever happens first.”</w:t>
      </w:r>
      <w:r>
        <w:rPr>
          <w:rFonts w:ascii="Times New Roman" w:eastAsia="Times New Roman" w:hAnsi="Times New Roman" w:cs="Times New Roman"/>
          <w:color w:val="222222"/>
          <w:sz w:val="24"/>
          <w:szCs w:val="24"/>
          <w:vertAlign w:val="superscript"/>
        </w:rPr>
        <w:footnoteReference w:id="12"/>
      </w:r>
      <w:r>
        <w:rPr>
          <w:rFonts w:ascii="Times New Roman" w:eastAsia="Times New Roman" w:hAnsi="Times New Roman" w:cs="Times New Roman"/>
          <w:color w:val="222222"/>
          <w:sz w:val="24"/>
          <w:szCs w:val="24"/>
        </w:rPr>
        <w:t xml:space="preserve"> This merely requires a Justice to read the list of names </w:t>
      </w:r>
      <w:r>
        <w:rPr>
          <w:rFonts w:ascii="Times New Roman" w:eastAsia="Times New Roman" w:hAnsi="Times New Roman" w:cs="Times New Roman"/>
          <w:i/>
          <w:color w:val="222222"/>
          <w:sz w:val="24"/>
          <w:szCs w:val="24"/>
        </w:rPr>
        <w:t xml:space="preserve">once they have finished the cases calendared for that hour. </w:t>
      </w:r>
      <w:r>
        <w:rPr>
          <w:rFonts w:ascii="Times New Roman" w:eastAsia="Times New Roman" w:hAnsi="Times New Roman" w:cs="Times New Roman"/>
          <w:color w:val="222222"/>
          <w:sz w:val="24"/>
          <w:szCs w:val="24"/>
        </w:rPr>
        <w:t>Taking the Maricopa Justices’ example,</w:t>
      </w:r>
      <w:r>
        <w:rPr>
          <w:rFonts w:ascii="Times New Roman" w:eastAsia="Times New Roman" w:hAnsi="Times New Roman" w:cs="Times New Roman"/>
          <w:color w:val="222222"/>
          <w:sz w:val="24"/>
          <w:szCs w:val="24"/>
          <w:vertAlign w:val="superscript"/>
        </w:rPr>
        <w:footnoteReference w:id="13"/>
      </w:r>
      <w:r>
        <w:rPr>
          <w:rFonts w:ascii="Times New Roman" w:eastAsia="Times New Roman" w:hAnsi="Times New Roman" w:cs="Times New Roman"/>
          <w:color w:val="222222"/>
          <w:sz w:val="24"/>
          <w:szCs w:val="24"/>
        </w:rPr>
        <w:t xml:space="preserve"> where cases take 30 minutes a Justice would merely recall the names scheduled for a 1:00 hearing at 1:30, not at 2:00 as the Maricopa Justices suggest. This allows plenty of time to re-call and sign default judgments—or to hear a case if a previously absent party has appeared. </w:t>
      </w:r>
    </w:p>
    <w:p w14:paraId="00000029" w14:textId="77777777"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color w:val="222222"/>
          <w:sz w:val="24"/>
          <w:szCs w:val="24"/>
        </w:rPr>
        <w:t>Meanwhile, MHCA bemoans the risk that eviction dockets might run over because of the extra few minutes of re-calling names.</w:t>
      </w:r>
      <w:r>
        <w:rPr>
          <w:rFonts w:ascii="Times New Roman" w:eastAsia="Times New Roman" w:hAnsi="Times New Roman" w:cs="Times New Roman"/>
          <w:color w:val="222222"/>
          <w:sz w:val="24"/>
          <w:szCs w:val="24"/>
          <w:vertAlign w:val="superscript"/>
        </w:rPr>
        <w:footnoteReference w:id="14"/>
      </w:r>
      <w:r>
        <w:rPr>
          <w:rFonts w:ascii="Times New Roman" w:eastAsia="Times New Roman" w:hAnsi="Times New Roman" w:cs="Times New Roman"/>
          <w:color w:val="222222"/>
          <w:sz w:val="24"/>
          <w:szCs w:val="24"/>
        </w:rPr>
        <w:t xml:space="preserve"> But default judgments are by their nature far faster than a judgment where a tenant appears to defend their rights. </w:t>
      </w:r>
      <w:r>
        <w:rPr>
          <w:rFonts w:ascii="Times New Roman" w:eastAsia="Times New Roman" w:hAnsi="Times New Roman" w:cs="Times New Roman"/>
          <w:i/>
          <w:color w:val="222222"/>
          <w:sz w:val="24"/>
          <w:szCs w:val="24"/>
        </w:rPr>
        <w:t>If the system only works based on an assumption that a large portion of tenants are not showing up at all, then the schedule is inadequate.</w:t>
      </w:r>
    </w:p>
    <w:p w14:paraId="0000002A" w14:textId="192EA755"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Ultimately, it seems that the opponents are most concerned that the proposed rule would serve as a slight inconvenience to attorneys and Justices, who may have to stay on the line a few extra minutes. </w:t>
      </w:r>
      <w:proofErr w:type="gramStart"/>
      <w:r>
        <w:rPr>
          <w:rFonts w:ascii="Times New Roman" w:eastAsia="Times New Roman" w:hAnsi="Times New Roman" w:cs="Times New Roman"/>
          <w:color w:val="222222"/>
          <w:sz w:val="24"/>
          <w:szCs w:val="24"/>
        </w:rPr>
        <w:t>In particular</w:t>
      </w:r>
      <w:r w:rsidR="00D83F0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MHCA</w:t>
      </w:r>
      <w:proofErr w:type="gramEnd"/>
      <w:r>
        <w:rPr>
          <w:rFonts w:ascii="Times New Roman" w:eastAsia="Times New Roman" w:hAnsi="Times New Roman" w:cs="Times New Roman"/>
          <w:color w:val="222222"/>
          <w:sz w:val="24"/>
          <w:szCs w:val="24"/>
        </w:rPr>
        <w:t xml:space="preserve"> decries the “unnecessary delay” such a change would pose to attorneys who would now have to stay through the entire proceeding, rather than just part of the hour.</w:t>
      </w:r>
      <w:r>
        <w:rPr>
          <w:rFonts w:ascii="Times New Roman" w:eastAsia="Times New Roman" w:hAnsi="Times New Roman" w:cs="Times New Roman"/>
          <w:color w:val="222222"/>
          <w:sz w:val="24"/>
          <w:szCs w:val="24"/>
          <w:vertAlign w:val="superscript"/>
        </w:rPr>
        <w:footnoteReference w:id="15"/>
      </w:r>
      <w:r>
        <w:rPr>
          <w:rFonts w:ascii="Times New Roman" w:eastAsia="Times New Roman" w:hAnsi="Times New Roman" w:cs="Times New Roman"/>
          <w:color w:val="222222"/>
          <w:sz w:val="24"/>
          <w:szCs w:val="24"/>
        </w:rPr>
        <w:t xml:space="preserve"> This inconvenience pales in comparison to the significance of these proceedings for the parties, including tenants facing the prospect of eviction from their homes.</w:t>
      </w:r>
    </w:p>
    <w:p w14:paraId="0000002B" w14:textId="77777777" w:rsidR="00DE1AF9" w:rsidRDefault="00000000">
      <w:pPr>
        <w:numPr>
          <w:ilvl w:val="1"/>
          <w:numId w:val="2"/>
        </w:numPr>
        <w:shd w:val="clear" w:color="auto" w:fill="FFFFFF"/>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The Cost of a </w:t>
      </w:r>
      <w:proofErr w:type="gramStart"/>
      <w:r>
        <w:rPr>
          <w:rFonts w:ascii="Times New Roman" w:eastAsia="Times New Roman" w:hAnsi="Times New Roman" w:cs="Times New Roman"/>
          <w:b/>
          <w:color w:val="222222"/>
          <w:sz w:val="24"/>
          <w:szCs w:val="24"/>
        </w:rPr>
        <w:t>Wrongfully-Signed</w:t>
      </w:r>
      <w:proofErr w:type="gramEnd"/>
      <w:r>
        <w:rPr>
          <w:rFonts w:ascii="Times New Roman" w:eastAsia="Times New Roman" w:hAnsi="Times New Roman" w:cs="Times New Roman"/>
          <w:b/>
          <w:color w:val="222222"/>
          <w:sz w:val="24"/>
          <w:szCs w:val="24"/>
        </w:rPr>
        <w:t xml:space="preserve"> Judgment is Significant</w:t>
      </w:r>
    </w:p>
    <w:p w14:paraId="0000002C" w14:textId="77777777"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MHCA and the Maricopa Justices maintain that an alternative procedure exists for a default judgment signed in error—a Motion to Set Aside Judgment. Even with instructions, </w:t>
      </w:r>
      <w:r>
        <w:rPr>
          <w:rFonts w:ascii="Times New Roman" w:eastAsia="Times New Roman" w:hAnsi="Times New Roman" w:cs="Times New Roman"/>
          <w:color w:val="222222"/>
          <w:sz w:val="24"/>
          <w:szCs w:val="24"/>
        </w:rPr>
        <w:lastRenderedPageBreak/>
        <w:t>UWU questions how many tenants would know how to file such a motion, or whether those who do manage would be successful in their claims.</w:t>
      </w:r>
      <w:r>
        <w:rPr>
          <w:rFonts w:ascii="Times New Roman" w:eastAsia="Times New Roman" w:hAnsi="Times New Roman" w:cs="Times New Roman"/>
          <w:color w:val="222222"/>
          <w:sz w:val="24"/>
          <w:szCs w:val="24"/>
          <w:vertAlign w:val="superscript"/>
        </w:rPr>
        <w:footnoteReference w:id="16"/>
      </w:r>
      <w:r>
        <w:rPr>
          <w:rFonts w:ascii="Times New Roman" w:eastAsia="Times New Roman" w:hAnsi="Times New Roman" w:cs="Times New Roman"/>
          <w:color w:val="222222"/>
          <w:sz w:val="24"/>
          <w:szCs w:val="24"/>
        </w:rPr>
        <w:t xml:space="preserve"> Few statistics exist, but the low number of these Motions filed suggests that a Motion to Set Aside Judgment is not an especially viable option for tenants struggling with navigating the eviction process already.</w:t>
      </w:r>
      <w:r>
        <w:rPr>
          <w:rFonts w:ascii="Times New Roman" w:eastAsia="Times New Roman" w:hAnsi="Times New Roman" w:cs="Times New Roman"/>
          <w:color w:val="222222"/>
          <w:sz w:val="24"/>
          <w:szCs w:val="24"/>
          <w:vertAlign w:val="superscript"/>
        </w:rPr>
        <w:footnoteReference w:id="17"/>
      </w:r>
    </w:p>
    <w:p w14:paraId="0000002D" w14:textId="77777777"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the </w:t>
      </w:r>
      <w:proofErr w:type="gramStart"/>
      <w:r>
        <w:rPr>
          <w:rFonts w:ascii="Times New Roman" w:eastAsia="Times New Roman" w:hAnsi="Times New Roman" w:cs="Times New Roman"/>
          <w:color w:val="222222"/>
          <w:sz w:val="24"/>
          <w:szCs w:val="24"/>
        </w:rPr>
        <w:t>best case</w:t>
      </w:r>
      <w:proofErr w:type="gramEnd"/>
      <w:r>
        <w:rPr>
          <w:rFonts w:ascii="Times New Roman" w:eastAsia="Times New Roman" w:hAnsi="Times New Roman" w:cs="Times New Roman"/>
          <w:color w:val="222222"/>
          <w:sz w:val="24"/>
          <w:szCs w:val="24"/>
        </w:rPr>
        <w:t xml:space="preserve"> scenario where a tenant is able to file such a motion, far more time and money would be wasted on the costs of reopening a case and returning to court than would be spent had the court simply recalled the case as the proposed rule change provides. In the more likely scenario, the tenant and Arizona will bear the enormous personal and social costs of the eviction—including, for the tenant, the monetary judgment and challenges finding new housing, and, for the public at large, the social costs of homelessness, foster care, health care, and much more. This will cost the public over $9,000 per household.</w:t>
      </w:r>
      <w:r>
        <w:rPr>
          <w:rFonts w:ascii="Times New Roman" w:eastAsia="Times New Roman" w:hAnsi="Times New Roman" w:cs="Times New Roman"/>
          <w:color w:val="222222"/>
          <w:sz w:val="24"/>
          <w:szCs w:val="24"/>
          <w:vertAlign w:val="superscript"/>
        </w:rPr>
        <w:footnoteReference w:id="18"/>
      </w:r>
      <w:r>
        <w:rPr>
          <w:rFonts w:ascii="Times New Roman" w:eastAsia="Times New Roman" w:hAnsi="Times New Roman" w:cs="Times New Roman"/>
          <w:color w:val="222222"/>
          <w:sz w:val="24"/>
          <w:szCs w:val="24"/>
        </w:rPr>
        <w:t xml:space="preserve"> Preventing even a few individuals from wrongful evictions would have enormous cost-saving implications for the state.</w:t>
      </w:r>
    </w:p>
    <w:p w14:paraId="0000002E" w14:textId="77777777" w:rsidR="00DE1AF9"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Given these considerations, UWU strongly encourages the Court to approve the proposed pilot program. This is a minor and common-sense procedure that would benefit all parties.</w:t>
      </w:r>
    </w:p>
    <w:p w14:paraId="0000002F" w14:textId="77777777" w:rsidR="00DE1AF9"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CONCLUSION</w:t>
      </w:r>
    </w:p>
    <w:p w14:paraId="00000030" w14:textId="77777777" w:rsidR="00DE1AF9" w:rsidRDefault="00000000">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UWU respectfully requests the Petition amendment to Rule 11(b)(1) be accepted. This is a common-sense reform to an issue that is important to the health, safety, and well-being of tens of thousands of Arizona community members. </w:t>
      </w:r>
    </w:p>
    <w:p w14:paraId="00000031" w14:textId="77777777" w:rsidR="00DE1AF9" w:rsidRDefault="00000000">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RESPECTFULLY SUBMITTED, this 1st of </w:t>
      </w:r>
      <w:proofErr w:type="gramStart"/>
      <w:r>
        <w:rPr>
          <w:rFonts w:ascii="Times New Roman" w:eastAsia="Times New Roman" w:hAnsi="Times New Roman" w:cs="Times New Roman"/>
          <w:color w:val="222222"/>
          <w:sz w:val="24"/>
          <w:szCs w:val="24"/>
        </w:rPr>
        <w:t>May,</w:t>
      </w:r>
      <w:proofErr w:type="gramEnd"/>
      <w:r>
        <w:rPr>
          <w:rFonts w:ascii="Times New Roman" w:eastAsia="Times New Roman" w:hAnsi="Times New Roman" w:cs="Times New Roman"/>
          <w:color w:val="222222"/>
          <w:sz w:val="24"/>
          <w:szCs w:val="24"/>
        </w:rPr>
        <w:t xml:space="preserve"> 2024</w:t>
      </w:r>
    </w:p>
    <w:p w14:paraId="00000032" w14:textId="77777777" w:rsidR="00DE1AF9" w:rsidRDefault="00000000">
      <w:pPr>
        <w:shd w:val="clear" w:color="auto" w:fill="FFFFFF"/>
        <w:spacing w:line="240" w:lineRule="auto"/>
        <w:ind w:left="50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UNEMPLOYED WORKERS UNITED</w:t>
      </w:r>
    </w:p>
    <w:p w14:paraId="00000033" w14:textId="77777777" w:rsidR="00DE1AF9" w:rsidRDefault="00DE1AF9">
      <w:pPr>
        <w:shd w:val="clear" w:color="auto" w:fill="FFFFFF"/>
        <w:spacing w:line="240" w:lineRule="auto"/>
        <w:ind w:left="5040"/>
        <w:rPr>
          <w:rFonts w:ascii="Times New Roman" w:eastAsia="Times New Roman" w:hAnsi="Times New Roman" w:cs="Times New Roman"/>
          <w:color w:val="222222"/>
          <w:sz w:val="24"/>
          <w:szCs w:val="24"/>
        </w:rPr>
      </w:pPr>
    </w:p>
    <w:p w14:paraId="00000034" w14:textId="77777777" w:rsidR="00DE1AF9" w:rsidRDefault="00000000">
      <w:pPr>
        <w:shd w:val="clear" w:color="auto" w:fill="FFFFFF"/>
        <w:spacing w:line="240" w:lineRule="auto"/>
        <w:ind w:left="5040"/>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u w:val="single"/>
        </w:rPr>
        <w:t>/s/ Keally L. Cieslik</w:t>
      </w:r>
    </w:p>
    <w:p w14:paraId="00000035" w14:textId="77777777" w:rsidR="00DE1AF9" w:rsidRDefault="00000000">
      <w:pPr>
        <w:shd w:val="clear" w:color="auto" w:fill="FFFFFF"/>
        <w:spacing w:line="240" w:lineRule="auto"/>
        <w:ind w:left="5040"/>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Staff Attorney</w:t>
      </w:r>
      <w:r>
        <w:rPr>
          <w:rFonts w:ascii="Times New Roman" w:eastAsia="Times New Roman" w:hAnsi="Times New Roman" w:cs="Times New Roman"/>
          <w:color w:val="222222"/>
          <w:sz w:val="24"/>
          <w:szCs w:val="24"/>
        </w:rPr>
        <w:t xml:space="preserve"> </w:t>
      </w:r>
    </w:p>
    <w:sectPr w:rsidR="00DE1AF9">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18788" w14:textId="77777777" w:rsidR="002369B1" w:rsidRDefault="002369B1">
      <w:pPr>
        <w:spacing w:line="240" w:lineRule="auto"/>
      </w:pPr>
      <w:r>
        <w:separator/>
      </w:r>
    </w:p>
  </w:endnote>
  <w:endnote w:type="continuationSeparator" w:id="0">
    <w:p w14:paraId="66A2597B" w14:textId="77777777" w:rsidR="002369B1" w:rsidRDefault="00236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3C644BC5" w:rsidR="00DE1AF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D83F0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3153A" w14:textId="77777777" w:rsidR="002369B1" w:rsidRDefault="002369B1">
      <w:pPr>
        <w:spacing w:line="240" w:lineRule="auto"/>
      </w:pPr>
      <w:r>
        <w:separator/>
      </w:r>
    </w:p>
  </w:footnote>
  <w:footnote w:type="continuationSeparator" w:id="0">
    <w:p w14:paraId="5A76DF20" w14:textId="77777777" w:rsidR="002369B1" w:rsidRDefault="002369B1">
      <w:pPr>
        <w:spacing w:line="240" w:lineRule="auto"/>
      </w:pPr>
      <w:r>
        <w:continuationSeparator/>
      </w:r>
    </w:p>
  </w:footnote>
  <w:footnote w:id="1">
    <w:p w14:paraId="00000047"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Comment submitted by the Manufactured Housing Communities of Arizona only cites statistics from 2021 and 2022, before the post-COVID eviction spike was apparent. Manufactured Housing Communities of Arizona, Comment on Petition to Amend Rule 11(b)(1), Supreme Court No. R-24-0022 (“MHCA Comment”) at 5-6.</w:t>
      </w:r>
    </w:p>
  </w:footnote>
  <w:footnote w:id="2">
    <w:p w14:paraId="00000041"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Housing Update, Maricopa Association of Governments (June 2023), https://azmag.gov/Programs/Maps-and-Data/Land-Use-and-Housing/Housing-Data-Explorer.</w:t>
      </w:r>
    </w:p>
  </w:footnote>
  <w:footnote w:id="3">
    <w:p w14:paraId="00000042"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Phoenix, Arizona, Eviction Lab (last accessed Apr. 2024), https://evictionlab.org/eviction-tracking/phoenix-az.</w:t>
      </w:r>
    </w:p>
  </w:footnote>
  <w:footnote w:id="4">
    <w:p w14:paraId="00000043"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Maricopa County: Eviction Dashboard, Arizona State University ((last accessed Apr. 2024)), https://resilience.asu.edu/evictions-dashboard.</w:t>
      </w:r>
    </w:p>
  </w:footnote>
  <w:footnote w:id="5">
    <w:p w14:paraId="00000044" w14:textId="77777777" w:rsidR="00DE1AF9" w:rsidRDefault="00000000">
      <w:pPr>
        <w:spacing w:line="240" w:lineRule="auto"/>
        <w:rPr>
          <w:rFonts w:ascii="Times New Roman" w:eastAsia="Times New Roman" w:hAnsi="Times New Roman" w:cs="Times New Roman"/>
          <w:i/>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p>
  </w:footnote>
  <w:footnote w:id="6">
    <w:p w14:paraId="00000045"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Eviction Prevention: Reducing Harm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Households and Society, Wisconsin Institute for Research on Policy (Feb. 2023), https://www.irp.wisc.edu/resource/eviction-prevention-reducing-harm-to-households-and-society</w:t>
      </w:r>
      <w:r>
        <w:t>.</w:t>
      </w:r>
    </w:p>
  </w:footnote>
  <w:footnote w:id="7">
    <w:p w14:paraId="00000046"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Cost of Eviction Calculator, Innovation for Justice (last accessed Apr. 2024), https://uarizona.neotalogic.com/a/costofevictioncalculator. This is based on national averages—given the high cost of healthcare in Arizona, the true cost to the state is likely higher.</w:t>
      </w:r>
    </w:p>
  </w:footnote>
  <w:footnote w:id="8">
    <w:p w14:paraId="00000040"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MHCA Comment, supra note 1, at 6-9; Justice of the Peace Bench in Maricopa County, Comment on Petition to Amend Rule 11(b)(1), Supreme Court No. R-24-0022 (“Maricopa Justices Comment”), at 6-7.</w:t>
      </w:r>
    </w:p>
  </w:footnote>
  <w:footnote w:id="9">
    <w:p w14:paraId="00000037"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Justice Court Evictions, Arizona Courts (last accessed Apr. 2024), https://www.azcourts.gov/statistics/Interactive-Data-Dashboards/Justice-Court-Evictions.</w:t>
      </w:r>
    </w:p>
  </w:footnote>
  <w:footnote w:id="10">
    <w:p w14:paraId="00000048"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What’s Justice Got to Do With </w:t>
      </w:r>
      <w:proofErr w:type="gramStart"/>
      <w:r>
        <w:rPr>
          <w:rFonts w:ascii="Times New Roman" w:eastAsia="Times New Roman" w:hAnsi="Times New Roman" w:cs="Times New Roman"/>
          <w:i/>
          <w:sz w:val="20"/>
          <w:szCs w:val="20"/>
        </w:rPr>
        <w:t>It?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William E. Morris Institute for Justice (May 2020) at 22, 24, https://morrisinstituteforjustice.org/helpful-information/landlord-and-tenant/47-institute-maricopa-county-justice-courts-eviction-report-5-21-2020/file (“Despite these rules, we observed justice courts regularly grant continuances solely because the landlord attorney was unprepared. In fact, we observed courts grant continuances even when a landlord requested an immediate eviction based on a material and irreparable breach of the lease because the landlord attorney had not brought the necessary witnesses to court</w:t>
      </w:r>
      <w:proofErr w:type="gramStart"/>
      <w:r>
        <w:rPr>
          <w:rFonts w:ascii="Times New Roman" w:eastAsia="Times New Roman" w:hAnsi="Times New Roman" w:cs="Times New Roman"/>
          <w:sz w:val="20"/>
          <w:szCs w:val="20"/>
        </w:rPr>
        <w:t>. . . .</w:t>
      </w:r>
      <w:proofErr w:type="gramEnd"/>
      <w:r>
        <w:rPr>
          <w:rFonts w:ascii="Times New Roman" w:eastAsia="Times New Roman" w:hAnsi="Times New Roman" w:cs="Times New Roman"/>
          <w:sz w:val="20"/>
          <w:szCs w:val="20"/>
        </w:rPr>
        <w:t xml:space="preserve"> When the landlord attorney appears at the hearing prepared to present their case and the tenant is not prepared, the tenant’s request for a continuance may not be granted. Yet, the justices routinely grant requests for continuances by unprepared landlord attorneys.”).</w:t>
      </w:r>
    </w:p>
  </w:footnote>
  <w:footnote w:id="11">
    <w:p w14:paraId="0000003F" w14:textId="77777777" w:rsidR="00DE1AF9" w:rsidRDefault="00000000">
      <w:pPr>
        <w:spacing w:line="240" w:lineRule="auto"/>
        <w:rPr>
          <w:sz w:val="20"/>
          <w:szCs w:val="20"/>
        </w:rPr>
      </w:pPr>
      <w:r>
        <w:rPr>
          <w:rStyle w:val="FootnoteReference"/>
        </w:rPr>
        <w:footnoteRef/>
      </w:r>
      <w:r>
        <w:rPr>
          <w:rFonts w:ascii="Times New Roman" w:eastAsia="Times New Roman" w:hAnsi="Times New Roman" w:cs="Times New Roman"/>
          <w:sz w:val="20"/>
          <w:szCs w:val="20"/>
        </w:rPr>
        <w:t xml:space="preserve"> Maricopa Justices Comment, supra note 8, at 8-9.</w:t>
      </w:r>
    </w:p>
  </w:footnote>
  <w:footnote w:id="12">
    <w:p w14:paraId="00000038"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Petition to Amend Rule 11(b)(1), Supreme Court No. R-24-0022, at 5-6.</w:t>
      </w:r>
    </w:p>
  </w:footnote>
  <w:footnote w:id="13">
    <w:p w14:paraId="0000003A"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Maricopa Justices Comment, supra note 8, at 2-6.</w:t>
      </w:r>
    </w:p>
  </w:footnote>
  <w:footnote w:id="14">
    <w:p w14:paraId="0000003B"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MHCA Comment, supra note 1, at 10-11.</w:t>
      </w:r>
    </w:p>
  </w:footnote>
  <w:footnote w:id="15">
    <w:p w14:paraId="0000003C"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11.</w:t>
      </w:r>
    </w:p>
  </w:footnote>
  <w:footnote w:id="16">
    <w:p w14:paraId="0000003D"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12-14; Maricopa Justices Comment, supra note 8, at 5.</w:t>
      </w:r>
    </w:p>
  </w:footnote>
  <w:footnote w:id="17">
    <w:p w14:paraId="0000003E"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opposing comments contradict each other on the availability and use of such a Motion. MHCA maintains they are widely granted while the Maricopa Justices state they are rarely filed. </w:t>
      </w:r>
      <w:r>
        <w:rPr>
          <w:rFonts w:ascii="Times New Roman" w:eastAsia="Times New Roman" w:hAnsi="Times New Roman" w:cs="Times New Roman"/>
          <w:i/>
          <w:sz w:val="20"/>
          <w:szCs w:val="20"/>
        </w:rPr>
        <w:t>Id.</w:t>
      </w:r>
    </w:p>
  </w:footnote>
  <w:footnote w:id="18">
    <w:p w14:paraId="00000036" w14:textId="77777777" w:rsidR="00DE1AF9"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Cost of Eviction Calculator, supra note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5143C"/>
    <w:multiLevelType w:val="multilevel"/>
    <w:tmpl w:val="D0109C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C92DC3"/>
    <w:multiLevelType w:val="multilevel"/>
    <w:tmpl w:val="895C2C9E"/>
    <w:lvl w:ilvl="0">
      <w:start w:val="1"/>
      <w:numFmt w:val="upp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56792353">
    <w:abstractNumId w:val="0"/>
  </w:num>
  <w:num w:numId="2" w16cid:durableId="73940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F9"/>
    <w:rsid w:val="002369B1"/>
    <w:rsid w:val="00977CC9"/>
    <w:rsid w:val="00D83F0E"/>
    <w:rsid w:val="00DE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DAE2"/>
  <w15:docId w15:val="{856DE1B0-AA41-459B-B0ED-A4A0EA62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39BF"/>
    <w:pPr>
      <w:ind w:left="720"/>
      <w:contextualSpacing/>
    </w:pPr>
  </w:style>
  <w:style w:type="paragraph" w:styleId="FootnoteText">
    <w:name w:val="footnote text"/>
    <w:basedOn w:val="Normal"/>
    <w:link w:val="FootnoteTextChar"/>
    <w:uiPriority w:val="99"/>
    <w:semiHidden/>
    <w:unhideWhenUsed/>
    <w:rsid w:val="009227EC"/>
    <w:pPr>
      <w:spacing w:line="240" w:lineRule="auto"/>
    </w:pPr>
    <w:rPr>
      <w:sz w:val="20"/>
      <w:szCs w:val="20"/>
    </w:rPr>
  </w:style>
  <w:style w:type="character" w:customStyle="1" w:styleId="FootnoteTextChar">
    <w:name w:val="Footnote Text Char"/>
    <w:basedOn w:val="DefaultParagraphFont"/>
    <w:link w:val="FootnoteText"/>
    <w:uiPriority w:val="99"/>
    <w:semiHidden/>
    <w:rsid w:val="009227EC"/>
    <w:rPr>
      <w:sz w:val="20"/>
      <w:szCs w:val="20"/>
    </w:rPr>
  </w:style>
  <w:style w:type="character" w:styleId="FootnoteReference">
    <w:name w:val="footnote reference"/>
    <w:basedOn w:val="DefaultParagraphFont"/>
    <w:uiPriority w:val="99"/>
    <w:semiHidden/>
    <w:unhideWhenUsed/>
    <w:rsid w:val="009227EC"/>
    <w:rPr>
      <w:vertAlign w:val="superscript"/>
    </w:rPr>
  </w:style>
  <w:style w:type="character" w:styleId="Hyperlink">
    <w:name w:val="Hyperlink"/>
    <w:basedOn w:val="DefaultParagraphFont"/>
    <w:uiPriority w:val="99"/>
    <w:unhideWhenUsed/>
    <w:rsid w:val="009227EC"/>
    <w:rPr>
      <w:color w:val="0000FF"/>
      <w:u w:val="single"/>
    </w:rPr>
  </w:style>
  <w:style w:type="character" w:styleId="UnresolvedMention">
    <w:name w:val="Unresolved Mention"/>
    <w:basedOn w:val="DefaultParagraphFont"/>
    <w:uiPriority w:val="99"/>
    <w:semiHidden/>
    <w:unhideWhenUsed/>
    <w:rsid w:val="0092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eally.c@uwunite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mTzI5CrecE9aj/++ggiRteIHA==">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Stryer</dc:creator>
  <cp:lastModifiedBy>Keally Cieslik</cp:lastModifiedBy>
  <cp:revision>2</cp:revision>
  <dcterms:created xsi:type="dcterms:W3CDTF">2024-05-01T13:16:00Z</dcterms:created>
  <dcterms:modified xsi:type="dcterms:W3CDTF">2024-05-01T13:16:00Z</dcterms:modified>
</cp:coreProperties>
</file>