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BC5D3" w14:textId="52090F61" w:rsidR="000D4698" w:rsidRDefault="00EB61E6" w:rsidP="00D23559">
      <w:pPr>
        <w:widowControl w:val="0"/>
        <w:spacing w:line="240" w:lineRule="exact"/>
        <w:rPr>
          <w:sz w:val="20"/>
          <w:szCs w:val="20"/>
        </w:rPr>
      </w:pPr>
      <w:r>
        <w:rPr>
          <w:sz w:val="20"/>
          <w:szCs w:val="20"/>
        </w:rPr>
        <w:t>HULL, HOLLIDAY &amp; HOLLIDAY P.L.C.</w:t>
      </w:r>
    </w:p>
    <w:p w14:paraId="409FD1E2" w14:textId="2859CC53" w:rsidR="00EB61E6" w:rsidRDefault="00EB61E6" w:rsidP="00D23559">
      <w:pPr>
        <w:widowControl w:val="0"/>
        <w:spacing w:line="240" w:lineRule="exact"/>
        <w:rPr>
          <w:sz w:val="20"/>
          <w:szCs w:val="20"/>
        </w:rPr>
      </w:pPr>
      <w:r>
        <w:rPr>
          <w:sz w:val="20"/>
          <w:szCs w:val="20"/>
        </w:rPr>
        <w:t>7000 North 16</w:t>
      </w:r>
      <w:r w:rsidRPr="00EB61E6">
        <w:rPr>
          <w:sz w:val="20"/>
          <w:szCs w:val="20"/>
          <w:vertAlign w:val="superscript"/>
        </w:rPr>
        <w:t>th</w:t>
      </w:r>
      <w:r>
        <w:rPr>
          <w:sz w:val="20"/>
          <w:szCs w:val="20"/>
        </w:rPr>
        <w:t xml:space="preserve"> Street, Suite 120-#484</w:t>
      </w:r>
    </w:p>
    <w:p w14:paraId="180056EF" w14:textId="63A7F6A0" w:rsidR="00EB61E6" w:rsidRDefault="00EB61E6" w:rsidP="00D23559">
      <w:pPr>
        <w:widowControl w:val="0"/>
        <w:spacing w:line="240" w:lineRule="exact"/>
        <w:rPr>
          <w:sz w:val="20"/>
          <w:szCs w:val="20"/>
        </w:rPr>
      </w:pPr>
      <w:r>
        <w:rPr>
          <w:sz w:val="20"/>
          <w:szCs w:val="20"/>
        </w:rPr>
        <w:t>Phoenix, Arizona 85020-5547</w:t>
      </w:r>
    </w:p>
    <w:p w14:paraId="3DAD376F" w14:textId="6D11D296" w:rsidR="00EB61E6" w:rsidRDefault="00EB61E6" w:rsidP="00D23559">
      <w:pPr>
        <w:widowControl w:val="0"/>
        <w:spacing w:line="240" w:lineRule="exact"/>
        <w:rPr>
          <w:i/>
          <w:sz w:val="20"/>
          <w:szCs w:val="20"/>
        </w:rPr>
      </w:pPr>
      <w:r>
        <w:rPr>
          <w:sz w:val="20"/>
          <w:szCs w:val="20"/>
        </w:rPr>
        <w:t xml:space="preserve">(602) 230-0088 </w:t>
      </w:r>
      <w:r w:rsidRPr="00EB61E6">
        <w:rPr>
          <w:i/>
          <w:sz w:val="20"/>
          <w:szCs w:val="20"/>
        </w:rPr>
        <w:t>office</w:t>
      </w:r>
      <w:r>
        <w:rPr>
          <w:i/>
          <w:sz w:val="20"/>
          <w:szCs w:val="20"/>
        </w:rPr>
        <w:t xml:space="preserve">; </w:t>
      </w:r>
      <w:r>
        <w:rPr>
          <w:sz w:val="20"/>
          <w:szCs w:val="20"/>
        </w:rPr>
        <w:t>(602) 230-</w:t>
      </w:r>
      <w:r w:rsidR="005974F8">
        <w:rPr>
          <w:sz w:val="20"/>
          <w:szCs w:val="20"/>
        </w:rPr>
        <w:t xml:space="preserve">7421 </w:t>
      </w:r>
      <w:r w:rsidR="005974F8" w:rsidRPr="005974F8">
        <w:rPr>
          <w:i/>
          <w:sz w:val="20"/>
          <w:szCs w:val="20"/>
        </w:rPr>
        <w:t>fax</w:t>
      </w:r>
    </w:p>
    <w:p w14:paraId="5FC8AF7D" w14:textId="494BD004" w:rsidR="005974F8" w:rsidRDefault="006C4F6B" w:rsidP="00D23559">
      <w:pPr>
        <w:widowControl w:val="0"/>
        <w:spacing w:line="240" w:lineRule="exact"/>
        <w:rPr>
          <w:sz w:val="20"/>
          <w:szCs w:val="20"/>
        </w:rPr>
      </w:pPr>
      <w:hyperlink r:id="rId8" w:history="1">
        <w:r w:rsidR="005974F8" w:rsidRPr="00A24117">
          <w:rPr>
            <w:rStyle w:val="Hyperlink"/>
            <w:sz w:val="20"/>
            <w:szCs w:val="20"/>
          </w:rPr>
          <w:t>attorney@h3landlordlaw.com</w:t>
        </w:r>
      </w:hyperlink>
    </w:p>
    <w:p w14:paraId="09990840" w14:textId="686062E0" w:rsidR="005974F8" w:rsidRDefault="005974F8" w:rsidP="00D23559">
      <w:pPr>
        <w:widowControl w:val="0"/>
        <w:spacing w:line="240" w:lineRule="exact"/>
        <w:rPr>
          <w:sz w:val="20"/>
          <w:szCs w:val="20"/>
        </w:rPr>
      </w:pPr>
      <w:r>
        <w:rPr>
          <w:sz w:val="20"/>
          <w:szCs w:val="20"/>
        </w:rPr>
        <w:t xml:space="preserve"> Andrew M. Hull, AZ Bar 004153</w:t>
      </w:r>
    </w:p>
    <w:p w14:paraId="54BE27D4" w14:textId="0ACC8125" w:rsidR="005974F8" w:rsidRDefault="005974F8" w:rsidP="00D23559">
      <w:pPr>
        <w:widowControl w:val="0"/>
        <w:spacing w:line="240" w:lineRule="exact"/>
        <w:rPr>
          <w:sz w:val="20"/>
          <w:szCs w:val="20"/>
        </w:rPr>
      </w:pPr>
      <w:r>
        <w:rPr>
          <w:sz w:val="20"/>
          <w:szCs w:val="20"/>
        </w:rPr>
        <w:t>Denise M. Holliday, AZ Bar 017275</w:t>
      </w:r>
    </w:p>
    <w:p w14:paraId="6283250E" w14:textId="1A0438B8" w:rsidR="005974F8" w:rsidRDefault="005974F8" w:rsidP="00D23559">
      <w:pPr>
        <w:widowControl w:val="0"/>
        <w:spacing w:line="240" w:lineRule="exact"/>
        <w:rPr>
          <w:sz w:val="20"/>
          <w:szCs w:val="20"/>
        </w:rPr>
      </w:pPr>
      <w:r>
        <w:rPr>
          <w:sz w:val="20"/>
          <w:szCs w:val="20"/>
        </w:rPr>
        <w:t>Kevin W. Holliday, AZ Bar 017276</w:t>
      </w:r>
    </w:p>
    <w:p w14:paraId="2F00A284" w14:textId="32E72110" w:rsidR="005974F8" w:rsidRDefault="005974F8" w:rsidP="00D23559">
      <w:pPr>
        <w:widowControl w:val="0"/>
        <w:spacing w:line="240" w:lineRule="exact"/>
        <w:rPr>
          <w:sz w:val="20"/>
          <w:szCs w:val="20"/>
        </w:rPr>
      </w:pPr>
      <w:r>
        <w:rPr>
          <w:sz w:val="20"/>
          <w:szCs w:val="20"/>
        </w:rPr>
        <w:t>Matthew R. Schlabach, AZ Bar 034118</w:t>
      </w:r>
    </w:p>
    <w:p w14:paraId="67EC359B" w14:textId="0DB20ECF" w:rsidR="005974F8" w:rsidRDefault="005974F8" w:rsidP="00D23559">
      <w:pPr>
        <w:widowControl w:val="0"/>
        <w:spacing w:line="240" w:lineRule="exact"/>
        <w:rPr>
          <w:sz w:val="20"/>
          <w:szCs w:val="20"/>
        </w:rPr>
      </w:pPr>
      <w:r>
        <w:rPr>
          <w:sz w:val="20"/>
          <w:szCs w:val="20"/>
        </w:rPr>
        <w:t>Christopher T. Hoynicki, AZ Bar 034118</w:t>
      </w:r>
    </w:p>
    <w:p w14:paraId="02EED19A" w14:textId="77B857D2" w:rsidR="005974F8" w:rsidRDefault="005974F8" w:rsidP="00D23559">
      <w:pPr>
        <w:widowControl w:val="0"/>
        <w:spacing w:line="240" w:lineRule="exact"/>
        <w:rPr>
          <w:sz w:val="20"/>
          <w:szCs w:val="20"/>
        </w:rPr>
      </w:pPr>
      <w:r>
        <w:rPr>
          <w:sz w:val="20"/>
          <w:szCs w:val="20"/>
        </w:rPr>
        <w:t>Judy Drickey-Prohow, AZ Bar 005796</w:t>
      </w:r>
    </w:p>
    <w:p w14:paraId="17D71E0E" w14:textId="716E0D4B" w:rsidR="00921D55" w:rsidRPr="005974F8" w:rsidRDefault="00921D55" w:rsidP="00D23559">
      <w:pPr>
        <w:widowControl w:val="0"/>
        <w:spacing w:line="240" w:lineRule="exact"/>
        <w:rPr>
          <w:sz w:val="20"/>
          <w:szCs w:val="20"/>
        </w:rPr>
      </w:pPr>
      <w:r>
        <w:rPr>
          <w:sz w:val="20"/>
          <w:szCs w:val="20"/>
        </w:rPr>
        <w:t>Brandy</w:t>
      </w:r>
      <w:r w:rsidR="00DA6A33">
        <w:rPr>
          <w:sz w:val="20"/>
          <w:szCs w:val="20"/>
        </w:rPr>
        <w:t xml:space="preserve"> </w:t>
      </w:r>
      <w:r>
        <w:rPr>
          <w:sz w:val="20"/>
          <w:szCs w:val="20"/>
        </w:rPr>
        <w:t>Aguero, AZ Bar 033273</w:t>
      </w:r>
    </w:p>
    <w:p w14:paraId="51AA9B7F" w14:textId="77777777" w:rsidR="005C3F6C" w:rsidRDefault="005C3F6C" w:rsidP="00D23559">
      <w:pPr>
        <w:widowControl w:val="0"/>
        <w:spacing w:line="240" w:lineRule="exact"/>
        <w:rPr>
          <w:i/>
          <w:sz w:val="20"/>
          <w:szCs w:val="20"/>
        </w:rPr>
      </w:pPr>
    </w:p>
    <w:p w14:paraId="4BCAA9FD" w14:textId="77777777" w:rsidR="00570545" w:rsidRPr="00424576" w:rsidRDefault="00570545" w:rsidP="00570545">
      <w:pPr>
        <w:jc w:val="center"/>
        <w:rPr>
          <w:sz w:val="26"/>
          <w:szCs w:val="26"/>
        </w:rPr>
      </w:pPr>
      <w:r w:rsidRPr="00424576">
        <w:rPr>
          <w:sz w:val="26"/>
          <w:szCs w:val="26"/>
        </w:rPr>
        <w:t>ARIZONA SUPREME COURT</w:t>
      </w:r>
    </w:p>
    <w:p w14:paraId="38E82F92" w14:textId="77777777" w:rsidR="00570545" w:rsidRPr="00424576" w:rsidRDefault="00570545" w:rsidP="00570545">
      <w:pPr>
        <w:jc w:val="center"/>
        <w:rPr>
          <w:sz w:val="26"/>
          <w:szCs w:val="26"/>
        </w:rPr>
      </w:pPr>
      <w:r w:rsidRPr="00424576">
        <w:rPr>
          <w:sz w:val="26"/>
          <w:szCs w:val="26"/>
        </w:rPr>
        <w:t>STATE OF ARIZONA</w:t>
      </w:r>
    </w:p>
    <w:p w14:paraId="3E75B3A7" w14:textId="77777777" w:rsidR="00570545" w:rsidRPr="00424576" w:rsidRDefault="00570545" w:rsidP="00570545">
      <w:pPr>
        <w:jc w:val="center"/>
        <w:rPr>
          <w:sz w:val="26"/>
          <w:szCs w:val="26"/>
        </w:rPr>
      </w:pPr>
    </w:p>
    <w:p w14:paraId="4479EFAD" w14:textId="77777777" w:rsidR="00570545" w:rsidRPr="00424576" w:rsidRDefault="00570545" w:rsidP="00570545">
      <w:pPr>
        <w:rPr>
          <w:sz w:val="26"/>
          <w:szCs w:val="26"/>
        </w:rPr>
      </w:pPr>
      <w:r w:rsidRPr="00424576">
        <w:rPr>
          <w:sz w:val="26"/>
          <w:szCs w:val="26"/>
        </w:rPr>
        <w:t>IN THE MATTER OF:</w:t>
      </w:r>
      <w:r w:rsidRPr="00424576">
        <w:rPr>
          <w:sz w:val="26"/>
          <w:szCs w:val="26"/>
        </w:rPr>
        <w:tab/>
      </w:r>
      <w:r w:rsidRPr="00424576">
        <w:rPr>
          <w:sz w:val="26"/>
          <w:szCs w:val="26"/>
        </w:rPr>
        <w:tab/>
      </w:r>
      <w:r w:rsidRPr="00424576">
        <w:rPr>
          <w:sz w:val="26"/>
          <w:szCs w:val="26"/>
        </w:rPr>
        <w:tab/>
      </w:r>
      <w:r w:rsidRPr="00424576">
        <w:rPr>
          <w:sz w:val="26"/>
          <w:szCs w:val="26"/>
        </w:rPr>
        <w:tab/>
        <w:t>)</w:t>
      </w:r>
      <w:r w:rsidRPr="00424576">
        <w:rPr>
          <w:sz w:val="26"/>
          <w:szCs w:val="26"/>
        </w:rPr>
        <w:tab/>
        <w:t>Supreme Court No. R-24-002</w:t>
      </w:r>
      <w:r>
        <w:rPr>
          <w:sz w:val="26"/>
          <w:szCs w:val="26"/>
        </w:rPr>
        <w:t>4</w:t>
      </w:r>
    </w:p>
    <w:p w14:paraId="14EC89CE" w14:textId="77777777" w:rsidR="00570545" w:rsidRPr="00424576" w:rsidRDefault="00570545" w:rsidP="00570545">
      <w:pPr>
        <w:rPr>
          <w:sz w:val="26"/>
          <w:szCs w:val="26"/>
        </w:rPr>
      </w:pPr>
      <w:r w:rsidRPr="00424576">
        <w:rPr>
          <w:sz w:val="26"/>
          <w:szCs w:val="26"/>
        </w:rPr>
        <w:tab/>
      </w:r>
      <w:r w:rsidRPr="00424576">
        <w:rPr>
          <w:sz w:val="26"/>
          <w:szCs w:val="26"/>
        </w:rPr>
        <w:tab/>
      </w:r>
      <w:r w:rsidRPr="00424576">
        <w:rPr>
          <w:sz w:val="26"/>
          <w:szCs w:val="26"/>
        </w:rPr>
        <w:tab/>
      </w:r>
      <w:r w:rsidRPr="00424576">
        <w:rPr>
          <w:sz w:val="26"/>
          <w:szCs w:val="26"/>
        </w:rPr>
        <w:tab/>
      </w:r>
      <w:r w:rsidRPr="00424576">
        <w:rPr>
          <w:sz w:val="26"/>
          <w:szCs w:val="26"/>
        </w:rPr>
        <w:tab/>
      </w:r>
      <w:r w:rsidRPr="00424576">
        <w:rPr>
          <w:sz w:val="26"/>
          <w:szCs w:val="26"/>
        </w:rPr>
        <w:tab/>
      </w:r>
      <w:r>
        <w:rPr>
          <w:sz w:val="26"/>
          <w:szCs w:val="26"/>
        </w:rPr>
        <w:t xml:space="preserve"> </w:t>
      </w:r>
      <w:r>
        <w:rPr>
          <w:sz w:val="26"/>
          <w:szCs w:val="26"/>
        </w:rPr>
        <w:tab/>
      </w:r>
      <w:r w:rsidRPr="00424576">
        <w:rPr>
          <w:sz w:val="26"/>
          <w:szCs w:val="26"/>
        </w:rPr>
        <w:t>)</w:t>
      </w:r>
    </w:p>
    <w:p w14:paraId="516F6207" w14:textId="260C3749" w:rsidR="00570545" w:rsidRPr="00424576" w:rsidRDefault="00570545" w:rsidP="00570545">
      <w:pPr>
        <w:rPr>
          <w:sz w:val="26"/>
          <w:szCs w:val="26"/>
        </w:rPr>
      </w:pPr>
      <w:r w:rsidRPr="00424576">
        <w:rPr>
          <w:sz w:val="26"/>
          <w:szCs w:val="26"/>
        </w:rPr>
        <w:t>Petition to Amend</w:t>
      </w:r>
      <w:r>
        <w:rPr>
          <w:sz w:val="26"/>
          <w:szCs w:val="26"/>
        </w:rPr>
        <w:t xml:space="preserve"> Rule 5(d)</w:t>
      </w:r>
      <w:r w:rsidRPr="00424576">
        <w:rPr>
          <w:sz w:val="26"/>
          <w:szCs w:val="26"/>
        </w:rPr>
        <w:tab/>
      </w:r>
      <w:r w:rsidRPr="00424576">
        <w:rPr>
          <w:sz w:val="26"/>
          <w:szCs w:val="26"/>
        </w:rPr>
        <w:tab/>
      </w:r>
      <w:r w:rsidRPr="00424576">
        <w:rPr>
          <w:sz w:val="26"/>
          <w:szCs w:val="26"/>
        </w:rPr>
        <w:tab/>
        <w:t>)</w:t>
      </w:r>
      <w:r w:rsidRPr="00424576">
        <w:rPr>
          <w:sz w:val="26"/>
          <w:szCs w:val="26"/>
        </w:rPr>
        <w:tab/>
        <w:t xml:space="preserve">Comments in Opposition to </w:t>
      </w:r>
    </w:p>
    <w:p w14:paraId="3910773E" w14:textId="5540BE69" w:rsidR="00570545" w:rsidRPr="00424576" w:rsidRDefault="00570545" w:rsidP="00570545">
      <w:pPr>
        <w:rPr>
          <w:sz w:val="26"/>
          <w:szCs w:val="26"/>
        </w:rPr>
      </w:pPr>
      <w:r w:rsidRPr="00424576">
        <w:rPr>
          <w:sz w:val="26"/>
          <w:szCs w:val="26"/>
        </w:rPr>
        <w:t>Of the Rules of Procedure for</w:t>
      </w:r>
      <w:r w:rsidRPr="00424576">
        <w:rPr>
          <w:sz w:val="26"/>
          <w:szCs w:val="26"/>
        </w:rPr>
        <w:tab/>
      </w:r>
      <w:r>
        <w:rPr>
          <w:sz w:val="26"/>
          <w:szCs w:val="26"/>
        </w:rPr>
        <w:tab/>
      </w:r>
      <w:r>
        <w:rPr>
          <w:sz w:val="26"/>
          <w:szCs w:val="26"/>
        </w:rPr>
        <w:tab/>
        <w:t xml:space="preserve">)          Petition to Amend Rule 5(d) of the Rules of Procedure for </w:t>
      </w:r>
      <w:r>
        <w:rPr>
          <w:sz w:val="26"/>
          <w:szCs w:val="26"/>
        </w:rPr>
        <w:tab/>
      </w:r>
      <w:r>
        <w:rPr>
          <w:sz w:val="26"/>
          <w:szCs w:val="26"/>
        </w:rPr>
        <w:tab/>
      </w:r>
      <w:r>
        <w:rPr>
          <w:sz w:val="26"/>
          <w:szCs w:val="26"/>
        </w:rPr>
        <w:tab/>
      </w:r>
      <w:r>
        <w:rPr>
          <w:sz w:val="26"/>
          <w:szCs w:val="26"/>
        </w:rPr>
        <w:tab/>
        <w:t xml:space="preserve">)          Rules of Procedure for Eviction </w:t>
      </w:r>
    </w:p>
    <w:p w14:paraId="47BB510D" w14:textId="2FD59338" w:rsidR="00570545" w:rsidRPr="00424576" w:rsidRDefault="00570545" w:rsidP="00570545">
      <w:pPr>
        <w:rPr>
          <w:sz w:val="26"/>
          <w:szCs w:val="26"/>
        </w:rPr>
      </w:pPr>
      <w:r w:rsidRPr="00424576">
        <w:rPr>
          <w:sz w:val="26"/>
          <w:szCs w:val="26"/>
        </w:rPr>
        <w:t>Eviction Action</w:t>
      </w:r>
      <w:r w:rsidRPr="00424576">
        <w:rPr>
          <w:sz w:val="26"/>
          <w:szCs w:val="26"/>
        </w:rPr>
        <w:tab/>
      </w:r>
      <w:r w:rsidRPr="00424576">
        <w:rPr>
          <w:sz w:val="26"/>
          <w:szCs w:val="26"/>
        </w:rPr>
        <w:tab/>
      </w:r>
      <w:r w:rsidRPr="00424576">
        <w:rPr>
          <w:sz w:val="26"/>
          <w:szCs w:val="26"/>
        </w:rPr>
        <w:tab/>
      </w:r>
      <w:r w:rsidRPr="00424576">
        <w:rPr>
          <w:sz w:val="26"/>
          <w:szCs w:val="26"/>
        </w:rPr>
        <w:tab/>
      </w:r>
      <w:r w:rsidRPr="00424576">
        <w:rPr>
          <w:sz w:val="26"/>
          <w:szCs w:val="26"/>
        </w:rPr>
        <w:tab/>
        <w:t>)</w:t>
      </w:r>
      <w:r>
        <w:rPr>
          <w:sz w:val="26"/>
          <w:szCs w:val="26"/>
        </w:rPr>
        <w:tab/>
        <w:t>Actions</w:t>
      </w:r>
    </w:p>
    <w:p w14:paraId="78213D28" w14:textId="77777777" w:rsidR="00570545" w:rsidRPr="00424576" w:rsidRDefault="00570545" w:rsidP="00570545">
      <w:pPr>
        <w:pBdr>
          <w:bottom w:val="single" w:sz="12" w:space="1" w:color="auto"/>
        </w:pBdr>
        <w:rPr>
          <w:sz w:val="26"/>
          <w:szCs w:val="26"/>
        </w:rPr>
      </w:pPr>
    </w:p>
    <w:p w14:paraId="2E3414C7" w14:textId="77777777" w:rsidR="00570545" w:rsidRPr="00424576" w:rsidRDefault="00570545" w:rsidP="00570545">
      <w:pPr>
        <w:rPr>
          <w:sz w:val="26"/>
          <w:szCs w:val="26"/>
        </w:rPr>
      </w:pPr>
    </w:p>
    <w:p w14:paraId="1F0DE9B1" w14:textId="2935B8FD" w:rsidR="00570545" w:rsidRPr="003E5EEB" w:rsidRDefault="00570545" w:rsidP="00570545">
      <w:pPr>
        <w:spacing w:line="480" w:lineRule="auto"/>
        <w:ind w:firstLine="720"/>
        <w:jc w:val="both"/>
        <w:rPr>
          <w:sz w:val="26"/>
          <w:szCs w:val="26"/>
        </w:rPr>
      </w:pPr>
      <w:r w:rsidRPr="003E5EEB">
        <w:rPr>
          <w:sz w:val="26"/>
          <w:szCs w:val="26"/>
        </w:rPr>
        <w:t>Commenting party, Hull, Holliday &amp; Holliday, PLC, hereby opposes the Petition to Amend Rule 5(d) of the rules of Procedure for Eviction Actions (“RPEA”) filed by Community Legal Services (“CLS”), DNA People’s Legal Services (“DNA”), and Southern Arizona Legal Aid (“SALA”) (collectively “Legal Services”) and the William E. Morris Institute for Justice (“MIJ”) on or about January 10, 2024.</w:t>
      </w:r>
    </w:p>
    <w:p w14:paraId="4FE68477" w14:textId="648736DF" w:rsidR="004E75FA" w:rsidRDefault="00761242" w:rsidP="00570545">
      <w:pPr>
        <w:widowControl w:val="0"/>
        <w:spacing w:line="480" w:lineRule="auto"/>
        <w:jc w:val="both"/>
        <w:rPr>
          <w:sz w:val="26"/>
          <w:szCs w:val="20"/>
        </w:rPr>
      </w:pPr>
      <w:r w:rsidRPr="003E5EEB">
        <w:rPr>
          <w:sz w:val="26"/>
          <w:szCs w:val="20"/>
        </w:rPr>
        <w:tab/>
        <w:t>The proposed rule change would alter the date upon which a landlord can file an eviction complaint for non-payment of rent for properties that are covered under the Keeping American Workers Paid and Employed Act, 15 U.S.C. §9058 subpart A, Coronavirus Economic Stabilization</w:t>
      </w:r>
      <w:r w:rsidR="008F187C">
        <w:rPr>
          <w:sz w:val="26"/>
          <w:szCs w:val="20"/>
        </w:rPr>
        <w:t>,</w:t>
      </w:r>
      <w:r w:rsidRPr="003E5EEB">
        <w:rPr>
          <w:sz w:val="26"/>
          <w:szCs w:val="20"/>
        </w:rPr>
        <w:t xml:space="preserve"> </w:t>
      </w:r>
      <w:hyperlink r:id="rId9" w:history="1">
        <w:r w:rsidR="004E75FA" w:rsidRPr="008F187C">
          <w:rPr>
            <w:rStyle w:val="Hyperlink"/>
            <w:color w:val="auto"/>
            <w:sz w:val="26"/>
            <w:szCs w:val="20"/>
            <w:u w:val="none"/>
          </w:rPr>
          <w:t>https://www.law.cornell.edu/uscode/text/15/9058 a.k.a</w:t>
        </w:r>
      </w:hyperlink>
      <w:r w:rsidR="004E75FA" w:rsidRPr="008F187C">
        <w:rPr>
          <w:sz w:val="26"/>
          <w:szCs w:val="20"/>
        </w:rPr>
        <w:t>.</w:t>
      </w:r>
      <w:r w:rsidR="004E75FA" w:rsidRPr="003E5EEB">
        <w:rPr>
          <w:sz w:val="26"/>
          <w:szCs w:val="20"/>
        </w:rPr>
        <w:t xml:space="preserve"> the C</w:t>
      </w:r>
      <w:r w:rsidR="005C7929">
        <w:rPr>
          <w:sz w:val="26"/>
          <w:szCs w:val="20"/>
        </w:rPr>
        <w:t>ARES</w:t>
      </w:r>
      <w:r w:rsidR="004E75FA" w:rsidRPr="003E5EEB">
        <w:rPr>
          <w:sz w:val="26"/>
          <w:szCs w:val="20"/>
        </w:rPr>
        <w:t xml:space="preserve"> Act, </w:t>
      </w:r>
      <w:r w:rsidRPr="003E5EEB">
        <w:rPr>
          <w:sz w:val="26"/>
          <w:szCs w:val="20"/>
        </w:rPr>
        <w:t xml:space="preserve">from five (5) calendar days after the tenant receives a notice for non-payment of rent to thirty </w:t>
      </w:r>
      <w:r w:rsidR="004E75FA" w:rsidRPr="003E5EEB">
        <w:rPr>
          <w:sz w:val="26"/>
          <w:szCs w:val="20"/>
        </w:rPr>
        <w:t xml:space="preserve">(30) </w:t>
      </w:r>
      <w:r w:rsidRPr="003E5EEB">
        <w:rPr>
          <w:sz w:val="26"/>
          <w:szCs w:val="20"/>
        </w:rPr>
        <w:t>calendar days after the tenant receives that notice. Nothing in federal law requires this change in Arizona law or procedure, and there is</w:t>
      </w:r>
      <w:r w:rsidR="005C7929">
        <w:rPr>
          <w:sz w:val="26"/>
          <w:szCs w:val="20"/>
        </w:rPr>
        <w:t xml:space="preserve"> no reasonable basis for it</w:t>
      </w:r>
      <w:r w:rsidR="004E75FA" w:rsidRPr="003E5EEB">
        <w:rPr>
          <w:sz w:val="26"/>
          <w:szCs w:val="20"/>
        </w:rPr>
        <w:t xml:space="preserve">. </w:t>
      </w:r>
    </w:p>
    <w:p w14:paraId="71E55EA0" w14:textId="57B12922" w:rsidR="00C56811" w:rsidRDefault="00C56811" w:rsidP="00570545">
      <w:pPr>
        <w:widowControl w:val="0"/>
        <w:spacing w:line="480" w:lineRule="auto"/>
        <w:jc w:val="both"/>
        <w:rPr>
          <w:sz w:val="26"/>
          <w:szCs w:val="20"/>
        </w:rPr>
      </w:pPr>
      <w:r>
        <w:rPr>
          <w:sz w:val="26"/>
          <w:szCs w:val="20"/>
        </w:rPr>
        <w:lastRenderedPageBreak/>
        <w:tab/>
      </w:r>
      <w:r w:rsidR="005C7929">
        <w:rPr>
          <w:sz w:val="26"/>
          <w:szCs w:val="20"/>
        </w:rPr>
        <w:t xml:space="preserve">Petitioner’s proposal </w:t>
      </w:r>
      <w:r>
        <w:rPr>
          <w:sz w:val="26"/>
          <w:szCs w:val="20"/>
        </w:rPr>
        <w:t xml:space="preserve">would also require landlords to provide written notification, with (unidentified specifics) as to whether a property is a covered property under </w:t>
      </w:r>
      <w:r w:rsidRPr="003E5EEB">
        <w:rPr>
          <w:sz w:val="26"/>
          <w:szCs w:val="20"/>
        </w:rPr>
        <w:t>15 U.S.C. §9058</w:t>
      </w:r>
      <w:r>
        <w:rPr>
          <w:sz w:val="26"/>
          <w:szCs w:val="20"/>
        </w:rPr>
        <w:t>.</w:t>
      </w:r>
      <w:r w:rsidR="005C7929">
        <w:rPr>
          <w:sz w:val="26"/>
          <w:szCs w:val="20"/>
        </w:rPr>
        <w:t xml:space="preserve"> </w:t>
      </w:r>
    </w:p>
    <w:p w14:paraId="5030705B" w14:textId="705FA613" w:rsidR="00C56811" w:rsidRDefault="00C56811" w:rsidP="00570545">
      <w:pPr>
        <w:widowControl w:val="0"/>
        <w:spacing w:line="480" w:lineRule="auto"/>
        <w:jc w:val="both"/>
        <w:rPr>
          <w:sz w:val="26"/>
          <w:szCs w:val="20"/>
        </w:rPr>
      </w:pPr>
      <w:r>
        <w:rPr>
          <w:sz w:val="26"/>
          <w:szCs w:val="20"/>
        </w:rPr>
        <w:tab/>
        <w:t xml:space="preserve">Neither of these changes </w:t>
      </w:r>
      <w:r w:rsidR="006914ED">
        <w:rPr>
          <w:sz w:val="26"/>
          <w:szCs w:val="20"/>
        </w:rPr>
        <w:t>are</w:t>
      </w:r>
      <w:r>
        <w:rPr>
          <w:sz w:val="26"/>
          <w:szCs w:val="20"/>
        </w:rPr>
        <w:t xml:space="preserve"> either necessary or desirable under the Rules of Procedure for Evictions, nor are </w:t>
      </w:r>
      <w:r w:rsidR="008F187C">
        <w:rPr>
          <w:sz w:val="26"/>
          <w:szCs w:val="20"/>
        </w:rPr>
        <w:t>either</w:t>
      </w:r>
      <w:r>
        <w:rPr>
          <w:sz w:val="26"/>
          <w:szCs w:val="20"/>
        </w:rPr>
        <w:t xml:space="preserve"> of them required or contemplated by any federal or state statute.</w:t>
      </w:r>
    </w:p>
    <w:p w14:paraId="168A7578" w14:textId="2BD75C00" w:rsidR="00C56811" w:rsidRDefault="00C56811" w:rsidP="00570545">
      <w:pPr>
        <w:widowControl w:val="0"/>
        <w:spacing w:line="480" w:lineRule="auto"/>
        <w:jc w:val="both"/>
        <w:rPr>
          <w:sz w:val="26"/>
          <w:szCs w:val="20"/>
        </w:rPr>
      </w:pPr>
      <w:r>
        <w:rPr>
          <w:sz w:val="26"/>
          <w:szCs w:val="20"/>
        </w:rPr>
        <w:tab/>
        <w:t xml:space="preserve">The practical effect of these proposed changes is that tenants will be evicted with a higher debt load than currently exists and landlords will be out of pocket for </w:t>
      </w:r>
      <w:r w:rsidR="008F187C">
        <w:rPr>
          <w:sz w:val="26"/>
          <w:szCs w:val="20"/>
        </w:rPr>
        <w:t xml:space="preserve">at least </w:t>
      </w:r>
      <w:r>
        <w:rPr>
          <w:sz w:val="26"/>
          <w:szCs w:val="20"/>
        </w:rPr>
        <w:t>two months’ rent instead of one.</w:t>
      </w:r>
    </w:p>
    <w:p w14:paraId="723A7370" w14:textId="7A87626C" w:rsidR="0099019C" w:rsidRDefault="0099019C" w:rsidP="0099019C">
      <w:pPr>
        <w:pStyle w:val="ListParagraph"/>
        <w:widowControl w:val="0"/>
        <w:numPr>
          <w:ilvl w:val="0"/>
          <w:numId w:val="14"/>
        </w:numPr>
        <w:ind w:left="360"/>
        <w:jc w:val="center"/>
        <w:rPr>
          <w:rFonts w:ascii="Times New Roman Bold" w:hAnsi="Times New Roman Bold" w:cs="Times New Roman (Body CS)"/>
          <w:b/>
          <w:sz w:val="26"/>
          <w:szCs w:val="20"/>
        </w:rPr>
      </w:pPr>
      <w:r w:rsidRPr="0099019C">
        <w:rPr>
          <w:rFonts w:ascii="Times New Roman Bold" w:hAnsi="Times New Roman Bold" w:cs="Times New Roman (Body CS)"/>
          <w:b/>
          <w:sz w:val="26"/>
          <w:szCs w:val="20"/>
        </w:rPr>
        <w:t xml:space="preserve">Rule 5(d) should not be changed to require that landlords provide </w:t>
      </w:r>
      <w:r w:rsidR="007226EA">
        <w:rPr>
          <w:rFonts w:ascii="Times New Roman Bold" w:hAnsi="Times New Roman Bold" w:cs="Times New Roman (Body CS)"/>
          <w:b/>
          <w:sz w:val="26"/>
          <w:szCs w:val="20"/>
        </w:rPr>
        <w:t>a T</w:t>
      </w:r>
      <w:r w:rsidRPr="0099019C">
        <w:rPr>
          <w:rFonts w:ascii="Times New Roman Bold" w:hAnsi="Times New Roman Bold" w:cs="Times New Roman (Body CS)"/>
          <w:b/>
          <w:sz w:val="26"/>
          <w:szCs w:val="20"/>
        </w:rPr>
        <w:t>hirty-</w:t>
      </w:r>
      <w:r w:rsidR="007226EA">
        <w:rPr>
          <w:rFonts w:ascii="Times New Roman Bold" w:hAnsi="Times New Roman Bold" w:cs="Times New Roman (Body CS)"/>
          <w:b/>
          <w:sz w:val="26"/>
          <w:szCs w:val="20"/>
        </w:rPr>
        <w:t>D</w:t>
      </w:r>
      <w:r w:rsidRPr="0099019C">
        <w:rPr>
          <w:rFonts w:ascii="Times New Roman Bold" w:hAnsi="Times New Roman Bold" w:cs="Times New Roman (Body CS)"/>
          <w:b/>
          <w:sz w:val="26"/>
          <w:szCs w:val="20"/>
        </w:rPr>
        <w:t>ay notice before the filing of an eviction complaint for non-payment of rent.</w:t>
      </w:r>
    </w:p>
    <w:p w14:paraId="0213CF74" w14:textId="77777777" w:rsidR="008F187C" w:rsidRDefault="008F187C" w:rsidP="008F187C">
      <w:pPr>
        <w:widowControl w:val="0"/>
        <w:rPr>
          <w:rFonts w:ascii="Times New Roman Bold" w:hAnsi="Times New Roman Bold" w:cs="Times New Roman (Body CS)"/>
          <w:b/>
          <w:sz w:val="26"/>
          <w:szCs w:val="20"/>
        </w:rPr>
      </w:pPr>
    </w:p>
    <w:p w14:paraId="0A9EAA08" w14:textId="4732C683" w:rsidR="008F187C" w:rsidRPr="008F187C" w:rsidRDefault="008F187C" w:rsidP="00D25D6C">
      <w:pPr>
        <w:widowControl w:val="0"/>
        <w:spacing w:line="480" w:lineRule="auto"/>
        <w:ind w:firstLine="720"/>
        <w:jc w:val="both"/>
        <w:rPr>
          <w:rFonts w:cs="Times New Roman (Body CS)"/>
          <w:sz w:val="26"/>
          <w:szCs w:val="20"/>
        </w:rPr>
      </w:pPr>
      <w:r>
        <w:rPr>
          <w:rFonts w:cs="Times New Roman (Body CS)"/>
          <w:sz w:val="26"/>
          <w:szCs w:val="20"/>
        </w:rPr>
        <w:t>Nothing in the CARES Act requires landlords to provide thirty (30) days’ notice to tenants before they can file an eviction complaint for non-payment of rent. Petitioners</w:t>
      </w:r>
      <w:r w:rsidR="005A5107">
        <w:rPr>
          <w:rFonts w:cs="Times New Roman (Body CS)"/>
          <w:sz w:val="26"/>
          <w:szCs w:val="20"/>
        </w:rPr>
        <w:t>’</w:t>
      </w:r>
      <w:r>
        <w:rPr>
          <w:rFonts w:cs="Times New Roman (Body CS)"/>
          <w:sz w:val="26"/>
          <w:szCs w:val="20"/>
        </w:rPr>
        <w:t xml:space="preserve"> assertion to the contrary misstates the law and </w:t>
      </w:r>
      <w:r w:rsidR="00D25D6C">
        <w:rPr>
          <w:rFonts w:cs="Times New Roman (Body CS)"/>
          <w:sz w:val="26"/>
          <w:szCs w:val="20"/>
        </w:rPr>
        <w:t>improperly conflates the requirements of 15 U.S.C. §§9058(b)(1) and 9058(c)(1).</w:t>
      </w:r>
    </w:p>
    <w:p w14:paraId="6D1973D0" w14:textId="62F4D43A" w:rsidR="00B24ED9" w:rsidRPr="00B24ED9" w:rsidRDefault="004E75FA" w:rsidP="00B24ED9">
      <w:pPr>
        <w:pStyle w:val="ListParagraph"/>
        <w:widowControl w:val="0"/>
        <w:numPr>
          <w:ilvl w:val="0"/>
          <w:numId w:val="15"/>
        </w:numPr>
        <w:spacing w:line="480" w:lineRule="auto"/>
        <w:jc w:val="center"/>
        <w:rPr>
          <w:b/>
          <w:sz w:val="26"/>
          <w:szCs w:val="20"/>
        </w:rPr>
      </w:pPr>
      <w:r w:rsidRPr="0099019C">
        <w:rPr>
          <w:b/>
          <w:sz w:val="26"/>
          <w:szCs w:val="20"/>
        </w:rPr>
        <w:t>Legislative and Judicial History</w:t>
      </w:r>
      <w:r w:rsidR="00B24ED9" w:rsidRPr="00B24ED9">
        <w:rPr>
          <w:sz w:val="26"/>
          <w:szCs w:val="27"/>
        </w:rPr>
        <w:t xml:space="preserve"> </w:t>
      </w:r>
    </w:p>
    <w:p w14:paraId="2BEE8DA2" w14:textId="5D9804ED" w:rsidR="008F187C" w:rsidRDefault="00B24ED9" w:rsidP="004E75FA">
      <w:pPr>
        <w:pStyle w:val="HTMLPreformatted"/>
        <w:spacing w:line="480" w:lineRule="auto"/>
        <w:jc w:val="both"/>
        <w:rPr>
          <w:rFonts w:ascii="Times New Roman" w:hAnsi="Times New Roman" w:cs="Times New Roman (Body CS)"/>
          <w:sz w:val="26"/>
        </w:rPr>
      </w:pPr>
      <w:r>
        <w:rPr>
          <w:rFonts w:ascii="Times New Roman" w:hAnsi="Times New Roman" w:cs="Times New Roman (Body CS)"/>
          <w:sz w:val="26"/>
        </w:rPr>
        <w:tab/>
      </w:r>
      <w:r w:rsidR="004E75FA" w:rsidRPr="003E5EEB">
        <w:rPr>
          <w:rFonts w:ascii="Times New Roman" w:hAnsi="Times New Roman" w:cs="Times New Roman (Body CS)"/>
          <w:sz w:val="26"/>
        </w:rPr>
        <w:t xml:space="preserve">The CARES Act, </w:t>
      </w:r>
      <w:r w:rsidR="004E75FA" w:rsidRPr="003E5EEB">
        <w:rPr>
          <w:rFonts w:ascii="Times New Roman" w:hAnsi="Times New Roman"/>
          <w:sz w:val="26"/>
          <w:szCs w:val="18"/>
        </w:rPr>
        <w:t xml:space="preserve">Public Law 116-136, </w:t>
      </w:r>
      <w:r w:rsidR="004E75FA" w:rsidRPr="003E5EEB">
        <w:rPr>
          <w:rFonts w:ascii="Times New Roman" w:hAnsi="Times New Roman" w:cs="Times New Roman (Body CS)"/>
          <w:sz w:val="26"/>
        </w:rPr>
        <w:t>was enacted on March 27, 2020</w:t>
      </w:r>
      <w:r w:rsidR="008F187C">
        <w:rPr>
          <w:rFonts w:ascii="Times New Roman" w:hAnsi="Times New Roman" w:cs="Times New Roman (Body CS)"/>
          <w:sz w:val="26"/>
        </w:rPr>
        <w:t>.</w:t>
      </w:r>
      <w:r w:rsidR="004E75FA" w:rsidRPr="003E5EEB">
        <w:rPr>
          <w:rFonts w:ascii="Times New Roman" w:hAnsi="Times New Roman" w:cs="Times New Roman (Body CS)"/>
          <w:sz w:val="26"/>
        </w:rPr>
        <w:t xml:space="preserve"> </w:t>
      </w:r>
      <w:r w:rsidR="008F187C">
        <w:rPr>
          <w:rFonts w:ascii="Times New Roman" w:hAnsi="Times New Roman" w:cs="Times New Roman (Body CS)"/>
          <w:sz w:val="26"/>
        </w:rPr>
        <w:t>I</w:t>
      </w:r>
      <w:r w:rsidR="004E75FA" w:rsidRPr="003E5EEB">
        <w:rPr>
          <w:rFonts w:ascii="Times New Roman" w:hAnsi="Times New Roman" w:cs="Times New Roman (Body CS)"/>
          <w:sz w:val="26"/>
        </w:rPr>
        <w:t xml:space="preserve">t prohibited landlords from evicting tenants </w:t>
      </w:r>
      <w:r w:rsidR="008F187C">
        <w:rPr>
          <w:rFonts w:ascii="Times New Roman" w:hAnsi="Times New Roman" w:cs="Times New Roman (Body CS)"/>
          <w:sz w:val="26"/>
        </w:rPr>
        <w:t xml:space="preserve">for non-payment of rent </w:t>
      </w:r>
      <w:r w:rsidR="004E75FA" w:rsidRPr="003E5EEB">
        <w:rPr>
          <w:rFonts w:ascii="Times New Roman" w:hAnsi="Times New Roman" w:cs="Times New Roman (Body CS)"/>
          <w:sz w:val="26"/>
        </w:rPr>
        <w:t xml:space="preserve">in certain federally backed housing for one hundred twenty (120) days from the March 27, 2020 enactment.  </w:t>
      </w:r>
      <w:r w:rsidR="00640EE3">
        <w:rPr>
          <w:rFonts w:ascii="Times New Roman" w:hAnsi="Times New Roman" w:cs="Times New Roman (Body CS)"/>
          <w:sz w:val="26"/>
        </w:rPr>
        <w:t xml:space="preserve"> This was </w:t>
      </w:r>
      <w:r w:rsidR="00D25D6C">
        <w:rPr>
          <w:rFonts w:ascii="Times New Roman" w:hAnsi="Times New Roman" w:cs="Times New Roman (Body CS)"/>
          <w:sz w:val="26"/>
        </w:rPr>
        <w:t>codified</w:t>
      </w:r>
      <w:r w:rsidR="00640EE3">
        <w:rPr>
          <w:rFonts w:ascii="Times New Roman" w:hAnsi="Times New Roman" w:cs="Times New Roman (Body CS)"/>
          <w:sz w:val="26"/>
        </w:rPr>
        <w:t xml:space="preserve"> in the 15 U.S.C. §9058.</w:t>
      </w:r>
    </w:p>
    <w:p w14:paraId="3534C0A4" w14:textId="25ED723A" w:rsidR="004606C3" w:rsidRDefault="00B24ED9" w:rsidP="004E75FA">
      <w:pPr>
        <w:pStyle w:val="HTMLPreformatted"/>
        <w:spacing w:line="480" w:lineRule="auto"/>
        <w:jc w:val="both"/>
        <w:rPr>
          <w:rStyle w:val="Hyperlink"/>
          <w:rFonts w:ascii="Times New Roman" w:hAnsi="Times New Roman"/>
          <w:color w:val="auto"/>
          <w:sz w:val="26"/>
          <w:szCs w:val="27"/>
          <w:u w:val="none"/>
        </w:rPr>
      </w:pPr>
      <w:r>
        <w:rPr>
          <w:rFonts w:ascii="Times New Roman" w:hAnsi="Times New Roman"/>
          <w:sz w:val="26"/>
          <w:szCs w:val="27"/>
        </w:rPr>
        <w:tab/>
        <w:t>T</w:t>
      </w:r>
      <w:r w:rsidRPr="00B24ED9">
        <w:rPr>
          <w:rFonts w:ascii="Times New Roman" w:hAnsi="Times New Roman"/>
          <w:sz w:val="26"/>
          <w:szCs w:val="27"/>
        </w:rPr>
        <w:t xml:space="preserve">hat </w:t>
      </w:r>
      <w:r w:rsidR="00D25D6C">
        <w:rPr>
          <w:rFonts w:ascii="Times New Roman" w:hAnsi="Times New Roman"/>
          <w:sz w:val="26"/>
          <w:szCs w:val="27"/>
        </w:rPr>
        <w:t xml:space="preserve">statute </w:t>
      </w:r>
      <w:r w:rsidRPr="00B24ED9">
        <w:rPr>
          <w:rFonts w:ascii="Times New Roman" w:hAnsi="Times New Roman"/>
          <w:sz w:val="26"/>
          <w:szCs w:val="27"/>
        </w:rPr>
        <w:t>created a moratorium on evictions for tenants who resided in “covered properties</w:t>
      </w:r>
      <w:r>
        <w:rPr>
          <w:rFonts w:ascii="Times New Roman" w:hAnsi="Times New Roman"/>
          <w:sz w:val="26"/>
          <w:szCs w:val="27"/>
        </w:rPr>
        <w:t>,</w:t>
      </w:r>
      <w:r w:rsidRPr="00B24ED9">
        <w:rPr>
          <w:rFonts w:ascii="Times New Roman" w:hAnsi="Times New Roman"/>
          <w:sz w:val="26"/>
          <w:szCs w:val="27"/>
        </w:rPr>
        <w:t xml:space="preserve">” including properties supported or assisted by the Federal Housing Administration, Veterans Administration, Fannie Mae, Freddie Mac, and the USDA. </w:t>
      </w:r>
      <w:r w:rsidRPr="00B24ED9">
        <w:rPr>
          <w:rFonts w:ascii="Times New Roman" w:hAnsi="Times New Roman"/>
          <w:i/>
          <w:sz w:val="26"/>
          <w:szCs w:val="27"/>
        </w:rPr>
        <w:t>See</w:t>
      </w:r>
      <w:r>
        <w:rPr>
          <w:rFonts w:ascii="Times New Roman" w:hAnsi="Times New Roman"/>
          <w:sz w:val="26"/>
          <w:szCs w:val="27"/>
        </w:rPr>
        <w:t>,</w:t>
      </w:r>
      <w:r w:rsidRPr="00B24ED9">
        <w:rPr>
          <w:rFonts w:ascii="Times New Roman" w:hAnsi="Times New Roman"/>
          <w:sz w:val="26"/>
          <w:szCs w:val="27"/>
        </w:rPr>
        <w:t xml:space="preserve"> </w:t>
      </w:r>
      <w:hyperlink r:id="rId10" w:history="1">
        <w:r w:rsidRPr="00B24ED9">
          <w:rPr>
            <w:rStyle w:val="Hyperlink"/>
            <w:rFonts w:ascii="Times New Roman" w:hAnsi="Times New Roman"/>
            <w:color w:val="auto"/>
            <w:sz w:val="26"/>
            <w:szCs w:val="27"/>
            <w:u w:val="none"/>
          </w:rPr>
          <w:t>https://www.federalregister.gov/documents/2021/08/06/2021-16945/temporary-halt-in-residential-evictions-in-communities-with-substantial-or-high-transmission-of</w:t>
        </w:r>
      </w:hyperlink>
      <w:r w:rsidRPr="00B24ED9">
        <w:rPr>
          <w:rStyle w:val="Hyperlink"/>
          <w:rFonts w:ascii="Times New Roman" w:hAnsi="Times New Roman"/>
          <w:color w:val="auto"/>
          <w:sz w:val="26"/>
          <w:szCs w:val="27"/>
          <w:u w:val="none"/>
        </w:rPr>
        <w:t>.</w:t>
      </w:r>
    </w:p>
    <w:p w14:paraId="712CACE9" w14:textId="1F13F32B" w:rsidR="00640EE3" w:rsidRDefault="00640EE3" w:rsidP="004E75FA">
      <w:pPr>
        <w:pStyle w:val="HTMLPreformatted"/>
        <w:spacing w:line="480" w:lineRule="auto"/>
        <w:jc w:val="both"/>
        <w:rPr>
          <w:rFonts w:ascii="Times New Roman" w:hAnsi="Times New Roman" w:cs="Times New Roman (Body CS)"/>
          <w:sz w:val="26"/>
        </w:rPr>
      </w:pPr>
      <w:r>
        <w:rPr>
          <w:rStyle w:val="Hyperlink"/>
          <w:rFonts w:ascii="Times New Roman" w:hAnsi="Times New Roman"/>
          <w:color w:val="auto"/>
          <w:sz w:val="26"/>
          <w:szCs w:val="27"/>
          <w:u w:val="none"/>
        </w:rPr>
        <w:lastRenderedPageBreak/>
        <w:tab/>
        <w:t xml:space="preserve">In pertinent part, </w:t>
      </w:r>
      <w:r>
        <w:rPr>
          <w:rFonts w:ascii="Times New Roman" w:hAnsi="Times New Roman" w:cs="Times New Roman (Body CS)"/>
          <w:sz w:val="26"/>
        </w:rPr>
        <w:t>15 U.S.C. §9058 said:</w:t>
      </w:r>
    </w:p>
    <w:p w14:paraId="72391C33" w14:textId="2143DE0F" w:rsidR="00640EE3" w:rsidRPr="00640EE3" w:rsidRDefault="00640EE3" w:rsidP="00D25D6C">
      <w:pPr>
        <w:ind w:left="720" w:right="720" w:firstLine="720"/>
        <w:jc w:val="both"/>
        <w:rPr>
          <w:rFonts w:cs="Open Sans"/>
          <w:color w:val="333333"/>
          <w:sz w:val="26"/>
        </w:rPr>
      </w:pPr>
      <w:r w:rsidRPr="00640EE3">
        <w:rPr>
          <w:rFonts w:cs="Open Sans"/>
          <w:bCs/>
          <w:color w:val="333333"/>
          <w:sz w:val="26"/>
        </w:rPr>
        <w:t>(b)</w:t>
      </w:r>
      <w:r w:rsidR="00D25D6C">
        <w:rPr>
          <w:rFonts w:cs="Open Sans"/>
          <w:bCs/>
          <w:color w:val="333333"/>
          <w:sz w:val="26"/>
        </w:rPr>
        <w:t xml:space="preserve"> </w:t>
      </w:r>
      <w:r w:rsidRPr="00640EE3">
        <w:rPr>
          <w:rFonts w:ascii="Times New Roman Bold" w:hAnsi="Times New Roman Bold" w:cs="Open Sans"/>
          <w:b/>
          <w:bCs/>
          <w:color w:val="333333"/>
          <w:sz w:val="26"/>
        </w:rPr>
        <w:t>Moratorium.</w:t>
      </w:r>
      <w:r w:rsidRPr="00640EE3">
        <w:rPr>
          <w:rFonts w:cs="Open Sans"/>
          <w:bCs/>
          <w:color w:val="333333"/>
          <w:sz w:val="26"/>
        </w:rPr>
        <w:t xml:space="preserve"> </w:t>
      </w:r>
      <w:r w:rsidRPr="00640EE3">
        <w:rPr>
          <w:rFonts w:cs="Open Sans"/>
          <w:color w:val="333333"/>
          <w:sz w:val="26"/>
        </w:rPr>
        <w:t>During the 120-day period beginning on March 27, 2020, the lessor of a</w:t>
      </w:r>
      <w:hyperlink r:id="rId11" w:history="1">
        <w:r w:rsidRPr="00640EE3">
          <w:rPr>
            <w:rFonts w:cs="Open Sans"/>
            <w:color w:val="001C72"/>
            <w:sz w:val="26"/>
          </w:rPr>
          <w:t> </w:t>
        </w:r>
        <w:r w:rsidRPr="00640EE3">
          <w:rPr>
            <w:rFonts w:cs="Open Sans"/>
            <w:color w:val="001C72"/>
            <w:sz w:val="26"/>
            <w:u w:val="single"/>
          </w:rPr>
          <w:t>covered dwelling</w:t>
        </w:r>
        <w:r w:rsidRPr="00640EE3">
          <w:rPr>
            <w:rFonts w:cs="Open Sans"/>
            <w:color w:val="001C72"/>
            <w:sz w:val="26"/>
          </w:rPr>
          <w:t> </w:t>
        </w:r>
      </w:hyperlink>
      <w:r w:rsidRPr="00640EE3">
        <w:rPr>
          <w:rFonts w:cs="Open Sans"/>
          <w:color w:val="333333"/>
          <w:sz w:val="26"/>
        </w:rPr>
        <w:t>may not—</w:t>
      </w:r>
    </w:p>
    <w:p w14:paraId="3C44818C" w14:textId="6DF67E4E" w:rsidR="00640EE3" w:rsidRPr="00640EE3" w:rsidRDefault="00640EE3" w:rsidP="00D25D6C">
      <w:pPr>
        <w:ind w:left="720" w:right="720" w:firstLine="720"/>
        <w:jc w:val="both"/>
        <w:rPr>
          <w:rFonts w:cs="Open Sans"/>
          <w:color w:val="333333"/>
          <w:sz w:val="26"/>
        </w:rPr>
      </w:pPr>
      <w:bookmarkStart w:id="0" w:name="b_1"/>
      <w:bookmarkEnd w:id="0"/>
      <w:r w:rsidRPr="00640EE3">
        <w:rPr>
          <w:rFonts w:cs="Open Sans"/>
          <w:bCs/>
          <w:color w:val="333333"/>
          <w:sz w:val="26"/>
        </w:rPr>
        <w:t>(1)</w:t>
      </w:r>
      <w:r>
        <w:rPr>
          <w:rFonts w:cs="Open Sans"/>
          <w:color w:val="333333"/>
          <w:sz w:val="26"/>
        </w:rPr>
        <w:t xml:space="preserve"> </w:t>
      </w:r>
      <w:r w:rsidRPr="00640EE3">
        <w:rPr>
          <w:rFonts w:cs="Open Sans"/>
          <w:color w:val="333333"/>
          <w:sz w:val="26"/>
        </w:rPr>
        <w:t>make, or cause to be made, any filing with the court of jurisdiction to initiate a legal action to recover possession of the </w:t>
      </w:r>
      <w:hyperlink r:id="rId12" w:history="1">
        <w:r w:rsidRPr="00640EE3">
          <w:rPr>
            <w:rFonts w:cs="Open Sans"/>
            <w:color w:val="001C72"/>
            <w:sz w:val="26"/>
          </w:rPr>
          <w:t>covered dwelling</w:t>
        </w:r>
      </w:hyperlink>
      <w:r w:rsidR="00D25D6C">
        <w:rPr>
          <w:rFonts w:cs="Open Sans"/>
          <w:color w:val="333333"/>
          <w:sz w:val="26"/>
        </w:rPr>
        <w:t xml:space="preserve"> </w:t>
      </w:r>
      <w:r w:rsidRPr="00640EE3">
        <w:rPr>
          <w:rFonts w:cs="Open Sans"/>
          <w:color w:val="333333"/>
          <w:sz w:val="26"/>
        </w:rPr>
        <w:t>from the tenant for nonpayment of rent or other fees or charges; or</w:t>
      </w:r>
    </w:p>
    <w:p w14:paraId="1DF32898" w14:textId="1F3F4F4C" w:rsidR="00640EE3" w:rsidRPr="00640EE3" w:rsidRDefault="00640EE3" w:rsidP="00D25D6C">
      <w:pPr>
        <w:ind w:left="720" w:right="720" w:firstLine="720"/>
        <w:jc w:val="both"/>
        <w:rPr>
          <w:rFonts w:cs="Open Sans"/>
          <w:color w:val="333333"/>
          <w:sz w:val="26"/>
        </w:rPr>
      </w:pPr>
      <w:bookmarkStart w:id="1" w:name="b_2"/>
      <w:bookmarkEnd w:id="1"/>
      <w:r w:rsidRPr="00640EE3">
        <w:rPr>
          <w:rFonts w:cs="Open Sans"/>
          <w:bCs/>
          <w:color w:val="333333"/>
          <w:sz w:val="26"/>
        </w:rPr>
        <w:t>(2)</w:t>
      </w:r>
      <w:r w:rsidR="00D25D6C">
        <w:rPr>
          <w:rFonts w:cs="Open Sans"/>
          <w:bCs/>
          <w:color w:val="333333"/>
          <w:sz w:val="26"/>
        </w:rPr>
        <w:tab/>
      </w:r>
      <w:r w:rsidRPr="00640EE3">
        <w:rPr>
          <w:rFonts w:cs="Open Sans"/>
          <w:color w:val="333333"/>
          <w:sz w:val="26"/>
        </w:rPr>
        <w:t>charge fees, penalties, or other charges to the tenant related to such nonpayment of rent.</w:t>
      </w:r>
    </w:p>
    <w:p w14:paraId="4C33FB68" w14:textId="77777777" w:rsidR="00640EE3" w:rsidRDefault="00640EE3" w:rsidP="00D25D6C">
      <w:pPr>
        <w:ind w:left="720" w:right="720"/>
        <w:jc w:val="both"/>
        <w:rPr>
          <w:rFonts w:cs="Open Sans"/>
          <w:bCs/>
          <w:color w:val="333333"/>
          <w:sz w:val="26"/>
        </w:rPr>
      </w:pPr>
      <w:bookmarkStart w:id="2" w:name="c"/>
      <w:bookmarkEnd w:id="2"/>
    </w:p>
    <w:p w14:paraId="146902C6" w14:textId="24586861" w:rsidR="00640EE3" w:rsidRPr="00640EE3" w:rsidRDefault="00640EE3" w:rsidP="00D25D6C">
      <w:pPr>
        <w:ind w:left="720" w:right="720" w:firstLine="720"/>
        <w:jc w:val="both"/>
        <w:rPr>
          <w:rFonts w:cs="Open Sans"/>
          <w:color w:val="333333"/>
          <w:sz w:val="26"/>
        </w:rPr>
      </w:pPr>
      <w:r w:rsidRPr="00640EE3">
        <w:rPr>
          <w:rFonts w:cs="Open Sans"/>
          <w:bCs/>
          <w:color w:val="333333"/>
          <w:sz w:val="26"/>
        </w:rPr>
        <w:t>(c)</w:t>
      </w:r>
      <w:r w:rsidR="00D25D6C">
        <w:rPr>
          <w:rFonts w:cs="Open Sans"/>
          <w:bCs/>
          <w:color w:val="333333"/>
          <w:sz w:val="26"/>
        </w:rPr>
        <w:t xml:space="preserve"> </w:t>
      </w:r>
      <w:r w:rsidRPr="00640EE3">
        <w:rPr>
          <w:rFonts w:ascii="Times New Roman Bold" w:hAnsi="Times New Roman Bold" w:cs="Open Sans"/>
          <w:b/>
          <w:bCs/>
          <w:color w:val="333333"/>
          <w:sz w:val="26"/>
        </w:rPr>
        <w:t>Notice</w:t>
      </w:r>
      <w:r>
        <w:rPr>
          <w:rFonts w:ascii="Times New Roman Bold" w:hAnsi="Times New Roman Bold" w:cs="Open Sans"/>
          <w:b/>
          <w:bCs/>
          <w:color w:val="333333"/>
          <w:sz w:val="26"/>
        </w:rPr>
        <w:t xml:space="preserve">. </w:t>
      </w:r>
      <w:r w:rsidRPr="00640EE3">
        <w:rPr>
          <w:rFonts w:cs="Open Sans"/>
          <w:color w:val="333333"/>
          <w:sz w:val="26"/>
        </w:rPr>
        <w:t>The lessor of a </w:t>
      </w:r>
      <w:hyperlink r:id="rId13" w:history="1">
        <w:r w:rsidRPr="00640EE3">
          <w:rPr>
            <w:rFonts w:cs="Open Sans"/>
            <w:color w:val="001C72"/>
            <w:sz w:val="26"/>
            <w:u w:val="single"/>
          </w:rPr>
          <w:t>covered dwelling</w:t>
        </w:r>
      </w:hyperlink>
      <w:r w:rsidRPr="00640EE3">
        <w:rPr>
          <w:rFonts w:cs="Open Sans"/>
          <w:color w:val="333333"/>
          <w:sz w:val="26"/>
        </w:rPr>
        <w:t> unit—</w:t>
      </w:r>
    </w:p>
    <w:p w14:paraId="4E597E86" w14:textId="562AE4B1" w:rsidR="00640EE3" w:rsidRPr="00640EE3" w:rsidRDefault="00640EE3" w:rsidP="00D25D6C">
      <w:pPr>
        <w:ind w:left="720" w:right="720" w:firstLine="720"/>
        <w:jc w:val="both"/>
        <w:rPr>
          <w:rFonts w:cs="Open Sans"/>
          <w:color w:val="333333"/>
          <w:sz w:val="26"/>
        </w:rPr>
      </w:pPr>
      <w:bookmarkStart w:id="3" w:name="c_1"/>
      <w:bookmarkEnd w:id="3"/>
      <w:r w:rsidRPr="00640EE3">
        <w:rPr>
          <w:rFonts w:cs="Open Sans"/>
          <w:bCs/>
          <w:color w:val="333333"/>
          <w:sz w:val="26"/>
        </w:rPr>
        <w:t>(1)</w:t>
      </w:r>
      <w:r>
        <w:rPr>
          <w:rFonts w:cs="Open Sans"/>
          <w:bCs/>
          <w:color w:val="333333"/>
          <w:sz w:val="26"/>
        </w:rPr>
        <w:t xml:space="preserve"> </w:t>
      </w:r>
      <w:r w:rsidRPr="00640EE3">
        <w:rPr>
          <w:rFonts w:cs="Open Sans"/>
          <w:color w:val="333333"/>
          <w:sz w:val="26"/>
        </w:rPr>
        <w:t>may not require the tenant to vacate the </w:t>
      </w:r>
      <w:hyperlink r:id="rId14" w:history="1">
        <w:r w:rsidRPr="00640EE3">
          <w:rPr>
            <w:rFonts w:cs="Open Sans"/>
            <w:color w:val="001C72"/>
            <w:sz w:val="26"/>
            <w:u w:val="single"/>
          </w:rPr>
          <w:t>covered dwelling</w:t>
        </w:r>
      </w:hyperlink>
      <w:r w:rsidRPr="00640EE3">
        <w:rPr>
          <w:rFonts w:cs="Open Sans"/>
          <w:color w:val="333333"/>
          <w:sz w:val="26"/>
        </w:rPr>
        <w:t> unit before the date that is 30 days after the date on which the lessor provides the tenant with a notice to vacate; and</w:t>
      </w:r>
    </w:p>
    <w:p w14:paraId="13F38AFA" w14:textId="5C214EC2" w:rsidR="003223DD" w:rsidRDefault="00640EE3" w:rsidP="00D25D6C">
      <w:pPr>
        <w:ind w:left="720" w:right="720" w:firstLine="720"/>
        <w:jc w:val="both"/>
        <w:rPr>
          <w:rFonts w:cs="Open Sans"/>
          <w:color w:val="333333"/>
          <w:sz w:val="26"/>
        </w:rPr>
      </w:pPr>
      <w:bookmarkStart w:id="4" w:name="c_2"/>
      <w:bookmarkEnd w:id="4"/>
      <w:r w:rsidRPr="00640EE3">
        <w:rPr>
          <w:rFonts w:cs="Open Sans"/>
          <w:bCs/>
          <w:color w:val="333333"/>
          <w:sz w:val="26"/>
        </w:rPr>
        <w:t>(2)</w:t>
      </w:r>
      <w:r>
        <w:rPr>
          <w:rFonts w:cs="Open Sans"/>
          <w:color w:val="333333"/>
          <w:sz w:val="26"/>
        </w:rPr>
        <w:t xml:space="preserve"> </w:t>
      </w:r>
      <w:r w:rsidRPr="00640EE3">
        <w:rPr>
          <w:rFonts w:cs="Open Sans"/>
          <w:color w:val="333333"/>
          <w:sz w:val="26"/>
        </w:rPr>
        <w:t>may not issue a notice to vacate under paragraph (1) until after the expiration of the period described in subsection (b).</w:t>
      </w:r>
    </w:p>
    <w:p w14:paraId="53D26FAC" w14:textId="77777777" w:rsidR="00D25D6C" w:rsidRPr="00D25D6C" w:rsidRDefault="00D25D6C" w:rsidP="00D25D6C">
      <w:pPr>
        <w:ind w:left="720" w:right="720" w:firstLine="720"/>
        <w:jc w:val="both"/>
        <w:rPr>
          <w:rFonts w:cs="Open Sans"/>
          <w:color w:val="333333"/>
          <w:sz w:val="26"/>
        </w:rPr>
      </w:pPr>
    </w:p>
    <w:p w14:paraId="2A636B71" w14:textId="77777777" w:rsidR="007A219D" w:rsidRDefault="007A219D" w:rsidP="00401753">
      <w:pPr>
        <w:spacing w:line="480" w:lineRule="auto"/>
        <w:ind w:firstLine="720"/>
        <w:jc w:val="both"/>
        <w:rPr>
          <w:sz w:val="26"/>
          <w:szCs w:val="27"/>
        </w:rPr>
      </w:pPr>
      <w:r>
        <w:rPr>
          <w:sz w:val="26"/>
          <w:szCs w:val="27"/>
        </w:rPr>
        <w:t>On September 4, 2020, the CDC Director issued an Order temporarily halting many evictions in the United States as a response to the Coronavirus pandemic. That order stated:</w:t>
      </w:r>
    </w:p>
    <w:p w14:paraId="7B3D389E" w14:textId="1F4513CC" w:rsidR="007A219D" w:rsidRDefault="007A219D" w:rsidP="007A219D">
      <w:pPr>
        <w:ind w:left="720"/>
        <w:jc w:val="both"/>
        <w:rPr>
          <w:sz w:val="26"/>
          <w:szCs w:val="27"/>
        </w:rPr>
      </w:pPr>
      <w:r w:rsidRPr="007A219D">
        <w:rPr>
          <w:sz w:val="26"/>
          <w:szCs w:val="27"/>
        </w:rPr>
        <w:t xml:space="preserve">Therefore, under </w:t>
      </w:r>
      <w:hyperlink r:id="rId15" w:tgtFrame="_blank" w:history="1">
        <w:r w:rsidRPr="007A219D">
          <w:rPr>
            <w:rStyle w:val="Hyperlink"/>
            <w:sz w:val="26"/>
            <w:szCs w:val="27"/>
          </w:rPr>
          <w:t>42 CFR 70.2</w:t>
        </w:r>
      </w:hyperlink>
      <w:r w:rsidRPr="007A219D">
        <w:rPr>
          <w:sz w:val="26"/>
          <w:szCs w:val="27"/>
        </w:rPr>
        <w:t>, subject to the limitations under the “Applicability” section, a landlord, owner of a residential property, or other person with a legal right to pursue eviction or possessory action shall not evict any covered person from any residential property in any State or U.S. territory in which there are documented cases of COVID–19 that provides a level of public-health protections below the requirements listed in this Order.</w:t>
      </w:r>
    </w:p>
    <w:p w14:paraId="0A5A259B" w14:textId="77777777" w:rsidR="007A219D" w:rsidRDefault="007A219D" w:rsidP="006914ED">
      <w:pPr>
        <w:ind w:left="720"/>
        <w:jc w:val="both"/>
        <w:rPr>
          <w:sz w:val="26"/>
          <w:szCs w:val="27"/>
        </w:rPr>
      </w:pPr>
    </w:p>
    <w:p w14:paraId="14C5048F" w14:textId="6BC4E2C9" w:rsidR="00401753" w:rsidRDefault="007A219D" w:rsidP="00401753">
      <w:pPr>
        <w:spacing w:line="480" w:lineRule="auto"/>
        <w:ind w:firstLine="720"/>
        <w:jc w:val="both"/>
        <w:rPr>
          <w:sz w:val="26"/>
          <w:szCs w:val="27"/>
        </w:rPr>
      </w:pPr>
      <w:r>
        <w:rPr>
          <w:sz w:val="26"/>
          <w:szCs w:val="27"/>
        </w:rPr>
        <w:t xml:space="preserve">.  </w:t>
      </w:r>
      <w:r w:rsidR="00401753" w:rsidRPr="00640EE3">
        <w:rPr>
          <w:sz w:val="26"/>
          <w:szCs w:val="27"/>
        </w:rPr>
        <w:t>On October 7, 2020, the Department of Justice filed a memorandum in response to a case filed in federal dist</w:t>
      </w:r>
      <w:r w:rsidR="00401753">
        <w:rPr>
          <w:sz w:val="26"/>
          <w:szCs w:val="27"/>
        </w:rPr>
        <w:t>rict court opposing the CDC Order.  In it, the Justice Department took the following position on the CDC’s order:</w:t>
      </w:r>
    </w:p>
    <w:p w14:paraId="266B9AB9" w14:textId="17E4948F" w:rsidR="001D4401" w:rsidRDefault="001D4401" w:rsidP="001D4401">
      <w:pPr>
        <w:ind w:left="720" w:right="720"/>
        <w:jc w:val="both"/>
        <w:rPr>
          <w:sz w:val="26"/>
          <w:szCs w:val="27"/>
        </w:rPr>
      </w:pPr>
      <w:r>
        <w:rPr>
          <w:sz w:val="26"/>
          <w:szCs w:val="27"/>
        </w:rPr>
        <w:t>[E]ven where a tenant is entitled to its protections, the order does not bar a landlord from commencing a state court eviction proceeding, provided that the actual eviction does not occur while the order remains in place</w:t>
      </w:r>
      <w:r>
        <w:rPr>
          <w:rStyle w:val="FootnoteReference"/>
          <w:sz w:val="26"/>
          <w:szCs w:val="27"/>
        </w:rPr>
        <w:footnoteReference w:id="1"/>
      </w:r>
      <w:r w:rsidR="008F187C">
        <w:rPr>
          <w:sz w:val="26"/>
          <w:szCs w:val="27"/>
        </w:rPr>
        <w:t>.</w:t>
      </w:r>
      <w:r>
        <w:rPr>
          <w:sz w:val="26"/>
          <w:szCs w:val="27"/>
        </w:rPr>
        <w:t xml:space="preserve">  </w:t>
      </w:r>
    </w:p>
    <w:p w14:paraId="091B7BFC" w14:textId="77777777" w:rsidR="001D4401" w:rsidRDefault="001D4401" w:rsidP="001D4401">
      <w:pPr>
        <w:ind w:left="720" w:right="720"/>
        <w:jc w:val="both"/>
        <w:rPr>
          <w:sz w:val="26"/>
          <w:szCs w:val="27"/>
        </w:rPr>
      </w:pPr>
    </w:p>
    <w:p w14:paraId="7E701EAD" w14:textId="3FDFFC6E" w:rsidR="001D4401" w:rsidRDefault="001D4401" w:rsidP="001D4401">
      <w:pPr>
        <w:spacing w:line="480" w:lineRule="auto"/>
        <w:ind w:firstLine="720"/>
        <w:jc w:val="both"/>
        <w:rPr>
          <w:sz w:val="26"/>
          <w:szCs w:val="27"/>
        </w:rPr>
      </w:pPr>
      <w:r>
        <w:rPr>
          <w:sz w:val="26"/>
          <w:szCs w:val="27"/>
        </w:rPr>
        <w:t>The CDC subsequently issued guidance agreeing with the Justice Department</w:t>
      </w:r>
      <w:r w:rsidR="004606C3">
        <w:rPr>
          <w:sz w:val="26"/>
          <w:szCs w:val="27"/>
        </w:rPr>
        <w:t>, stating:</w:t>
      </w:r>
      <w:r>
        <w:rPr>
          <w:sz w:val="26"/>
          <w:szCs w:val="27"/>
        </w:rPr>
        <w:t xml:space="preserve"> </w:t>
      </w:r>
    </w:p>
    <w:p w14:paraId="2E55D287" w14:textId="77777777" w:rsidR="001D4401" w:rsidRDefault="001D4401" w:rsidP="001D4401">
      <w:pPr>
        <w:ind w:left="720" w:right="720"/>
        <w:jc w:val="both"/>
        <w:rPr>
          <w:sz w:val="26"/>
          <w:szCs w:val="27"/>
        </w:rPr>
      </w:pPr>
      <w:r>
        <w:rPr>
          <w:sz w:val="26"/>
          <w:szCs w:val="27"/>
        </w:rPr>
        <w:lastRenderedPageBreak/>
        <w:t>The order is not intended to terminate or suspend the operations of any state or local court.  Nor is it intended to prevent landlords from starting eviction proceedings, provided that the actual eviction of a covered person for nonpayment of rent does NOT take place during the period of the Order.”</w:t>
      </w:r>
      <w:r>
        <w:rPr>
          <w:rStyle w:val="FootnoteReference"/>
          <w:sz w:val="26"/>
          <w:szCs w:val="27"/>
        </w:rPr>
        <w:footnoteReference w:id="2"/>
      </w:r>
      <w:r>
        <w:rPr>
          <w:sz w:val="26"/>
          <w:szCs w:val="27"/>
        </w:rPr>
        <w:t xml:space="preserve"> </w:t>
      </w:r>
    </w:p>
    <w:p w14:paraId="2D7A4C4D" w14:textId="77777777" w:rsidR="001D4401" w:rsidRDefault="001D4401" w:rsidP="001D4401">
      <w:pPr>
        <w:ind w:left="720" w:right="720"/>
        <w:jc w:val="both"/>
        <w:rPr>
          <w:sz w:val="26"/>
          <w:szCs w:val="27"/>
        </w:rPr>
      </w:pPr>
      <w:r>
        <w:rPr>
          <w:sz w:val="26"/>
          <w:szCs w:val="27"/>
        </w:rPr>
        <w:t xml:space="preserve"> </w:t>
      </w:r>
    </w:p>
    <w:p w14:paraId="47CDF5D9" w14:textId="77777777" w:rsidR="001D4401" w:rsidRPr="00E9071F" w:rsidRDefault="001D4401" w:rsidP="001D4401">
      <w:pPr>
        <w:spacing w:line="480" w:lineRule="auto"/>
        <w:ind w:firstLine="720"/>
        <w:jc w:val="both"/>
        <w:rPr>
          <w:sz w:val="26"/>
          <w:szCs w:val="27"/>
        </w:rPr>
      </w:pPr>
      <w:r w:rsidRPr="00E9071F">
        <w:rPr>
          <w:sz w:val="26"/>
          <w:szCs w:val="27"/>
        </w:rPr>
        <w:t>Th</w:t>
      </w:r>
      <w:r>
        <w:rPr>
          <w:sz w:val="26"/>
          <w:szCs w:val="27"/>
        </w:rPr>
        <w:t>e CDC</w:t>
      </w:r>
      <w:r w:rsidRPr="00E9071F">
        <w:rPr>
          <w:sz w:val="26"/>
          <w:szCs w:val="27"/>
        </w:rPr>
        <w:t xml:space="preserve"> Order was originally set to expire on December 31, 2020, subject to further extension, modification, or rescission. Section 502 of Title V, Division N of the Consolidated Appropriations Act, 2021 extended the Order until January 31, 2021, and approved the Order as an exercise of the CDC's authority under Section 361 of the Public Health Service Act </w:t>
      </w:r>
      <w:r w:rsidRPr="008F187C">
        <w:rPr>
          <w:sz w:val="26"/>
          <w:szCs w:val="27"/>
        </w:rPr>
        <w:t>(</w:t>
      </w:r>
      <w:hyperlink r:id="rId16" w:tgtFrame="_blank" w:history="1">
        <w:r w:rsidRPr="008F187C">
          <w:rPr>
            <w:rStyle w:val="Hyperlink"/>
            <w:color w:val="auto"/>
            <w:sz w:val="26"/>
            <w:u w:val="none"/>
          </w:rPr>
          <w:t>42 U.S.C. 264</w:t>
        </w:r>
      </w:hyperlink>
      <w:r w:rsidRPr="00E9071F">
        <w:rPr>
          <w:sz w:val="26"/>
          <w:szCs w:val="27"/>
        </w:rPr>
        <w:t xml:space="preserve">). </w:t>
      </w:r>
    </w:p>
    <w:p w14:paraId="435D516F" w14:textId="5BD6A8D8" w:rsidR="001D4401" w:rsidRPr="003A05F3" w:rsidRDefault="001D4401" w:rsidP="001D4401">
      <w:pPr>
        <w:spacing w:line="480" w:lineRule="auto"/>
        <w:ind w:firstLine="720"/>
        <w:jc w:val="both"/>
        <w:rPr>
          <w:sz w:val="26"/>
          <w:szCs w:val="27"/>
        </w:rPr>
      </w:pPr>
      <w:r w:rsidRPr="003A05F3">
        <w:rPr>
          <w:sz w:val="26"/>
          <w:szCs w:val="27"/>
        </w:rPr>
        <w:t>With the extension of the CDC Order, Congress also provided $25 billion for emergency rental assistance for the payment of rent and rental arrears. Congress later provided an additional $21.55 billion in emergency rental assistance when it passed the American Rescue Plan. In approving these allocations, Congress recognized the hardship that landlords would face by allowing non-rent</w:t>
      </w:r>
      <w:r>
        <w:rPr>
          <w:sz w:val="26"/>
          <w:szCs w:val="27"/>
        </w:rPr>
        <w:t>-</w:t>
      </w:r>
      <w:r w:rsidRPr="003A05F3">
        <w:rPr>
          <w:sz w:val="26"/>
          <w:szCs w:val="27"/>
        </w:rPr>
        <w:t>paying tenants to remain in their homes during the pandemic, and attempted to ameliorate that hardship by reimbursing the landlord for that lost rent.</w:t>
      </w:r>
      <w:r w:rsidR="00D25D6C">
        <w:rPr>
          <w:sz w:val="26"/>
          <w:szCs w:val="27"/>
        </w:rPr>
        <w:t xml:space="preserve"> That funding has now expired.</w:t>
      </w:r>
    </w:p>
    <w:p w14:paraId="0ED80FB3" w14:textId="2F29E7B1" w:rsidR="001D4401" w:rsidRPr="00E5458F" w:rsidRDefault="001D4401" w:rsidP="004606C3">
      <w:pPr>
        <w:spacing w:line="480" w:lineRule="auto"/>
        <w:ind w:firstLine="720"/>
        <w:jc w:val="both"/>
        <w:rPr>
          <w:sz w:val="26"/>
          <w:szCs w:val="27"/>
        </w:rPr>
      </w:pPr>
      <w:r w:rsidRPr="003A05F3">
        <w:rPr>
          <w:sz w:val="26"/>
          <w:szCs w:val="27"/>
        </w:rPr>
        <w:t xml:space="preserve">The Order was then extended multiple times due to the changing public health landscape and was set to expire on July 31, 2021, after what was then intended to be its final extension. Nevertheless, the CDC extended it again until October 2021. </w:t>
      </w:r>
    </w:p>
    <w:p w14:paraId="11DEF383" w14:textId="2562BA49" w:rsidR="001D4401" w:rsidRDefault="001D4401" w:rsidP="001D4401">
      <w:pPr>
        <w:spacing w:line="480" w:lineRule="auto"/>
        <w:ind w:firstLine="720"/>
        <w:jc w:val="both"/>
        <w:rPr>
          <w:rFonts w:cs="Times New Roman (Body CS)"/>
          <w:sz w:val="26"/>
        </w:rPr>
      </w:pPr>
      <w:r w:rsidRPr="003A05F3">
        <w:rPr>
          <w:rFonts w:cs="Times New Roman (Body CS)"/>
          <w:sz w:val="26"/>
        </w:rPr>
        <w:t xml:space="preserve">  In a well-known turn of events that impacted </w:t>
      </w:r>
      <w:r w:rsidR="00E5458F">
        <w:rPr>
          <w:rFonts w:cs="Times New Roman (Body CS)"/>
          <w:sz w:val="26"/>
        </w:rPr>
        <w:t>the</w:t>
      </w:r>
      <w:r w:rsidRPr="003A05F3">
        <w:rPr>
          <w:rFonts w:cs="Times New Roman (Body CS)"/>
          <w:sz w:val="26"/>
        </w:rPr>
        <w:t xml:space="preserve"> entire nation, the United States Supreme Court in </w:t>
      </w:r>
      <w:r w:rsidRPr="003A05F3">
        <w:rPr>
          <w:i/>
          <w:sz w:val="26"/>
        </w:rPr>
        <w:t>Ala. Ass'n of Realtors v. Dep't of Health &amp; Human Servs.,</w:t>
      </w:r>
      <w:r w:rsidRPr="003A05F3">
        <w:rPr>
          <w:sz w:val="26"/>
        </w:rPr>
        <w:t xml:space="preserve"> 141 S.Ct. 2485 (2021) </w:t>
      </w:r>
      <w:r w:rsidRPr="003A05F3">
        <w:rPr>
          <w:rFonts w:cs="Times New Roman (Body CS)"/>
          <w:sz w:val="26"/>
        </w:rPr>
        <w:t xml:space="preserve">struck down the CDC Order in August 2021, holding that the Centers for Disease </w:t>
      </w:r>
      <w:r w:rsidRPr="003A05F3">
        <w:rPr>
          <w:rFonts w:cs="Times New Roman (Body CS)"/>
          <w:sz w:val="26"/>
        </w:rPr>
        <w:lastRenderedPageBreak/>
        <w:t xml:space="preserve">Control had exceeded its authority when it issued a moratorium halting evictions for certain tenants who resided in properties whose mortgages were insured by certain federal agencies. </w:t>
      </w:r>
    </w:p>
    <w:p w14:paraId="21FFBEFD" w14:textId="6371EA5E" w:rsidR="00D25D6C" w:rsidRDefault="004606C3" w:rsidP="001D4401">
      <w:pPr>
        <w:spacing w:line="480" w:lineRule="auto"/>
        <w:ind w:firstLine="720"/>
        <w:jc w:val="both"/>
        <w:rPr>
          <w:sz w:val="26"/>
          <w:szCs w:val="27"/>
        </w:rPr>
      </w:pPr>
      <w:r>
        <w:rPr>
          <w:sz w:val="26"/>
          <w:szCs w:val="27"/>
        </w:rPr>
        <w:t xml:space="preserve">Once that moratorium ended, </w:t>
      </w:r>
      <w:r w:rsidR="00D25D6C">
        <w:rPr>
          <w:sz w:val="26"/>
          <w:szCs w:val="27"/>
        </w:rPr>
        <w:t>landlords were free to evict non-paying tenants in covered dwellings as long as they complied with §9058(c), which required thirty (30) days between the date of the notice and the date that the tenant is required to vacate.</w:t>
      </w:r>
    </w:p>
    <w:p w14:paraId="2AAA0472" w14:textId="4058471E" w:rsidR="005A5107" w:rsidRPr="005A5107" w:rsidRDefault="00C81F95" w:rsidP="005A5107">
      <w:pPr>
        <w:spacing w:line="480" w:lineRule="auto"/>
        <w:ind w:firstLine="720"/>
        <w:jc w:val="both"/>
        <w:rPr>
          <w:sz w:val="26"/>
          <w:szCs w:val="27"/>
        </w:rPr>
      </w:pPr>
      <w:r>
        <w:rPr>
          <w:sz w:val="26"/>
          <w:szCs w:val="27"/>
        </w:rPr>
        <w:t xml:space="preserve">Petitioner’s argument for the rule change conflates the provision of §9058(b)(1) that prevents a landlord from </w:t>
      </w:r>
      <w:r>
        <w:rPr>
          <w:rFonts w:cs="Arial"/>
          <w:sz w:val="26"/>
          <w:szCs w:val="18"/>
        </w:rPr>
        <w:t>“</w:t>
      </w:r>
      <w:r w:rsidRPr="00401753">
        <w:rPr>
          <w:rFonts w:cs="Times New Roman (Body CS)"/>
          <w:i/>
          <w:sz w:val="26"/>
        </w:rPr>
        <w:t>mak[ing], or caus[ing</w:t>
      </w:r>
      <w:r>
        <w:rPr>
          <w:rFonts w:cs="Times New Roman (Body CS)"/>
          <w:i/>
          <w:sz w:val="26"/>
        </w:rPr>
        <w:t>]</w:t>
      </w:r>
      <w:r w:rsidRPr="00401753">
        <w:rPr>
          <w:rFonts w:cs="Times New Roman (Body CS)"/>
          <w:i/>
          <w:sz w:val="26"/>
        </w:rPr>
        <w:t xml:space="preserve"> to be made</w:t>
      </w:r>
      <w:r w:rsidRPr="0025748B">
        <w:rPr>
          <w:rFonts w:cs="Times New Roman (Body CS)"/>
          <w:sz w:val="26"/>
        </w:rPr>
        <w:t xml:space="preserve">, any filing with the court of jurisdiction </w:t>
      </w:r>
      <w:r w:rsidRPr="00401753">
        <w:rPr>
          <w:rFonts w:cs="Times New Roman (Body CS)"/>
          <w:i/>
          <w:sz w:val="26"/>
        </w:rPr>
        <w:t>to initiate</w:t>
      </w:r>
      <w:r w:rsidRPr="0025748B">
        <w:rPr>
          <w:rFonts w:cs="Times New Roman (Body CS)"/>
          <w:sz w:val="26"/>
        </w:rPr>
        <w:t xml:space="preserve"> a legal action to recover possession of the covered dwelling from the tenant for nonpayment of rent or other fees or charges</w:t>
      </w:r>
      <w:r>
        <w:rPr>
          <w:rFonts w:cs="Times New Roman (Body CS)"/>
          <w:sz w:val="26"/>
        </w:rPr>
        <w:t>,” with 9058(c)(1) that  prohibits a landlord from “</w:t>
      </w:r>
      <w:r w:rsidRPr="005C7929">
        <w:rPr>
          <w:rFonts w:cs="Open Sans"/>
          <w:sz w:val="26"/>
        </w:rPr>
        <w:t>requir[ing]</w:t>
      </w:r>
      <w:r w:rsidRPr="003223DD">
        <w:rPr>
          <w:rFonts w:cs="Open Sans"/>
          <w:sz w:val="26"/>
        </w:rPr>
        <w:t xml:space="preserve"> </w:t>
      </w:r>
      <w:r w:rsidRPr="005C7929">
        <w:rPr>
          <w:rFonts w:cs="Open Sans"/>
          <w:sz w:val="26"/>
        </w:rPr>
        <w:t>a</w:t>
      </w:r>
      <w:r w:rsidRPr="003223DD">
        <w:rPr>
          <w:rFonts w:cs="Open Sans"/>
          <w:sz w:val="26"/>
        </w:rPr>
        <w:t xml:space="preserve"> tenant to vacate the </w:t>
      </w:r>
      <w:hyperlink r:id="rId17" w:history="1">
        <w:r w:rsidRPr="003223DD">
          <w:rPr>
            <w:rFonts w:cs="Open Sans"/>
            <w:sz w:val="26"/>
          </w:rPr>
          <w:t>covered dwelling</w:t>
        </w:r>
      </w:hyperlink>
      <w:r w:rsidRPr="003223DD">
        <w:rPr>
          <w:rFonts w:cs="Open Sans"/>
          <w:sz w:val="26"/>
        </w:rPr>
        <w:t> unit before the date that is 30 days after the date on which the lessor provides the tenant with a notice to vacate</w:t>
      </w:r>
      <w:r>
        <w:rPr>
          <w:rFonts w:cs="Open Sans"/>
          <w:i/>
          <w:sz w:val="26"/>
        </w:rPr>
        <w:t>.</w:t>
      </w:r>
      <w:r>
        <w:rPr>
          <w:rFonts w:cs="Open Sans"/>
          <w:sz w:val="26"/>
        </w:rPr>
        <w:t xml:space="preserve">” The former provision clearly applied only to the situation when the eviction moratorium was in effect. As evidenced by </w:t>
      </w:r>
      <w:r>
        <w:rPr>
          <w:rFonts w:cs="Times New Roman (Body CS)"/>
          <w:sz w:val="26"/>
        </w:rPr>
        <w:t xml:space="preserve">9058(c)(1) the only legal requirement at this time is that the tenant has thirty (30) days from the date that he/she receives the notice until a writ of restitution can be issued. </w:t>
      </w:r>
      <w:r w:rsidRPr="00E9071F">
        <w:rPr>
          <w:rFonts w:cs="Arial"/>
          <w:sz w:val="26"/>
          <w:szCs w:val="18"/>
        </w:rPr>
        <w:t>15 U.S.C. §9058(c)(1)</w:t>
      </w:r>
      <w:r>
        <w:rPr>
          <w:rFonts w:cs="Arial"/>
          <w:sz w:val="26"/>
          <w:szCs w:val="18"/>
        </w:rPr>
        <w:t>, which appears to be the basis for Petitioner’s request for this rule amendment,</w:t>
      </w:r>
      <w:r w:rsidRPr="00E9071F">
        <w:rPr>
          <w:rFonts w:cs="Arial"/>
          <w:sz w:val="26"/>
          <w:szCs w:val="18"/>
        </w:rPr>
        <w:t xml:space="preserve"> has never contained language limiting when an eviction complaint may be </w:t>
      </w:r>
      <w:r w:rsidRPr="00C81F95">
        <w:rPr>
          <w:rFonts w:cs="Arial"/>
          <w:sz w:val="26"/>
          <w:szCs w:val="18"/>
        </w:rPr>
        <w:t>filed.</w:t>
      </w:r>
    </w:p>
    <w:p w14:paraId="3BF68EC0" w14:textId="32831015" w:rsidR="00E5458F" w:rsidRPr="005A5107" w:rsidRDefault="00E5458F" w:rsidP="005A5107">
      <w:pPr>
        <w:pStyle w:val="ListParagraph"/>
        <w:numPr>
          <w:ilvl w:val="0"/>
          <w:numId w:val="15"/>
        </w:numPr>
        <w:jc w:val="center"/>
        <w:rPr>
          <w:rFonts w:ascii="Times New Roman Bold" w:hAnsi="Times New Roman Bold" w:cs="Times New Roman (Body CS)"/>
          <w:b/>
          <w:sz w:val="26"/>
          <w:szCs w:val="26"/>
        </w:rPr>
      </w:pPr>
      <w:r w:rsidRPr="005A5107">
        <w:rPr>
          <w:rFonts w:ascii="Times New Roman Bold" w:hAnsi="Times New Roman Bold" w:cs="Times New Roman (Body CS)"/>
          <w:b/>
          <w:sz w:val="26"/>
          <w:szCs w:val="26"/>
        </w:rPr>
        <w:t>15 U.S.C. Does Not Prohibit a Landlord From Filing An Eviction After Notice Has Been Served and Before the Thirty Day “Vacate” Date Occurs.</w:t>
      </w:r>
    </w:p>
    <w:p w14:paraId="071BB91A" w14:textId="77777777" w:rsidR="00E5458F" w:rsidRPr="005A5107" w:rsidRDefault="00E5458F" w:rsidP="005A5107">
      <w:pPr>
        <w:jc w:val="center"/>
        <w:rPr>
          <w:rFonts w:ascii="Times New Roman Bold" w:hAnsi="Times New Roman Bold" w:cs="Times New Roman (Body CS)"/>
          <w:b/>
          <w:sz w:val="26"/>
          <w:szCs w:val="26"/>
        </w:rPr>
      </w:pPr>
    </w:p>
    <w:p w14:paraId="4EF49F84" w14:textId="6B98EEDC" w:rsidR="00F0536A" w:rsidRPr="00E5458F" w:rsidRDefault="00827108" w:rsidP="00E5458F">
      <w:pPr>
        <w:widowControl w:val="0"/>
        <w:spacing w:line="480" w:lineRule="auto"/>
        <w:ind w:firstLine="720"/>
        <w:jc w:val="both"/>
        <w:rPr>
          <w:sz w:val="26"/>
          <w:szCs w:val="20"/>
        </w:rPr>
      </w:pPr>
      <w:r w:rsidRPr="003A05F3">
        <w:rPr>
          <w:sz w:val="26"/>
          <w:szCs w:val="20"/>
        </w:rPr>
        <w:t xml:space="preserve">Petitioner’s </w:t>
      </w:r>
      <w:r w:rsidR="00E5458F">
        <w:rPr>
          <w:sz w:val="26"/>
          <w:szCs w:val="20"/>
        </w:rPr>
        <w:t>contention</w:t>
      </w:r>
      <w:r w:rsidRPr="003A05F3">
        <w:rPr>
          <w:sz w:val="26"/>
          <w:szCs w:val="20"/>
        </w:rPr>
        <w:t xml:space="preserve"> that “the plain and unambiguous language of the CARES Act, 15 U.S.C. §9058(c)” requires a landlord to provide thirty (30) days</w:t>
      </w:r>
      <w:r w:rsidR="00F0536A" w:rsidRPr="003A05F3">
        <w:rPr>
          <w:sz w:val="26"/>
          <w:szCs w:val="20"/>
        </w:rPr>
        <w:t>’</w:t>
      </w:r>
      <w:r w:rsidRPr="003A05F3">
        <w:rPr>
          <w:sz w:val="26"/>
          <w:szCs w:val="20"/>
        </w:rPr>
        <w:t xml:space="preserve"> notice before an eviction complaint can be filed is at best a </w:t>
      </w:r>
      <w:r w:rsidR="007A219D" w:rsidRPr="003A05F3">
        <w:rPr>
          <w:sz w:val="26"/>
          <w:szCs w:val="20"/>
        </w:rPr>
        <w:t>misreading</w:t>
      </w:r>
      <w:r w:rsidRPr="003A05F3">
        <w:rPr>
          <w:sz w:val="26"/>
          <w:szCs w:val="20"/>
        </w:rPr>
        <w:t xml:space="preserve"> of the statutory language. Nothing in 15 U.S.C. §9058(c) requires a landlord to wait thirty (30) days before </w:t>
      </w:r>
      <w:r w:rsidRPr="003A05F3">
        <w:rPr>
          <w:i/>
          <w:sz w:val="26"/>
          <w:szCs w:val="20"/>
        </w:rPr>
        <w:t>filing</w:t>
      </w:r>
      <w:r w:rsidRPr="003A05F3">
        <w:rPr>
          <w:sz w:val="26"/>
          <w:szCs w:val="20"/>
        </w:rPr>
        <w:t xml:space="preserve"> an eviction complaint; </w:t>
      </w:r>
      <w:r w:rsidR="00017DD3" w:rsidRPr="003A05F3">
        <w:rPr>
          <w:sz w:val="26"/>
          <w:szCs w:val="20"/>
        </w:rPr>
        <w:t xml:space="preserve">at most </w:t>
      </w:r>
      <w:r w:rsidR="00017DD3" w:rsidRPr="003A05F3">
        <w:rPr>
          <w:sz w:val="26"/>
          <w:szCs w:val="20"/>
        </w:rPr>
        <w:lastRenderedPageBreak/>
        <w:t xml:space="preserve">it </w:t>
      </w:r>
      <w:r w:rsidRPr="003A05F3">
        <w:rPr>
          <w:sz w:val="26"/>
          <w:szCs w:val="20"/>
        </w:rPr>
        <w:t xml:space="preserve">requires </w:t>
      </w:r>
      <w:r w:rsidR="00017DD3" w:rsidRPr="003A05F3">
        <w:rPr>
          <w:sz w:val="26"/>
          <w:szCs w:val="20"/>
        </w:rPr>
        <w:t xml:space="preserve">only </w:t>
      </w:r>
      <w:r w:rsidRPr="003A05F3">
        <w:rPr>
          <w:sz w:val="26"/>
          <w:szCs w:val="20"/>
        </w:rPr>
        <w:t>that landlords of covered properties not</w:t>
      </w:r>
      <w:r w:rsidR="00F0536A" w:rsidRPr="003A05F3">
        <w:rPr>
          <w:sz w:val="26"/>
          <w:szCs w:val="20"/>
        </w:rPr>
        <w:t xml:space="preserve"> </w:t>
      </w:r>
      <w:r w:rsidR="00017DD3" w:rsidRPr="003A05F3">
        <w:rPr>
          <w:sz w:val="26"/>
          <w:szCs w:val="20"/>
        </w:rPr>
        <w:t xml:space="preserve">seek a writ date in non-pay cases </w:t>
      </w:r>
      <w:r w:rsidRPr="003A05F3">
        <w:rPr>
          <w:sz w:val="26"/>
          <w:szCs w:val="20"/>
        </w:rPr>
        <w:t>until thirty (30) days after the no</w:t>
      </w:r>
      <w:r w:rsidR="00017DD3" w:rsidRPr="003A05F3">
        <w:rPr>
          <w:sz w:val="26"/>
          <w:szCs w:val="20"/>
        </w:rPr>
        <w:t>n-pay notice</w:t>
      </w:r>
      <w:r w:rsidRPr="003A05F3">
        <w:rPr>
          <w:sz w:val="26"/>
          <w:szCs w:val="20"/>
        </w:rPr>
        <w:t xml:space="preserve"> is served.</w:t>
      </w:r>
      <w:r w:rsidR="00017DD3" w:rsidRPr="003A05F3">
        <w:rPr>
          <w:sz w:val="26"/>
          <w:szCs w:val="20"/>
        </w:rPr>
        <w:t xml:space="preserve"> </w:t>
      </w:r>
    </w:p>
    <w:p w14:paraId="19986013" w14:textId="39B26436" w:rsidR="00F0536A" w:rsidRDefault="00F0536A" w:rsidP="00F0536A">
      <w:pPr>
        <w:spacing w:line="480" w:lineRule="auto"/>
        <w:ind w:firstLine="720"/>
        <w:jc w:val="both"/>
        <w:rPr>
          <w:rFonts w:cs="Times New Roman (Body CS)"/>
          <w:sz w:val="26"/>
          <w:szCs w:val="26"/>
        </w:rPr>
      </w:pPr>
      <w:r>
        <w:rPr>
          <w:rFonts w:cs="Times New Roman (Body CS)"/>
          <w:sz w:val="26"/>
          <w:szCs w:val="26"/>
        </w:rPr>
        <w:t xml:space="preserve">Although </w:t>
      </w:r>
      <w:r w:rsidR="00E5458F">
        <w:rPr>
          <w:rFonts w:cs="Times New Roman (Body CS)"/>
          <w:sz w:val="26"/>
          <w:szCs w:val="26"/>
        </w:rPr>
        <w:t>Respondent</w:t>
      </w:r>
      <w:r>
        <w:rPr>
          <w:rFonts w:cs="Times New Roman (Body CS)"/>
          <w:sz w:val="26"/>
          <w:szCs w:val="26"/>
        </w:rPr>
        <w:t xml:space="preserve"> recognizes that there have been two </w:t>
      </w:r>
      <w:r w:rsidR="00E5458F">
        <w:rPr>
          <w:rFonts w:cs="Times New Roman (Body CS)"/>
          <w:sz w:val="26"/>
          <w:szCs w:val="26"/>
        </w:rPr>
        <w:t xml:space="preserve">(2) </w:t>
      </w:r>
      <w:r>
        <w:rPr>
          <w:rFonts w:cs="Times New Roman (Body CS)"/>
          <w:sz w:val="26"/>
          <w:szCs w:val="26"/>
        </w:rPr>
        <w:t xml:space="preserve">recent Superior Court </w:t>
      </w:r>
      <w:r w:rsidR="006D0BDA">
        <w:rPr>
          <w:rFonts w:cs="Times New Roman (Body CS)"/>
          <w:sz w:val="26"/>
          <w:szCs w:val="26"/>
        </w:rPr>
        <w:t xml:space="preserve">appellate </w:t>
      </w:r>
      <w:r>
        <w:rPr>
          <w:rFonts w:cs="Times New Roman (Body CS)"/>
          <w:sz w:val="26"/>
          <w:szCs w:val="26"/>
        </w:rPr>
        <w:t>rulings to the contrary, it is</w:t>
      </w:r>
      <w:r w:rsidR="00E5458F">
        <w:rPr>
          <w:rFonts w:cs="Times New Roman (Body CS)"/>
          <w:sz w:val="26"/>
          <w:szCs w:val="26"/>
        </w:rPr>
        <w:t xml:space="preserve"> Respondent</w:t>
      </w:r>
      <w:r>
        <w:rPr>
          <w:rFonts w:cs="Times New Roman (Body CS)"/>
          <w:sz w:val="26"/>
          <w:szCs w:val="26"/>
        </w:rPr>
        <w:t xml:space="preserve">’s belief that the briefs supplied in previous litigation by other parties did not fully and completely contain legal arguments that addressed whether a landlord under a CARES covered property is required to issue a 30 day non-pay notice (versus the state authorized 5 day non-pay notice) and </w:t>
      </w:r>
      <w:r w:rsidR="005A5107">
        <w:rPr>
          <w:rFonts w:cs="Times New Roman (Body CS)"/>
          <w:sz w:val="26"/>
          <w:szCs w:val="26"/>
        </w:rPr>
        <w:t xml:space="preserve">then </w:t>
      </w:r>
      <w:r>
        <w:rPr>
          <w:rFonts w:cs="Times New Roman (Body CS)"/>
          <w:sz w:val="26"/>
          <w:szCs w:val="26"/>
        </w:rPr>
        <w:t xml:space="preserve">wait 30 days before the filing of an eviction action.  </w:t>
      </w:r>
      <w:r w:rsidR="006D0BDA">
        <w:rPr>
          <w:rFonts w:cs="Times New Roman (Body CS)"/>
          <w:sz w:val="26"/>
          <w:szCs w:val="26"/>
        </w:rPr>
        <w:t xml:space="preserve">Additionally, it is believed that the Pima appellate judge’s unpublished opinion did not correctly interpret an issue that this Supreme Court has already provided guidance on.  </w:t>
      </w:r>
      <w:r w:rsidR="00E5458F">
        <w:rPr>
          <w:rFonts w:cs="Times New Roman (Body CS)"/>
          <w:sz w:val="26"/>
          <w:szCs w:val="26"/>
        </w:rPr>
        <w:t xml:space="preserve">Respondent urges the Court to </w:t>
      </w:r>
      <w:r w:rsidR="004317EB">
        <w:rPr>
          <w:rFonts w:cs="Times New Roman (Body CS)"/>
          <w:sz w:val="26"/>
          <w:szCs w:val="26"/>
        </w:rPr>
        <w:t>deny this Petition that would codify those rulings.</w:t>
      </w:r>
    </w:p>
    <w:p w14:paraId="05AA7992" w14:textId="481833C4" w:rsidR="00F0536A" w:rsidRPr="0025748B" w:rsidRDefault="00F0536A" w:rsidP="00F0536A">
      <w:pPr>
        <w:spacing w:line="480" w:lineRule="auto"/>
        <w:ind w:firstLine="720"/>
        <w:jc w:val="both"/>
        <w:rPr>
          <w:rFonts w:cs="Open Sans"/>
          <w:sz w:val="26"/>
          <w:szCs w:val="26"/>
        </w:rPr>
      </w:pPr>
      <w:r>
        <w:rPr>
          <w:rFonts w:cs="Times New Roman (Body CS)"/>
          <w:sz w:val="26"/>
          <w:szCs w:val="26"/>
        </w:rPr>
        <w:t>As</w:t>
      </w:r>
      <w:r w:rsidRPr="0025748B">
        <w:rPr>
          <w:rFonts w:cs="Times New Roman (Body CS)"/>
          <w:sz w:val="26"/>
          <w:szCs w:val="26"/>
        </w:rPr>
        <w:t xml:space="preserve"> 15 U.S.C. §9058</w:t>
      </w:r>
      <w:r w:rsidR="003A05F3">
        <w:rPr>
          <w:rFonts w:cs="Times New Roman (Body CS)"/>
          <w:sz w:val="26"/>
          <w:szCs w:val="26"/>
        </w:rPr>
        <w:t>(b)</w:t>
      </w:r>
      <w:r w:rsidRPr="0025748B">
        <w:rPr>
          <w:rFonts w:cs="Times New Roman (Body CS)"/>
          <w:sz w:val="26"/>
          <w:szCs w:val="26"/>
        </w:rPr>
        <w:t xml:space="preserve"> no longer prohibits a landlord from </w:t>
      </w:r>
      <w:r w:rsidRPr="0025748B">
        <w:rPr>
          <w:rFonts w:cs="Open Sans"/>
          <w:sz w:val="26"/>
          <w:szCs w:val="26"/>
        </w:rPr>
        <w:t xml:space="preserve">“making, or causing to be made, any filing with the court of jurisdiction” a civil action to retake possession when a tenant has failed to pay rent, the only real issue is whether </w:t>
      </w:r>
      <w:r>
        <w:rPr>
          <w:rFonts w:cs="Open Sans"/>
          <w:sz w:val="26"/>
          <w:szCs w:val="26"/>
        </w:rPr>
        <w:t>the prohibition that a landlord “</w:t>
      </w:r>
      <w:r w:rsidRPr="0025748B">
        <w:rPr>
          <w:rFonts w:cs="Open Sans"/>
          <w:sz w:val="26"/>
          <w:szCs w:val="26"/>
          <w:u w:val="single"/>
        </w:rPr>
        <w:t>may not require the tenant to vacate</w:t>
      </w:r>
      <w:r>
        <w:rPr>
          <w:rFonts w:cs="Open Sans"/>
          <w:sz w:val="26"/>
          <w:szCs w:val="26"/>
        </w:rPr>
        <w:t>” without first serving a thirty (30) day notice means the same thing as “</w:t>
      </w:r>
      <w:r w:rsidRPr="0025748B">
        <w:rPr>
          <w:rFonts w:cs="Open Sans"/>
          <w:sz w:val="26"/>
          <w:szCs w:val="26"/>
          <w:u w:val="single"/>
        </w:rPr>
        <w:t>making, or causing to be made, any filing with the court of jurisdiction</w:t>
      </w:r>
      <w:r>
        <w:rPr>
          <w:rFonts w:cs="Open Sans"/>
          <w:sz w:val="26"/>
          <w:szCs w:val="26"/>
        </w:rPr>
        <w:t xml:space="preserve">” without first serving a thirty (30) day notice.  </w:t>
      </w:r>
      <w:r w:rsidRPr="0025748B">
        <w:rPr>
          <w:rFonts w:cs="Open Sans"/>
          <w:sz w:val="26"/>
          <w:szCs w:val="26"/>
        </w:rPr>
        <w:t xml:space="preserve"> </w:t>
      </w:r>
    </w:p>
    <w:p w14:paraId="78068025" w14:textId="0777B63D" w:rsidR="00F0536A" w:rsidRPr="0025748B" w:rsidRDefault="00F0536A" w:rsidP="00F0536A">
      <w:pPr>
        <w:spacing w:line="480" w:lineRule="auto"/>
        <w:ind w:firstLine="720"/>
        <w:jc w:val="both"/>
        <w:rPr>
          <w:rFonts w:cs="Open Sans"/>
          <w:color w:val="333333"/>
          <w:sz w:val="26"/>
          <w:szCs w:val="26"/>
        </w:rPr>
      </w:pPr>
      <w:r w:rsidRPr="0025748B">
        <w:rPr>
          <w:rFonts w:cs="Open Sans"/>
          <w:color w:val="333333"/>
          <w:sz w:val="26"/>
          <w:szCs w:val="26"/>
        </w:rPr>
        <w:t xml:space="preserve">The fact that Congress did not use that </w:t>
      </w:r>
      <w:r>
        <w:rPr>
          <w:rFonts w:cs="Open Sans"/>
          <w:color w:val="333333"/>
          <w:sz w:val="26"/>
          <w:szCs w:val="26"/>
        </w:rPr>
        <w:t xml:space="preserve">same </w:t>
      </w:r>
      <w:r w:rsidRPr="0025748B">
        <w:rPr>
          <w:rFonts w:cs="Open Sans"/>
          <w:color w:val="333333"/>
          <w:sz w:val="26"/>
          <w:szCs w:val="26"/>
        </w:rPr>
        <w:t xml:space="preserve">or </w:t>
      </w:r>
      <w:r>
        <w:rPr>
          <w:rFonts w:cs="Open Sans"/>
          <w:color w:val="333333"/>
          <w:sz w:val="26"/>
          <w:szCs w:val="26"/>
        </w:rPr>
        <w:t xml:space="preserve">even </w:t>
      </w:r>
      <w:r w:rsidRPr="0025748B">
        <w:rPr>
          <w:rFonts w:cs="Open Sans"/>
          <w:color w:val="333333"/>
          <w:sz w:val="26"/>
          <w:szCs w:val="26"/>
        </w:rPr>
        <w:t>similar language in the current version of 15 U.S.C. § 9058</w:t>
      </w:r>
      <w:r w:rsidR="003A05F3">
        <w:rPr>
          <w:rFonts w:cs="Open Sans"/>
          <w:color w:val="333333"/>
          <w:sz w:val="26"/>
          <w:szCs w:val="26"/>
        </w:rPr>
        <w:t>(c)</w:t>
      </w:r>
      <w:r w:rsidRPr="0025748B">
        <w:rPr>
          <w:rFonts w:cs="Open Sans"/>
          <w:color w:val="333333"/>
          <w:sz w:val="26"/>
          <w:szCs w:val="26"/>
        </w:rPr>
        <w:t xml:space="preserve"> </w:t>
      </w:r>
      <w:r>
        <w:rPr>
          <w:rFonts w:cs="Open Sans"/>
          <w:color w:val="333333"/>
          <w:sz w:val="26"/>
          <w:szCs w:val="26"/>
        </w:rPr>
        <w:t>indicates</w:t>
      </w:r>
      <w:r w:rsidRPr="0025748B">
        <w:rPr>
          <w:rFonts w:cs="Open Sans"/>
          <w:color w:val="333333"/>
          <w:sz w:val="26"/>
          <w:szCs w:val="26"/>
        </w:rPr>
        <w:t xml:space="preserve"> that Congress did not intend to prohibit courts from hearing eviction cases involving covered properties during the thirty (30) day notice period, as long as the tenant was not required to vacate the unit sooner than thirty (30) days after the notice was served.</w:t>
      </w:r>
      <w:r>
        <w:rPr>
          <w:rFonts w:cs="Open Sans"/>
          <w:color w:val="333333"/>
          <w:sz w:val="26"/>
          <w:szCs w:val="26"/>
        </w:rPr>
        <w:t xml:space="preserve">  The intent was to affect the remedy, not the landlord’s right to bring a case to court under state law.  Perhaps the Justice Department’s recognition of the limitation of </w:t>
      </w:r>
      <w:r>
        <w:rPr>
          <w:rFonts w:cs="Open Sans"/>
          <w:color w:val="333333"/>
          <w:sz w:val="26"/>
          <w:szCs w:val="26"/>
        </w:rPr>
        <w:lastRenderedPageBreak/>
        <w:t>federal power to dictate state court proceedings in the CDC order litigation was considered.</w:t>
      </w:r>
      <w:r w:rsidR="007A219D">
        <w:rPr>
          <w:rFonts w:cs="Open Sans"/>
          <w:color w:val="333333"/>
          <w:sz w:val="26"/>
          <w:szCs w:val="26"/>
        </w:rPr>
        <w:t xml:space="preserve"> In interpreting the CDC order, the Justice Department certainly equate “evict” with the actual removal of the resident, not with the filing of the action.</w:t>
      </w:r>
    </w:p>
    <w:p w14:paraId="2C6F0ECB" w14:textId="69221717" w:rsidR="00F0536A" w:rsidRPr="0025748B" w:rsidRDefault="00F0536A" w:rsidP="00F0536A">
      <w:pPr>
        <w:spacing w:line="480" w:lineRule="auto"/>
        <w:ind w:firstLine="720"/>
        <w:jc w:val="both"/>
        <w:rPr>
          <w:rFonts w:cs="Open Sans"/>
          <w:color w:val="333333"/>
          <w:sz w:val="26"/>
          <w:szCs w:val="26"/>
        </w:rPr>
      </w:pPr>
      <w:r w:rsidRPr="0025748B">
        <w:rPr>
          <w:rFonts w:cs="Open Sans"/>
          <w:color w:val="333333"/>
          <w:sz w:val="26"/>
          <w:szCs w:val="26"/>
        </w:rPr>
        <w:t xml:space="preserve">As neither </w:t>
      </w:r>
      <w:r w:rsidRPr="0025748B">
        <w:rPr>
          <w:rFonts w:cs="Times New Roman (Body CS)"/>
          <w:sz w:val="26"/>
          <w:szCs w:val="26"/>
        </w:rPr>
        <w:t>15 U</w:t>
      </w:r>
      <w:r w:rsidR="005A5107">
        <w:rPr>
          <w:rFonts w:cs="Times New Roman (Body CS)"/>
          <w:sz w:val="26"/>
          <w:szCs w:val="26"/>
        </w:rPr>
        <w:t>.</w:t>
      </w:r>
      <w:r w:rsidRPr="0025748B">
        <w:rPr>
          <w:rFonts w:cs="Times New Roman (Body CS)"/>
          <w:sz w:val="26"/>
          <w:szCs w:val="26"/>
        </w:rPr>
        <w:t>S</w:t>
      </w:r>
      <w:r w:rsidR="005A5107">
        <w:rPr>
          <w:rFonts w:cs="Times New Roman (Body CS)"/>
          <w:sz w:val="26"/>
          <w:szCs w:val="26"/>
        </w:rPr>
        <w:t>.</w:t>
      </w:r>
      <w:r w:rsidRPr="0025748B">
        <w:rPr>
          <w:rFonts w:cs="Times New Roman (Body CS)"/>
          <w:sz w:val="26"/>
          <w:szCs w:val="26"/>
        </w:rPr>
        <w:t>C</w:t>
      </w:r>
      <w:r w:rsidR="005A5107">
        <w:rPr>
          <w:rFonts w:cs="Times New Roman (Body CS)"/>
          <w:sz w:val="26"/>
          <w:szCs w:val="26"/>
        </w:rPr>
        <w:t>.</w:t>
      </w:r>
      <w:r w:rsidRPr="0025748B">
        <w:rPr>
          <w:rFonts w:cs="Times New Roman (Body CS)"/>
          <w:sz w:val="26"/>
          <w:szCs w:val="26"/>
        </w:rPr>
        <w:t xml:space="preserve"> §9058 nor any other provision of the</w:t>
      </w:r>
      <w:r w:rsidRPr="0025748B">
        <w:rPr>
          <w:rFonts w:cs="Times New Roman (Body CS)"/>
          <w:i/>
          <w:sz w:val="26"/>
          <w:szCs w:val="26"/>
        </w:rPr>
        <w:t xml:space="preserve"> Keeping American Workers Paid and Employed Act, 15 U.S.C. §9000, subpart A, Coronavirus Economic Stabilization,</w:t>
      </w:r>
      <w:r w:rsidRPr="0025748B">
        <w:rPr>
          <w:rFonts w:cs="Times New Roman (Body CS)"/>
          <w:sz w:val="26"/>
          <w:szCs w:val="26"/>
        </w:rPr>
        <w:t xml:space="preserve"> defines </w:t>
      </w:r>
      <w:r w:rsidRPr="0025748B">
        <w:rPr>
          <w:rFonts w:cs="Open Sans"/>
          <w:color w:val="333333"/>
          <w:sz w:val="26"/>
          <w:szCs w:val="26"/>
        </w:rPr>
        <w:t xml:space="preserve">the </w:t>
      </w:r>
      <w:r w:rsidRPr="0025748B">
        <w:rPr>
          <w:rFonts w:cs="Times New Roman (Body CS)"/>
          <w:sz w:val="26"/>
          <w:szCs w:val="26"/>
        </w:rPr>
        <w:t xml:space="preserve">term “vacate,” and there is no legislative history suggesting that a landlord must wait a specific amount of time before filing an eviction complaint, courts must interpret the term by reference to its common usage. </w:t>
      </w:r>
      <w:r w:rsidRPr="0025748B">
        <w:rPr>
          <w:rFonts w:cs="Times New Roman (Body CS)"/>
          <w:i/>
          <w:sz w:val="26"/>
          <w:szCs w:val="26"/>
        </w:rPr>
        <w:t>See,</w:t>
      </w:r>
      <w:r w:rsidRPr="0025748B">
        <w:rPr>
          <w:rFonts w:cs="Times New Roman (Body CS)"/>
          <w:sz w:val="26"/>
          <w:szCs w:val="26"/>
        </w:rPr>
        <w:t xml:space="preserve"> </w:t>
      </w:r>
      <w:r w:rsidRPr="0025748B">
        <w:rPr>
          <w:rFonts w:cs="Times New Roman (Body CS)"/>
          <w:i/>
          <w:sz w:val="26"/>
          <w:szCs w:val="26"/>
        </w:rPr>
        <w:t>Sun City Grand v. Maricopa County,</w:t>
      </w:r>
      <w:r w:rsidRPr="0025748B">
        <w:rPr>
          <w:rFonts w:cs="Times New Roman (Body CS)"/>
          <w:sz w:val="26"/>
          <w:szCs w:val="26"/>
        </w:rPr>
        <w:t xml:space="preserve"> 164 P.3</w:t>
      </w:r>
      <w:r w:rsidRPr="0025748B">
        <w:rPr>
          <w:rFonts w:cs="Times New Roman (Body CS)"/>
          <w:sz w:val="26"/>
          <w:szCs w:val="26"/>
          <w:vertAlign w:val="superscript"/>
        </w:rPr>
        <w:t>rd</w:t>
      </w:r>
      <w:r w:rsidRPr="0025748B">
        <w:rPr>
          <w:rFonts w:cs="Times New Roman (Body CS)"/>
          <w:sz w:val="26"/>
          <w:szCs w:val="26"/>
        </w:rPr>
        <w:t xml:space="preserve"> 679, 216 Ariz. 173 (Ariz.App. 2007); and </w:t>
      </w:r>
      <w:r w:rsidRPr="0025748B">
        <w:rPr>
          <w:rFonts w:cs="Times New Roman (Body CS)"/>
          <w:i/>
          <w:sz w:val="26"/>
          <w:szCs w:val="26"/>
        </w:rPr>
        <w:t>North Valley Emergency Specialists v. Santana,</w:t>
      </w:r>
      <w:r w:rsidRPr="0025748B">
        <w:rPr>
          <w:rFonts w:cs="Times New Roman (Body CS)"/>
          <w:sz w:val="26"/>
          <w:szCs w:val="26"/>
        </w:rPr>
        <w:t xml:space="preserve"> Arizona Supreme Court No. CV-03-0279-PR (AZ 7/14/2004), which held:</w:t>
      </w:r>
    </w:p>
    <w:p w14:paraId="3B974542" w14:textId="77777777" w:rsidR="00F0536A" w:rsidRPr="0025748B" w:rsidRDefault="00F0536A" w:rsidP="00F0536A">
      <w:pPr>
        <w:ind w:left="720" w:right="720"/>
        <w:jc w:val="both"/>
        <w:rPr>
          <w:sz w:val="26"/>
          <w:szCs w:val="26"/>
        </w:rPr>
      </w:pPr>
      <w:r w:rsidRPr="0025748B">
        <w:rPr>
          <w:sz w:val="26"/>
          <w:szCs w:val="26"/>
        </w:rPr>
        <w:t xml:space="preserve">A statute’s language is "the best and most reliable index of a statute's meaning." </w:t>
      </w:r>
      <w:r w:rsidRPr="0025748B">
        <w:rPr>
          <w:i/>
          <w:sz w:val="26"/>
          <w:szCs w:val="26"/>
        </w:rPr>
        <w:t>State v. Williams,</w:t>
      </w:r>
      <w:r w:rsidRPr="0025748B">
        <w:rPr>
          <w:sz w:val="26"/>
          <w:szCs w:val="26"/>
        </w:rPr>
        <w:t xml:space="preserve"> 175 Ariz. 98, 100, 854 P.2d 131, 133 (1993) (quoting </w:t>
      </w:r>
      <w:r w:rsidRPr="0025748B">
        <w:rPr>
          <w:i/>
          <w:sz w:val="26"/>
          <w:szCs w:val="26"/>
        </w:rPr>
        <w:t>Janson v. Christensen,</w:t>
      </w:r>
      <w:r w:rsidRPr="0025748B">
        <w:rPr>
          <w:sz w:val="26"/>
          <w:szCs w:val="26"/>
        </w:rPr>
        <w:t xml:space="preserve"> 167 Ariz. 470, 471, 808 P.2d 1222, 1223 (1991)). In addition, "[i]f the language is clear, the court must `apply it without resorting to other methods of statutory interpretation,' unless application of the plain meaning would lead to impossible or absurd results." </w:t>
      </w:r>
      <w:r w:rsidRPr="0025748B">
        <w:rPr>
          <w:i/>
          <w:sz w:val="26"/>
          <w:szCs w:val="26"/>
        </w:rPr>
        <w:t>Bilke v. State</w:t>
      </w:r>
      <w:r w:rsidRPr="0025748B">
        <w:rPr>
          <w:sz w:val="26"/>
          <w:szCs w:val="26"/>
        </w:rPr>
        <w:t>, 206 Ariz. 462, 464, ¶ 11, 80 P.3d 269, 271 (2003) (quoting Hayes v. Cont'l Ins. Co., 178 Ariz. 264, 268, 872 P.2d 668, 672 (1994)).</w:t>
      </w:r>
    </w:p>
    <w:p w14:paraId="3548C1B4" w14:textId="77777777" w:rsidR="00F0536A" w:rsidRPr="0025748B" w:rsidRDefault="00F0536A" w:rsidP="00F0536A">
      <w:pPr>
        <w:ind w:right="720"/>
        <w:jc w:val="both"/>
        <w:rPr>
          <w:sz w:val="26"/>
          <w:szCs w:val="26"/>
        </w:rPr>
      </w:pPr>
    </w:p>
    <w:p w14:paraId="433BF03B" w14:textId="77777777" w:rsidR="00F0536A" w:rsidRPr="0025748B" w:rsidRDefault="00F0536A" w:rsidP="00F0536A">
      <w:pPr>
        <w:ind w:right="720"/>
        <w:jc w:val="both"/>
        <w:rPr>
          <w:rFonts w:cs="Times New Roman (Body CS)"/>
          <w:sz w:val="26"/>
          <w:szCs w:val="26"/>
        </w:rPr>
      </w:pPr>
      <w:r w:rsidRPr="0025748B">
        <w:rPr>
          <w:sz w:val="26"/>
          <w:szCs w:val="26"/>
        </w:rPr>
        <w:t xml:space="preserve">Arizona has codified this standard at </w:t>
      </w:r>
      <w:r w:rsidRPr="0025748B">
        <w:rPr>
          <w:rFonts w:cs="Times New Roman (Body CS)"/>
          <w:sz w:val="26"/>
          <w:szCs w:val="26"/>
        </w:rPr>
        <w:t>A.R.S. §1-213, which says:</w:t>
      </w:r>
    </w:p>
    <w:p w14:paraId="6D7BD91A" w14:textId="77777777" w:rsidR="00F0536A" w:rsidRPr="0025748B" w:rsidRDefault="00F0536A" w:rsidP="00F0536A">
      <w:pPr>
        <w:ind w:right="720"/>
        <w:jc w:val="both"/>
        <w:rPr>
          <w:rFonts w:cs="Times New Roman (Body CS)"/>
          <w:sz w:val="26"/>
          <w:szCs w:val="26"/>
        </w:rPr>
      </w:pPr>
    </w:p>
    <w:p w14:paraId="4344BA33" w14:textId="77777777" w:rsidR="00F0536A" w:rsidRPr="0025748B" w:rsidRDefault="00F0536A" w:rsidP="00F0536A">
      <w:pPr>
        <w:ind w:left="720" w:right="720"/>
        <w:jc w:val="both"/>
        <w:rPr>
          <w:sz w:val="26"/>
          <w:szCs w:val="26"/>
        </w:rPr>
      </w:pPr>
      <w:r w:rsidRPr="0025748B">
        <w:rPr>
          <w:sz w:val="26"/>
          <w:szCs w:val="26"/>
        </w:rPr>
        <w:t>Words and phrases shall be construed according to the common and approved use of the language. Technical words and phrases and those which have acquired a peculiar and appropriate meaning in the law shall be construed according to such peculiar and appropriate meaning.</w:t>
      </w:r>
    </w:p>
    <w:p w14:paraId="3EA804D4" w14:textId="77777777" w:rsidR="00F0536A" w:rsidRPr="0025748B" w:rsidRDefault="00F0536A" w:rsidP="00F0536A">
      <w:pPr>
        <w:ind w:right="720"/>
        <w:jc w:val="both"/>
        <w:rPr>
          <w:sz w:val="26"/>
          <w:szCs w:val="26"/>
        </w:rPr>
      </w:pPr>
    </w:p>
    <w:p w14:paraId="4ECE0BBC" w14:textId="77777777" w:rsidR="00F0536A" w:rsidRPr="0025748B" w:rsidRDefault="00F0536A" w:rsidP="00F0536A">
      <w:pPr>
        <w:spacing w:line="480" w:lineRule="auto"/>
        <w:ind w:firstLine="720"/>
        <w:jc w:val="both"/>
        <w:rPr>
          <w:rFonts w:cs="Times New Roman (Body CS)"/>
          <w:sz w:val="26"/>
          <w:szCs w:val="26"/>
        </w:rPr>
      </w:pPr>
      <w:r w:rsidRPr="0025748B">
        <w:rPr>
          <w:sz w:val="26"/>
          <w:szCs w:val="26"/>
        </w:rPr>
        <w:t xml:space="preserve">As set out above, a thorough review of the </w:t>
      </w:r>
      <w:r w:rsidRPr="0025748B">
        <w:rPr>
          <w:rFonts w:cs="Times New Roman (Body CS)"/>
          <w:i/>
          <w:sz w:val="26"/>
          <w:szCs w:val="26"/>
        </w:rPr>
        <w:t xml:space="preserve">Keeping American Workers Paid and Employed Act, 15 U.S.C. §9000,  subpart A, Coronavirus Economic Stabilization, </w:t>
      </w:r>
      <w:r w:rsidRPr="0025748B">
        <w:rPr>
          <w:rFonts w:cs="Times New Roman (Body CS)"/>
          <w:sz w:val="26"/>
          <w:szCs w:val="26"/>
        </w:rPr>
        <w:t xml:space="preserve">contains no definition for the word “vacate,”  nor is there any legislative history suggesting that Congress intended to apply anything other than the common meaning of that word.  Under these </w:t>
      </w:r>
      <w:r w:rsidRPr="0025748B">
        <w:rPr>
          <w:rFonts w:cs="Times New Roman (Body CS)"/>
          <w:sz w:val="26"/>
          <w:szCs w:val="26"/>
        </w:rPr>
        <w:lastRenderedPageBreak/>
        <w:t>circumstances, the dictionary definition of the word “vacate” is determinative in interpreting Congress’s intent when it enacted 15 U.S.C. §9058(c).</w:t>
      </w:r>
    </w:p>
    <w:p w14:paraId="51A51984" w14:textId="77777777" w:rsidR="00F0536A" w:rsidRPr="0025748B" w:rsidRDefault="00F0536A" w:rsidP="00F0536A">
      <w:pPr>
        <w:spacing w:line="480" w:lineRule="auto"/>
        <w:jc w:val="both"/>
        <w:rPr>
          <w:color w:val="000000"/>
          <w:sz w:val="26"/>
          <w:szCs w:val="26"/>
          <w:shd w:val="clear" w:color="auto" w:fill="FFFFFF"/>
        </w:rPr>
      </w:pPr>
      <w:r w:rsidRPr="0025748B">
        <w:rPr>
          <w:rFonts w:cs="Times New Roman (Body CS)"/>
          <w:sz w:val="26"/>
          <w:szCs w:val="26"/>
        </w:rPr>
        <w:tab/>
        <w:t xml:space="preserve">Dictionary.com defines “vacate” to mean “to give up possession or occupancy of,” or “to withdraw from occupancy, surrender possession,” </w:t>
      </w:r>
      <w:hyperlink r:id="rId18" w:history="1">
        <w:r w:rsidRPr="0025748B">
          <w:rPr>
            <w:rStyle w:val="Hyperlink"/>
            <w:rFonts w:cs="Times New Roman (Body CS)"/>
            <w:sz w:val="26"/>
            <w:szCs w:val="26"/>
          </w:rPr>
          <w:t>https://www.dictionary.com/browse/vacate</w:t>
        </w:r>
      </w:hyperlink>
      <w:r w:rsidRPr="0025748B">
        <w:rPr>
          <w:rFonts w:cs="Times New Roman (Body CS)"/>
          <w:sz w:val="26"/>
          <w:szCs w:val="26"/>
        </w:rPr>
        <w:t>; the Cambridge English dictionary defines it “</w:t>
      </w:r>
      <w:r w:rsidRPr="0025748B">
        <w:rPr>
          <w:rFonts w:cs="Arial"/>
          <w:bCs/>
          <w:sz w:val="26"/>
          <w:szCs w:val="26"/>
        </w:rPr>
        <w:t>to </w:t>
      </w:r>
      <w:hyperlink r:id="rId19" w:tooltip="leave" w:history="1">
        <w:r w:rsidRPr="0025748B">
          <w:rPr>
            <w:rFonts w:cs="Arial"/>
            <w:bCs/>
            <w:sz w:val="26"/>
            <w:szCs w:val="26"/>
          </w:rPr>
          <w:t>leave</w:t>
        </w:r>
      </w:hyperlink>
      <w:r w:rsidRPr="0025748B">
        <w:rPr>
          <w:rFonts w:cs="Arial"/>
          <w:bCs/>
          <w:sz w:val="26"/>
          <w:szCs w:val="26"/>
        </w:rPr>
        <w:t> a </w:t>
      </w:r>
      <w:hyperlink r:id="rId20" w:tooltip="room" w:history="1">
        <w:r w:rsidRPr="0025748B">
          <w:rPr>
            <w:rFonts w:cs="Arial"/>
            <w:bCs/>
            <w:sz w:val="26"/>
            <w:szCs w:val="26"/>
          </w:rPr>
          <w:t>room</w:t>
        </w:r>
      </w:hyperlink>
      <w:r w:rsidRPr="0025748B">
        <w:rPr>
          <w:rFonts w:cs="Arial"/>
          <w:bCs/>
          <w:sz w:val="26"/>
          <w:szCs w:val="26"/>
        </w:rPr>
        <w:t>, </w:t>
      </w:r>
      <w:hyperlink r:id="rId21" w:tooltip="building" w:history="1">
        <w:r w:rsidRPr="0025748B">
          <w:rPr>
            <w:rFonts w:cs="Arial"/>
            <w:bCs/>
            <w:sz w:val="26"/>
            <w:szCs w:val="26"/>
          </w:rPr>
          <w:t>building</w:t>
        </w:r>
      </w:hyperlink>
      <w:r w:rsidRPr="0025748B">
        <w:rPr>
          <w:rFonts w:cs="Arial"/>
          <w:bCs/>
          <w:sz w:val="26"/>
          <w:szCs w:val="26"/>
        </w:rPr>
        <w:t>, </w:t>
      </w:r>
      <w:hyperlink r:id="rId22" w:tooltip="chair" w:history="1">
        <w:r w:rsidRPr="0025748B">
          <w:rPr>
            <w:rFonts w:cs="Arial"/>
            <w:bCs/>
            <w:sz w:val="26"/>
            <w:szCs w:val="26"/>
          </w:rPr>
          <w:t>chair</w:t>
        </w:r>
      </w:hyperlink>
      <w:r w:rsidRPr="0025748B">
        <w:rPr>
          <w:rFonts w:cs="Arial"/>
          <w:bCs/>
          <w:sz w:val="26"/>
          <w:szCs w:val="26"/>
        </w:rPr>
        <w:t>, etc. so that it is </w:t>
      </w:r>
      <w:hyperlink r:id="rId23" w:tooltip="available" w:history="1">
        <w:r w:rsidRPr="0025748B">
          <w:rPr>
            <w:rFonts w:cs="Arial"/>
            <w:bCs/>
            <w:sz w:val="26"/>
            <w:szCs w:val="26"/>
          </w:rPr>
          <w:t>available</w:t>
        </w:r>
      </w:hyperlink>
      <w:r w:rsidRPr="0025748B">
        <w:rPr>
          <w:rFonts w:cs="Arial"/>
          <w:bCs/>
          <w:sz w:val="26"/>
          <w:szCs w:val="26"/>
        </w:rPr>
        <w:t> for other </w:t>
      </w:r>
      <w:hyperlink r:id="rId24" w:tooltip="people" w:history="1">
        <w:r w:rsidRPr="0025748B">
          <w:rPr>
            <w:rFonts w:cs="Arial"/>
            <w:bCs/>
            <w:sz w:val="26"/>
            <w:szCs w:val="26"/>
          </w:rPr>
          <w:t>people</w:t>
        </w:r>
      </w:hyperlink>
      <w:r w:rsidRPr="0025748B">
        <w:rPr>
          <w:sz w:val="26"/>
          <w:szCs w:val="26"/>
        </w:rPr>
        <w:t xml:space="preserve">” </w:t>
      </w:r>
      <w:hyperlink r:id="rId25" w:history="1">
        <w:r w:rsidRPr="0025748B">
          <w:rPr>
            <w:rStyle w:val="Hyperlink"/>
            <w:sz w:val="26"/>
            <w:szCs w:val="26"/>
          </w:rPr>
          <w:t>https://dictionary.cambridge.org/us/dictionary/english/vacate</w:t>
        </w:r>
      </w:hyperlink>
      <w:r w:rsidRPr="0025748B">
        <w:rPr>
          <w:sz w:val="26"/>
          <w:szCs w:val="26"/>
        </w:rPr>
        <w:t>; the Britannica dictionary says it means “</w:t>
      </w:r>
      <w:r w:rsidRPr="0025748B">
        <w:rPr>
          <w:color w:val="000000"/>
          <w:sz w:val="26"/>
          <w:szCs w:val="26"/>
          <w:shd w:val="clear" w:color="auto" w:fill="FFFFFF"/>
        </w:rPr>
        <w:t xml:space="preserve">to leave (a seat, hotel room, etc.),” </w:t>
      </w:r>
      <w:hyperlink r:id="rId26" w:history="1">
        <w:r w:rsidRPr="0025748B">
          <w:rPr>
            <w:rStyle w:val="Hyperlink"/>
            <w:sz w:val="26"/>
            <w:szCs w:val="26"/>
            <w:shd w:val="clear" w:color="auto" w:fill="FFFFFF"/>
          </w:rPr>
          <w:t>https://www.britannica.com/dictionary/vacate</w:t>
        </w:r>
      </w:hyperlink>
      <w:r w:rsidRPr="0025748B">
        <w:rPr>
          <w:color w:val="000000"/>
          <w:sz w:val="26"/>
          <w:szCs w:val="26"/>
          <w:shd w:val="clear" w:color="auto" w:fill="FFFFFF"/>
        </w:rPr>
        <w:t>. Counsel was unable to find even one dictionary that defined the term “vacate” to mean file an eviction, have a court proceeding, or anything even close to that.</w:t>
      </w:r>
    </w:p>
    <w:p w14:paraId="45D0BE36" w14:textId="0106BA04" w:rsidR="00F0536A" w:rsidRDefault="00F0536A" w:rsidP="00F0536A">
      <w:pPr>
        <w:spacing w:line="480" w:lineRule="auto"/>
        <w:ind w:firstLine="720"/>
        <w:jc w:val="both"/>
        <w:rPr>
          <w:rFonts w:cs="Open Sans"/>
          <w:color w:val="333333"/>
          <w:sz w:val="26"/>
          <w:szCs w:val="26"/>
        </w:rPr>
      </w:pPr>
      <w:r w:rsidRPr="0025748B">
        <w:rPr>
          <w:rFonts w:cs="Open Sans"/>
          <w:color w:val="333333"/>
          <w:sz w:val="26"/>
          <w:szCs w:val="26"/>
        </w:rPr>
        <w:t xml:space="preserve">As no dictionary definition even hints at the interpretation that </w:t>
      </w:r>
      <w:r w:rsidR="005A5107">
        <w:rPr>
          <w:rFonts w:cs="Open Sans"/>
          <w:color w:val="333333"/>
          <w:sz w:val="26"/>
          <w:szCs w:val="26"/>
        </w:rPr>
        <w:t xml:space="preserve">Petitioner </w:t>
      </w:r>
      <w:r w:rsidRPr="0025748B">
        <w:rPr>
          <w:rFonts w:cs="Open Sans"/>
          <w:color w:val="333333"/>
          <w:sz w:val="26"/>
          <w:szCs w:val="26"/>
        </w:rPr>
        <w:t xml:space="preserve">seeks to apply to the term “vacate,” and there is no statutory history or official interpretation of that word, it follows that the only requirement of 15 U.S.C. §9058(c) is to allow the resident </w:t>
      </w:r>
      <w:r w:rsidR="005A5107">
        <w:rPr>
          <w:rFonts w:cs="Open Sans"/>
          <w:color w:val="333333"/>
          <w:sz w:val="26"/>
          <w:szCs w:val="26"/>
        </w:rPr>
        <w:t xml:space="preserve">in a covered property </w:t>
      </w:r>
      <w:r w:rsidRPr="0025748B">
        <w:rPr>
          <w:rFonts w:cs="Open Sans"/>
          <w:color w:val="333333"/>
          <w:sz w:val="26"/>
          <w:szCs w:val="26"/>
        </w:rPr>
        <w:t xml:space="preserve">to remain on the premises for thirty (30) days after the landlord has served the tenant with a Notice for Non-Payment of Rent.  </w:t>
      </w:r>
      <w:r>
        <w:rPr>
          <w:rFonts w:cs="Open Sans"/>
          <w:color w:val="333333"/>
          <w:sz w:val="26"/>
          <w:szCs w:val="26"/>
        </w:rPr>
        <w:t xml:space="preserve">That is all that it means. </w:t>
      </w:r>
    </w:p>
    <w:p w14:paraId="18BECCB3" w14:textId="0512C3FC" w:rsidR="004317EB" w:rsidRPr="0025748B" w:rsidRDefault="004317EB" w:rsidP="00F0536A">
      <w:pPr>
        <w:spacing w:line="480" w:lineRule="auto"/>
        <w:ind w:firstLine="720"/>
        <w:jc w:val="both"/>
        <w:rPr>
          <w:rFonts w:cs="Open Sans"/>
          <w:color w:val="333333"/>
          <w:sz w:val="26"/>
          <w:szCs w:val="26"/>
        </w:rPr>
      </w:pPr>
      <w:r>
        <w:rPr>
          <w:rFonts w:cs="Open Sans"/>
          <w:color w:val="333333"/>
          <w:sz w:val="26"/>
          <w:szCs w:val="26"/>
        </w:rPr>
        <w:t xml:space="preserve">Petitioner’s argument not only misstates the requirements of </w:t>
      </w:r>
      <w:r w:rsidRPr="0025748B">
        <w:rPr>
          <w:rFonts w:cs="Open Sans"/>
          <w:color w:val="333333"/>
          <w:sz w:val="26"/>
          <w:szCs w:val="26"/>
        </w:rPr>
        <w:t>§9058(c)</w:t>
      </w:r>
      <w:r>
        <w:rPr>
          <w:rFonts w:cs="Open Sans"/>
          <w:color w:val="333333"/>
          <w:sz w:val="26"/>
          <w:szCs w:val="26"/>
        </w:rPr>
        <w:t xml:space="preserve">, but it also conflates the requirements for forcible and special detainers. </w:t>
      </w:r>
    </w:p>
    <w:p w14:paraId="741DEE9D" w14:textId="27795DC6" w:rsidR="00F0536A" w:rsidRPr="0025748B" w:rsidRDefault="004317EB" w:rsidP="00F0536A">
      <w:pPr>
        <w:spacing w:line="480" w:lineRule="auto"/>
        <w:ind w:firstLine="720"/>
        <w:jc w:val="both"/>
        <w:rPr>
          <w:sz w:val="26"/>
          <w:szCs w:val="26"/>
        </w:rPr>
      </w:pPr>
      <w:r>
        <w:rPr>
          <w:rFonts w:cs="Open Sans"/>
          <w:color w:val="333333"/>
          <w:sz w:val="26"/>
          <w:szCs w:val="26"/>
        </w:rPr>
        <w:t xml:space="preserve">In </w:t>
      </w:r>
      <w:r w:rsidR="00F0536A" w:rsidRPr="0025748B">
        <w:rPr>
          <w:rFonts w:cs="Open Sans"/>
          <w:color w:val="333333"/>
          <w:sz w:val="26"/>
          <w:szCs w:val="26"/>
        </w:rPr>
        <w:t xml:space="preserve">Arizona, forcible detainers and special detainers are treated differently and the legislature purposely chose the verbiage in each of those Acts.  Forcible detainers in the context of a landlord/tenant relationship are governed by Title 33-Chapter 3.  When a tenant subject to these statutes fails to pay, or neglects or refuses to pay rent when due for more than five </w:t>
      </w:r>
      <w:r w:rsidR="003A05F3">
        <w:rPr>
          <w:rFonts w:cs="Open Sans"/>
          <w:color w:val="333333"/>
          <w:sz w:val="26"/>
          <w:szCs w:val="26"/>
        </w:rPr>
        <w:t xml:space="preserve">(5) </w:t>
      </w:r>
      <w:r w:rsidR="00F0536A" w:rsidRPr="0025748B">
        <w:rPr>
          <w:rFonts w:cs="Open Sans"/>
          <w:color w:val="333333"/>
          <w:sz w:val="26"/>
          <w:szCs w:val="26"/>
        </w:rPr>
        <w:t xml:space="preserve">days, the landlord is not obligated to issue any notice of that breach unless the parties </w:t>
      </w:r>
      <w:r w:rsidR="00F0536A" w:rsidRPr="0025748B">
        <w:rPr>
          <w:rFonts w:cs="Open Sans"/>
          <w:color w:val="333333"/>
          <w:sz w:val="26"/>
          <w:szCs w:val="26"/>
        </w:rPr>
        <w:lastRenderedPageBreak/>
        <w:t xml:space="preserve">specifically agree to the issuance of that curable notice.  Instead, A.R.S. </w:t>
      </w:r>
      <w:r w:rsidR="00F0536A" w:rsidRPr="0025748B">
        <w:rPr>
          <w:rFonts w:cs="Times New Roman (Body CS)"/>
          <w:sz w:val="26"/>
          <w:szCs w:val="26"/>
        </w:rPr>
        <w:t>§33-361 permits the landlord to enter the premises and take possession without any formal demand and without filing an eviction action or</w:t>
      </w:r>
      <w:r w:rsidR="00F0536A">
        <w:rPr>
          <w:rFonts w:cs="Times New Roman (Body CS)"/>
          <w:sz w:val="26"/>
          <w:szCs w:val="26"/>
        </w:rPr>
        <w:t>,</w:t>
      </w:r>
      <w:r w:rsidR="00F0536A" w:rsidRPr="0025748B">
        <w:rPr>
          <w:rFonts w:cs="Times New Roman (Body CS)"/>
          <w:sz w:val="26"/>
          <w:szCs w:val="26"/>
        </w:rPr>
        <w:t xml:space="preserve"> they may commence an action for the recovery of possession pursuant to </w:t>
      </w:r>
      <w:r w:rsidR="00F0536A" w:rsidRPr="0025748B">
        <w:rPr>
          <w:sz w:val="26"/>
          <w:szCs w:val="26"/>
        </w:rPr>
        <w:t>Title 12, Chapter 8.  A landlord or property owner may also commence a forcible detainer under Title 12, Chapter 8 in situations where there is not a traditional landlord/tenant relationship, such as following a Trustee’s Sale or Tax Lien Sale.  These types of Title 12 evictions also require a strict notice to vacate.</w:t>
      </w:r>
    </w:p>
    <w:p w14:paraId="3B57E470" w14:textId="77777777" w:rsidR="00F0536A" w:rsidRPr="003A05F3" w:rsidRDefault="00F0536A" w:rsidP="00F0536A">
      <w:pPr>
        <w:spacing w:line="480" w:lineRule="auto"/>
        <w:ind w:firstLine="720"/>
        <w:jc w:val="both"/>
        <w:rPr>
          <w:rFonts w:cs="Times New Roman (Body CS)"/>
          <w:sz w:val="26"/>
          <w:szCs w:val="26"/>
        </w:rPr>
      </w:pPr>
      <w:r w:rsidRPr="003A05F3">
        <w:rPr>
          <w:rFonts w:cs="Times New Roman (Body CS)"/>
          <w:sz w:val="26"/>
          <w:szCs w:val="26"/>
        </w:rPr>
        <w:t>However, each of the special detainer Acts (the ARLTA-residential, MHPRLTA-mobile home park, and the ARVLRSA-long term RV space) require the landlord to provide the tenant with a written curable notice that demands payment and notifies the tenant that an eviction action may be filed that will then require them to vacate.  Commonly called a Notice to Pay or Quit, these types of notices are not demands to vacate but provide the tenant with the opportunity to cure that breach.  Specifically, A.R.S. 33-1368(B) states:</w:t>
      </w:r>
    </w:p>
    <w:p w14:paraId="35E369A4" w14:textId="77777777" w:rsidR="00F0536A" w:rsidRPr="003A05F3" w:rsidRDefault="00F0536A" w:rsidP="005A5107">
      <w:pPr>
        <w:ind w:left="720" w:right="720" w:firstLine="58"/>
        <w:jc w:val="both"/>
        <w:rPr>
          <w:rFonts w:cs="Times New Roman (Body CS)"/>
          <w:sz w:val="26"/>
          <w:szCs w:val="26"/>
        </w:rPr>
      </w:pPr>
      <w:r w:rsidRPr="003A05F3">
        <w:rPr>
          <w:color w:val="000000"/>
          <w:sz w:val="26"/>
          <w:szCs w:val="27"/>
        </w:rPr>
        <w:t>If rent is unpaid when due and the tenant fails to pay rent within five days after written notice by the landlord of nonpayment and the landlord's intention to terminate the rental agreement if the rent is not paid within that period of time, the landlord may terminate the rental agreement by filing a special detainer action pursuant to section 33-1377. Before the filing of a special detainer action the rental agreement shall be reinstated if the tenant tenders all past due and unpaid periodic rent and a reasonable late fee set forth in a written rental agreement. After a special detainer action is filed the rental agreement is reinstated only if the tenant pays all past due rent, reasonable late fees set forth in a written rental agreement, attorney fees and court costs. </w:t>
      </w:r>
      <w:r w:rsidRPr="003A05F3">
        <w:rPr>
          <w:rFonts w:cs="Times New Roman (Body CS)"/>
          <w:sz w:val="26"/>
          <w:szCs w:val="26"/>
        </w:rPr>
        <w:t xml:space="preserve"> </w:t>
      </w:r>
    </w:p>
    <w:p w14:paraId="705880F5" w14:textId="77777777" w:rsidR="00F0536A" w:rsidRPr="003A05F3" w:rsidRDefault="00F0536A" w:rsidP="00F0536A">
      <w:pPr>
        <w:ind w:left="720" w:firstLine="58"/>
        <w:jc w:val="both"/>
        <w:rPr>
          <w:rFonts w:cs="Times New Roman (Body CS)"/>
          <w:sz w:val="26"/>
          <w:szCs w:val="26"/>
        </w:rPr>
      </w:pPr>
    </w:p>
    <w:p w14:paraId="0E5822AE" w14:textId="77777777" w:rsidR="00F0536A" w:rsidRPr="003A05F3" w:rsidRDefault="00F0536A" w:rsidP="00F0536A">
      <w:pPr>
        <w:spacing w:line="480" w:lineRule="auto"/>
        <w:jc w:val="both"/>
        <w:rPr>
          <w:rFonts w:cs="Times New Roman (Body CS)"/>
          <w:sz w:val="26"/>
          <w:szCs w:val="26"/>
        </w:rPr>
      </w:pPr>
      <w:r w:rsidRPr="003A05F3">
        <w:rPr>
          <w:rFonts w:cs="Times New Roman (Body CS)"/>
          <w:sz w:val="26"/>
          <w:szCs w:val="26"/>
        </w:rPr>
        <w:t>A non-pay eviction is curable as a matter of right up until judgment is entered.</w:t>
      </w:r>
    </w:p>
    <w:p w14:paraId="6637216F" w14:textId="12115F49" w:rsidR="00F0536A" w:rsidRPr="003A05F3" w:rsidRDefault="00F0536A" w:rsidP="00F0536A">
      <w:pPr>
        <w:spacing w:line="480" w:lineRule="auto"/>
        <w:ind w:firstLine="720"/>
        <w:jc w:val="both"/>
        <w:rPr>
          <w:rFonts w:cs="Times New Roman (Body CS)"/>
          <w:sz w:val="26"/>
          <w:szCs w:val="26"/>
        </w:rPr>
      </w:pPr>
      <w:r w:rsidRPr="003A05F3">
        <w:rPr>
          <w:rFonts w:cs="Times New Roman (Body CS)"/>
          <w:sz w:val="26"/>
          <w:szCs w:val="26"/>
        </w:rPr>
        <w:t>In fact, almost all of the breaches and remedies listed in each of the Landlord/Tenant Acts require a curable notice to perform, not a notice to vacate.  The few provisions that are indeed demands for the tenant to vacate are all non</w:t>
      </w:r>
      <w:r w:rsidR="0058485A">
        <w:rPr>
          <w:rFonts w:cs="Times New Roman (Body CS)"/>
          <w:sz w:val="26"/>
          <w:szCs w:val="26"/>
        </w:rPr>
        <w:t>-</w:t>
      </w:r>
      <w:r w:rsidRPr="003A05F3">
        <w:rPr>
          <w:rFonts w:cs="Times New Roman (Body CS)"/>
          <w:sz w:val="26"/>
          <w:szCs w:val="26"/>
        </w:rPr>
        <w:t xml:space="preserve">curable breaches.  Those provisions govern </w:t>
      </w:r>
      <w:r w:rsidRPr="003A05F3">
        <w:rPr>
          <w:rFonts w:cs="Times New Roman (Body CS)"/>
          <w:sz w:val="26"/>
          <w:szCs w:val="26"/>
        </w:rPr>
        <w:lastRenderedPageBreak/>
        <w:t xml:space="preserve">termination of the lease due to criminal or other material and irreparable acts, material falsification of the application, etc.  </w:t>
      </w:r>
      <w:r w:rsidR="005A5107">
        <w:rPr>
          <w:rFonts w:cs="Times New Roman (Body CS)"/>
          <w:sz w:val="26"/>
          <w:szCs w:val="26"/>
        </w:rPr>
        <w:t xml:space="preserve">None of these non-curable breaches fall within the purview of 15 U.S.C. §9058 which deals only with non-pay cases. </w:t>
      </w:r>
      <w:r w:rsidRPr="003A05F3">
        <w:rPr>
          <w:rFonts w:cs="Times New Roman (Body CS)"/>
          <w:sz w:val="26"/>
          <w:szCs w:val="26"/>
        </w:rPr>
        <w:t>Each of these examples clearly prove that Arizona is a right to cure state for most issues that are governed by the special detainer statutes.  As such, the non</w:t>
      </w:r>
      <w:r w:rsidR="0058485A">
        <w:rPr>
          <w:rFonts w:cs="Times New Roman (Body CS)"/>
          <w:sz w:val="26"/>
          <w:szCs w:val="26"/>
        </w:rPr>
        <w:t>-</w:t>
      </w:r>
      <w:r w:rsidRPr="003A05F3">
        <w:rPr>
          <w:rFonts w:cs="Times New Roman (Body CS)"/>
          <w:sz w:val="26"/>
          <w:szCs w:val="26"/>
        </w:rPr>
        <w:t xml:space="preserve">payment of rent notice cannot be construed as a “vacate” notice.  </w:t>
      </w:r>
    </w:p>
    <w:p w14:paraId="6C0A9050" w14:textId="6510680E" w:rsidR="00F0536A" w:rsidRPr="0025748B" w:rsidRDefault="00F0536A" w:rsidP="00F0536A">
      <w:pPr>
        <w:spacing w:line="480" w:lineRule="auto"/>
        <w:ind w:firstLine="720"/>
        <w:jc w:val="both"/>
        <w:rPr>
          <w:rFonts w:cs="Open Sans"/>
          <w:color w:val="333333"/>
          <w:sz w:val="26"/>
          <w:szCs w:val="26"/>
        </w:rPr>
      </w:pPr>
      <w:r w:rsidRPr="003A05F3">
        <w:rPr>
          <w:rFonts w:cs="Open Sans"/>
          <w:color w:val="333333"/>
          <w:sz w:val="26"/>
          <w:szCs w:val="26"/>
        </w:rPr>
        <w:t>It is clear from the plain language of that C</w:t>
      </w:r>
      <w:r w:rsidR="0058485A">
        <w:rPr>
          <w:rFonts w:cs="Open Sans"/>
          <w:color w:val="333333"/>
          <w:sz w:val="26"/>
          <w:szCs w:val="26"/>
        </w:rPr>
        <w:t>ARES</w:t>
      </w:r>
      <w:r w:rsidRPr="003A05F3">
        <w:rPr>
          <w:rFonts w:cs="Open Sans"/>
          <w:color w:val="333333"/>
          <w:sz w:val="26"/>
          <w:szCs w:val="26"/>
        </w:rPr>
        <w:t xml:space="preserve"> Act that Congress understood the difference between actions that legally require the tenant to vacate the premises versus the filing of a legal action to cause the removal of the tenant.  As noted, in an Arizona residential nonpayment of rent case, the landlord must first provide the tenant with a written notice to cure the rental obligation.  If the tenant fail</w:t>
      </w:r>
      <w:r w:rsidRPr="0025748B">
        <w:rPr>
          <w:rFonts w:cs="Open Sans"/>
          <w:color w:val="333333"/>
          <w:sz w:val="26"/>
          <w:szCs w:val="26"/>
        </w:rPr>
        <w:t xml:space="preserve">s to cure that breach, the landlord cannot lock out the tenant because this matter is governed by special detainer statutes.  The Arizona residential landlord must file an action in court and receive a court order that </w:t>
      </w:r>
      <w:r>
        <w:rPr>
          <w:rFonts w:cs="Open Sans"/>
          <w:color w:val="333333"/>
          <w:sz w:val="26"/>
          <w:szCs w:val="26"/>
        </w:rPr>
        <w:t>then</w:t>
      </w:r>
      <w:r w:rsidRPr="0025748B">
        <w:rPr>
          <w:rFonts w:cs="Open Sans"/>
          <w:color w:val="333333"/>
          <w:sz w:val="26"/>
          <w:szCs w:val="26"/>
        </w:rPr>
        <w:t xml:space="preserve"> “requires the tenant to vacate the premises</w:t>
      </w:r>
      <w:r w:rsidR="0058485A">
        <w:rPr>
          <w:rFonts w:cs="Open Sans"/>
          <w:color w:val="333333"/>
          <w:sz w:val="26"/>
          <w:szCs w:val="26"/>
        </w:rPr>
        <w:t>.</w:t>
      </w:r>
      <w:r w:rsidRPr="0025748B">
        <w:rPr>
          <w:rFonts w:cs="Open Sans"/>
          <w:color w:val="333333"/>
          <w:sz w:val="26"/>
          <w:szCs w:val="26"/>
        </w:rPr>
        <w:t>”  That order, and not the non-pay notice, must not require the tenant to vacate the dwelling less than thirty days after the service of the curable non-pay notice.</w:t>
      </w:r>
    </w:p>
    <w:p w14:paraId="23ECAA2A" w14:textId="318EC828" w:rsidR="00F0536A" w:rsidRPr="0099019C" w:rsidRDefault="00F0536A" w:rsidP="0099019C">
      <w:pPr>
        <w:pStyle w:val="ListParagraph"/>
        <w:numPr>
          <w:ilvl w:val="0"/>
          <w:numId w:val="15"/>
        </w:numPr>
        <w:jc w:val="center"/>
        <w:rPr>
          <w:rFonts w:ascii="Times New Roman Bold" w:hAnsi="Times New Roman Bold" w:cs="Times New Roman (Body CS)"/>
          <w:b/>
          <w:sz w:val="26"/>
          <w:szCs w:val="26"/>
        </w:rPr>
      </w:pPr>
      <w:r w:rsidRPr="0099019C">
        <w:rPr>
          <w:rFonts w:ascii="Times New Roman Bold" w:hAnsi="Times New Roman Bold" w:cs="Times New Roman (Body CS)"/>
          <w:b/>
          <w:sz w:val="26"/>
          <w:szCs w:val="26"/>
        </w:rPr>
        <w:t xml:space="preserve">15 U.S.C. §9058(c) Does Not Preempt Arizona Landlord and Tenant Laws or the Arizona Rules of Procedure for Eviction Actions.  </w:t>
      </w:r>
    </w:p>
    <w:p w14:paraId="4948DCAE" w14:textId="77777777" w:rsidR="00F0536A" w:rsidRPr="0025748B" w:rsidRDefault="00F0536A" w:rsidP="00F0536A">
      <w:pPr>
        <w:rPr>
          <w:rFonts w:cs="Times New Roman (Body CS)"/>
          <w:sz w:val="26"/>
          <w:szCs w:val="26"/>
        </w:rPr>
      </w:pPr>
    </w:p>
    <w:p w14:paraId="3499F9ED" w14:textId="5662FE36" w:rsidR="005C7929" w:rsidRPr="0025748B" w:rsidRDefault="0058485A" w:rsidP="00B8468A">
      <w:pPr>
        <w:spacing w:line="480" w:lineRule="auto"/>
        <w:ind w:firstLine="720"/>
        <w:jc w:val="both"/>
        <w:rPr>
          <w:rFonts w:cs="Times New Roman (Body CS)"/>
          <w:sz w:val="26"/>
          <w:szCs w:val="26"/>
        </w:rPr>
      </w:pPr>
      <w:r>
        <w:rPr>
          <w:rFonts w:cs="Open Sans"/>
          <w:sz w:val="26"/>
          <w:szCs w:val="26"/>
        </w:rPr>
        <w:t xml:space="preserve">Contrary to Petitioner’s argument, </w:t>
      </w:r>
      <w:r w:rsidR="00F0536A" w:rsidRPr="0025748B">
        <w:rPr>
          <w:rFonts w:cs="Times New Roman (Body CS)"/>
          <w:sz w:val="26"/>
          <w:szCs w:val="26"/>
        </w:rPr>
        <w:t xml:space="preserve">15 U.S.C. §9058(c) </w:t>
      </w:r>
      <w:r>
        <w:rPr>
          <w:rFonts w:cs="Times New Roman (Body CS)"/>
          <w:sz w:val="26"/>
          <w:szCs w:val="26"/>
        </w:rPr>
        <w:t xml:space="preserve">does not </w:t>
      </w:r>
      <w:r w:rsidR="00F0536A" w:rsidRPr="0025748B">
        <w:rPr>
          <w:rFonts w:cs="Times New Roman (Body CS)"/>
          <w:sz w:val="26"/>
          <w:szCs w:val="26"/>
        </w:rPr>
        <w:t xml:space="preserve">preempt state law and </w:t>
      </w:r>
      <w:r>
        <w:rPr>
          <w:rFonts w:cs="Times New Roman (Body CS)"/>
          <w:sz w:val="26"/>
          <w:szCs w:val="26"/>
        </w:rPr>
        <w:t xml:space="preserve">does not make </w:t>
      </w:r>
      <w:r w:rsidR="00F0536A" w:rsidRPr="0025748B">
        <w:rPr>
          <w:rFonts w:cs="Times New Roman (Body CS)"/>
          <w:sz w:val="26"/>
          <w:szCs w:val="26"/>
        </w:rPr>
        <w:t xml:space="preserve">state laws concerning pay-or-vacate notice periods “irreconcilable with the minimum 30-day notice required by the CARES Act.” </w:t>
      </w:r>
    </w:p>
    <w:p w14:paraId="376E944B" w14:textId="77777777" w:rsidR="00F0536A" w:rsidRPr="0025748B" w:rsidRDefault="00F0536A" w:rsidP="00F0536A">
      <w:pPr>
        <w:spacing w:line="480" w:lineRule="auto"/>
        <w:ind w:firstLine="720"/>
        <w:jc w:val="both"/>
        <w:rPr>
          <w:rFonts w:cs="Times New Roman (Body CS)"/>
          <w:sz w:val="26"/>
          <w:szCs w:val="26"/>
        </w:rPr>
      </w:pPr>
      <w:r w:rsidRPr="0025748B">
        <w:rPr>
          <w:rFonts w:cs="Times New Roman (Body CS)"/>
          <w:sz w:val="26"/>
          <w:szCs w:val="26"/>
        </w:rPr>
        <w:t xml:space="preserve">A close reading of 15 U.S.C. §9058(c) does not show any conflict between the requirement that tenants (1) not be required to vacate sooner than thirty (30) days after a notice is given, and  (2) AO 2022-14  that directs Arizona courts to extend writs in properties covered under 15 U.S.C. §9058(c) so that tenants are not required to “vacate”  sooner than thirty (30) </w:t>
      </w:r>
      <w:r w:rsidRPr="0025748B">
        <w:rPr>
          <w:rFonts w:cs="Times New Roman (Body CS)"/>
          <w:sz w:val="26"/>
          <w:szCs w:val="26"/>
        </w:rPr>
        <w:lastRenderedPageBreak/>
        <w:t xml:space="preserve">days after a notice is served on them. </w:t>
      </w:r>
      <w:r w:rsidRPr="0025748B">
        <w:rPr>
          <w:rFonts w:cs="Times New Roman (Body CS)"/>
          <w:i/>
          <w:sz w:val="26"/>
          <w:szCs w:val="26"/>
        </w:rPr>
        <w:t>See also,</w:t>
      </w:r>
      <w:r w:rsidRPr="0025748B">
        <w:rPr>
          <w:rFonts w:cs="Times New Roman (Body CS)"/>
          <w:sz w:val="26"/>
          <w:szCs w:val="26"/>
        </w:rPr>
        <w:t xml:space="preserve"> Rule 4(f), RPEA (“The parties shall comply with all federal and state laws and regulations governing subsidized rent.”)</w:t>
      </w:r>
    </w:p>
    <w:p w14:paraId="283BD505" w14:textId="77777777" w:rsidR="00F0536A" w:rsidRPr="0025748B" w:rsidRDefault="00F0536A" w:rsidP="00F0536A">
      <w:pPr>
        <w:spacing w:line="480" w:lineRule="auto"/>
        <w:ind w:firstLine="720"/>
        <w:jc w:val="both"/>
        <w:rPr>
          <w:rFonts w:cs="Times New Roman (Body CS)"/>
          <w:sz w:val="26"/>
          <w:szCs w:val="26"/>
        </w:rPr>
      </w:pPr>
      <w:r w:rsidRPr="0025748B">
        <w:rPr>
          <w:rFonts w:cs="Times New Roman (Body CS)"/>
          <w:sz w:val="26"/>
          <w:szCs w:val="26"/>
        </w:rPr>
        <w:t xml:space="preserve">Because the RPEA already requires Arizona courts to comply with federal law regarding subsidized rent, there is no preemption issue here. </w:t>
      </w:r>
      <w:r>
        <w:rPr>
          <w:rFonts w:cs="Times New Roman (Body CS)"/>
          <w:sz w:val="26"/>
          <w:szCs w:val="26"/>
        </w:rPr>
        <w:t>What some have described</w:t>
      </w:r>
      <w:r w:rsidRPr="0025748B">
        <w:rPr>
          <w:rFonts w:cs="Times New Roman (Body CS)"/>
          <w:sz w:val="26"/>
          <w:szCs w:val="26"/>
        </w:rPr>
        <w:t xml:space="preserve"> as a preemption issue is really only a dispute regarding the meaning of the word “vacate” in 15 U.S.C. §9058(c). As Congress failed to carry over the requirements formerly found in 15 U.S.C. §9058(b) that precluded a landlord from filing an eviction complaint until after the moratorium and a thirty (30) day notice had expired, Defendant’s contention that federal law supersedes Arizona landlord and tenant laws is without merit. </w:t>
      </w:r>
    </w:p>
    <w:p w14:paraId="1A67D724" w14:textId="4174BDEC" w:rsidR="00F0536A" w:rsidRPr="0025748B" w:rsidRDefault="00F0536A" w:rsidP="00F0536A">
      <w:pPr>
        <w:spacing w:line="480" w:lineRule="auto"/>
        <w:ind w:firstLine="720"/>
        <w:jc w:val="both"/>
        <w:rPr>
          <w:rFonts w:cs="Times New Roman (Body CS)"/>
          <w:sz w:val="26"/>
          <w:szCs w:val="26"/>
        </w:rPr>
      </w:pPr>
      <w:r w:rsidRPr="0025748B">
        <w:rPr>
          <w:rFonts w:cs="Times New Roman (Body CS)"/>
          <w:sz w:val="26"/>
          <w:szCs w:val="26"/>
        </w:rPr>
        <w:t xml:space="preserve">Even </w:t>
      </w:r>
      <w:r w:rsidR="007A219D">
        <w:rPr>
          <w:rFonts w:cs="Times New Roman (Body CS)"/>
          <w:sz w:val="26"/>
          <w:szCs w:val="26"/>
        </w:rPr>
        <w:t>if</w:t>
      </w:r>
      <w:r w:rsidR="007A219D" w:rsidRPr="0025748B">
        <w:rPr>
          <w:rFonts w:cs="Times New Roman (Body CS)"/>
          <w:sz w:val="26"/>
          <w:szCs w:val="26"/>
        </w:rPr>
        <w:t xml:space="preserve"> </w:t>
      </w:r>
      <w:r>
        <w:rPr>
          <w:rFonts w:cs="Times New Roman (Body CS)"/>
          <w:sz w:val="26"/>
          <w:szCs w:val="26"/>
        </w:rPr>
        <w:t>the federal rule and state law could not be harmonized</w:t>
      </w:r>
      <w:r w:rsidRPr="0025748B">
        <w:rPr>
          <w:rFonts w:cs="Times New Roman (Body CS)"/>
          <w:sz w:val="26"/>
          <w:szCs w:val="26"/>
        </w:rPr>
        <w:t xml:space="preserve">, </w:t>
      </w:r>
      <w:r>
        <w:rPr>
          <w:rFonts w:cs="Times New Roman (Body CS)"/>
          <w:sz w:val="26"/>
          <w:szCs w:val="26"/>
        </w:rPr>
        <w:t xml:space="preserve">any </w:t>
      </w:r>
      <w:r w:rsidRPr="0025748B">
        <w:rPr>
          <w:rFonts w:cs="Times New Roman (Body CS)"/>
          <w:sz w:val="26"/>
          <w:szCs w:val="26"/>
        </w:rPr>
        <w:t xml:space="preserve">assertion that </w:t>
      </w:r>
      <w:bookmarkStart w:id="5" w:name="_Hlk142038255"/>
      <w:r w:rsidRPr="0025748B">
        <w:rPr>
          <w:rFonts w:cs="Times New Roman (Body CS)"/>
          <w:sz w:val="26"/>
          <w:szCs w:val="26"/>
        </w:rPr>
        <w:t xml:space="preserve">15 U.S.C. §9058(c) </w:t>
      </w:r>
      <w:bookmarkEnd w:id="5"/>
      <w:r w:rsidRPr="0025748B">
        <w:rPr>
          <w:rFonts w:cs="Times New Roman (Body CS)"/>
          <w:sz w:val="26"/>
          <w:szCs w:val="26"/>
        </w:rPr>
        <w:t xml:space="preserve">preempts </w:t>
      </w:r>
      <w:r w:rsidR="00B8468A">
        <w:rPr>
          <w:rFonts w:cs="Times New Roman (Body CS)"/>
          <w:sz w:val="26"/>
          <w:szCs w:val="26"/>
        </w:rPr>
        <w:t xml:space="preserve">Arizona law </w:t>
      </w:r>
      <w:r w:rsidRPr="0025748B">
        <w:rPr>
          <w:rFonts w:cs="Times New Roman (Body CS)"/>
          <w:sz w:val="26"/>
          <w:szCs w:val="26"/>
        </w:rPr>
        <w:t xml:space="preserve">is erroneous. The United States Constitution provides that federal law “is the supreme Law of the Land,” notwithstanding any state law to the contrary. Under this standard, when federal laws clash with state laws the federal law usually prevails. </w:t>
      </w:r>
    </w:p>
    <w:p w14:paraId="1CB54E02" w14:textId="77777777" w:rsidR="00F0536A" w:rsidRPr="0025748B" w:rsidRDefault="00F0536A" w:rsidP="00F0536A">
      <w:pPr>
        <w:spacing w:line="480" w:lineRule="auto"/>
        <w:ind w:firstLine="720"/>
        <w:jc w:val="both"/>
        <w:rPr>
          <w:rFonts w:cs="Times New Roman (Body CS)"/>
          <w:sz w:val="26"/>
          <w:szCs w:val="26"/>
        </w:rPr>
      </w:pPr>
      <w:r w:rsidRPr="0025748B">
        <w:rPr>
          <w:rFonts w:cs="Times New Roman (Body CS)"/>
          <w:sz w:val="26"/>
          <w:szCs w:val="26"/>
        </w:rPr>
        <w:t xml:space="preserve">The Supreme Court has identified two general types of preemption. First, federal law will expressly preempt state law when the federal statute or regulation contains explicit preemptive language. </w:t>
      </w:r>
      <w:r w:rsidRPr="0025748B">
        <w:rPr>
          <w:rFonts w:cs="Times New Roman (Body CS)"/>
          <w:i/>
          <w:sz w:val="26"/>
          <w:szCs w:val="26"/>
        </w:rPr>
        <w:t>Gade v. Nat’l Solid Wastes Mgmt Assn</w:t>
      </w:r>
      <w:r w:rsidRPr="0025748B">
        <w:rPr>
          <w:rFonts w:cs="Times New Roman (Body CS)"/>
          <w:sz w:val="26"/>
          <w:szCs w:val="26"/>
        </w:rPr>
        <w:t>, 405 U.S. 88, 98 (1992). Federal law can also impliedly preempt state law when (1) its structure and purpose implicitly reflect Congress’ preemptive intent, s</w:t>
      </w:r>
      <w:r w:rsidRPr="0025748B">
        <w:rPr>
          <w:rFonts w:cs="Times New Roman (Body CS)"/>
          <w:i/>
          <w:sz w:val="26"/>
          <w:szCs w:val="26"/>
        </w:rPr>
        <w:t>ee, Arizona v. United States</w:t>
      </w:r>
      <w:r w:rsidRPr="0025748B">
        <w:rPr>
          <w:rFonts w:cs="Times New Roman (Body CS)"/>
          <w:sz w:val="26"/>
          <w:szCs w:val="26"/>
        </w:rPr>
        <w:t xml:space="preserve">, 567 U.S. 387, 399 (2012) (Congress’s intent to displace state law altogether can be inferred from a framework of regulation so pervasive . . . that Congress left no room for the States’ to supplement it or where there is a federal interest. . . so dominant that the federal system will be assumed to preclude </w:t>
      </w:r>
      <w:r w:rsidRPr="0025748B">
        <w:rPr>
          <w:rFonts w:cs="Times New Roman (Body CS)"/>
          <w:sz w:val="26"/>
          <w:szCs w:val="26"/>
        </w:rPr>
        <w:lastRenderedPageBreak/>
        <w:t xml:space="preserve">enforcement of state laws on the same subject.) and (2) when compliance with both federal and state regulations is impossible. </w:t>
      </w:r>
    </w:p>
    <w:p w14:paraId="727E529A" w14:textId="77777777" w:rsidR="00F0536A" w:rsidRPr="0025748B" w:rsidRDefault="00F0536A" w:rsidP="00F0536A">
      <w:pPr>
        <w:spacing w:line="480" w:lineRule="auto"/>
        <w:jc w:val="both"/>
        <w:rPr>
          <w:sz w:val="26"/>
          <w:szCs w:val="26"/>
        </w:rPr>
      </w:pPr>
      <w:r w:rsidRPr="0025748B">
        <w:rPr>
          <w:rFonts w:cs="Times New Roman (Body CS)"/>
          <w:sz w:val="26"/>
          <w:szCs w:val="26"/>
        </w:rPr>
        <w:tab/>
        <w:t xml:space="preserve">The Supreme Court has also employed a canon of construction called the “presumption against preemption,” which instructs that federal law should not be read to preempt laws involving a state’s historic police powers unless that was the clear and manifest purpose of Congress. </w:t>
      </w:r>
      <w:r w:rsidRPr="0025748B">
        <w:rPr>
          <w:rFonts w:cs="Times New Roman (Body CS)"/>
          <w:i/>
          <w:sz w:val="26"/>
          <w:szCs w:val="26"/>
        </w:rPr>
        <w:t>See, Rice v. Santa Fe Elevator Corp.</w:t>
      </w:r>
      <w:r w:rsidRPr="0025748B">
        <w:rPr>
          <w:rFonts w:cs="Times New Roman (Body CS)"/>
          <w:sz w:val="26"/>
          <w:szCs w:val="26"/>
        </w:rPr>
        <w:t xml:space="preserve">, 331 U.S. 218, 230 (1947); </w:t>
      </w:r>
      <w:r w:rsidRPr="0025748B">
        <w:rPr>
          <w:rFonts w:cs="Times New Roman (Body CS)"/>
          <w:i/>
          <w:sz w:val="26"/>
          <w:szCs w:val="26"/>
        </w:rPr>
        <w:t>Wyeth v. Levine</w:t>
      </w:r>
      <w:r w:rsidRPr="0025748B">
        <w:rPr>
          <w:rFonts w:cs="Times New Roman (Body CS)"/>
          <w:sz w:val="26"/>
          <w:szCs w:val="26"/>
        </w:rPr>
        <w:t xml:space="preserve">, 555 U.S. 555,556 (2009) (In all preemption cases, and particularly those in which Congress has legislated . . . in a field which the States have traditionally occupied, we start with the assumption that the historic police powers of the States were not be superseded by the Federal Act unless that was the clear and manifest purpose of Congress.) ; </w:t>
      </w:r>
      <w:r w:rsidRPr="0025748B">
        <w:rPr>
          <w:rFonts w:cs="Times New Roman (Body CS)"/>
          <w:i/>
          <w:sz w:val="26"/>
          <w:szCs w:val="26"/>
        </w:rPr>
        <w:t>NY State Conf. of Blue Cross &amp; Blue Shield Plans v. Travelers Ins. Co.,</w:t>
      </w:r>
      <w:r w:rsidRPr="0025748B">
        <w:rPr>
          <w:sz w:val="26"/>
          <w:szCs w:val="26"/>
        </w:rPr>
        <w:t xml:space="preserve"> 514 US 645, 654 (1995) (“We have never assumed lightly that Congress has derogated state regulation, but instead have addressed claims of pre-emption with the starting presumption that Congress does not intend to supplant state law”).</w:t>
      </w:r>
    </w:p>
    <w:p w14:paraId="7333E0C4" w14:textId="77777777" w:rsidR="00F0536A" w:rsidRPr="0025748B" w:rsidRDefault="00F0536A" w:rsidP="00F0536A">
      <w:pPr>
        <w:spacing w:line="480" w:lineRule="auto"/>
        <w:ind w:firstLine="720"/>
        <w:jc w:val="both"/>
        <w:rPr>
          <w:sz w:val="26"/>
          <w:szCs w:val="26"/>
        </w:rPr>
      </w:pPr>
      <w:r w:rsidRPr="0025748B">
        <w:rPr>
          <w:sz w:val="26"/>
          <w:szCs w:val="26"/>
        </w:rPr>
        <w:t xml:space="preserve">Eviction law is one obvious area that involves the historic police powers of the state.  </w:t>
      </w:r>
      <w:r>
        <w:rPr>
          <w:sz w:val="26"/>
          <w:szCs w:val="26"/>
        </w:rPr>
        <w:t>Nobody can point</w:t>
      </w:r>
      <w:r w:rsidRPr="0025748B">
        <w:rPr>
          <w:sz w:val="26"/>
          <w:szCs w:val="26"/>
        </w:rPr>
        <w:t xml:space="preserve"> to </w:t>
      </w:r>
      <w:r>
        <w:rPr>
          <w:sz w:val="26"/>
          <w:szCs w:val="26"/>
        </w:rPr>
        <w:t>any</w:t>
      </w:r>
      <w:r w:rsidRPr="0025748B">
        <w:rPr>
          <w:sz w:val="26"/>
          <w:szCs w:val="26"/>
        </w:rPr>
        <w:t xml:space="preserve"> federal laws or regulations in which the federal government has attempted to regulate a state’s rights and powers involving the removal, by eviction, of tenants who have failed to comply with their leases. </w:t>
      </w:r>
    </w:p>
    <w:p w14:paraId="0CD4F77C" w14:textId="61270937" w:rsidR="0099019C" w:rsidRPr="0025748B" w:rsidRDefault="00F0536A" w:rsidP="0099019C">
      <w:pPr>
        <w:spacing w:line="480" w:lineRule="auto"/>
        <w:ind w:firstLine="720"/>
        <w:jc w:val="both"/>
        <w:rPr>
          <w:rFonts w:cs="Times New Roman (Body CS)"/>
          <w:sz w:val="26"/>
          <w:szCs w:val="26"/>
        </w:rPr>
      </w:pPr>
      <w:r w:rsidRPr="0025748B">
        <w:rPr>
          <w:sz w:val="26"/>
          <w:szCs w:val="26"/>
        </w:rPr>
        <w:t xml:space="preserve">In fact, the legislative history of </w:t>
      </w:r>
      <w:r w:rsidRPr="0025748B">
        <w:rPr>
          <w:rFonts w:cs="Times New Roman (Body CS)"/>
          <w:sz w:val="26"/>
          <w:szCs w:val="26"/>
        </w:rPr>
        <w:t>15 U.S.C. §9058(c) reveals no intention of preemption.</w:t>
      </w:r>
      <w:r w:rsidRPr="0025748B">
        <w:rPr>
          <w:rStyle w:val="FootnoteReference"/>
          <w:rFonts w:cs="Times New Roman (Body CS)"/>
          <w:sz w:val="26"/>
          <w:szCs w:val="26"/>
        </w:rPr>
        <w:footnoteReference w:id="3"/>
      </w:r>
      <w:r w:rsidRPr="0025748B">
        <w:rPr>
          <w:rFonts w:cs="Times New Roman (Body CS)"/>
          <w:sz w:val="26"/>
          <w:szCs w:val="26"/>
        </w:rPr>
        <w:t xml:space="preserve">  The statute was first introduced to Congress in 2019.  The stated summary of the final bill in the relevant portion simply states that: “Tenants in specified federally backed housing (e.g., federally subsidized housing, rural voucher-program housing, and housing financed through </w:t>
      </w:r>
      <w:r w:rsidRPr="0025748B">
        <w:rPr>
          <w:rFonts w:cs="Times New Roman (Body CS)"/>
          <w:sz w:val="26"/>
          <w:szCs w:val="26"/>
        </w:rPr>
        <w:lastRenderedPageBreak/>
        <w:t>federally backed mortgages) may not be evicted for 120 days beginning on the date of enactment of this subtitle. A lessor that serves an eviction notice after this time period must provide the tenant with 30 days to vacate. Furthermore, during the 120-day moratorium, tenants may not be charged late fees, penalties, or other charges for nonpayment of rent.”  Nowhere in this summary is the intent expressed for Congress to avert state law and establish a role in an area that has been traditionally only a matter of state concern.  Nowhere is the intent expressed for anything other than creating a short-term eviction moratorium to deal with a (now past) nationwide public health epidemic.  Congress’s authority to do this lay only within their role as a party to thousands and thousands of federally backed mortgages</w:t>
      </w:r>
      <w:r>
        <w:rPr>
          <w:rFonts w:cs="Times New Roman (Body CS)"/>
          <w:sz w:val="26"/>
          <w:szCs w:val="26"/>
        </w:rPr>
        <w:t xml:space="preserve"> and as administrator of HUD backed properties</w:t>
      </w:r>
      <w:r w:rsidRPr="0025748B">
        <w:rPr>
          <w:rFonts w:cs="Times New Roman (Body CS)"/>
          <w:sz w:val="26"/>
          <w:szCs w:val="26"/>
        </w:rPr>
        <w:t xml:space="preserve">.  </w:t>
      </w:r>
      <w:r>
        <w:rPr>
          <w:rFonts w:cs="Times New Roman (Body CS)"/>
          <w:sz w:val="26"/>
          <w:szCs w:val="26"/>
        </w:rPr>
        <w:t>In the case of those “covered properties” as a result of their mortgage contracts, t</w:t>
      </w:r>
      <w:r w:rsidRPr="0025748B">
        <w:rPr>
          <w:rFonts w:cs="Times New Roman (Body CS)"/>
          <w:sz w:val="26"/>
          <w:szCs w:val="26"/>
        </w:rPr>
        <w:t>he bill at most unilaterally modified those mortgage contracts to such an extent that the individual states overseeing evictions needed to adapt their proceedings to ensure they were not inadvertently permitting landlords to violate the terms of their mortgage contracts with the federal government.</w:t>
      </w:r>
    </w:p>
    <w:p w14:paraId="248A80F6" w14:textId="77777777" w:rsidR="00F0536A" w:rsidRPr="0025748B" w:rsidRDefault="00F0536A" w:rsidP="00F0536A">
      <w:pPr>
        <w:spacing w:line="480" w:lineRule="auto"/>
        <w:ind w:firstLine="720"/>
        <w:jc w:val="both"/>
        <w:rPr>
          <w:rFonts w:cs="Arial"/>
          <w:sz w:val="26"/>
          <w:szCs w:val="26"/>
        </w:rPr>
      </w:pPr>
      <w:r w:rsidRPr="0025748B">
        <w:rPr>
          <w:sz w:val="26"/>
          <w:szCs w:val="26"/>
        </w:rPr>
        <w:t xml:space="preserve">Even when Congress and federal agencies have created legal standards for the creation and enforcement of public housing and other federally subsidized housing, the procedures for removing tenants by means of eviction have been left to the state in which the subsidized housing exists. </w:t>
      </w:r>
      <w:r w:rsidRPr="0025748B">
        <w:rPr>
          <w:i/>
          <w:sz w:val="26"/>
          <w:szCs w:val="26"/>
        </w:rPr>
        <w:t>See, e.g</w:t>
      </w:r>
      <w:r w:rsidRPr="0025748B">
        <w:rPr>
          <w:sz w:val="26"/>
          <w:szCs w:val="26"/>
        </w:rPr>
        <w:t xml:space="preserve">. HUD Occupancy Handbook, </w:t>
      </w:r>
      <w:hyperlink r:id="rId27" w:history="1">
        <w:r w:rsidRPr="0025748B">
          <w:rPr>
            <w:rStyle w:val="Hyperlink"/>
            <w:sz w:val="26"/>
            <w:szCs w:val="26"/>
          </w:rPr>
          <w:t>https://www.hud.gov/program_offices/administration/hudclips/handbooks/hsgh/4350.3</w:t>
        </w:r>
      </w:hyperlink>
      <w:r w:rsidRPr="0025748B">
        <w:rPr>
          <w:sz w:val="26"/>
          <w:szCs w:val="26"/>
        </w:rPr>
        <w:t>, Chapter 8, section 8-13(B) (“</w:t>
      </w:r>
      <w:r w:rsidRPr="0025748B">
        <w:rPr>
          <w:rFonts w:cs="Arial"/>
          <w:sz w:val="26"/>
          <w:szCs w:val="26"/>
        </w:rPr>
        <w:t xml:space="preserve">When terminating tenancy for material noncompliance, the time of service of the termination notice must be in accordance with the lease and state law”. . . .”In the case of the tenant’s nonpayment of rent, the notice must include the dollar amount of the </w:t>
      </w:r>
      <w:r w:rsidRPr="0025748B">
        <w:rPr>
          <w:rFonts w:cs="Arial"/>
          <w:sz w:val="26"/>
          <w:szCs w:val="26"/>
        </w:rPr>
        <w:lastRenderedPageBreak/>
        <w:t xml:space="preserve">balance due on the rent account and the date of such computation.” . . “The manner of service will be in accordance with the provisions of state and local laws.” . . “An owner must not evict any tenant except by judicial action pursuant to state and local laws.”) </w:t>
      </w:r>
    </w:p>
    <w:p w14:paraId="7082194F" w14:textId="0DB45AB0" w:rsidR="00F0536A" w:rsidRDefault="00B8468A" w:rsidP="00F0536A">
      <w:pPr>
        <w:spacing w:line="480" w:lineRule="auto"/>
        <w:ind w:firstLine="720"/>
        <w:jc w:val="both"/>
        <w:rPr>
          <w:sz w:val="26"/>
          <w:szCs w:val="26"/>
        </w:rPr>
      </w:pPr>
      <w:r>
        <w:rPr>
          <w:rFonts w:cs="Arial"/>
          <w:sz w:val="26"/>
          <w:szCs w:val="26"/>
        </w:rPr>
        <w:t xml:space="preserve">Any argument </w:t>
      </w:r>
      <w:r w:rsidR="00F0536A" w:rsidRPr="0025748B">
        <w:rPr>
          <w:rFonts w:cs="Arial"/>
          <w:sz w:val="26"/>
          <w:szCs w:val="26"/>
        </w:rPr>
        <w:t xml:space="preserve">that 15 U.S.C. §9058(c) automatically preempts state eviction laws ignores </w:t>
      </w:r>
      <w:r w:rsidR="00F0536A">
        <w:rPr>
          <w:rFonts w:cs="Arial"/>
          <w:sz w:val="26"/>
          <w:szCs w:val="26"/>
        </w:rPr>
        <w:t xml:space="preserve">other </w:t>
      </w:r>
      <w:r w:rsidR="00F0536A" w:rsidRPr="0025748B">
        <w:rPr>
          <w:rFonts w:cs="Arial"/>
          <w:sz w:val="26"/>
          <w:szCs w:val="26"/>
        </w:rPr>
        <w:t>well established federal law that treats landlord and tenant matters as solely within the purview of the state’s police powers.</w:t>
      </w:r>
      <w:r w:rsidR="00F0536A">
        <w:rPr>
          <w:rFonts w:cs="Arial"/>
          <w:sz w:val="26"/>
          <w:szCs w:val="26"/>
        </w:rPr>
        <w:t xml:space="preserve"> </w:t>
      </w:r>
      <w:r w:rsidR="00F0536A" w:rsidRPr="0025748B">
        <w:rPr>
          <w:sz w:val="26"/>
          <w:szCs w:val="26"/>
        </w:rPr>
        <w:t xml:space="preserve">Because </w:t>
      </w:r>
      <w:r>
        <w:rPr>
          <w:sz w:val="26"/>
          <w:szCs w:val="26"/>
        </w:rPr>
        <w:t xml:space="preserve">Petitioners </w:t>
      </w:r>
      <w:r w:rsidR="00F0536A" w:rsidRPr="0025748B">
        <w:rPr>
          <w:sz w:val="26"/>
          <w:szCs w:val="26"/>
        </w:rPr>
        <w:t xml:space="preserve">appear to </w:t>
      </w:r>
      <w:r>
        <w:rPr>
          <w:sz w:val="26"/>
          <w:szCs w:val="26"/>
        </w:rPr>
        <w:t xml:space="preserve">base their argument </w:t>
      </w:r>
      <w:r w:rsidR="00F0536A" w:rsidRPr="0025748B">
        <w:rPr>
          <w:sz w:val="26"/>
          <w:szCs w:val="26"/>
        </w:rPr>
        <w:t xml:space="preserve">at least in part on its mistaken belief that federal law always supersedes state law and </w:t>
      </w:r>
      <w:r>
        <w:rPr>
          <w:sz w:val="26"/>
          <w:szCs w:val="26"/>
        </w:rPr>
        <w:t xml:space="preserve">their </w:t>
      </w:r>
      <w:r w:rsidR="00F0536A">
        <w:rPr>
          <w:sz w:val="26"/>
          <w:szCs w:val="26"/>
        </w:rPr>
        <w:t>tenant advocacy in Arizona has continued to</w:t>
      </w:r>
      <w:r w:rsidR="00F0536A" w:rsidRPr="0025748B">
        <w:rPr>
          <w:sz w:val="26"/>
          <w:szCs w:val="26"/>
        </w:rPr>
        <w:t xml:space="preserve"> make that same</w:t>
      </w:r>
      <w:r w:rsidR="00F0536A">
        <w:rPr>
          <w:sz w:val="26"/>
          <w:szCs w:val="26"/>
        </w:rPr>
        <w:t xml:space="preserve"> bare</w:t>
      </w:r>
      <w:r w:rsidR="00F0536A" w:rsidRPr="0025748B">
        <w:rPr>
          <w:sz w:val="26"/>
          <w:szCs w:val="26"/>
        </w:rPr>
        <w:t xml:space="preserve"> assertion, </w:t>
      </w:r>
      <w:r>
        <w:rPr>
          <w:sz w:val="26"/>
          <w:szCs w:val="26"/>
        </w:rPr>
        <w:t>their argument is incompatible with both Arizona and federal law.</w:t>
      </w:r>
    </w:p>
    <w:p w14:paraId="30828550" w14:textId="4B8A27C2" w:rsidR="00B8468A" w:rsidRPr="007226EA" w:rsidRDefault="007226EA" w:rsidP="00F213F8">
      <w:pPr>
        <w:pStyle w:val="ListParagraph"/>
        <w:numPr>
          <w:ilvl w:val="0"/>
          <w:numId w:val="16"/>
        </w:numPr>
        <w:ind w:left="360"/>
        <w:jc w:val="center"/>
        <w:rPr>
          <w:rFonts w:ascii="Times New Roman Bold" w:hAnsi="Times New Roman Bold" w:cs="Arial"/>
          <w:b/>
          <w:sz w:val="26"/>
          <w:szCs w:val="26"/>
        </w:rPr>
      </w:pPr>
      <w:r w:rsidRPr="007226EA">
        <w:rPr>
          <w:rFonts w:ascii="Times New Roman Bold" w:hAnsi="Times New Roman Bold" w:cs="Arial"/>
          <w:b/>
          <w:sz w:val="26"/>
          <w:szCs w:val="26"/>
        </w:rPr>
        <w:t>Rule 5(d) should not be amended to require landlords to provide a declaration allowing the tenant to remain for thirty-days after receipt of the notice or a complete statement of facts to verify  compliance with the CARES Act.</w:t>
      </w:r>
    </w:p>
    <w:p w14:paraId="17A7E87D" w14:textId="77777777" w:rsidR="005250E0" w:rsidRDefault="005250E0" w:rsidP="00D23559">
      <w:pPr>
        <w:widowControl w:val="0"/>
        <w:spacing w:line="240" w:lineRule="exact"/>
        <w:rPr>
          <w:sz w:val="20"/>
          <w:szCs w:val="20"/>
        </w:rPr>
      </w:pPr>
    </w:p>
    <w:p w14:paraId="0D7279A9" w14:textId="4F732E3A" w:rsidR="007226EA" w:rsidRDefault="00F213F8" w:rsidP="00F213F8">
      <w:pPr>
        <w:widowControl w:val="0"/>
        <w:spacing w:line="480" w:lineRule="auto"/>
        <w:ind w:firstLine="720"/>
        <w:jc w:val="both"/>
        <w:rPr>
          <w:sz w:val="26"/>
          <w:szCs w:val="20"/>
        </w:rPr>
      </w:pPr>
      <w:r>
        <w:rPr>
          <w:sz w:val="26"/>
          <w:szCs w:val="20"/>
        </w:rPr>
        <w:t xml:space="preserve">The second part of Petitioner’s request to modify RPEA 5(d) is to require landlords of properties covered under 15 U.S.C. §9058 to </w:t>
      </w:r>
      <w:r w:rsidR="00532C57">
        <w:rPr>
          <w:sz w:val="26"/>
          <w:szCs w:val="20"/>
        </w:rPr>
        <w:t>provide a clear and bolded notice advising tenants of the requirements of 15 U.S.C. §9058(c)(1) including “a complete statement of facts to verify compliance with the CARES Act or the inapplicability of the CARES Act to the dwelling unit in the eviction action.”</w:t>
      </w:r>
    </w:p>
    <w:p w14:paraId="5F01120B" w14:textId="1C21C030" w:rsidR="00532C57" w:rsidRDefault="00532C57" w:rsidP="00F213F8">
      <w:pPr>
        <w:widowControl w:val="0"/>
        <w:spacing w:line="480" w:lineRule="auto"/>
        <w:ind w:firstLine="720"/>
        <w:jc w:val="both"/>
        <w:rPr>
          <w:sz w:val="26"/>
          <w:szCs w:val="20"/>
        </w:rPr>
      </w:pPr>
      <w:r>
        <w:rPr>
          <w:sz w:val="26"/>
          <w:szCs w:val="20"/>
        </w:rPr>
        <w:t xml:space="preserve">Petitioners fail to identify precisely what kind of information would be included in this notice and how it would allow a non-paying tenant to defend him/herself at the non-pay hearing. </w:t>
      </w:r>
    </w:p>
    <w:p w14:paraId="29A93257" w14:textId="0D44B42D" w:rsidR="00532C57" w:rsidRDefault="00532C57" w:rsidP="00F213F8">
      <w:pPr>
        <w:widowControl w:val="0"/>
        <w:spacing w:line="480" w:lineRule="auto"/>
        <w:ind w:firstLine="720"/>
        <w:jc w:val="both"/>
        <w:rPr>
          <w:sz w:val="26"/>
          <w:szCs w:val="20"/>
        </w:rPr>
      </w:pPr>
      <w:r>
        <w:rPr>
          <w:sz w:val="26"/>
          <w:szCs w:val="20"/>
        </w:rPr>
        <w:t xml:space="preserve">Arizona judges already </w:t>
      </w:r>
      <w:r w:rsidR="006D0BDA">
        <w:rPr>
          <w:sz w:val="26"/>
          <w:szCs w:val="20"/>
        </w:rPr>
        <w:t xml:space="preserve">require </w:t>
      </w:r>
      <w:r>
        <w:rPr>
          <w:sz w:val="26"/>
          <w:szCs w:val="20"/>
        </w:rPr>
        <w:t xml:space="preserve">plaintiffs in non-pay cases to advise the court as to whether the property is covered by the CARES Act and this information is provided either under oath (in the case of a non-represented landlord) or by an attorney who is under an obligation to be truthful in his/her dealings with the court. When a plaintiff notifies the court </w:t>
      </w:r>
      <w:r>
        <w:rPr>
          <w:sz w:val="26"/>
          <w:szCs w:val="20"/>
        </w:rPr>
        <w:lastRenderedPageBreak/>
        <w:t>that the property is a covered property under the CARES Act, judges then inquire as to the date the non-pay notice was served and adjust the writ date so that the tenant has thirty (30) days from the date that the notice was received before the tenant can be required to vacate.</w:t>
      </w:r>
      <w:r w:rsidR="00720925">
        <w:rPr>
          <w:sz w:val="26"/>
          <w:szCs w:val="20"/>
        </w:rPr>
        <w:t xml:space="preserve"> </w:t>
      </w:r>
    </w:p>
    <w:p w14:paraId="34E8DF96" w14:textId="5AA4C199" w:rsidR="00720925" w:rsidRDefault="00720925" w:rsidP="00F213F8">
      <w:pPr>
        <w:widowControl w:val="0"/>
        <w:spacing w:line="480" w:lineRule="auto"/>
        <w:ind w:firstLine="720"/>
        <w:jc w:val="both"/>
        <w:rPr>
          <w:sz w:val="26"/>
          <w:szCs w:val="20"/>
        </w:rPr>
      </w:pPr>
      <w:r>
        <w:rPr>
          <w:sz w:val="26"/>
          <w:szCs w:val="20"/>
        </w:rPr>
        <w:t xml:space="preserve">The purpose of RPEA 5(d) is to give the tenant sufficient information so that he/she can raise a defense to a landlord’s claims. To do so, the tenant needs a copy of his/her lease, any addenda, the ledger showing what payments have been received and how they were credited, and must be notified of the tenant’s right to reinstate the lease prior to the court hearing if all amounts sought are paid in full. </w:t>
      </w:r>
    </w:p>
    <w:p w14:paraId="6B442695" w14:textId="36A6E299" w:rsidR="00720925" w:rsidRDefault="00720925" w:rsidP="00EA34BB">
      <w:pPr>
        <w:widowControl w:val="0"/>
        <w:spacing w:line="480" w:lineRule="auto"/>
        <w:ind w:firstLine="720"/>
        <w:jc w:val="both"/>
        <w:rPr>
          <w:sz w:val="26"/>
          <w:szCs w:val="20"/>
        </w:rPr>
      </w:pPr>
      <w:r>
        <w:rPr>
          <w:sz w:val="26"/>
          <w:szCs w:val="20"/>
        </w:rPr>
        <w:t>It is unclear from Petitioners’ request here as to how having information as to whether the property falls under the CARES Act, and how or why it does so, will do anything more than confuse most tenants, raise unrealistic expectations, and (depending on what information is required to verify the landlord’s status) harass landlords. As the court already has practices in place that concern CARES Act coverage, there is nothing in Petitioner’s request th</w:t>
      </w:r>
      <w:r w:rsidR="00EA34BB">
        <w:rPr>
          <w:sz w:val="26"/>
          <w:szCs w:val="20"/>
        </w:rPr>
        <w:t>at</w:t>
      </w:r>
      <w:r>
        <w:rPr>
          <w:sz w:val="26"/>
          <w:szCs w:val="20"/>
        </w:rPr>
        <w:t xml:space="preserve"> will benefit any tenants as they prepare for their court hearings. </w:t>
      </w:r>
    </w:p>
    <w:p w14:paraId="0D0E3A94" w14:textId="596C8784" w:rsidR="00EA34BB" w:rsidRPr="00F9579A" w:rsidRDefault="005866BC" w:rsidP="00F9579A">
      <w:pPr>
        <w:widowControl w:val="0"/>
        <w:spacing w:line="480" w:lineRule="auto"/>
        <w:jc w:val="center"/>
        <w:rPr>
          <w:rFonts w:ascii="Times New Roman Bold" w:hAnsi="Times New Roman Bold"/>
          <w:b/>
          <w:sz w:val="26"/>
          <w:szCs w:val="20"/>
        </w:rPr>
      </w:pPr>
      <w:r w:rsidRPr="00F9579A">
        <w:rPr>
          <w:rFonts w:ascii="Times New Roman Bold" w:hAnsi="Times New Roman Bold"/>
          <w:b/>
          <w:sz w:val="26"/>
          <w:szCs w:val="20"/>
        </w:rPr>
        <w:t>Conclusion</w:t>
      </w:r>
    </w:p>
    <w:p w14:paraId="2F63AEDA" w14:textId="14F5AD09" w:rsidR="00F9579A" w:rsidRDefault="00F9579A" w:rsidP="00F9579A">
      <w:pPr>
        <w:pStyle w:val="Default"/>
        <w:spacing w:line="480" w:lineRule="auto"/>
        <w:ind w:firstLine="720"/>
        <w:jc w:val="both"/>
        <w:rPr>
          <w:sz w:val="26"/>
          <w:szCs w:val="26"/>
        </w:rPr>
      </w:pPr>
      <w:r>
        <w:rPr>
          <w:sz w:val="26"/>
          <w:szCs w:val="26"/>
        </w:rPr>
        <w:t>Petition R-24-0024 and the proposed rule change should be denied because Petition R-24-0024 misstates the requirements of the CARES Act as it affects evictions for non-payment of rent in Arizona. Petitioners’ arguments misrepresent the requirements of U.S.C. §9058(c) as it concerns the eviction process in Arizona. Petitioner’s further request for an amendment to RPEA 5(d) lacks specificity and fails to demonstrate how the generalized information that Petitioners ask the Court to require will give tenants any greater rights or protections than those that already exist.</w:t>
      </w:r>
    </w:p>
    <w:p w14:paraId="5E36E91F" w14:textId="715D9040" w:rsidR="005866BC" w:rsidRDefault="00F9579A" w:rsidP="00F9579A">
      <w:pPr>
        <w:widowControl w:val="0"/>
        <w:spacing w:line="480" w:lineRule="auto"/>
        <w:ind w:firstLine="720"/>
        <w:jc w:val="both"/>
        <w:rPr>
          <w:sz w:val="26"/>
          <w:szCs w:val="26"/>
        </w:rPr>
      </w:pPr>
      <w:r>
        <w:rPr>
          <w:sz w:val="26"/>
          <w:szCs w:val="26"/>
        </w:rPr>
        <w:lastRenderedPageBreak/>
        <w:t xml:space="preserve">RESPECTFULLY SUBMITTED this </w:t>
      </w:r>
      <w:r w:rsidR="00887947">
        <w:rPr>
          <w:sz w:val="26"/>
          <w:szCs w:val="26"/>
        </w:rPr>
        <w:t>30</w:t>
      </w:r>
      <w:r w:rsidR="00887947" w:rsidRPr="00887947">
        <w:rPr>
          <w:sz w:val="26"/>
          <w:szCs w:val="26"/>
          <w:vertAlign w:val="superscript"/>
        </w:rPr>
        <w:t>th</w:t>
      </w:r>
      <w:r w:rsidR="00887947">
        <w:rPr>
          <w:sz w:val="26"/>
          <w:szCs w:val="26"/>
        </w:rPr>
        <w:t xml:space="preserve"> </w:t>
      </w:r>
      <w:r>
        <w:rPr>
          <w:sz w:val="26"/>
          <w:szCs w:val="26"/>
        </w:rPr>
        <w:t>day of April, 2024.</w:t>
      </w:r>
    </w:p>
    <w:p w14:paraId="0BE8EED7" w14:textId="5EC55FEB" w:rsidR="00887947" w:rsidRPr="00135C31" w:rsidRDefault="00F9579A" w:rsidP="00887947">
      <w:pPr>
        <w:rPr>
          <w:sz w:val="26"/>
          <w:szCs w:val="26"/>
        </w:rPr>
      </w:pPr>
      <w:r>
        <w:rPr>
          <w:sz w:val="26"/>
          <w:szCs w:val="26"/>
        </w:rPr>
        <w:tab/>
      </w:r>
      <w:r>
        <w:rPr>
          <w:sz w:val="26"/>
          <w:szCs w:val="26"/>
        </w:rPr>
        <w:tab/>
      </w:r>
      <w:r>
        <w:rPr>
          <w:sz w:val="26"/>
          <w:szCs w:val="26"/>
        </w:rPr>
        <w:tab/>
      </w:r>
      <w:r>
        <w:rPr>
          <w:sz w:val="26"/>
          <w:szCs w:val="26"/>
        </w:rPr>
        <w:tab/>
      </w:r>
      <w:r>
        <w:rPr>
          <w:sz w:val="26"/>
          <w:szCs w:val="26"/>
        </w:rPr>
        <w:tab/>
      </w:r>
      <w:r w:rsidR="00887947">
        <w:rPr>
          <w:sz w:val="26"/>
          <w:szCs w:val="26"/>
        </w:rPr>
        <w:tab/>
      </w:r>
      <w:r w:rsidR="00887947" w:rsidRPr="00135C31">
        <w:rPr>
          <w:sz w:val="26"/>
          <w:szCs w:val="26"/>
        </w:rPr>
        <w:t>Hull, Holliday &amp; Holliday PLC</w:t>
      </w:r>
    </w:p>
    <w:p w14:paraId="021F6A34" w14:textId="77777777" w:rsidR="00887947" w:rsidRPr="00135C31" w:rsidRDefault="00887947" w:rsidP="00887947">
      <w:r w:rsidRPr="00135C31">
        <w:tab/>
      </w:r>
      <w:r w:rsidRPr="00135C31">
        <w:tab/>
      </w:r>
      <w:r w:rsidRPr="00135C31">
        <w:tab/>
      </w:r>
      <w:r w:rsidRPr="00135C31">
        <w:tab/>
      </w:r>
      <w:r w:rsidRPr="00135C31">
        <w:tab/>
      </w:r>
      <w:r w:rsidRPr="00135C31">
        <w:tab/>
      </w:r>
      <w:r w:rsidRPr="00135C31">
        <w:tab/>
      </w:r>
    </w:p>
    <w:p w14:paraId="0A39F3EF" w14:textId="32EB76C2" w:rsidR="00887947" w:rsidRDefault="00887947" w:rsidP="00887947">
      <w:pPr>
        <w:autoSpaceDE w:val="0"/>
        <w:autoSpaceDN w:val="0"/>
        <w:spacing w:before="44" w:line="275" w:lineRule="exact"/>
        <w:ind w:firstLine="720"/>
        <w:rPr>
          <w:spacing w:val="-2"/>
          <w:sz w:val="26"/>
          <w:szCs w:val="26"/>
        </w:rPr>
      </w:pPr>
      <w:r>
        <w:rPr>
          <w:sz w:val="26"/>
          <w:szCs w:val="26"/>
        </w:rPr>
        <w:t xml:space="preserve">                                                       </w:t>
      </w:r>
      <w:r w:rsidRPr="00135C31">
        <w:rPr>
          <w:sz w:val="26"/>
          <w:szCs w:val="26"/>
        </w:rPr>
        <w:t>By:</w:t>
      </w:r>
      <w:r w:rsidRPr="00135C31">
        <w:rPr>
          <w:spacing w:val="-10"/>
          <w:sz w:val="26"/>
          <w:szCs w:val="26"/>
        </w:rPr>
        <w:t xml:space="preserve"> </w:t>
      </w:r>
      <w:r w:rsidRPr="00135C31">
        <w:rPr>
          <w:sz w:val="26"/>
          <w:szCs w:val="26"/>
        </w:rPr>
        <w:t>/s/</w:t>
      </w:r>
      <w:r w:rsidRPr="00135C31">
        <w:rPr>
          <w:spacing w:val="-6"/>
          <w:sz w:val="26"/>
          <w:szCs w:val="26"/>
        </w:rPr>
        <w:t xml:space="preserve"> </w:t>
      </w:r>
      <w:r w:rsidRPr="00135C31">
        <w:rPr>
          <w:sz w:val="26"/>
          <w:szCs w:val="26"/>
          <w:u w:val="single"/>
        </w:rPr>
        <w:t>Denise</w:t>
      </w:r>
      <w:r w:rsidRPr="00135C31">
        <w:rPr>
          <w:spacing w:val="-4"/>
          <w:sz w:val="26"/>
          <w:szCs w:val="26"/>
          <w:u w:val="single"/>
        </w:rPr>
        <w:t xml:space="preserve"> </w:t>
      </w:r>
      <w:r w:rsidRPr="00135C31">
        <w:rPr>
          <w:sz w:val="26"/>
          <w:szCs w:val="26"/>
          <w:u w:val="single"/>
        </w:rPr>
        <w:t>Holliday</w:t>
      </w:r>
      <w:r w:rsidRPr="00135C31">
        <w:rPr>
          <w:sz w:val="26"/>
          <w:szCs w:val="26"/>
        </w:rPr>
        <w:t>,</w:t>
      </w:r>
      <w:r w:rsidRPr="00135C31">
        <w:rPr>
          <w:spacing w:val="-6"/>
          <w:sz w:val="26"/>
          <w:szCs w:val="26"/>
        </w:rPr>
        <w:t xml:space="preserve"> </w:t>
      </w:r>
      <w:r w:rsidRPr="00135C31">
        <w:rPr>
          <w:spacing w:val="-2"/>
          <w:sz w:val="26"/>
          <w:szCs w:val="26"/>
        </w:rPr>
        <w:t>017275</w:t>
      </w:r>
    </w:p>
    <w:p w14:paraId="45B0F225" w14:textId="77777777" w:rsidR="001C155E" w:rsidRDefault="001C155E" w:rsidP="00887947">
      <w:pPr>
        <w:autoSpaceDE w:val="0"/>
        <w:autoSpaceDN w:val="0"/>
        <w:spacing w:before="44" w:line="275" w:lineRule="exact"/>
        <w:ind w:firstLine="720"/>
        <w:rPr>
          <w:spacing w:val="-2"/>
          <w:sz w:val="26"/>
          <w:szCs w:val="26"/>
        </w:rPr>
      </w:pPr>
    </w:p>
    <w:p w14:paraId="136AD9B2" w14:textId="145765BE" w:rsidR="001C155E" w:rsidRPr="00135C31" w:rsidRDefault="001C155E" w:rsidP="00887947">
      <w:pPr>
        <w:autoSpaceDE w:val="0"/>
        <w:autoSpaceDN w:val="0"/>
        <w:spacing w:before="44" w:line="275" w:lineRule="exact"/>
        <w:ind w:firstLine="720"/>
        <w:rPr>
          <w:sz w:val="26"/>
          <w:szCs w:val="26"/>
        </w:rPr>
      </w:pPr>
      <w:r>
        <w:rPr>
          <w:spacing w:val="-2"/>
          <w:sz w:val="26"/>
          <w:szCs w:val="26"/>
        </w:rPr>
        <w:tab/>
      </w:r>
      <w:r>
        <w:rPr>
          <w:spacing w:val="-2"/>
          <w:sz w:val="26"/>
          <w:szCs w:val="26"/>
        </w:rPr>
        <w:tab/>
      </w:r>
      <w:r>
        <w:rPr>
          <w:spacing w:val="-2"/>
          <w:sz w:val="26"/>
          <w:szCs w:val="26"/>
        </w:rPr>
        <w:tab/>
      </w:r>
      <w:r>
        <w:rPr>
          <w:spacing w:val="-2"/>
          <w:sz w:val="26"/>
          <w:szCs w:val="26"/>
        </w:rPr>
        <w:tab/>
      </w:r>
      <w:r>
        <w:rPr>
          <w:spacing w:val="-2"/>
          <w:sz w:val="26"/>
          <w:szCs w:val="26"/>
        </w:rPr>
        <w:tab/>
        <w:t>Commenting Party</w:t>
      </w:r>
    </w:p>
    <w:p w14:paraId="6C4FBD4A" w14:textId="77777777" w:rsidR="00887947" w:rsidRPr="00135C31" w:rsidRDefault="00887947" w:rsidP="00887947">
      <w:pPr>
        <w:autoSpaceDE w:val="0"/>
        <w:autoSpaceDN w:val="0"/>
        <w:spacing w:before="11"/>
        <w:rPr>
          <w:sz w:val="25"/>
          <w:szCs w:val="26"/>
        </w:rPr>
      </w:pPr>
    </w:p>
    <w:p w14:paraId="4A1DA9D2" w14:textId="3C25B568" w:rsidR="00887947" w:rsidRPr="00135C31" w:rsidRDefault="00887947" w:rsidP="00887947">
      <w:pPr>
        <w:tabs>
          <w:tab w:val="left" w:pos="5914"/>
        </w:tabs>
        <w:autoSpaceDE w:val="0"/>
        <w:autoSpaceDN w:val="0"/>
        <w:ind w:left="100"/>
        <w:rPr>
          <w:spacing w:val="-2"/>
          <w:sz w:val="26"/>
          <w:szCs w:val="26"/>
        </w:rPr>
      </w:pPr>
      <w:r>
        <w:rPr>
          <w:position w:val="8"/>
          <w:sz w:val="16"/>
          <w:szCs w:val="26"/>
        </w:rPr>
        <w:t xml:space="preserve">                                                                                                </w:t>
      </w:r>
      <w:r w:rsidR="001C155E">
        <w:rPr>
          <w:position w:val="8"/>
          <w:sz w:val="16"/>
          <w:szCs w:val="26"/>
        </w:rPr>
        <w:t xml:space="preserve">        </w:t>
      </w:r>
      <w:r w:rsidR="001C155E">
        <w:rPr>
          <w:position w:val="8"/>
          <w:sz w:val="16"/>
          <w:szCs w:val="26"/>
        </w:rPr>
        <w:tab/>
      </w:r>
    </w:p>
    <w:p w14:paraId="1E2ACE97" w14:textId="6F08C836" w:rsidR="00720925" w:rsidRPr="00F213F8" w:rsidRDefault="00720925" w:rsidP="00887947">
      <w:pPr>
        <w:widowControl w:val="0"/>
        <w:spacing w:line="480" w:lineRule="auto"/>
        <w:ind w:firstLine="720"/>
        <w:jc w:val="both"/>
        <w:rPr>
          <w:sz w:val="26"/>
          <w:szCs w:val="20"/>
        </w:rPr>
      </w:pPr>
    </w:p>
    <w:sectPr w:rsidR="00720925" w:rsidRPr="00F213F8" w:rsidSect="008078CC">
      <w:headerReference w:type="default" r:id="rId28"/>
      <w:footerReference w:type="default" r:id="rId29"/>
      <w:pgSz w:w="12240" w:h="15840"/>
      <w:pgMar w:top="1440" w:right="864" w:bottom="86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F1830" w14:textId="77777777" w:rsidR="008078CC" w:rsidRDefault="008078CC" w:rsidP="00D644ED">
      <w:r>
        <w:separator/>
      </w:r>
    </w:p>
  </w:endnote>
  <w:endnote w:type="continuationSeparator" w:id="0">
    <w:p w14:paraId="4B99BE7F" w14:textId="77777777" w:rsidR="008078CC" w:rsidRDefault="008078CC" w:rsidP="00D6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4B92" w14:textId="77777777" w:rsidR="0009751A" w:rsidRPr="00E7610A" w:rsidRDefault="0009751A" w:rsidP="00890B4D">
    <w:pPr>
      <w:pStyle w:val="Footer"/>
      <w:tabs>
        <w:tab w:val="clear" w:pos="4680"/>
        <w:tab w:val="clear" w:pos="9360"/>
        <w:tab w:val="right" w:pos="9792"/>
      </w:tabs>
      <w:spacing w:before="50"/>
      <w:rPr>
        <w:sz w:val="20"/>
        <w:szCs w:val="20"/>
      </w:rPr>
    </w:pPr>
    <w:r>
      <w:rPr>
        <w:bCs/>
        <w:sz w:val="20"/>
        <w:szCs w:val="20"/>
      </w:rPr>
      <w:tab/>
    </w:r>
    <w:r w:rsidRPr="00E7610A">
      <w:rPr>
        <w:sz w:val="20"/>
        <w:szCs w:val="20"/>
      </w:rPr>
      <w:t xml:space="preserve">Page </w:t>
    </w:r>
    <w:r w:rsidR="00CD5DE9">
      <w:fldChar w:fldCharType="begin"/>
    </w:r>
    <w:r w:rsidR="00CD5DE9">
      <w:instrText xml:space="preserve"> PAGE  \* Arabic  \* MERGEFORMAT </w:instrText>
    </w:r>
    <w:r w:rsidR="00CD5DE9">
      <w:fldChar w:fldCharType="separate"/>
    </w:r>
    <w:r w:rsidR="001150C4" w:rsidRPr="001150C4">
      <w:rPr>
        <w:bCs/>
        <w:noProof/>
        <w:sz w:val="20"/>
        <w:szCs w:val="20"/>
      </w:rPr>
      <w:t>1</w:t>
    </w:r>
    <w:r w:rsidR="00CD5DE9">
      <w:rPr>
        <w:bCs/>
        <w:noProof/>
        <w:sz w:val="20"/>
        <w:szCs w:val="20"/>
      </w:rPr>
      <w:fldChar w:fldCharType="end"/>
    </w:r>
    <w:r w:rsidRPr="00E7610A">
      <w:rPr>
        <w:sz w:val="20"/>
        <w:szCs w:val="20"/>
      </w:rPr>
      <w:t xml:space="preserve"> of </w:t>
    </w:r>
    <w:fldSimple w:instr=" NUMPAGES  \* Arabic  \* MERGEFORMAT ">
      <w:r w:rsidR="001150C4" w:rsidRPr="001150C4">
        <w:rPr>
          <w:bCs/>
          <w:noProof/>
          <w:sz w:val="20"/>
          <w:szCs w:val="20"/>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C83E4" w14:textId="77777777" w:rsidR="008078CC" w:rsidRDefault="008078CC" w:rsidP="00D644ED">
      <w:r>
        <w:separator/>
      </w:r>
    </w:p>
  </w:footnote>
  <w:footnote w:type="continuationSeparator" w:id="0">
    <w:p w14:paraId="304FED48" w14:textId="77777777" w:rsidR="008078CC" w:rsidRDefault="008078CC" w:rsidP="00D644ED">
      <w:r>
        <w:continuationSeparator/>
      </w:r>
    </w:p>
  </w:footnote>
  <w:footnote w:id="1">
    <w:p w14:paraId="0E15FC9E" w14:textId="77777777" w:rsidR="001D4401" w:rsidRDefault="001D4401" w:rsidP="001D4401">
      <w:pPr>
        <w:pStyle w:val="FootnoteText"/>
      </w:pPr>
      <w:r>
        <w:rPr>
          <w:rStyle w:val="FootnoteReference"/>
        </w:rPr>
        <w:footnoteRef/>
      </w:r>
      <w:r>
        <w:t xml:space="preserve"> Defendant’s Memorandum in Opposition to Plaintiffs Motion for Preliminary Injunction at 42, </w:t>
      </w:r>
      <w:r w:rsidRPr="0025748B">
        <w:rPr>
          <w:i/>
          <w:iCs/>
        </w:rPr>
        <w:t>Brown v Azar</w:t>
      </w:r>
      <w:r>
        <w:t xml:space="preserve">, 497 F. Supp. 3d 1270 (N. D. Ga. 2020)(No. 20-CV-3720)(citations omitted).  </w:t>
      </w:r>
    </w:p>
    <w:p w14:paraId="7C88F15E" w14:textId="77777777" w:rsidR="001D4401" w:rsidRDefault="001D4401" w:rsidP="001D4401">
      <w:pPr>
        <w:pStyle w:val="FootnoteText"/>
      </w:pPr>
    </w:p>
  </w:footnote>
  <w:footnote w:id="2">
    <w:p w14:paraId="2CA0974A" w14:textId="77777777" w:rsidR="001D4401" w:rsidRDefault="001D4401" w:rsidP="001D4401">
      <w:pPr>
        <w:pStyle w:val="FootnoteText"/>
      </w:pPr>
      <w:r>
        <w:rPr>
          <w:rStyle w:val="FootnoteReference"/>
        </w:rPr>
        <w:footnoteRef/>
      </w:r>
      <w:r>
        <w:t xml:space="preserve"> HHS/CDC Temporary Halt in Residential Evictions to Prevent the Further Spread of COVID-19.  Frequently Asked Questions, HUD, https:..www.hud.gov.sites/dfiles/Main/documents/EvictionMoratoriuaOrderFAQs.pdf (last visited Mar. 1 2022).  </w:t>
      </w:r>
    </w:p>
  </w:footnote>
  <w:footnote w:id="3">
    <w:p w14:paraId="7D9B0C55" w14:textId="77777777" w:rsidR="00F0536A" w:rsidRPr="0025748B" w:rsidRDefault="00F0536A" w:rsidP="00F0536A">
      <w:pPr>
        <w:pStyle w:val="FootnoteText"/>
        <w:rPr>
          <w:rFonts w:ascii="Times New Roman" w:hAnsi="Times New Roman" w:cs="Times New Roman"/>
          <w:sz w:val="26"/>
          <w:szCs w:val="26"/>
        </w:rPr>
      </w:pPr>
      <w:r w:rsidRPr="0025748B">
        <w:rPr>
          <w:rStyle w:val="FootnoteReference"/>
          <w:rFonts w:ascii="Times New Roman" w:hAnsi="Times New Roman" w:cs="Times New Roman"/>
          <w:sz w:val="26"/>
          <w:szCs w:val="26"/>
        </w:rPr>
        <w:footnoteRef/>
      </w:r>
      <w:r w:rsidRPr="0025748B">
        <w:rPr>
          <w:rFonts w:ascii="Times New Roman" w:hAnsi="Times New Roman" w:cs="Times New Roman"/>
          <w:sz w:val="26"/>
          <w:szCs w:val="26"/>
        </w:rPr>
        <w:t xml:space="preserve"> https://www.congress.gov/bill/116th-congress/house-bill/748/summary/55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4AF7" w14:textId="77777777" w:rsidR="0009751A" w:rsidRDefault="00D10177">
    <w:pPr>
      <w:pStyle w:val="Header"/>
    </w:pPr>
    <w:r>
      <w:rPr>
        <w:noProof/>
      </w:rPr>
      <mc:AlternateContent>
        <mc:Choice Requires="wps">
          <w:drawing>
            <wp:anchor distT="45720" distB="45720" distL="0" distR="0" simplePos="0" relativeHeight="251663360" behindDoc="0" locked="0" layoutInCell="1" allowOverlap="1" wp14:anchorId="13C3459C" wp14:editId="45523BDA">
              <wp:simplePos x="0" y="0"/>
              <wp:positionH relativeFrom="page">
                <wp:posOffset>548640</wp:posOffset>
              </wp:positionH>
              <wp:positionV relativeFrom="page">
                <wp:posOffset>914400</wp:posOffset>
              </wp:positionV>
              <wp:extent cx="320040" cy="8275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 cy="8275320"/>
                      </a:xfrm>
                      <a:prstGeom prst="rect">
                        <a:avLst/>
                      </a:prstGeom>
                      <a:noFill/>
                      <a:ln w="9525">
                        <a:noFill/>
                        <a:miter lim="800000"/>
                        <a:headEnd/>
                        <a:tailEnd/>
                      </a:ln>
                    </wps:spPr>
                    <wps:txbx>
                      <w:txbxContent>
                        <w:p w14:paraId="63B19F39" w14:textId="77777777" w:rsidR="0009751A" w:rsidRPr="00E7610A" w:rsidRDefault="0009751A" w:rsidP="000C2B0B">
                          <w:pPr>
                            <w:spacing w:before="160" w:line="240" w:lineRule="exact"/>
                            <w:jc w:val="right"/>
                            <w:rPr>
                              <w:sz w:val="16"/>
                              <w:szCs w:val="16"/>
                            </w:rPr>
                          </w:pPr>
                          <w:r w:rsidRPr="00E7610A">
                            <w:rPr>
                              <w:sz w:val="16"/>
                              <w:szCs w:val="16"/>
                            </w:rPr>
                            <w:t>1</w:t>
                          </w:r>
                        </w:p>
                        <w:p w14:paraId="30362E24" w14:textId="77777777" w:rsidR="0009751A" w:rsidRPr="00E7610A" w:rsidRDefault="0009751A" w:rsidP="000C2B0B">
                          <w:pPr>
                            <w:spacing w:line="480" w:lineRule="exact"/>
                            <w:jc w:val="right"/>
                            <w:rPr>
                              <w:sz w:val="16"/>
                              <w:szCs w:val="16"/>
                            </w:rPr>
                          </w:pPr>
                          <w:r w:rsidRPr="00E7610A">
                            <w:rPr>
                              <w:sz w:val="16"/>
                              <w:szCs w:val="16"/>
                            </w:rPr>
                            <w:t>2</w:t>
                          </w:r>
                        </w:p>
                        <w:p w14:paraId="2994EC27" w14:textId="77777777" w:rsidR="0009751A" w:rsidRPr="00E7610A" w:rsidRDefault="0009751A" w:rsidP="000C2B0B">
                          <w:pPr>
                            <w:spacing w:line="480" w:lineRule="exact"/>
                            <w:jc w:val="right"/>
                            <w:rPr>
                              <w:sz w:val="16"/>
                              <w:szCs w:val="16"/>
                            </w:rPr>
                          </w:pPr>
                          <w:r w:rsidRPr="00E7610A">
                            <w:rPr>
                              <w:sz w:val="16"/>
                              <w:szCs w:val="16"/>
                            </w:rPr>
                            <w:t>3</w:t>
                          </w:r>
                        </w:p>
                        <w:p w14:paraId="51345C2C" w14:textId="77777777" w:rsidR="0009751A" w:rsidRPr="00E7610A" w:rsidRDefault="0009751A" w:rsidP="000C2B0B">
                          <w:pPr>
                            <w:spacing w:line="480" w:lineRule="exact"/>
                            <w:jc w:val="right"/>
                            <w:rPr>
                              <w:sz w:val="16"/>
                              <w:szCs w:val="16"/>
                            </w:rPr>
                          </w:pPr>
                          <w:r w:rsidRPr="00E7610A">
                            <w:rPr>
                              <w:sz w:val="16"/>
                              <w:szCs w:val="16"/>
                            </w:rPr>
                            <w:t>4</w:t>
                          </w:r>
                        </w:p>
                        <w:p w14:paraId="60C0F32D" w14:textId="77777777" w:rsidR="0009751A" w:rsidRPr="00E7610A" w:rsidRDefault="0009751A" w:rsidP="000C2B0B">
                          <w:pPr>
                            <w:spacing w:line="480" w:lineRule="exact"/>
                            <w:jc w:val="right"/>
                            <w:rPr>
                              <w:sz w:val="16"/>
                              <w:szCs w:val="16"/>
                            </w:rPr>
                          </w:pPr>
                          <w:r w:rsidRPr="00E7610A">
                            <w:rPr>
                              <w:sz w:val="16"/>
                              <w:szCs w:val="16"/>
                            </w:rPr>
                            <w:t>5</w:t>
                          </w:r>
                        </w:p>
                        <w:p w14:paraId="653DF477" w14:textId="77777777" w:rsidR="0009751A" w:rsidRPr="00E7610A" w:rsidRDefault="0009751A" w:rsidP="000C2B0B">
                          <w:pPr>
                            <w:spacing w:line="480" w:lineRule="exact"/>
                            <w:jc w:val="right"/>
                            <w:rPr>
                              <w:sz w:val="16"/>
                              <w:szCs w:val="16"/>
                            </w:rPr>
                          </w:pPr>
                          <w:r w:rsidRPr="00E7610A">
                            <w:rPr>
                              <w:sz w:val="16"/>
                              <w:szCs w:val="16"/>
                            </w:rPr>
                            <w:t>6</w:t>
                          </w:r>
                        </w:p>
                        <w:p w14:paraId="14D86162" w14:textId="77777777" w:rsidR="0009751A" w:rsidRPr="00E7610A" w:rsidRDefault="0009751A" w:rsidP="000C2B0B">
                          <w:pPr>
                            <w:spacing w:line="480" w:lineRule="exact"/>
                            <w:jc w:val="right"/>
                            <w:rPr>
                              <w:sz w:val="16"/>
                              <w:szCs w:val="16"/>
                            </w:rPr>
                          </w:pPr>
                          <w:r w:rsidRPr="00E7610A">
                            <w:rPr>
                              <w:sz w:val="16"/>
                              <w:szCs w:val="16"/>
                            </w:rPr>
                            <w:t>7</w:t>
                          </w:r>
                        </w:p>
                        <w:p w14:paraId="4C1CB282" w14:textId="77777777" w:rsidR="0009751A" w:rsidRPr="00E7610A" w:rsidRDefault="0009751A" w:rsidP="000C2B0B">
                          <w:pPr>
                            <w:spacing w:line="480" w:lineRule="exact"/>
                            <w:jc w:val="right"/>
                            <w:rPr>
                              <w:sz w:val="16"/>
                              <w:szCs w:val="16"/>
                            </w:rPr>
                          </w:pPr>
                          <w:r w:rsidRPr="00E7610A">
                            <w:rPr>
                              <w:sz w:val="16"/>
                              <w:szCs w:val="16"/>
                            </w:rPr>
                            <w:t>8</w:t>
                          </w:r>
                        </w:p>
                        <w:p w14:paraId="03F91121" w14:textId="77777777" w:rsidR="0009751A" w:rsidRPr="00E7610A" w:rsidRDefault="0009751A" w:rsidP="000C2B0B">
                          <w:pPr>
                            <w:spacing w:line="480" w:lineRule="exact"/>
                            <w:jc w:val="right"/>
                            <w:rPr>
                              <w:sz w:val="16"/>
                              <w:szCs w:val="16"/>
                            </w:rPr>
                          </w:pPr>
                          <w:r w:rsidRPr="00E7610A">
                            <w:rPr>
                              <w:sz w:val="16"/>
                              <w:szCs w:val="16"/>
                            </w:rPr>
                            <w:t>9</w:t>
                          </w:r>
                        </w:p>
                        <w:p w14:paraId="0512C1AF" w14:textId="77777777" w:rsidR="0009751A" w:rsidRPr="00E7610A" w:rsidRDefault="0009751A" w:rsidP="000C2B0B">
                          <w:pPr>
                            <w:spacing w:line="480" w:lineRule="exact"/>
                            <w:jc w:val="right"/>
                            <w:rPr>
                              <w:sz w:val="16"/>
                              <w:szCs w:val="16"/>
                            </w:rPr>
                          </w:pPr>
                          <w:r w:rsidRPr="00E7610A">
                            <w:rPr>
                              <w:sz w:val="16"/>
                              <w:szCs w:val="16"/>
                            </w:rPr>
                            <w:t>10</w:t>
                          </w:r>
                        </w:p>
                        <w:p w14:paraId="3B9D0DDF" w14:textId="77777777" w:rsidR="0009751A" w:rsidRPr="00E7610A" w:rsidRDefault="0009751A" w:rsidP="000C2B0B">
                          <w:pPr>
                            <w:spacing w:line="480" w:lineRule="exact"/>
                            <w:jc w:val="right"/>
                            <w:rPr>
                              <w:sz w:val="16"/>
                              <w:szCs w:val="16"/>
                            </w:rPr>
                          </w:pPr>
                          <w:r w:rsidRPr="00E7610A">
                            <w:rPr>
                              <w:sz w:val="16"/>
                              <w:szCs w:val="16"/>
                            </w:rPr>
                            <w:t>11</w:t>
                          </w:r>
                        </w:p>
                        <w:p w14:paraId="1329FFCD" w14:textId="77777777" w:rsidR="0009751A" w:rsidRPr="00E7610A" w:rsidRDefault="0009751A" w:rsidP="000C2B0B">
                          <w:pPr>
                            <w:spacing w:line="480" w:lineRule="exact"/>
                            <w:jc w:val="right"/>
                            <w:rPr>
                              <w:sz w:val="16"/>
                              <w:szCs w:val="16"/>
                            </w:rPr>
                          </w:pPr>
                          <w:r w:rsidRPr="00E7610A">
                            <w:rPr>
                              <w:sz w:val="16"/>
                              <w:szCs w:val="16"/>
                            </w:rPr>
                            <w:t>12</w:t>
                          </w:r>
                        </w:p>
                        <w:p w14:paraId="4D472281" w14:textId="77777777" w:rsidR="0009751A" w:rsidRPr="00E7610A" w:rsidRDefault="0009751A" w:rsidP="000C2B0B">
                          <w:pPr>
                            <w:spacing w:line="480" w:lineRule="exact"/>
                            <w:jc w:val="right"/>
                            <w:rPr>
                              <w:sz w:val="16"/>
                              <w:szCs w:val="16"/>
                            </w:rPr>
                          </w:pPr>
                          <w:r w:rsidRPr="00E7610A">
                            <w:rPr>
                              <w:sz w:val="16"/>
                              <w:szCs w:val="16"/>
                            </w:rPr>
                            <w:t>13</w:t>
                          </w:r>
                        </w:p>
                        <w:p w14:paraId="3D039032" w14:textId="77777777" w:rsidR="0009751A" w:rsidRPr="00E7610A" w:rsidRDefault="0009751A" w:rsidP="000C2B0B">
                          <w:pPr>
                            <w:spacing w:line="480" w:lineRule="exact"/>
                            <w:jc w:val="right"/>
                            <w:rPr>
                              <w:sz w:val="16"/>
                              <w:szCs w:val="16"/>
                            </w:rPr>
                          </w:pPr>
                          <w:r w:rsidRPr="00E7610A">
                            <w:rPr>
                              <w:sz w:val="16"/>
                              <w:szCs w:val="16"/>
                            </w:rPr>
                            <w:t>14</w:t>
                          </w:r>
                        </w:p>
                        <w:p w14:paraId="4CBFA621" w14:textId="77777777" w:rsidR="0009751A" w:rsidRPr="00E7610A" w:rsidRDefault="0009751A" w:rsidP="000C2B0B">
                          <w:pPr>
                            <w:spacing w:line="480" w:lineRule="exact"/>
                            <w:jc w:val="right"/>
                            <w:rPr>
                              <w:sz w:val="16"/>
                              <w:szCs w:val="16"/>
                            </w:rPr>
                          </w:pPr>
                          <w:r w:rsidRPr="00E7610A">
                            <w:rPr>
                              <w:sz w:val="16"/>
                              <w:szCs w:val="16"/>
                            </w:rPr>
                            <w:t>15</w:t>
                          </w:r>
                        </w:p>
                        <w:p w14:paraId="6F552344" w14:textId="77777777" w:rsidR="0009751A" w:rsidRPr="00E7610A" w:rsidRDefault="0009751A" w:rsidP="000C2B0B">
                          <w:pPr>
                            <w:spacing w:line="480" w:lineRule="exact"/>
                            <w:jc w:val="right"/>
                            <w:rPr>
                              <w:sz w:val="16"/>
                              <w:szCs w:val="16"/>
                            </w:rPr>
                          </w:pPr>
                          <w:r w:rsidRPr="00E7610A">
                            <w:rPr>
                              <w:sz w:val="16"/>
                              <w:szCs w:val="16"/>
                            </w:rPr>
                            <w:t>16</w:t>
                          </w:r>
                        </w:p>
                        <w:p w14:paraId="3036DB65" w14:textId="77777777" w:rsidR="0009751A" w:rsidRPr="00E7610A" w:rsidRDefault="0009751A" w:rsidP="000C2B0B">
                          <w:pPr>
                            <w:spacing w:line="480" w:lineRule="exact"/>
                            <w:jc w:val="right"/>
                            <w:rPr>
                              <w:sz w:val="16"/>
                              <w:szCs w:val="16"/>
                            </w:rPr>
                          </w:pPr>
                          <w:r w:rsidRPr="00E7610A">
                            <w:rPr>
                              <w:sz w:val="16"/>
                              <w:szCs w:val="16"/>
                            </w:rPr>
                            <w:t>17</w:t>
                          </w:r>
                        </w:p>
                        <w:p w14:paraId="438B768D" w14:textId="77777777" w:rsidR="0009751A" w:rsidRPr="00E7610A" w:rsidRDefault="0009751A" w:rsidP="000C2B0B">
                          <w:pPr>
                            <w:spacing w:line="480" w:lineRule="exact"/>
                            <w:jc w:val="right"/>
                            <w:rPr>
                              <w:sz w:val="16"/>
                              <w:szCs w:val="16"/>
                            </w:rPr>
                          </w:pPr>
                          <w:r w:rsidRPr="00E7610A">
                            <w:rPr>
                              <w:sz w:val="16"/>
                              <w:szCs w:val="16"/>
                            </w:rPr>
                            <w:t>18</w:t>
                          </w:r>
                        </w:p>
                        <w:p w14:paraId="584FD64A" w14:textId="77777777" w:rsidR="0009751A" w:rsidRPr="00E7610A" w:rsidRDefault="0009751A" w:rsidP="000C2B0B">
                          <w:pPr>
                            <w:spacing w:line="480" w:lineRule="exact"/>
                            <w:jc w:val="right"/>
                            <w:rPr>
                              <w:sz w:val="16"/>
                              <w:szCs w:val="16"/>
                            </w:rPr>
                          </w:pPr>
                          <w:r w:rsidRPr="00E7610A">
                            <w:rPr>
                              <w:sz w:val="16"/>
                              <w:szCs w:val="16"/>
                            </w:rPr>
                            <w:t>19</w:t>
                          </w:r>
                        </w:p>
                        <w:p w14:paraId="09DCB146" w14:textId="77777777" w:rsidR="0009751A" w:rsidRPr="00E7610A" w:rsidRDefault="0009751A" w:rsidP="000C2B0B">
                          <w:pPr>
                            <w:spacing w:line="480" w:lineRule="exact"/>
                            <w:jc w:val="right"/>
                            <w:rPr>
                              <w:sz w:val="16"/>
                              <w:szCs w:val="16"/>
                            </w:rPr>
                          </w:pPr>
                          <w:r w:rsidRPr="00E7610A">
                            <w:rPr>
                              <w:sz w:val="16"/>
                              <w:szCs w:val="16"/>
                            </w:rPr>
                            <w:t>20</w:t>
                          </w:r>
                        </w:p>
                        <w:p w14:paraId="72897C7B" w14:textId="77777777" w:rsidR="0009751A" w:rsidRPr="00E7610A" w:rsidRDefault="0009751A" w:rsidP="000C2B0B">
                          <w:pPr>
                            <w:spacing w:line="480" w:lineRule="exact"/>
                            <w:jc w:val="right"/>
                            <w:rPr>
                              <w:sz w:val="16"/>
                              <w:szCs w:val="16"/>
                            </w:rPr>
                          </w:pPr>
                          <w:r w:rsidRPr="00E7610A">
                            <w:rPr>
                              <w:sz w:val="16"/>
                              <w:szCs w:val="16"/>
                            </w:rPr>
                            <w:t>21</w:t>
                          </w:r>
                        </w:p>
                        <w:p w14:paraId="1F79616A" w14:textId="77777777" w:rsidR="0009751A" w:rsidRPr="00E7610A" w:rsidRDefault="0009751A" w:rsidP="000C2B0B">
                          <w:pPr>
                            <w:spacing w:line="480" w:lineRule="exact"/>
                            <w:jc w:val="right"/>
                            <w:rPr>
                              <w:sz w:val="16"/>
                              <w:szCs w:val="16"/>
                            </w:rPr>
                          </w:pPr>
                          <w:r w:rsidRPr="00E7610A">
                            <w:rPr>
                              <w:sz w:val="16"/>
                              <w:szCs w:val="16"/>
                            </w:rPr>
                            <w:t>22</w:t>
                          </w:r>
                        </w:p>
                        <w:p w14:paraId="0E9AD430" w14:textId="77777777" w:rsidR="0009751A" w:rsidRPr="00E7610A" w:rsidRDefault="0009751A" w:rsidP="000C2B0B">
                          <w:pPr>
                            <w:spacing w:line="480" w:lineRule="exact"/>
                            <w:jc w:val="right"/>
                            <w:rPr>
                              <w:sz w:val="16"/>
                              <w:szCs w:val="16"/>
                            </w:rPr>
                          </w:pPr>
                          <w:r w:rsidRPr="00E7610A">
                            <w:rPr>
                              <w:sz w:val="16"/>
                              <w:szCs w:val="16"/>
                            </w:rPr>
                            <w:t>23</w:t>
                          </w:r>
                        </w:p>
                        <w:p w14:paraId="64CADD26" w14:textId="77777777" w:rsidR="0009751A" w:rsidRPr="00E7610A" w:rsidRDefault="0009751A" w:rsidP="000C2B0B">
                          <w:pPr>
                            <w:spacing w:line="480" w:lineRule="exact"/>
                            <w:jc w:val="right"/>
                            <w:rPr>
                              <w:sz w:val="16"/>
                              <w:szCs w:val="16"/>
                            </w:rPr>
                          </w:pPr>
                          <w:r w:rsidRPr="00E7610A">
                            <w:rPr>
                              <w:sz w:val="16"/>
                              <w:szCs w:val="16"/>
                            </w:rPr>
                            <w:t>24</w:t>
                          </w:r>
                        </w:p>
                        <w:p w14:paraId="5592DEFC" w14:textId="77777777" w:rsidR="0009751A" w:rsidRPr="00E7610A" w:rsidRDefault="0009751A" w:rsidP="000C2B0B">
                          <w:pPr>
                            <w:spacing w:line="480" w:lineRule="exact"/>
                            <w:jc w:val="right"/>
                            <w:rPr>
                              <w:sz w:val="16"/>
                              <w:szCs w:val="16"/>
                            </w:rPr>
                          </w:pPr>
                          <w:r w:rsidRPr="00E7610A">
                            <w:rPr>
                              <w:sz w:val="16"/>
                              <w:szCs w:val="16"/>
                            </w:rPr>
                            <w:t>25</w:t>
                          </w:r>
                        </w:p>
                        <w:p w14:paraId="7E813DC3" w14:textId="77777777" w:rsidR="0009751A" w:rsidRPr="00E7610A" w:rsidRDefault="0009751A" w:rsidP="000C2B0B">
                          <w:pPr>
                            <w:spacing w:line="480" w:lineRule="exact"/>
                            <w:jc w:val="right"/>
                            <w:rPr>
                              <w:sz w:val="16"/>
                              <w:szCs w:val="16"/>
                            </w:rPr>
                          </w:pPr>
                          <w:r w:rsidRPr="00E7610A">
                            <w:rPr>
                              <w:sz w:val="16"/>
                              <w:szCs w:val="16"/>
                            </w:rPr>
                            <w:t>26</w:t>
                          </w:r>
                        </w:p>
                        <w:p w14:paraId="3F2B6856" w14:textId="77777777" w:rsidR="0009751A" w:rsidRPr="00E7610A" w:rsidRDefault="0009751A" w:rsidP="000C2B0B">
                          <w:pPr>
                            <w:spacing w:line="480" w:lineRule="exact"/>
                            <w:jc w:val="right"/>
                            <w:rPr>
                              <w:sz w:val="16"/>
                              <w:szCs w:val="16"/>
                            </w:rPr>
                          </w:pPr>
                          <w:r w:rsidRPr="00E7610A">
                            <w:rPr>
                              <w:sz w:val="16"/>
                              <w:szCs w:val="16"/>
                            </w:rPr>
                            <w:t>27</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C3459C" id="_x0000_t202" coordsize="21600,21600" o:spt="202" path="m,l,21600r21600,l21600,xe">
              <v:stroke joinstyle="miter"/>
              <v:path gradientshapeok="t" o:connecttype="rect"/>
            </v:shapetype>
            <v:shape id="Text Box 2" o:spid="_x0000_s1026" type="#_x0000_t202" style="position:absolute;margin-left:43.2pt;margin-top:1in;width:25.2pt;height:651.6pt;z-index:251663360;visibility:visible;mso-wrap-style:square;mso-width-percent:0;mso-height-percent:0;mso-wrap-distance-left:0;mso-wrap-distance-top:3.6pt;mso-wrap-distance-right:0;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" filled="f" stroked="f">
              <v:textbox style="mso-fit-shape-to-text:t" inset="0,,0">
                <w:txbxContent>
                  <w:p w14:paraId="63B19F39" w14:textId="77777777" w:rsidR="0009751A" w:rsidRPr="00E7610A" w:rsidRDefault="0009751A" w:rsidP="000C2B0B">
                    <w:pPr>
                      <w:spacing w:before="160" w:line="240" w:lineRule="exact"/>
                      <w:jc w:val="right"/>
                      <w:rPr>
                        <w:sz w:val="16"/>
                        <w:szCs w:val="16"/>
                      </w:rPr>
                    </w:pPr>
                    <w:r w:rsidRPr="00E7610A">
                      <w:rPr>
                        <w:sz w:val="16"/>
                        <w:szCs w:val="16"/>
                      </w:rPr>
                      <w:t>1</w:t>
                    </w:r>
                  </w:p>
                  <w:p w14:paraId="30362E24" w14:textId="77777777" w:rsidR="0009751A" w:rsidRPr="00E7610A" w:rsidRDefault="0009751A" w:rsidP="000C2B0B">
                    <w:pPr>
                      <w:spacing w:line="480" w:lineRule="exact"/>
                      <w:jc w:val="right"/>
                      <w:rPr>
                        <w:sz w:val="16"/>
                        <w:szCs w:val="16"/>
                      </w:rPr>
                    </w:pPr>
                    <w:r w:rsidRPr="00E7610A">
                      <w:rPr>
                        <w:sz w:val="16"/>
                        <w:szCs w:val="16"/>
                      </w:rPr>
                      <w:t>2</w:t>
                    </w:r>
                  </w:p>
                  <w:p w14:paraId="2994EC27" w14:textId="77777777" w:rsidR="0009751A" w:rsidRPr="00E7610A" w:rsidRDefault="0009751A" w:rsidP="000C2B0B">
                    <w:pPr>
                      <w:spacing w:line="480" w:lineRule="exact"/>
                      <w:jc w:val="right"/>
                      <w:rPr>
                        <w:sz w:val="16"/>
                        <w:szCs w:val="16"/>
                      </w:rPr>
                    </w:pPr>
                    <w:r w:rsidRPr="00E7610A">
                      <w:rPr>
                        <w:sz w:val="16"/>
                        <w:szCs w:val="16"/>
                      </w:rPr>
                      <w:t>3</w:t>
                    </w:r>
                  </w:p>
                  <w:p w14:paraId="51345C2C" w14:textId="77777777" w:rsidR="0009751A" w:rsidRPr="00E7610A" w:rsidRDefault="0009751A" w:rsidP="000C2B0B">
                    <w:pPr>
                      <w:spacing w:line="480" w:lineRule="exact"/>
                      <w:jc w:val="right"/>
                      <w:rPr>
                        <w:sz w:val="16"/>
                        <w:szCs w:val="16"/>
                      </w:rPr>
                    </w:pPr>
                    <w:r w:rsidRPr="00E7610A">
                      <w:rPr>
                        <w:sz w:val="16"/>
                        <w:szCs w:val="16"/>
                      </w:rPr>
                      <w:t>4</w:t>
                    </w:r>
                  </w:p>
                  <w:p w14:paraId="60C0F32D" w14:textId="77777777" w:rsidR="0009751A" w:rsidRPr="00E7610A" w:rsidRDefault="0009751A" w:rsidP="000C2B0B">
                    <w:pPr>
                      <w:spacing w:line="480" w:lineRule="exact"/>
                      <w:jc w:val="right"/>
                      <w:rPr>
                        <w:sz w:val="16"/>
                        <w:szCs w:val="16"/>
                      </w:rPr>
                    </w:pPr>
                    <w:r w:rsidRPr="00E7610A">
                      <w:rPr>
                        <w:sz w:val="16"/>
                        <w:szCs w:val="16"/>
                      </w:rPr>
                      <w:t>5</w:t>
                    </w:r>
                  </w:p>
                  <w:p w14:paraId="653DF477" w14:textId="77777777" w:rsidR="0009751A" w:rsidRPr="00E7610A" w:rsidRDefault="0009751A" w:rsidP="000C2B0B">
                    <w:pPr>
                      <w:spacing w:line="480" w:lineRule="exact"/>
                      <w:jc w:val="right"/>
                      <w:rPr>
                        <w:sz w:val="16"/>
                        <w:szCs w:val="16"/>
                      </w:rPr>
                    </w:pPr>
                    <w:r w:rsidRPr="00E7610A">
                      <w:rPr>
                        <w:sz w:val="16"/>
                        <w:szCs w:val="16"/>
                      </w:rPr>
                      <w:t>6</w:t>
                    </w:r>
                  </w:p>
                  <w:p w14:paraId="14D86162" w14:textId="77777777" w:rsidR="0009751A" w:rsidRPr="00E7610A" w:rsidRDefault="0009751A" w:rsidP="000C2B0B">
                    <w:pPr>
                      <w:spacing w:line="480" w:lineRule="exact"/>
                      <w:jc w:val="right"/>
                      <w:rPr>
                        <w:sz w:val="16"/>
                        <w:szCs w:val="16"/>
                      </w:rPr>
                    </w:pPr>
                    <w:r w:rsidRPr="00E7610A">
                      <w:rPr>
                        <w:sz w:val="16"/>
                        <w:szCs w:val="16"/>
                      </w:rPr>
                      <w:t>7</w:t>
                    </w:r>
                  </w:p>
                  <w:p w14:paraId="4C1CB282" w14:textId="77777777" w:rsidR="0009751A" w:rsidRPr="00E7610A" w:rsidRDefault="0009751A" w:rsidP="000C2B0B">
                    <w:pPr>
                      <w:spacing w:line="480" w:lineRule="exact"/>
                      <w:jc w:val="right"/>
                      <w:rPr>
                        <w:sz w:val="16"/>
                        <w:szCs w:val="16"/>
                      </w:rPr>
                    </w:pPr>
                    <w:r w:rsidRPr="00E7610A">
                      <w:rPr>
                        <w:sz w:val="16"/>
                        <w:szCs w:val="16"/>
                      </w:rPr>
                      <w:t>8</w:t>
                    </w:r>
                  </w:p>
                  <w:p w14:paraId="03F91121" w14:textId="77777777" w:rsidR="0009751A" w:rsidRPr="00E7610A" w:rsidRDefault="0009751A" w:rsidP="000C2B0B">
                    <w:pPr>
                      <w:spacing w:line="480" w:lineRule="exact"/>
                      <w:jc w:val="right"/>
                      <w:rPr>
                        <w:sz w:val="16"/>
                        <w:szCs w:val="16"/>
                      </w:rPr>
                    </w:pPr>
                    <w:r w:rsidRPr="00E7610A">
                      <w:rPr>
                        <w:sz w:val="16"/>
                        <w:szCs w:val="16"/>
                      </w:rPr>
                      <w:t>9</w:t>
                    </w:r>
                  </w:p>
                  <w:p w14:paraId="0512C1AF" w14:textId="77777777" w:rsidR="0009751A" w:rsidRPr="00E7610A" w:rsidRDefault="0009751A" w:rsidP="000C2B0B">
                    <w:pPr>
                      <w:spacing w:line="480" w:lineRule="exact"/>
                      <w:jc w:val="right"/>
                      <w:rPr>
                        <w:sz w:val="16"/>
                        <w:szCs w:val="16"/>
                      </w:rPr>
                    </w:pPr>
                    <w:r w:rsidRPr="00E7610A">
                      <w:rPr>
                        <w:sz w:val="16"/>
                        <w:szCs w:val="16"/>
                      </w:rPr>
                      <w:t>10</w:t>
                    </w:r>
                  </w:p>
                  <w:p w14:paraId="3B9D0DDF" w14:textId="77777777" w:rsidR="0009751A" w:rsidRPr="00E7610A" w:rsidRDefault="0009751A" w:rsidP="000C2B0B">
                    <w:pPr>
                      <w:spacing w:line="480" w:lineRule="exact"/>
                      <w:jc w:val="right"/>
                      <w:rPr>
                        <w:sz w:val="16"/>
                        <w:szCs w:val="16"/>
                      </w:rPr>
                    </w:pPr>
                    <w:r w:rsidRPr="00E7610A">
                      <w:rPr>
                        <w:sz w:val="16"/>
                        <w:szCs w:val="16"/>
                      </w:rPr>
                      <w:t>11</w:t>
                    </w:r>
                  </w:p>
                  <w:p w14:paraId="1329FFCD" w14:textId="77777777" w:rsidR="0009751A" w:rsidRPr="00E7610A" w:rsidRDefault="0009751A" w:rsidP="000C2B0B">
                    <w:pPr>
                      <w:spacing w:line="480" w:lineRule="exact"/>
                      <w:jc w:val="right"/>
                      <w:rPr>
                        <w:sz w:val="16"/>
                        <w:szCs w:val="16"/>
                      </w:rPr>
                    </w:pPr>
                    <w:r w:rsidRPr="00E7610A">
                      <w:rPr>
                        <w:sz w:val="16"/>
                        <w:szCs w:val="16"/>
                      </w:rPr>
                      <w:t>12</w:t>
                    </w:r>
                  </w:p>
                  <w:p w14:paraId="4D472281" w14:textId="77777777" w:rsidR="0009751A" w:rsidRPr="00E7610A" w:rsidRDefault="0009751A" w:rsidP="000C2B0B">
                    <w:pPr>
                      <w:spacing w:line="480" w:lineRule="exact"/>
                      <w:jc w:val="right"/>
                      <w:rPr>
                        <w:sz w:val="16"/>
                        <w:szCs w:val="16"/>
                      </w:rPr>
                    </w:pPr>
                    <w:r w:rsidRPr="00E7610A">
                      <w:rPr>
                        <w:sz w:val="16"/>
                        <w:szCs w:val="16"/>
                      </w:rPr>
                      <w:t>13</w:t>
                    </w:r>
                  </w:p>
                  <w:p w14:paraId="3D039032" w14:textId="77777777" w:rsidR="0009751A" w:rsidRPr="00E7610A" w:rsidRDefault="0009751A" w:rsidP="000C2B0B">
                    <w:pPr>
                      <w:spacing w:line="480" w:lineRule="exact"/>
                      <w:jc w:val="right"/>
                      <w:rPr>
                        <w:sz w:val="16"/>
                        <w:szCs w:val="16"/>
                      </w:rPr>
                    </w:pPr>
                    <w:r w:rsidRPr="00E7610A">
                      <w:rPr>
                        <w:sz w:val="16"/>
                        <w:szCs w:val="16"/>
                      </w:rPr>
                      <w:t>14</w:t>
                    </w:r>
                  </w:p>
                  <w:p w14:paraId="4CBFA621" w14:textId="77777777" w:rsidR="0009751A" w:rsidRPr="00E7610A" w:rsidRDefault="0009751A" w:rsidP="000C2B0B">
                    <w:pPr>
                      <w:spacing w:line="480" w:lineRule="exact"/>
                      <w:jc w:val="right"/>
                      <w:rPr>
                        <w:sz w:val="16"/>
                        <w:szCs w:val="16"/>
                      </w:rPr>
                    </w:pPr>
                    <w:r w:rsidRPr="00E7610A">
                      <w:rPr>
                        <w:sz w:val="16"/>
                        <w:szCs w:val="16"/>
                      </w:rPr>
                      <w:t>15</w:t>
                    </w:r>
                  </w:p>
                  <w:p w14:paraId="6F552344" w14:textId="77777777" w:rsidR="0009751A" w:rsidRPr="00E7610A" w:rsidRDefault="0009751A" w:rsidP="000C2B0B">
                    <w:pPr>
                      <w:spacing w:line="480" w:lineRule="exact"/>
                      <w:jc w:val="right"/>
                      <w:rPr>
                        <w:sz w:val="16"/>
                        <w:szCs w:val="16"/>
                      </w:rPr>
                    </w:pPr>
                    <w:r w:rsidRPr="00E7610A">
                      <w:rPr>
                        <w:sz w:val="16"/>
                        <w:szCs w:val="16"/>
                      </w:rPr>
                      <w:t>16</w:t>
                    </w:r>
                  </w:p>
                  <w:p w14:paraId="3036DB65" w14:textId="77777777" w:rsidR="0009751A" w:rsidRPr="00E7610A" w:rsidRDefault="0009751A" w:rsidP="000C2B0B">
                    <w:pPr>
                      <w:spacing w:line="480" w:lineRule="exact"/>
                      <w:jc w:val="right"/>
                      <w:rPr>
                        <w:sz w:val="16"/>
                        <w:szCs w:val="16"/>
                      </w:rPr>
                    </w:pPr>
                    <w:r w:rsidRPr="00E7610A">
                      <w:rPr>
                        <w:sz w:val="16"/>
                        <w:szCs w:val="16"/>
                      </w:rPr>
                      <w:t>17</w:t>
                    </w:r>
                  </w:p>
                  <w:p w14:paraId="438B768D" w14:textId="77777777" w:rsidR="0009751A" w:rsidRPr="00E7610A" w:rsidRDefault="0009751A" w:rsidP="000C2B0B">
                    <w:pPr>
                      <w:spacing w:line="480" w:lineRule="exact"/>
                      <w:jc w:val="right"/>
                      <w:rPr>
                        <w:sz w:val="16"/>
                        <w:szCs w:val="16"/>
                      </w:rPr>
                    </w:pPr>
                    <w:r w:rsidRPr="00E7610A">
                      <w:rPr>
                        <w:sz w:val="16"/>
                        <w:szCs w:val="16"/>
                      </w:rPr>
                      <w:t>18</w:t>
                    </w:r>
                  </w:p>
                  <w:p w14:paraId="584FD64A" w14:textId="77777777" w:rsidR="0009751A" w:rsidRPr="00E7610A" w:rsidRDefault="0009751A" w:rsidP="000C2B0B">
                    <w:pPr>
                      <w:spacing w:line="480" w:lineRule="exact"/>
                      <w:jc w:val="right"/>
                      <w:rPr>
                        <w:sz w:val="16"/>
                        <w:szCs w:val="16"/>
                      </w:rPr>
                    </w:pPr>
                    <w:r w:rsidRPr="00E7610A">
                      <w:rPr>
                        <w:sz w:val="16"/>
                        <w:szCs w:val="16"/>
                      </w:rPr>
                      <w:t>19</w:t>
                    </w:r>
                  </w:p>
                  <w:p w14:paraId="09DCB146" w14:textId="77777777" w:rsidR="0009751A" w:rsidRPr="00E7610A" w:rsidRDefault="0009751A" w:rsidP="000C2B0B">
                    <w:pPr>
                      <w:spacing w:line="480" w:lineRule="exact"/>
                      <w:jc w:val="right"/>
                      <w:rPr>
                        <w:sz w:val="16"/>
                        <w:szCs w:val="16"/>
                      </w:rPr>
                    </w:pPr>
                    <w:r w:rsidRPr="00E7610A">
                      <w:rPr>
                        <w:sz w:val="16"/>
                        <w:szCs w:val="16"/>
                      </w:rPr>
                      <w:t>20</w:t>
                    </w:r>
                  </w:p>
                  <w:p w14:paraId="72897C7B" w14:textId="77777777" w:rsidR="0009751A" w:rsidRPr="00E7610A" w:rsidRDefault="0009751A" w:rsidP="000C2B0B">
                    <w:pPr>
                      <w:spacing w:line="480" w:lineRule="exact"/>
                      <w:jc w:val="right"/>
                      <w:rPr>
                        <w:sz w:val="16"/>
                        <w:szCs w:val="16"/>
                      </w:rPr>
                    </w:pPr>
                    <w:r w:rsidRPr="00E7610A">
                      <w:rPr>
                        <w:sz w:val="16"/>
                        <w:szCs w:val="16"/>
                      </w:rPr>
                      <w:t>21</w:t>
                    </w:r>
                  </w:p>
                  <w:p w14:paraId="1F79616A" w14:textId="77777777" w:rsidR="0009751A" w:rsidRPr="00E7610A" w:rsidRDefault="0009751A" w:rsidP="000C2B0B">
                    <w:pPr>
                      <w:spacing w:line="480" w:lineRule="exact"/>
                      <w:jc w:val="right"/>
                      <w:rPr>
                        <w:sz w:val="16"/>
                        <w:szCs w:val="16"/>
                      </w:rPr>
                    </w:pPr>
                    <w:r w:rsidRPr="00E7610A">
                      <w:rPr>
                        <w:sz w:val="16"/>
                        <w:szCs w:val="16"/>
                      </w:rPr>
                      <w:t>22</w:t>
                    </w:r>
                  </w:p>
                  <w:p w14:paraId="0E9AD430" w14:textId="77777777" w:rsidR="0009751A" w:rsidRPr="00E7610A" w:rsidRDefault="0009751A" w:rsidP="000C2B0B">
                    <w:pPr>
                      <w:spacing w:line="480" w:lineRule="exact"/>
                      <w:jc w:val="right"/>
                      <w:rPr>
                        <w:sz w:val="16"/>
                        <w:szCs w:val="16"/>
                      </w:rPr>
                    </w:pPr>
                    <w:r w:rsidRPr="00E7610A">
                      <w:rPr>
                        <w:sz w:val="16"/>
                        <w:szCs w:val="16"/>
                      </w:rPr>
                      <w:t>23</w:t>
                    </w:r>
                  </w:p>
                  <w:p w14:paraId="64CADD26" w14:textId="77777777" w:rsidR="0009751A" w:rsidRPr="00E7610A" w:rsidRDefault="0009751A" w:rsidP="000C2B0B">
                    <w:pPr>
                      <w:spacing w:line="480" w:lineRule="exact"/>
                      <w:jc w:val="right"/>
                      <w:rPr>
                        <w:sz w:val="16"/>
                        <w:szCs w:val="16"/>
                      </w:rPr>
                    </w:pPr>
                    <w:r w:rsidRPr="00E7610A">
                      <w:rPr>
                        <w:sz w:val="16"/>
                        <w:szCs w:val="16"/>
                      </w:rPr>
                      <w:t>24</w:t>
                    </w:r>
                  </w:p>
                  <w:p w14:paraId="5592DEFC" w14:textId="77777777" w:rsidR="0009751A" w:rsidRPr="00E7610A" w:rsidRDefault="0009751A" w:rsidP="000C2B0B">
                    <w:pPr>
                      <w:spacing w:line="480" w:lineRule="exact"/>
                      <w:jc w:val="right"/>
                      <w:rPr>
                        <w:sz w:val="16"/>
                        <w:szCs w:val="16"/>
                      </w:rPr>
                    </w:pPr>
                    <w:r w:rsidRPr="00E7610A">
                      <w:rPr>
                        <w:sz w:val="16"/>
                        <w:szCs w:val="16"/>
                      </w:rPr>
                      <w:t>25</w:t>
                    </w:r>
                  </w:p>
                  <w:p w14:paraId="7E813DC3" w14:textId="77777777" w:rsidR="0009751A" w:rsidRPr="00E7610A" w:rsidRDefault="0009751A" w:rsidP="000C2B0B">
                    <w:pPr>
                      <w:spacing w:line="480" w:lineRule="exact"/>
                      <w:jc w:val="right"/>
                      <w:rPr>
                        <w:sz w:val="16"/>
                        <w:szCs w:val="16"/>
                      </w:rPr>
                    </w:pPr>
                    <w:r w:rsidRPr="00E7610A">
                      <w:rPr>
                        <w:sz w:val="16"/>
                        <w:szCs w:val="16"/>
                      </w:rPr>
                      <w:t>26</w:t>
                    </w:r>
                  </w:p>
                  <w:p w14:paraId="3F2B6856" w14:textId="77777777" w:rsidR="0009751A" w:rsidRPr="00E7610A" w:rsidRDefault="0009751A" w:rsidP="000C2B0B">
                    <w:pPr>
                      <w:spacing w:line="480" w:lineRule="exact"/>
                      <w:jc w:val="right"/>
                      <w:rPr>
                        <w:sz w:val="16"/>
                        <w:szCs w:val="16"/>
                      </w:rPr>
                    </w:pPr>
                    <w:r w:rsidRPr="00E7610A">
                      <w:rPr>
                        <w:sz w:val="16"/>
                        <w:szCs w:val="16"/>
                      </w:rPr>
                      <w:t>27</w:t>
                    </w:r>
                  </w:p>
                </w:txbxContent>
              </v:textbox>
              <w10:wrap type="square" anchorx="page" anchory="page"/>
            </v:shape>
          </w:pict>
        </mc:Fallback>
      </mc:AlternateContent>
    </w:r>
    <w:r>
      <w:rPr>
        <w:noProof/>
      </w:rPr>
      <mc:AlternateContent>
        <mc:Choice Requires="wps">
          <w:drawing>
            <wp:anchor distT="0" distB="0" distL="114299" distR="114299" simplePos="0" relativeHeight="251661312" behindDoc="0" locked="0" layoutInCell="1" allowOverlap="1" wp14:anchorId="7ECEED4A" wp14:editId="63721A94">
              <wp:simplePos x="0" y="0"/>
              <wp:positionH relativeFrom="page">
                <wp:posOffset>960119</wp:posOffset>
              </wp:positionH>
              <wp:positionV relativeFrom="page">
                <wp:posOffset>0</wp:posOffset>
              </wp:positionV>
              <wp:extent cx="0" cy="1005840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5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F3F0A73" id="Straight Connector 4"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75.6pt,0" to="75.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" strokecolor="black [3200]" strokeweight=".5pt">
              <v:stroke joinstyle="miter"/>
              <o:lock v:ext="edit" shapetype="f"/>
              <w10:wrap anchorx="page" anchory="page"/>
            </v:line>
          </w:pict>
        </mc:Fallback>
      </mc:AlternateContent>
    </w:r>
    <w:r>
      <w:rPr>
        <w:noProof/>
      </w:rPr>
      <mc:AlternateContent>
        <mc:Choice Requires="wps">
          <w:drawing>
            <wp:anchor distT="0" distB="0" distL="114299" distR="114299" simplePos="0" relativeHeight="251660288" behindDoc="0" locked="0" layoutInCell="1" allowOverlap="1" wp14:anchorId="2B7292C8" wp14:editId="6575D586">
              <wp:simplePos x="0" y="0"/>
              <wp:positionH relativeFrom="page">
                <wp:posOffset>914399</wp:posOffset>
              </wp:positionH>
              <wp:positionV relativeFrom="page">
                <wp:posOffset>0</wp:posOffset>
              </wp:positionV>
              <wp:extent cx="0" cy="1005840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5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80AF540" id="Straight Connector 2"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1in,0" to="1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" strokecolor="black [3200]" strokeweight=".5pt">
              <v:stroke joinstyle="miter"/>
              <o:lock v:ext="edit" shapetype="f"/>
              <w10:wrap anchorx="page" anchory="page"/>
            </v:line>
          </w:pict>
        </mc:Fallback>
      </mc:AlternateContent>
    </w:r>
    <w:r>
      <w:rPr>
        <w:noProof/>
      </w:rPr>
      <mc:AlternateContent>
        <mc:Choice Requires="wps">
          <w:drawing>
            <wp:anchor distT="0" distB="0" distL="114299" distR="114299" simplePos="0" relativeHeight="251659264" behindDoc="0" locked="0" layoutInCell="1" allowOverlap="1" wp14:anchorId="748D71D5" wp14:editId="7154F7C1">
              <wp:simplePos x="0" y="0"/>
              <wp:positionH relativeFrom="page">
                <wp:posOffset>7315199</wp:posOffset>
              </wp:positionH>
              <wp:positionV relativeFrom="page">
                <wp:posOffset>0</wp:posOffset>
              </wp:positionV>
              <wp:extent cx="0" cy="1051560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1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DFD020F" id="Straight Connector 1"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8in,0" to="8in,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" strokecolor="black [3200]" strokeweight=".5pt">
              <v:stroke joinstyle="miter"/>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25F"/>
    <w:multiLevelType w:val="hybridMultilevel"/>
    <w:tmpl w:val="1764C692"/>
    <w:lvl w:ilvl="0" w:tplc="4E5C85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B61FD0"/>
    <w:multiLevelType w:val="hybridMultilevel"/>
    <w:tmpl w:val="8ED629FA"/>
    <w:lvl w:ilvl="0" w:tplc="E4F6679E">
      <w:start w:val="1"/>
      <w:numFmt w:val="upperLetter"/>
      <w:lvlText w:val="%1."/>
      <w:lvlJc w:val="left"/>
      <w:pPr>
        <w:ind w:left="1080" w:hanging="360"/>
      </w:pPr>
      <w:rPr>
        <w:rFonts w:ascii="Times New Roman" w:eastAsia="Times New Roman" w:hAnsi="Times New Roman" w:cs="Times New Roman (Body 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7631F"/>
    <w:multiLevelType w:val="hybridMultilevel"/>
    <w:tmpl w:val="A49445D0"/>
    <w:lvl w:ilvl="0" w:tplc="1E2603CA">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904BB"/>
    <w:multiLevelType w:val="hybridMultilevel"/>
    <w:tmpl w:val="5E5A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C0E01"/>
    <w:multiLevelType w:val="hybridMultilevel"/>
    <w:tmpl w:val="3848AEFC"/>
    <w:lvl w:ilvl="0" w:tplc="3B70A84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2D11D8"/>
    <w:multiLevelType w:val="hybridMultilevel"/>
    <w:tmpl w:val="75C20DF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F14EB"/>
    <w:multiLevelType w:val="hybridMultilevel"/>
    <w:tmpl w:val="BEBE0066"/>
    <w:lvl w:ilvl="0" w:tplc="66D8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CA0980"/>
    <w:multiLevelType w:val="hybridMultilevel"/>
    <w:tmpl w:val="4BF8FE98"/>
    <w:lvl w:ilvl="0" w:tplc="C1486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4F0B18"/>
    <w:multiLevelType w:val="hybridMultilevel"/>
    <w:tmpl w:val="9A88F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56B8B"/>
    <w:multiLevelType w:val="hybridMultilevel"/>
    <w:tmpl w:val="F856A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C3CBB"/>
    <w:multiLevelType w:val="hybridMultilevel"/>
    <w:tmpl w:val="2C30B98C"/>
    <w:lvl w:ilvl="0" w:tplc="86F84BF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81131A"/>
    <w:multiLevelType w:val="hybridMultilevel"/>
    <w:tmpl w:val="DC460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25BC7"/>
    <w:multiLevelType w:val="hybridMultilevel"/>
    <w:tmpl w:val="F4F2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B00AD"/>
    <w:multiLevelType w:val="hybridMultilevel"/>
    <w:tmpl w:val="57B08E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04463"/>
    <w:multiLevelType w:val="hybridMultilevel"/>
    <w:tmpl w:val="A55E9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4077B"/>
    <w:multiLevelType w:val="hybridMultilevel"/>
    <w:tmpl w:val="B492F838"/>
    <w:lvl w:ilvl="0" w:tplc="9FAE857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7358549">
    <w:abstractNumId w:val="8"/>
  </w:num>
  <w:num w:numId="2" w16cid:durableId="1857962304">
    <w:abstractNumId w:val="15"/>
  </w:num>
  <w:num w:numId="3" w16cid:durableId="1766337287">
    <w:abstractNumId w:val="11"/>
  </w:num>
  <w:num w:numId="4" w16cid:durableId="418675243">
    <w:abstractNumId w:val="6"/>
  </w:num>
  <w:num w:numId="5" w16cid:durableId="751194628">
    <w:abstractNumId w:val="3"/>
  </w:num>
  <w:num w:numId="6" w16cid:durableId="2069837721">
    <w:abstractNumId w:val="7"/>
  </w:num>
  <w:num w:numId="7" w16cid:durableId="127162446">
    <w:abstractNumId w:val="4"/>
  </w:num>
  <w:num w:numId="8" w16cid:durableId="170528154">
    <w:abstractNumId w:val="12"/>
  </w:num>
  <w:num w:numId="9" w16cid:durableId="1886258558">
    <w:abstractNumId w:val="10"/>
  </w:num>
  <w:num w:numId="10" w16cid:durableId="1412046924">
    <w:abstractNumId w:val="1"/>
  </w:num>
  <w:num w:numId="11" w16cid:durableId="400518561">
    <w:abstractNumId w:val="2"/>
  </w:num>
  <w:num w:numId="12" w16cid:durableId="619800923">
    <w:abstractNumId w:val="0"/>
  </w:num>
  <w:num w:numId="13" w16cid:durableId="70392784">
    <w:abstractNumId w:val="5"/>
  </w:num>
  <w:num w:numId="14" w16cid:durableId="681517810">
    <w:abstractNumId w:val="14"/>
  </w:num>
  <w:num w:numId="15" w16cid:durableId="598149169">
    <w:abstractNumId w:val="9"/>
  </w:num>
  <w:num w:numId="16" w16cid:durableId="1131509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ED"/>
    <w:rsid w:val="00017DD3"/>
    <w:rsid w:val="00020321"/>
    <w:rsid w:val="00053BF2"/>
    <w:rsid w:val="00057A28"/>
    <w:rsid w:val="00064C76"/>
    <w:rsid w:val="00073C1A"/>
    <w:rsid w:val="0009751A"/>
    <w:rsid w:val="000C2B0B"/>
    <w:rsid w:val="000D0DD7"/>
    <w:rsid w:val="000D4698"/>
    <w:rsid w:val="000E1BD3"/>
    <w:rsid w:val="001049E1"/>
    <w:rsid w:val="001150C4"/>
    <w:rsid w:val="00127DD5"/>
    <w:rsid w:val="00150E81"/>
    <w:rsid w:val="001646B2"/>
    <w:rsid w:val="001A2DB1"/>
    <w:rsid w:val="001A4955"/>
    <w:rsid w:val="001C155E"/>
    <w:rsid w:val="001D4401"/>
    <w:rsid w:val="001F0817"/>
    <w:rsid w:val="001F6520"/>
    <w:rsid w:val="00202BD1"/>
    <w:rsid w:val="002212F1"/>
    <w:rsid w:val="00260E19"/>
    <w:rsid w:val="00285629"/>
    <w:rsid w:val="002A61E4"/>
    <w:rsid w:val="002A6C64"/>
    <w:rsid w:val="002A7D74"/>
    <w:rsid w:val="002C222E"/>
    <w:rsid w:val="002D4A53"/>
    <w:rsid w:val="002D5D6C"/>
    <w:rsid w:val="00310318"/>
    <w:rsid w:val="003223DD"/>
    <w:rsid w:val="00335767"/>
    <w:rsid w:val="00354601"/>
    <w:rsid w:val="003A05F3"/>
    <w:rsid w:val="003B7145"/>
    <w:rsid w:val="003C111C"/>
    <w:rsid w:val="003C6BBA"/>
    <w:rsid w:val="003E5EEB"/>
    <w:rsid w:val="003F0B66"/>
    <w:rsid w:val="00401753"/>
    <w:rsid w:val="00427849"/>
    <w:rsid w:val="004317EB"/>
    <w:rsid w:val="00444136"/>
    <w:rsid w:val="004606C3"/>
    <w:rsid w:val="004E75FA"/>
    <w:rsid w:val="005008F2"/>
    <w:rsid w:val="005250E0"/>
    <w:rsid w:val="00532C57"/>
    <w:rsid w:val="00532D38"/>
    <w:rsid w:val="00537B10"/>
    <w:rsid w:val="00542059"/>
    <w:rsid w:val="00570545"/>
    <w:rsid w:val="0057252E"/>
    <w:rsid w:val="00573DDF"/>
    <w:rsid w:val="0058485A"/>
    <w:rsid w:val="005866BC"/>
    <w:rsid w:val="005974F8"/>
    <w:rsid w:val="005A5107"/>
    <w:rsid w:val="005A66C4"/>
    <w:rsid w:val="005C3F6C"/>
    <w:rsid w:val="005C7929"/>
    <w:rsid w:val="005F0C41"/>
    <w:rsid w:val="005F207D"/>
    <w:rsid w:val="00606769"/>
    <w:rsid w:val="00640EE3"/>
    <w:rsid w:val="006914ED"/>
    <w:rsid w:val="006C0A00"/>
    <w:rsid w:val="006C4F6B"/>
    <w:rsid w:val="006D0BDA"/>
    <w:rsid w:val="006D2634"/>
    <w:rsid w:val="006F26D8"/>
    <w:rsid w:val="0071357D"/>
    <w:rsid w:val="00720925"/>
    <w:rsid w:val="007226EA"/>
    <w:rsid w:val="00726157"/>
    <w:rsid w:val="00731220"/>
    <w:rsid w:val="007342C0"/>
    <w:rsid w:val="00735D68"/>
    <w:rsid w:val="00745DF4"/>
    <w:rsid w:val="00757714"/>
    <w:rsid w:val="00761242"/>
    <w:rsid w:val="00781263"/>
    <w:rsid w:val="00792F6D"/>
    <w:rsid w:val="007A219D"/>
    <w:rsid w:val="007C22BB"/>
    <w:rsid w:val="00806EDD"/>
    <w:rsid w:val="008078CC"/>
    <w:rsid w:val="00814BA7"/>
    <w:rsid w:val="00821624"/>
    <w:rsid w:val="0082296D"/>
    <w:rsid w:val="00827108"/>
    <w:rsid w:val="00846926"/>
    <w:rsid w:val="00853841"/>
    <w:rsid w:val="00860F13"/>
    <w:rsid w:val="00876B25"/>
    <w:rsid w:val="00877FA7"/>
    <w:rsid w:val="00887947"/>
    <w:rsid w:val="00890B4D"/>
    <w:rsid w:val="008B1C80"/>
    <w:rsid w:val="008F187C"/>
    <w:rsid w:val="008F6816"/>
    <w:rsid w:val="00921D55"/>
    <w:rsid w:val="00950A9E"/>
    <w:rsid w:val="0096091F"/>
    <w:rsid w:val="0099019C"/>
    <w:rsid w:val="009A13AC"/>
    <w:rsid w:val="009E2405"/>
    <w:rsid w:val="00A04626"/>
    <w:rsid w:val="00A075D4"/>
    <w:rsid w:val="00A2603F"/>
    <w:rsid w:val="00A36476"/>
    <w:rsid w:val="00A57038"/>
    <w:rsid w:val="00A838F0"/>
    <w:rsid w:val="00AA29B0"/>
    <w:rsid w:val="00AA2C32"/>
    <w:rsid w:val="00AD4502"/>
    <w:rsid w:val="00AF3435"/>
    <w:rsid w:val="00AF46FA"/>
    <w:rsid w:val="00B24ED9"/>
    <w:rsid w:val="00B37C79"/>
    <w:rsid w:val="00B539EA"/>
    <w:rsid w:val="00B77133"/>
    <w:rsid w:val="00B8468A"/>
    <w:rsid w:val="00B964E3"/>
    <w:rsid w:val="00BD2044"/>
    <w:rsid w:val="00BE6313"/>
    <w:rsid w:val="00BF5CA9"/>
    <w:rsid w:val="00BF5D99"/>
    <w:rsid w:val="00C56811"/>
    <w:rsid w:val="00C765AB"/>
    <w:rsid w:val="00C77DF6"/>
    <w:rsid w:val="00C81F95"/>
    <w:rsid w:val="00CA67C8"/>
    <w:rsid w:val="00CB4D22"/>
    <w:rsid w:val="00CB7B2C"/>
    <w:rsid w:val="00CD5DE9"/>
    <w:rsid w:val="00CD7D12"/>
    <w:rsid w:val="00CE0648"/>
    <w:rsid w:val="00CE3C9C"/>
    <w:rsid w:val="00CE7DD7"/>
    <w:rsid w:val="00D10177"/>
    <w:rsid w:val="00D23559"/>
    <w:rsid w:val="00D25D6C"/>
    <w:rsid w:val="00D644ED"/>
    <w:rsid w:val="00D9250A"/>
    <w:rsid w:val="00DA585C"/>
    <w:rsid w:val="00DA6A33"/>
    <w:rsid w:val="00DC7C31"/>
    <w:rsid w:val="00DF67BE"/>
    <w:rsid w:val="00DF78D8"/>
    <w:rsid w:val="00E17C26"/>
    <w:rsid w:val="00E438E7"/>
    <w:rsid w:val="00E5458F"/>
    <w:rsid w:val="00E73962"/>
    <w:rsid w:val="00E7610A"/>
    <w:rsid w:val="00E97F2A"/>
    <w:rsid w:val="00EA3246"/>
    <w:rsid w:val="00EA34BB"/>
    <w:rsid w:val="00EB1C16"/>
    <w:rsid w:val="00EB61E6"/>
    <w:rsid w:val="00EC51C3"/>
    <w:rsid w:val="00F00852"/>
    <w:rsid w:val="00F04A47"/>
    <w:rsid w:val="00F0536A"/>
    <w:rsid w:val="00F213F8"/>
    <w:rsid w:val="00F3195B"/>
    <w:rsid w:val="00F37585"/>
    <w:rsid w:val="00F37FBE"/>
    <w:rsid w:val="00F6080C"/>
    <w:rsid w:val="00F62294"/>
    <w:rsid w:val="00F77089"/>
    <w:rsid w:val="00F90C4E"/>
    <w:rsid w:val="00F9579A"/>
    <w:rsid w:val="00FB158B"/>
    <w:rsid w:val="00FB7434"/>
    <w:rsid w:val="00FE1173"/>
    <w:rsid w:val="00FF7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A819F"/>
  <w15:docId w15:val="{C221C00A-4F5A-544D-81EE-5268709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ED"/>
    <w:pPr>
      <w:tabs>
        <w:tab w:val="center" w:pos="4680"/>
        <w:tab w:val="right" w:pos="9360"/>
      </w:tabs>
    </w:pPr>
    <w:rPr>
      <w:rFonts w:ascii="Garamond" w:eastAsiaTheme="minorHAnsi" w:hAnsi="Garamond" w:cstheme="minorBidi"/>
    </w:rPr>
  </w:style>
  <w:style w:type="character" w:customStyle="1" w:styleId="HeaderChar">
    <w:name w:val="Header Char"/>
    <w:basedOn w:val="DefaultParagraphFont"/>
    <w:link w:val="Header"/>
    <w:uiPriority w:val="99"/>
    <w:rsid w:val="00D644ED"/>
  </w:style>
  <w:style w:type="paragraph" w:styleId="Footer">
    <w:name w:val="footer"/>
    <w:basedOn w:val="Normal"/>
    <w:link w:val="FooterChar"/>
    <w:uiPriority w:val="99"/>
    <w:unhideWhenUsed/>
    <w:rsid w:val="00D644ED"/>
    <w:pPr>
      <w:tabs>
        <w:tab w:val="center" w:pos="4680"/>
        <w:tab w:val="right" w:pos="9360"/>
      </w:tabs>
    </w:pPr>
    <w:rPr>
      <w:rFonts w:ascii="Garamond" w:eastAsiaTheme="minorHAnsi" w:hAnsi="Garamond" w:cstheme="minorBidi"/>
    </w:rPr>
  </w:style>
  <w:style w:type="character" w:customStyle="1" w:styleId="FooterChar">
    <w:name w:val="Footer Char"/>
    <w:basedOn w:val="DefaultParagraphFont"/>
    <w:link w:val="Footer"/>
    <w:uiPriority w:val="99"/>
    <w:rsid w:val="00D644ED"/>
  </w:style>
  <w:style w:type="character" w:styleId="Hyperlink">
    <w:name w:val="Hyperlink"/>
    <w:basedOn w:val="DefaultParagraphFont"/>
    <w:uiPriority w:val="99"/>
    <w:unhideWhenUsed/>
    <w:rsid w:val="00D644ED"/>
    <w:rPr>
      <w:color w:val="0563C1" w:themeColor="hyperlink"/>
      <w:u w:val="single"/>
    </w:rPr>
  </w:style>
  <w:style w:type="table" w:styleId="TableGrid">
    <w:name w:val="Table Grid"/>
    <w:basedOn w:val="TableNormal"/>
    <w:uiPriority w:val="39"/>
    <w:rsid w:val="000D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B0B"/>
    <w:pPr>
      <w:ind w:left="720"/>
      <w:contextualSpacing/>
    </w:pPr>
    <w:rPr>
      <w:rFonts w:ascii="Garamond" w:eastAsiaTheme="minorHAnsi" w:hAnsi="Garamond" w:cstheme="minorBidi"/>
    </w:rPr>
  </w:style>
  <w:style w:type="paragraph" w:styleId="BalloonText">
    <w:name w:val="Balloon Text"/>
    <w:basedOn w:val="Normal"/>
    <w:link w:val="BalloonTextChar"/>
    <w:uiPriority w:val="99"/>
    <w:semiHidden/>
    <w:unhideWhenUsed/>
    <w:rsid w:val="002A6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E4"/>
    <w:rPr>
      <w:rFonts w:ascii="Segoe UI" w:hAnsi="Segoe UI" w:cs="Segoe UI"/>
      <w:sz w:val="18"/>
      <w:szCs w:val="18"/>
    </w:rPr>
  </w:style>
  <w:style w:type="paragraph" w:styleId="FootnoteText">
    <w:name w:val="footnote text"/>
    <w:basedOn w:val="Normal"/>
    <w:link w:val="FootnoteTextChar"/>
    <w:uiPriority w:val="99"/>
    <w:semiHidden/>
    <w:unhideWhenUsed/>
    <w:rsid w:val="00AF3435"/>
    <w:rPr>
      <w:rFonts w:ascii="Garamond" w:eastAsiaTheme="minorHAnsi" w:hAnsi="Garamond" w:cstheme="minorBidi"/>
      <w:sz w:val="20"/>
      <w:szCs w:val="20"/>
    </w:rPr>
  </w:style>
  <w:style w:type="character" w:customStyle="1" w:styleId="FootnoteTextChar">
    <w:name w:val="Footnote Text Char"/>
    <w:basedOn w:val="DefaultParagraphFont"/>
    <w:link w:val="FootnoteText"/>
    <w:uiPriority w:val="99"/>
    <w:semiHidden/>
    <w:rsid w:val="00AF3435"/>
    <w:rPr>
      <w:sz w:val="20"/>
      <w:szCs w:val="20"/>
    </w:rPr>
  </w:style>
  <w:style w:type="character" w:styleId="FootnoteReference">
    <w:name w:val="footnote reference"/>
    <w:basedOn w:val="DefaultParagraphFont"/>
    <w:uiPriority w:val="99"/>
    <w:semiHidden/>
    <w:unhideWhenUsed/>
    <w:rsid w:val="00AF3435"/>
    <w:rPr>
      <w:vertAlign w:val="superscript"/>
    </w:rPr>
  </w:style>
  <w:style w:type="character" w:styleId="UnresolvedMention">
    <w:name w:val="Unresolved Mention"/>
    <w:basedOn w:val="DefaultParagraphFont"/>
    <w:uiPriority w:val="99"/>
    <w:semiHidden/>
    <w:unhideWhenUsed/>
    <w:rsid w:val="005974F8"/>
    <w:rPr>
      <w:color w:val="605E5C"/>
      <w:shd w:val="clear" w:color="auto" w:fill="E1DFDD"/>
    </w:rPr>
  </w:style>
  <w:style w:type="character" w:styleId="FollowedHyperlink">
    <w:name w:val="FollowedHyperlink"/>
    <w:basedOn w:val="DefaultParagraphFont"/>
    <w:uiPriority w:val="99"/>
    <w:semiHidden/>
    <w:unhideWhenUsed/>
    <w:rsid w:val="00761242"/>
    <w:rPr>
      <w:color w:val="954F72" w:themeColor="followedHyperlink"/>
      <w:u w:val="single"/>
    </w:rPr>
  </w:style>
  <w:style w:type="character" w:customStyle="1" w:styleId="apple-converted-space">
    <w:name w:val="apple-converted-space"/>
    <w:basedOn w:val="DefaultParagraphFont"/>
    <w:rsid w:val="004E75FA"/>
  </w:style>
  <w:style w:type="character" w:customStyle="1" w:styleId="num">
    <w:name w:val="num"/>
    <w:basedOn w:val="DefaultParagraphFont"/>
    <w:rsid w:val="004E75FA"/>
  </w:style>
  <w:style w:type="character" w:customStyle="1" w:styleId="heading">
    <w:name w:val="heading"/>
    <w:basedOn w:val="DefaultParagraphFont"/>
    <w:rsid w:val="004E75FA"/>
  </w:style>
  <w:style w:type="character" w:customStyle="1" w:styleId="chapeau">
    <w:name w:val="chapeau"/>
    <w:basedOn w:val="DefaultParagraphFont"/>
    <w:rsid w:val="004E75FA"/>
  </w:style>
  <w:style w:type="character" w:customStyle="1" w:styleId="Date1">
    <w:name w:val="Date1"/>
    <w:basedOn w:val="DefaultParagraphFont"/>
    <w:rsid w:val="004E75FA"/>
  </w:style>
  <w:style w:type="paragraph" w:styleId="HTMLPreformatted">
    <w:name w:val="HTML Preformatted"/>
    <w:basedOn w:val="Normal"/>
    <w:link w:val="HTMLPreformattedChar"/>
    <w:uiPriority w:val="99"/>
    <w:unhideWhenUsed/>
    <w:rsid w:val="004E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5FA"/>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4E75FA"/>
    <w:rPr>
      <w:sz w:val="16"/>
      <w:szCs w:val="16"/>
    </w:rPr>
  </w:style>
  <w:style w:type="paragraph" w:styleId="CommentText">
    <w:name w:val="annotation text"/>
    <w:basedOn w:val="Normal"/>
    <w:link w:val="CommentTextChar"/>
    <w:uiPriority w:val="99"/>
    <w:unhideWhenUsed/>
    <w:rsid w:val="004E75FA"/>
    <w:rPr>
      <w:sz w:val="20"/>
      <w:szCs w:val="20"/>
    </w:rPr>
  </w:style>
  <w:style w:type="character" w:customStyle="1" w:styleId="CommentTextChar">
    <w:name w:val="Comment Text Char"/>
    <w:basedOn w:val="DefaultParagraphFont"/>
    <w:link w:val="CommentText"/>
    <w:uiPriority w:val="99"/>
    <w:rsid w:val="004E75FA"/>
    <w:rPr>
      <w:rFonts w:ascii="Times New Roman" w:eastAsia="Times New Roman" w:hAnsi="Times New Roman" w:cs="Times New Roman"/>
      <w:sz w:val="20"/>
      <w:szCs w:val="20"/>
    </w:rPr>
  </w:style>
  <w:style w:type="paragraph" w:customStyle="1" w:styleId="statutory-body-1em">
    <w:name w:val="statutory-body-1em"/>
    <w:basedOn w:val="Normal"/>
    <w:rsid w:val="00F0536A"/>
    <w:pPr>
      <w:spacing w:before="100" w:beforeAutospacing="1" w:after="100" w:afterAutospacing="1"/>
    </w:pPr>
  </w:style>
  <w:style w:type="paragraph" w:styleId="NormalWeb">
    <w:name w:val="Normal (Web)"/>
    <w:basedOn w:val="Normal"/>
    <w:uiPriority w:val="99"/>
    <w:unhideWhenUsed/>
    <w:rsid w:val="00F0536A"/>
    <w:pPr>
      <w:spacing w:before="100" w:beforeAutospacing="1" w:after="100" w:afterAutospacing="1"/>
    </w:pPr>
  </w:style>
  <w:style w:type="character" w:customStyle="1" w:styleId="Date2">
    <w:name w:val="Date2"/>
    <w:basedOn w:val="DefaultParagraphFont"/>
    <w:rsid w:val="00640EE3"/>
  </w:style>
  <w:style w:type="paragraph" w:customStyle="1" w:styleId="Default">
    <w:name w:val="Default"/>
    <w:rsid w:val="00F9579A"/>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6D0B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09862">
      <w:bodyDiv w:val="1"/>
      <w:marLeft w:val="0"/>
      <w:marRight w:val="0"/>
      <w:marTop w:val="0"/>
      <w:marBottom w:val="0"/>
      <w:divBdr>
        <w:top w:val="none" w:sz="0" w:space="0" w:color="auto"/>
        <w:left w:val="none" w:sz="0" w:space="0" w:color="auto"/>
        <w:bottom w:val="none" w:sz="0" w:space="0" w:color="auto"/>
        <w:right w:val="none" w:sz="0" w:space="0" w:color="auto"/>
      </w:divBdr>
      <w:divsChild>
        <w:div w:id="1512258997">
          <w:marLeft w:val="240"/>
          <w:marRight w:val="0"/>
          <w:marTop w:val="60"/>
          <w:marBottom w:val="60"/>
          <w:divBdr>
            <w:top w:val="none" w:sz="0" w:space="0" w:color="auto"/>
            <w:left w:val="none" w:sz="0" w:space="0" w:color="auto"/>
            <w:bottom w:val="none" w:sz="0" w:space="0" w:color="auto"/>
            <w:right w:val="none" w:sz="0" w:space="0" w:color="auto"/>
          </w:divBdr>
          <w:divsChild>
            <w:div w:id="2023509146">
              <w:marLeft w:val="240"/>
              <w:marRight w:val="0"/>
              <w:marTop w:val="60"/>
              <w:marBottom w:val="60"/>
              <w:divBdr>
                <w:top w:val="none" w:sz="0" w:space="0" w:color="auto"/>
                <w:left w:val="none" w:sz="0" w:space="0" w:color="auto"/>
                <w:bottom w:val="none" w:sz="0" w:space="0" w:color="auto"/>
                <w:right w:val="none" w:sz="0" w:space="0" w:color="auto"/>
              </w:divBdr>
              <w:divsChild>
                <w:div w:id="960646523">
                  <w:marLeft w:val="0"/>
                  <w:marRight w:val="0"/>
                  <w:marTop w:val="0"/>
                  <w:marBottom w:val="0"/>
                  <w:divBdr>
                    <w:top w:val="none" w:sz="0" w:space="0" w:color="auto"/>
                    <w:left w:val="none" w:sz="0" w:space="0" w:color="auto"/>
                    <w:bottom w:val="none" w:sz="0" w:space="0" w:color="auto"/>
                    <w:right w:val="none" w:sz="0" w:space="0" w:color="auto"/>
                  </w:divBdr>
                </w:div>
              </w:divsChild>
            </w:div>
            <w:div w:id="847908781">
              <w:marLeft w:val="240"/>
              <w:marRight w:val="0"/>
              <w:marTop w:val="60"/>
              <w:marBottom w:val="60"/>
              <w:divBdr>
                <w:top w:val="none" w:sz="0" w:space="0" w:color="auto"/>
                <w:left w:val="none" w:sz="0" w:space="0" w:color="auto"/>
                <w:bottom w:val="none" w:sz="0" w:space="0" w:color="auto"/>
                <w:right w:val="none" w:sz="0" w:space="0" w:color="auto"/>
              </w:divBdr>
              <w:divsChild>
                <w:div w:id="15533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1443">
          <w:marLeft w:val="240"/>
          <w:marRight w:val="0"/>
          <w:marTop w:val="60"/>
          <w:marBottom w:val="60"/>
          <w:divBdr>
            <w:top w:val="none" w:sz="0" w:space="0" w:color="auto"/>
            <w:left w:val="none" w:sz="0" w:space="0" w:color="auto"/>
            <w:bottom w:val="none" w:sz="0" w:space="0" w:color="auto"/>
            <w:right w:val="none" w:sz="0" w:space="0" w:color="auto"/>
          </w:divBdr>
          <w:divsChild>
            <w:div w:id="2103527377">
              <w:marLeft w:val="240"/>
              <w:marRight w:val="0"/>
              <w:marTop w:val="60"/>
              <w:marBottom w:val="60"/>
              <w:divBdr>
                <w:top w:val="none" w:sz="0" w:space="0" w:color="auto"/>
                <w:left w:val="none" w:sz="0" w:space="0" w:color="auto"/>
                <w:bottom w:val="none" w:sz="0" w:space="0" w:color="auto"/>
                <w:right w:val="none" w:sz="0" w:space="0" w:color="auto"/>
              </w:divBdr>
              <w:divsChild>
                <w:div w:id="1699308968">
                  <w:marLeft w:val="0"/>
                  <w:marRight w:val="0"/>
                  <w:marTop w:val="0"/>
                  <w:marBottom w:val="0"/>
                  <w:divBdr>
                    <w:top w:val="none" w:sz="0" w:space="0" w:color="auto"/>
                    <w:left w:val="none" w:sz="0" w:space="0" w:color="auto"/>
                    <w:bottom w:val="none" w:sz="0" w:space="0" w:color="auto"/>
                    <w:right w:val="none" w:sz="0" w:space="0" w:color="auto"/>
                  </w:divBdr>
                </w:div>
              </w:divsChild>
            </w:div>
            <w:div w:id="982851339">
              <w:marLeft w:val="240"/>
              <w:marRight w:val="0"/>
              <w:marTop w:val="60"/>
              <w:marBottom w:val="60"/>
              <w:divBdr>
                <w:top w:val="none" w:sz="0" w:space="0" w:color="auto"/>
                <w:left w:val="none" w:sz="0" w:space="0" w:color="auto"/>
                <w:bottom w:val="none" w:sz="0" w:space="0" w:color="auto"/>
                <w:right w:val="none" w:sz="0" w:space="0" w:color="auto"/>
              </w:divBdr>
              <w:divsChild>
                <w:div w:id="70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60233">
          <w:marLeft w:val="0"/>
          <w:marRight w:val="0"/>
          <w:marTop w:val="0"/>
          <w:marBottom w:val="0"/>
          <w:divBdr>
            <w:top w:val="none" w:sz="0" w:space="0" w:color="auto"/>
            <w:left w:val="none" w:sz="0" w:space="0" w:color="auto"/>
            <w:bottom w:val="none" w:sz="0" w:space="0" w:color="auto"/>
            <w:right w:val="none" w:sz="0" w:space="0" w:color="auto"/>
          </w:divBdr>
        </w:div>
      </w:divsChild>
    </w:div>
    <w:div w:id="415790558">
      <w:bodyDiv w:val="1"/>
      <w:marLeft w:val="0"/>
      <w:marRight w:val="0"/>
      <w:marTop w:val="0"/>
      <w:marBottom w:val="0"/>
      <w:divBdr>
        <w:top w:val="none" w:sz="0" w:space="0" w:color="auto"/>
        <w:left w:val="none" w:sz="0" w:space="0" w:color="auto"/>
        <w:bottom w:val="none" w:sz="0" w:space="0" w:color="auto"/>
        <w:right w:val="none" w:sz="0" w:space="0" w:color="auto"/>
      </w:divBdr>
    </w:div>
    <w:div w:id="491260254">
      <w:bodyDiv w:val="1"/>
      <w:marLeft w:val="0"/>
      <w:marRight w:val="0"/>
      <w:marTop w:val="0"/>
      <w:marBottom w:val="0"/>
      <w:divBdr>
        <w:top w:val="none" w:sz="0" w:space="0" w:color="auto"/>
        <w:left w:val="none" w:sz="0" w:space="0" w:color="auto"/>
        <w:bottom w:val="none" w:sz="0" w:space="0" w:color="auto"/>
        <w:right w:val="none" w:sz="0" w:space="0" w:color="auto"/>
      </w:divBdr>
    </w:div>
    <w:div w:id="1554778711">
      <w:bodyDiv w:val="1"/>
      <w:marLeft w:val="0"/>
      <w:marRight w:val="0"/>
      <w:marTop w:val="0"/>
      <w:marBottom w:val="0"/>
      <w:divBdr>
        <w:top w:val="none" w:sz="0" w:space="0" w:color="auto"/>
        <w:left w:val="none" w:sz="0" w:space="0" w:color="auto"/>
        <w:bottom w:val="none" w:sz="0" w:space="0" w:color="auto"/>
        <w:right w:val="none" w:sz="0" w:space="0" w:color="auto"/>
      </w:divBdr>
      <w:divsChild>
        <w:div w:id="554899710">
          <w:marLeft w:val="240"/>
          <w:marRight w:val="0"/>
          <w:marTop w:val="60"/>
          <w:marBottom w:val="60"/>
          <w:divBdr>
            <w:top w:val="none" w:sz="0" w:space="0" w:color="auto"/>
            <w:left w:val="none" w:sz="0" w:space="0" w:color="auto"/>
            <w:bottom w:val="none" w:sz="0" w:space="0" w:color="auto"/>
            <w:right w:val="none" w:sz="0" w:space="0" w:color="auto"/>
          </w:divBdr>
          <w:divsChild>
            <w:div w:id="18515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h3landlordlaw.com" TargetMode="External"/><Relationship Id="rId13" Type="http://schemas.openxmlformats.org/officeDocument/2006/relationships/hyperlink" Target="https://www.law.cornell.edu/definitions/uscode.php?width=840&amp;height=800&amp;iframe=true&amp;def_id=15-USC-1703263674-1427669932&amp;term_occur=999&amp;term_src=title:15:chapter:116:subchapter:III:part:A:section:9058" TargetMode="External"/><Relationship Id="rId18" Type="http://schemas.openxmlformats.org/officeDocument/2006/relationships/hyperlink" Target="https://www.dictionary.com/browse/vacate" TargetMode="External"/><Relationship Id="rId26" Type="http://schemas.openxmlformats.org/officeDocument/2006/relationships/hyperlink" Target="https://www.britannica.com/dictionary/vacate" TargetMode="External"/><Relationship Id="rId3" Type="http://schemas.openxmlformats.org/officeDocument/2006/relationships/styles" Target="styles.xml"/><Relationship Id="rId21" Type="http://schemas.openxmlformats.org/officeDocument/2006/relationships/hyperlink" Target="https://dictionary.cambridge.org/us/dictionary/english/building" TargetMode="External"/><Relationship Id="rId7" Type="http://schemas.openxmlformats.org/officeDocument/2006/relationships/endnotes" Target="endnotes.xml"/><Relationship Id="rId12" Type="http://schemas.openxmlformats.org/officeDocument/2006/relationships/hyperlink" Target="https://www.law.cornell.edu/definitions/uscode.php?width=840&amp;height=800&amp;iframe=true&amp;def_id=15-USC-1703263674-1427669932&amp;term_occur=999&amp;term_src=title:15:chapter:116:subchapter:III:part:A:section:9058" TargetMode="External"/><Relationship Id="rId17" Type="http://schemas.openxmlformats.org/officeDocument/2006/relationships/hyperlink" Target="https://www.law.cornell.edu/definitions/uscode.php?width=840&amp;height=800&amp;iframe=true&amp;def_id=15-USC-1703263674-1427669932&amp;term_occur=999&amp;term_src=title:15:chapter:116:subchapter:III:part:A:section:9058" TargetMode="External"/><Relationship Id="rId25" Type="http://schemas.openxmlformats.org/officeDocument/2006/relationships/hyperlink" Target="https://dictionary.cambridge.org/us/dictionary/english/vacate" TargetMode="External"/><Relationship Id="rId2" Type="http://schemas.openxmlformats.org/officeDocument/2006/relationships/numbering" Target="numbering.xml"/><Relationship Id="rId16" Type="http://schemas.openxmlformats.org/officeDocument/2006/relationships/hyperlink" Target="https://www.govinfo.gov/link/uscode/42/264" TargetMode="External"/><Relationship Id="rId20" Type="http://schemas.openxmlformats.org/officeDocument/2006/relationships/hyperlink" Target="https://dictionary.cambridge.org/us/dictionary/english/ro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uscode.php?width=840&amp;height=800&amp;iframe=true&amp;def_id=15-USC-1703263674-1427669932&amp;term_occur=999&amp;term_src=title:15:chapter:116:subchapter:III:part:A:section:9058" TargetMode="External"/><Relationship Id="rId24" Type="http://schemas.openxmlformats.org/officeDocument/2006/relationships/hyperlink" Target="https://dictionary.cambridge.org/us/dictionary/english/people" TargetMode="External"/><Relationship Id="rId5" Type="http://schemas.openxmlformats.org/officeDocument/2006/relationships/webSettings" Target="webSettings.xml"/><Relationship Id="rId15" Type="http://schemas.openxmlformats.org/officeDocument/2006/relationships/hyperlink" Target="https://www.ecfr.gov/current/title-42/section-70.2" TargetMode="External"/><Relationship Id="rId23" Type="http://schemas.openxmlformats.org/officeDocument/2006/relationships/hyperlink" Target="https://dictionary.cambridge.org/us/dictionary/english/available" TargetMode="External"/><Relationship Id="rId28" Type="http://schemas.openxmlformats.org/officeDocument/2006/relationships/header" Target="header1.xml"/><Relationship Id="rId10" Type="http://schemas.openxmlformats.org/officeDocument/2006/relationships/hyperlink" Target="https://www.federalregister.gov/documents/2021/08/06/2021-16945/temporary-halt-in-residential-evictions-in-communities-with-substantial-or-high-transmission-of" TargetMode="External"/><Relationship Id="rId19" Type="http://schemas.openxmlformats.org/officeDocument/2006/relationships/hyperlink" Target="https://dictionary.cambridge.org/us/dictionary/english/lea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w.cornell.edu/uscode/text/15/9058%20a.k.a" TargetMode="External"/><Relationship Id="rId14" Type="http://schemas.openxmlformats.org/officeDocument/2006/relationships/hyperlink" Target="https://www.law.cornell.edu/definitions/uscode.php?width=840&amp;height=800&amp;iframe=true&amp;def_id=15-USC-1703263674-1427669932&amp;term_occur=999&amp;term_src=title:15:chapter:116:subchapter:III:part:A:section:9058" TargetMode="External"/><Relationship Id="rId22" Type="http://schemas.openxmlformats.org/officeDocument/2006/relationships/hyperlink" Target="https://dictionary.cambridge.org/us/dictionary/english/chair" TargetMode="External"/><Relationship Id="rId27" Type="http://schemas.openxmlformats.org/officeDocument/2006/relationships/hyperlink" Target="https://www.hud.gov/program_offices/administration/hudclips/handbooks/hsgh/435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94FFD-1A18-BA42-8E88-DFC5E188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Henderson</dc:creator>
  <cp:keywords/>
  <dc:description/>
  <cp:lastModifiedBy>Chris Hoynicki</cp:lastModifiedBy>
  <cp:revision>4</cp:revision>
  <cp:lastPrinted>2024-05-01T00:39:00Z</cp:lastPrinted>
  <dcterms:created xsi:type="dcterms:W3CDTF">2024-05-01T00:34:00Z</dcterms:created>
  <dcterms:modified xsi:type="dcterms:W3CDTF">2024-05-01T00:39:00Z</dcterms:modified>
</cp:coreProperties>
</file>